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873E0F" w:rsidRDefault="00C0075D" w:rsidP="00627C9F">
      <w:pPr>
        <w:jc w:val="both"/>
        <w:rPr>
          <w:rFonts w:asciiTheme="majorHAnsi" w:hAnsiTheme="majorHAnsi" w:cs="Univers"/>
          <w:b/>
          <w:bCs/>
          <w:sz w:val="20"/>
          <w:szCs w:val="20"/>
          <w:lang w:val="pt-BR"/>
        </w:rPr>
      </w:pP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442C914" wp14:editId="1128AB9B">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A8E" w:rsidRDefault="00B21A8E" w:rsidP="00AE5488">
                            <w:r>
                              <w:rPr>
                                <w:noProof/>
                              </w:rPr>
                              <w:drawing>
                                <wp:inline distT="0" distB="0" distL="0" distR="0" wp14:anchorId="6D892484" wp14:editId="414ABE5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rsidR="00B21A8E" w:rsidRDefault="00B21A8E" w:rsidP="00AE5488">
                      <w:r>
                        <w:rPr>
                          <w:noProof/>
                        </w:rPr>
                        <w:drawing>
                          <wp:inline distT="0" distB="0" distL="0" distR="0" wp14:anchorId="6D892484" wp14:editId="414ABE5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04C1AA5" wp14:editId="62A714C4">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003B3A93" w:rsidRPr="00873E0F">
        <w:rPr>
          <w:rFonts w:asciiTheme="majorHAnsi" w:hAnsiTheme="majorHAnsi" w:cs="Univers"/>
          <w:b/>
          <w:bCs/>
          <w:sz w:val="20"/>
          <w:szCs w:val="20"/>
          <w:lang w:val="pt-BR"/>
        </w:rPr>
        <w:t xml:space="preserve"> </w:t>
      </w:r>
    </w:p>
    <w:p w:rsidR="00040C3A" w:rsidRPr="00873E0F" w:rsidRDefault="00040C3A" w:rsidP="00040C3A">
      <w:pPr>
        <w:tabs>
          <w:tab w:val="center" w:pos="5400"/>
        </w:tabs>
        <w:suppressAutoHyphens/>
        <w:jc w:val="both"/>
        <w:rPr>
          <w:rFonts w:asciiTheme="majorHAnsi" w:hAnsiTheme="majorHAnsi"/>
          <w:sz w:val="20"/>
          <w:szCs w:val="20"/>
          <w:lang w:val="pt-BR"/>
        </w:rPr>
      </w:pPr>
    </w:p>
    <w:p w:rsidR="00040C3A" w:rsidRPr="00873E0F" w:rsidRDefault="00040C3A" w:rsidP="00040C3A">
      <w:pPr>
        <w:tabs>
          <w:tab w:val="center" w:pos="5400"/>
        </w:tabs>
        <w:suppressAutoHyphens/>
        <w:jc w:val="both"/>
        <w:rPr>
          <w:rFonts w:asciiTheme="majorHAnsi" w:hAnsiTheme="majorHAnsi"/>
          <w:sz w:val="20"/>
          <w:szCs w:val="20"/>
          <w:lang w:val="pt-BR"/>
        </w:rPr>
      </w:pPr>
    </w:p>
    <w:p w:rsidR="005128E4" w:rsidRPr="00873E0F" w:rsidRDefault="005128E4" w:rsidP="00040C3A">
      <w:pPr>
        <w:tabs>
          <w:tab w:val="center" w:pos="5400"/>
        </w:tabs>
        <w:suppressAutoHyphens/>
        <w:rPr>
          <w:rFonts w:asciiTheme="majorHAnsi" w:hAnsiTheme="majorHAnsi"/>
          <w:sz w:val="20"/>
          <w:szCs w:val="20"/>
          <w:lang w:val="pt-BR"/>
        </w:rPr>
      </w:pPr>
    </w:p>
    <w:p w:rsidR="005128E4" w:rsidRPr="00873E0F" w:rsidRDefault="005128E4" w:rsidP="00040C3A">
      <w:pPr>
        <w:tabs>
          <w:tab w:val="center" w:pos="5400"/>
        </w:tabs>
        <w:suppressAutoHyphens/>
        <w:rPr>
          <w:rFonts w:asciiTheme="majorHAnsi" w:hAnsiTheme="majorHAnsi"/>
          <w:sz w:val="20"/>
          <w:szCs w:val="20"/>
          <w:lang w:val="pt-BR"/>
        </w:rPr>
      </w:pPr>
    </w:p>
    <w:p w:rsidR="005128E4" w:rsidRPr="00873E0F" w:rsidRDefault="005128E4" w:rsidP="00040C3A">
      <w:pPr>
        <w:tabs>
          <w:tab w:val="center" w:pos="5400"/>
        </w:tabs>
        <w:suppressAutoHyphens/>
        <w:rPr>
          <w:rFonts w:asciiTheme="majorHAnsi" w:hAnsiTheme="majorHAnsi"/>
          <w:sz w:val="20"/>
          <w:szCs w:val="20"/>
          <w:lang w:val="pt-BR"/>
        </w:rPr>
      </w:pPr>
    </w:p>
    <w:p w:rsidR="00040C3A" w:rsidRPr="00873E0F" w:rsidRDefault="00040C3A" w:rsidP="005128E4">
      <w:pPr>
        <w:tabs>
          <w:tab w:val="center" w:pos="5400"/>
        </w:tabs>
        <w:suppressAutoHyphens/>
        <w:jc w:val="center"/>
        <w:rPr>
          <w:rFonts w:asciiTheme="majorHAnsi" w:hAnsiTheme="majorHAnsi"/>
          <w:sz w:val="20"/>
          <w:szCs w:val="20"/>
          <w:lang w:val="pt-BR"/>
        </w:rPr>
      </w:pPr>
    </w:p>
    <w:p w:rsidR="00040C3A" w:rsidRPr="00873E0F" w:rsidRDefault="00040C3A" w:rsidP="005128E4">
      <w:pPr>
        <w:tabs>
          <w:tab w:val="center" w:pos="5400"/>
        </w:tabs>
        <w:suppressAutoHyphens/>
        <w:jc w:val="center"/>
        <w:rPr>
          <w:rFonts w:asciiTheme="majorHAnsi" w:hAnsiTheme="majorHAnsi"/>
          <w:sz w:val="20"/>
          <w:szCs w:val="20"/>
          <w:lang w:val="pt-BR"/>
        </w:rPr>
      </w:pPr>
    </w:p>
    <w:p w:rsidR="005B52B0" w:rsidRPr="00873E0F" w:rsidRDefault="005B52B0" w:rsidP="005128E4">
      <w:pPr>
        <w:tabs>
          <w:tab w:val="center" w:pos="5400"/>
        </w:tabs>
        <w:suppressAutoHyphens/>
        <w:jc w:val="center"/>
        <w:rPr>
          <w:rFonts w:asciiTheme="majorHAnsi" w:hAnsiTheme="majorHAnsi"/>
          <w:sz w:val="20"/>
          <w:szCs w:val="20"/>
          <w:lang w:val="pt-BR"/>
        </w:rPr>
      </w:pPr>
    </w:p>
    <w:p w:rsidR="005B52B0" w:rsidRPr="00873E0F" w:rsidRDefault="005B52B0" w:rsidP="005128E4">
      <w:pPr>
        <w:tabs>
          <w:tab w:val="center" w:pos="5400"/>
        </w:tabs>
        <w:suppressAutoHyphens/>
        <w:jc w:val="center"/>
        <w:rPr>
          <w:rFonts w:asciiTheme="majorHAnsi" w:hAnsiTheme="majorHAnsi"/>
          <w:sz w:val="20"/>
          <w:szCs w:val="20"/>
          <w:lang w:val="pt-BR"/>
        </w:rPr>
      </w:pPr>
    </w:p>
    <w:p w:rsidR="005B52B0" w:rsidRPr="00873E0F" w:rsidRDefault="005B52B0" w:rsidP="005128E4">
      <w:pPr>
        <w:tabs>
          <w:tab w:val="center" w:pos="5400"/>
        </w:tabs>
        <w:suppressAutoHyphens/>
        <w:jc w:val="center"/>
        <w:rPr>
          <w:rFonts w:asciiTheme="majorHAnsi" w:hAnsiTheme="majorHAnsi"/>
          <w:sz w:val="20"/>
          <w:szCs w:val="20"/>
          <w:lang w:val="pt-BR"/>
        </w:rPr>
      </w:pPr>
    </w:p>
    <w:p w:rsidR="00040C3A" w:rsidRPr="00873E0F" w:rsidRDefault="00040C3A" w:rsidP="00040C3A">
      <w:pPr>
        <w:tabs>
          <w:tab w:val="center" w:pos="5400"/>
        </w:tabs>
        <w:suppressAutoHyphens/>
        <w:jc w:val="center"/>
        <w:rPr>
          <w:rFonts w:asciiTheme="majorHAnsi" w:hAnsiTheme="majorHAnsi"/>
          <w:sz w:val="20"/>
          <w:szCs w:val="20"/>
          <w:lang w:val="pt-BR"/>
        </w:rPr>
      </w:pPr>
    </w:p>
    <w:p w:rsidR="00040C3A" w:rsidRPr="00873E0F" w:rsidRDefault="00040C3A" w:rsidP="00040C3A">
      <w:pPr>
        <w:tabs>
          <w:tab w:val="center" w:pos="5400"/>
        </w:tabs>
        <w:suppressAutoHyphens/>
        <w:jc w:val="center"/>
        <w:rPr>
          <w:rFonts w:asciiTheme="majorHAnsi" w:hAnsiTheme="majorHAnsi"/>
          <w:sz w:val="20"/>
          <w:szCs w:val="20"/>
          <w:lang w:val="pt-BR"/>
        </w:rPr>
      </w:pPr>
    </w:p>
    <w:p w:rsidR="00040C3A" w:rsidRPr="00873E0F" w:rsidRDefault="00C0075D" w:rsidP="00040C3A">
      <w:pPr>
        <w:tabs>
          <w:tab w:val="center" w:pos="5400"/>
        </w:tabs>
        <w:suppressAutoHyphens/>
        <w:jc w:val="center"/>
        <w:rPr>
          <w:rFonts w:asciiTheme="majorHAnsi" w:hAnsiTheme="majorHAnsi"/>
          <w:sz w:val="20"/>
          <w:szCs w:val="20"/>
          <w:lang w:val="pt-BR"/>
        </w:rPr>
      </w:pPr>
      <w:r>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ED48177" wp14:editId="79777909">
                <wp:simplePos x="0" y="0"/>
                <wp:positionH relativeFrom="column">
                  <wp:posOffset>1352550</wp:posOffset>
                </wp:positionH>
                <wp:positionV relativeFrom="paragraph">
                  <wp:posOffset>107315</wp:posOffset>
                </wp:positionV>
                <wp:extent cx="4441190"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A8E" w:rsidRPr="00B06C1C" w:rsidRDefault="00B21A8E"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42/17</w:t>
                            </w:r>
                          </w:p>
                          <w:p w:rsidR="00B21A8E" w:rsidRPr="00093196" w:rsidRDefault="00B21A8E"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12.031</w:t>
                            </w:r>
                          </w:p>
                          <w:p w:rsidR="00B21A8E" w:rsidRPr="0010736F" w:rsidRDefault="00B21A8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rsidR="00B21A8E" w:rsidRPr="0010736F" w:rsidRDefault="00B21A8E" w:rsidP="00997BC5">
                            <w:pPr>
                              <w:spacing w:line="276" w:lineRule="auto"/>
                              <w:rPr>
                                <w:rFonts w:asciiTheme="majorHAnsi" w:hAnsiTheme="majorHAnsi" w:cs="Arial"/>
                                <w:color w:val="0D0D0D" w:themeColor="text1" w:themeTint="F2"/>
                                <w:szCs w:val="22"/>
                                <w:lang w:val="es-ES_tradnl"/>
                              </w:rPr>
                            </w:pPr>
                            <w:bookmarkStart w:id="0" w:name="_ftnref1"/>
                          </w:p>
                          <w:bookmarkEnd w:id="0"/>
                          <w:p w:rsidR="00B21A8E" w:rsidRPr="005E21D4" w:rsidRDefault="00B21A8E" w:rsidP="00997BC5">
                            <w:pPr>
                              <w:spacing w:line="276" w:lineRule="auto"/>
                              <w:rPr>
                                <w:rFonts w:asciiTheme="majorHAnsi" w:hAnsiTheme="majorHAnsi" w:cs="Arial"/>
                                <w:color w:val="0D0D0D" w:themeColor="text1" w:themeTint="F2"/>
                                <w:szCs w:val="22"/>
                                <w:lang w:val="es-VE"/>
                              </w:rPr>
                            </w:pPr>
                            <w:r>
                              <w:rPr>
                                <w:rFonts w:ascii="Cambria" w:hAnsi="Cambria"/>
                                <w:lang w:val="es-ES"/>
                              </w:rPr>
                              <w:t>JORGE ROSADIO VILLAVICENCIO</w:t>
                            </w:r>
                          </w:p>
                          <w:p w:rsidR="00B21A8E" w:rsidRPr="00305949" w:rsidRDefault="00B21A8E"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Per</w:t>
                            </w:r>
                            <w:r>
                              <w:rPr>
                                <w:rFonts w:asciiTheme="majorHAnsi" w:hAnsiTheme="majorHAnsi" w:cs="Arial"/>
                                <w:color w:val="0D0D0D" w:themeColor="text1" w:themeTint="F2"/>
                                <w:szCs w:val="22"/>
                                <w:lang w:val="es-VE"/>
                              </w:rPr>
                              <w:t>ú</w:t>
                            </w:r>
                          </w:p>
                          <w:p w:rsidR="00B21A8E" w:rsidRPr="00AE5488" w:rsidRDefault="00B21A8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rsidR="00B21A8E" w:rsidRPr="00B06C1C" w:rsidRDefault="00B21A8E"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42/17</w:t>
                      </w:r>
                    </w:p>
                    <w:p w:rsidR="00B21A8E" w:rsidRPr="00093196" w:rsidRDefault="00B21A8E"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12.031</w:t>
                      </w:r>
                    </w:p>
                    <w:p w:rsidR="00B21A8E" w:rsidRPr="0010736F" w:rsidRDefault="00B21A8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rsidR="00B21A8E" w:rsidRPr="0010736F" w:rsidRDefault="00B21A8E" w:rsidP="00997BC5">
                      <w:pPr>
                        <w:spacing w:line="276" w:lineRule="auto"/>
                        <w:rPr>
                          <w:rFonts w:asciiTheme="majorHAnsi" w:hAnsiTheme="majorHAnsi" w:cs="Arial"/>
                          <w:color w:val="0D0D0D" w:themeColor="text1" w:themeTint="F2"/>
                          <w:szCs w:val="22"/>
                          <w:lang w:val="es-ES_tradnl"/>
                        </w:rPr>
                      </w:pPr>
                      <w:bookmarkStart w:id="1" w:name="_ftnref1"/>
                    </w:p>
                    <w:bookmarkEnd w:id="1"/>
                    <w:p w:rsidR="00B21A8E" w:rsidRPr="005E21D4" w:rsidRDefault="00B21A8E" w:rsidP="00997BC5">
                      <w:pPr>
                        <w:spacing w:line="276" w:lineRule="auto"/>
                        <w:rPr>
                          <w:rFonts w:asciiTheme="majorHAnsi" w:hAnsiTheme="majorHAnsi" w:cs="Arial"/>
                          <w:color w:val="0D0D0D" w:themeColor="text1" w:themeTint="F2"/>
                          <w:szCs w:val="22"/>
                          <w:lang w:val="es-VE"/>
                        </w:rPr>
                      </w:pPr>
                      <w:r>
                        <w:rPr>
                          <w:rFonts w:ascii="Cambria" w:hAnsi="Cambria"/>
                          <w:lang w:val="es-ES"/>
                        </w:rPr>
                        <w:t>JORGE ROSADIO VILLAVICENCIO</w:t>
                      </w:r>
                    </w:p>
                    <w:p w:rsidR="00B21A8E" w:rsidRPr="00305949" w:rsidRDefault="00B21A8E"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Per</w:t>
                      </w:r>
                      <w:r>
                        <w:rPr>
                          <w:rFonts w:asciiTheme="majorHAnsi" w:hAnsiTheme="majorHAnsi" w:cs="Arial"/>
                          <w:color w:val="0D0D0D" w:themeColor="text1" w:themeTint="F2"/>
                          <w:szCs w:val="22"/>
                          <w:lang w:val="es-VE"/>
                        </w:rPr>
                        <w:t>ú</w:t>
                      </w:r>
                    </w:p>
                    <w:p w:rsidR="00B21A8E" w:rsidRPr="00AE5488" w:rsidRDefault="00B21A8E" w:rsidP="007A5817">
                      <w:pPr>
                        <w:rPr>
                          <w:color w:val="0D0D0D" w:themeColor="text1" w:themeTint="F2"/>
                          <w:lang w:val="es-ES_tradnl"/>
                        </w:rPr>
                      </w:pP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76B410E" wp14:editId="68ABC0C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A8E" w:rsidRPr="0094120E" w:rsidRDefault="00B21A8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OEA/Ser.L/V/II.162</w:t>
                            </w:r>
                          </w:p>
                          <w:p w:rsidR="00B21A8E" w:rsidRPr="00D00C9C" w:rsidRDefault="00B21A8E" w:rsidP="007A5817">
                            <w:pPr>
                              <w:spacing w:line="276" w:lineRule="auto"/>
                              <w:jc w:val="right"/>
                              <w:rPr>
                                <w:rFonts w:asciiTheme="minorHAnsi" w:hAnsiTheme="minorHAnsi"/>
                                <w:color w:val="FFFFFF" w:themeColor="background1"/>
                                <w:sz w:val="22"/>
                                <w:lang w:val="pt-BR"/>
                              </w:rPr>
                            </w:pPr>
                            <w:r w:rsidRPr="00D00C9C">
                              <w:rPr>
                                <w:rFonts w:asciiTheme="minorHAnsi" w:hAnsiTheme="minorHAnsi"/>
                                <w:color w:val="FFFFFF" w:themeColor="background1"/>
                                <w:sz w:val="22"/>
                                <w:lang w:val="pt-BR"/>
                              </w:rPr>
                              <w:t>Doc. 54</w:t>
                            </w:r>
                          </w:p>
                          <w:p w:rsidR="00B21A8E" w:rsidRPr="00913433" w:rsidRDefault="00B21A8E" w:rsidP="007A5817">
                            <w:pPr>
                              <w:spacing w:line="276" w:lineRule="auto"/>
                              <w:jc w:val="right"/>
                              <w:rPr>
                                <w:rFonts w:asciiTheme="minorHAnsi" w:hAnsiTheme="minorHAnsi"/>
                                <w:color w:val="FFFFFF" w:themeColor="background1"/>
                                <w:sz w:val="22"/>
                                <w:lang w:val="es-VE"/>
                              </w:rPr>
                            </w:pPr>
                            <w:r w:rsidRPr="00913433">
                              <w:rPr>
                                <w:rFonts w:asciiTheme="minorHAnsi" w:hAnsiTheme="minorHAnsi"/>
                                <w:color w:val="FFFFFF" w:themeColor="background1"/>
                                <w:sz w:val="22"/>
                                <w:lang w:val="es-VE"/>
                              </w:rPr>
                              <w:t>23 de mayo de 2017</w:t>
                            </w:r>
                          </w:p>
                          <w:p w:rsidR="00B21A8E" w:rsidRPr="000C5BC3" w:rsidRDefault="00B21A8E"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B21A8E" w:rsidRPr="0094120E" w:rsidRDefault="00B21A8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OEA/Ser.L/V/II.162</w:t>
                      </w:r>
                    </w:p>
                    <w:p w:rsidR="00B21A8E" w:rsidRPr="00D00C9C" w:rsidRDefault="00B21A8E" w:rsidP="007A5817">
                      <w:pPr>
                        <w:spacing w:line="276" w:lineRule="auto"/>
                        <w:jc w:val="right"/>
                        <w:rPr>
                          <w:rFonts w:asciiTheme="minorHAnsi" w:hAnsiTheme="minorHAnsi"/>
                          <w:color w:val="FFFFFF" w:themeColor="background1"/>
                          <w:sz w:val="22"/>
                          <w:lang w:val="pt-BR"/>
                        </w:rPr>
                      </w:pPr>
                      <w:r w:rsidRPr="00D00C9C">
                        <w:rPr>
                          <w:rFonts w:asciiTheme="minorHAnsi" w:hAnsiTheme="minorHAnsi"/>
                          <w:color w:val="FFFFFF" w:themeColor="background1"/>
                          <w:sz w:val="22"/>
                          <w:lang w:val="pt-BR"/>
                        </w:rPr>
                        <w:t>Doc. 54</w:t>
                      </w:r>
                    </w:p>
                    <w:p w:rsidR="00B21A8E" w:rsidRPr="00913433" w:rsidRDefault="00B21A8E" w:rsidP="007A5817">
                      <w:pPr>
                        <w:spacing w:line="276" w:lineRule="auto"/>
                        <w:jc w:val="right"/>
                        <w:rPr>
                          <w:rFonts w:asciiTheme="minorHAnsi" w:hAnsiTheme="minorHAnsi"/>
                          <w:color w:val="FFFFFF" w:themeColor="background1"/>
                          <w:sz w:val="22"/>
                          <w:lang w:val="es-VE"/>
                        </w:rPr>
                      </w:pPr>
                      <w:r w:rsidRPr="00913433">
                        <w:rPr>
                          <w:rFonts w:asciiTheme="minorHAnsi" w:hAnsiTheme="minorHAnsi"/>
                          <w:color w:val="FFFFFF" w:themeColor="background1"/>
                          <w:sz w:val="22"/>
                          <w:lang w:val="es-VE"/>
                        </w:rPr>
                        <w:t>23 de mayo de 2017</w:t>
                      </w:r>
                    </w:p>
                    <w:p w:rsidR="00B21A8E" w:rsidRPr="000C5BC3" w:rsidRDefault="00B21A8E"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rsidR="00040C3A" w:rsidRPr="00873E0F" w:rsidRDefault="00040C3A" w:rsidP="00040C3A">
      <w:pPr>
        <w:tabs>
          <w:tab w:val="center" w:pos="5400"/>
        </w:tabs>
        <w:suppressAutoHyphens/>
        <w:jc w:val="center"/>
        <w:rPr>
          <w:rFonts w:asciiTheme="majorHAnsi" w:hAnsiTheme="majorHAnsi"/>
          <w:sz w:val="20"/>
          <w:szCs w:val="20"/>
          <w:lang w:val="pt-BR"/>
        </w:rPr>
      </w:pPr>
    </w:p>
    <w:p w:rsidR="00040C3A" w:rsidRPr="00873E0F" w:rsidRDefault="00040C3A" w:rsidP="00040C3A">
      <w:pPr>
        <w:tabs>
          <w:tab w:val="center" w:pos="5400"/>
        </w:tabs>
        <w:suppressAutoHyphens/>
        <w:jc w:val="center"/>
        <w:rPr>
          <w:rFonts w:asciiTheme="majorHAnsi" w:hAnsiTheme="majorHAnsi"/>
          <w:sz w:val="20"/>
          <w:szCs w:val="20"/>
          <w:lang w:val="pt-BR"/>
        </w:rPr>
      </w:pPr>
    </w:p>
    <w:p w:rsidR="00040C3A" w:rsidRPr="00873E0F" w:rsidRDefault="00040C3A" w:rsidP="00040C3A">
      <w:pPr>
        <w:tabs>
          <w:tab w:val="center" w:pos="5400"/>
        </w:tabs>
        <w:suppressAutoHyphens/>
        <w:jc w:val="center"/>
        <w:rPr>
          <w:rFonts w:asciiTheme="majorHAnsi" w:hAnsiTheme="majorHAnsi" w:cs="Arial"/>
          <w:sz w:val="20"/>
          <w:szCs w:val="20"/>
          <w:lang w:val="pt-BR"/>
        </w:rPr>
      </w:pPr>
    </w:p>
    <w:p w:rsidR="00040C3A" w:rsidRPr="00873E0F" w:rsidRDefault="00040C3A" w:rsidP="00040C3A">
      <w:pPr>
        <w:tabs>
          <w:tab w:val="center" w:pos="5400"/>
        </w:tabs>
        <w:suppressAutoHyphens/>
        <w:jc w:val="center"/>
        <w:rPr>
          <w:rFonts w:asciiTheme="majorHAnsi" w:hAnsiTheme="majorHAnsi"/>
          <w:sz w:val="20"/>
          <w:szCs w:val="20"/>
          <w:lang w:val="pt-BR"/>
        </w:rPr>
      </w:pPr>
    </w:p>
    <w:p w:rsidR="00040C3A" w:rsidRPr="00873E0F" w:rsidRDefault="00040C3A" w:rsidP="00040C3A">
      <w:pPr>
        <w:tabs>
          <w:tab w:val="center" w:pos="5400"/>
        </w:tabs>
        <w:suppressAutoHyphens/>
        <w:jc w:val="center"/>
        <w:rPr>
          <w:rFonts w:asciiTheme="majorHAnsi" w:hAnsiTheme="majorHAnsi"/>
          <w:sz w:val="20"/>
          <w:szCs w:val="20"/>
          <w:lang w:val="pt-BR"/>
        </w:rPr>
      </w:pPr>
    </w:p>
    <w:p w:rsidR="00040C3A" w:rsidRPr="00873E0F" w:rsidRDefault="00040C3A" w:rsidP="00040C3A">
      <w:pPr>
        <w:tabs>
          <w:tab w:val="center" w:pos="5400"/>
        </w:tabs>
        <w:suppressAutoHyphens/>
        <w:jc w:val="center"/>
        <w:rPr>
          <w:rFonts w:asciiTheme="majorHAnsi" w:hAnsiTheme="majorHAnsi"/>
          <w:sz w:val="20"/>
          <w:szCs w:val="20"/>
          <w:lang w:val="pt-BR"/>
        </w:rPr>
      </w:pPr>
    </w:p>
    <w:p w:rsidR="00040C3A" w:rsidRPr="00873E0F" w:rsidRDefault="00040C3A" w:rsidP="00040C3A">
      <w:pPr>
        <w:tabs>
          <w:tab w:val="center" w:pos="5400"/>
        </w:tabs>
        <w:suppressAutoHyphens/>
        <w:jc w:val="center"/>
        <w:rPr>
          <w:rFonts w:asciiTheme="majorHAnsi" w:hAnsiTheme="majorHAnsi"/>
          <w:sz w:val="20"/>
          <w:szCs w:val="20"/>
          <w:lang w:val="pt-BR"/>
        </w:rPr>
      </w:pPr>
    </w:p>
    <w:p w:rsidR="005128E4" w:rsidRPr="00873E0F" w:rsidRDefault="005128E4" w:rsidP="00040C3A">
      <w:pPr>
        <w:tabs>
          <w:tab w:val="center" w:pos="5400"/>
        </w:tabs>
        <w:suppressAutoHyphens/>
        <w:jc w:val="center"/>
        <w:rPr>
          <w:rFonts w:asciiTheme="majorHAnsi" w:hAnsiTheme="majorHAnsi"/>
          <w:sz w:val="20"/>
          <w:szCs w:val="20"/>
          <w:lang w:val="pt-BR"/>
        </w:rPr>
      </w:pPr>
    </w:p>
    <w:p w:rsidR="00040C3A" w:rsidRPr="00873E0F" w:rsidRDefault="00040C3A" w:rsidP="00040C3A">
      <w:pPr>
        <w:tabs>
          <w:tab w:val="center" w:pos="5400"/>
        </w:tabs>
        <w:suppressAutoHyphens/>
        <w:jc w:val="center"/>
        <w:rPr>
          <w:rFonts w:asciiTheme="majorHAnsi" w:hAnsiTheme="majorHAnsi"/>
          <w:sz w:val="20"/>
          <w:szCs w:val="20"/>
          <w:lang w:val="pt-BR"/>
        </w:rPr>
      </w:pPr>
    </w:p>
    <w:p w:rsidR="005128E4" w:rsidRPr="00873E0F" w:rsidRDefault="005128E4" w:rsidP="00040C3A">
      <w:pPr>
        <w:tabs>
          <w:tab w:val="center" w:pos="5400"/>
        </w:tabs>
        <w:suppressAutoHyphens/>
        <w:jc w:val="center"/>
        <w:rPr>
          <w:rFonts w:asciiTheme="majorHAnsi" w:hAnsiTheme="majorHAnsi"/>
          <w:sz w:val="20"/>
          <w:szCs w:val="20"/>
          <w:lang w:val="pt-BR"/>
        </w:rPr>
      </w:pPr>
    </w:p>
    <w:p w:rsidR="005128E4" w:rsidRPr="00873E0F" w:rsidRDefault="005128E4" w:rsidP="00040C3A">
      <w:pPr>
        <w:tabs>
          <w:tab w:val="center" w:pos="5400"/>
        </w:tabs>
        <w:suppressAutoHyphens/>
        <w:jc w:val="center"/>
        <w:rPr>
          <w:rFonts w:asciiTheme="majorHAnsi" w:hAnsiTheme="majorHAnsi"/>
          <w:sz w:val="20"/>
          <w:szCs w:val="20"/>
          <w:lang w:val="pt-BR"/>
        </w:rPr>
      </w:pPr>
    </w:p>
    <w:p w:rsidR="005128E4" w:rsidRPr="00873E0F" w:rsidRDefault="005128E4" w:rsidP="00040C3A">
      <w:pPr>
        <w:tabs>
          <w:tab w:val="center" w:pos="5400"/>
        </w:tabs>
        <w:suppressAutoHyphens/>
        <w:jc w:val="center"/>
        <w:rPr>
          <w:rFonts w:asciiTheme="majorHAnsi" w:hAnsiTheme="majorHAnsi"/>
          <w:sz w:val="20"/>
          <w:szCs w:val="20"/>
          <w:lang w:val="pt-BR"/>
        </w:rPr>
      </w:pPr>
    </w:p>
    <w:p w:rsidR="00040C3A" w:rsidRPr="00873E0F" w:rsidRDefault="00040C3A" w:rsidP="00040C3A">
      <w:pPr>
        <w:tabs>
          <w:tab w:val="center" w:pos="5400"/>
        </w:tabs>
        <w:suppressAutoHyphens/>
        <w:jc w:val="center"/>
        <w:rPr>
          <w:rFonts w:asciiTheme="majorHAnsi" w:hAnsiTheme="majorHAnsi"/>
          <w:sz w:val="20"/>
          <w:szCs w:val="20"/>
          <w:lang w:val="pt-BR"/>
        </w:rPr>
      </w:pPr>
    </w:p>
    <w:p w:rsidR="00040C3A" w:rsidRPr="00873E0F" w:rsidRDefault="00040C3A"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C0075D" w:rsidP="00040C3A">
      <w:pPr>
        <w:tabs>
          <w:tab w:val="center" w:pos="5400"/>
        </w:tabs>
        <w:suppressAutoHyphens/>
        <w:jc w:val="center"/>
        <w:rPr>
          <w:rFonts w:asciiTheme="majorHAnsi" w:hAnsiTheme="majorHAnsi"/>
          <w:sz w:val="20"/>
          <w:szCs w:val="20"/>
          <w:lang w:val="pt-BR"/>
        </w:rPr>
      </w:pP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00F7487" wp14:editId="0BF6178B">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A8E" w:rsidRPr="00890650" w:rsidRDefault="00B21A8E"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2083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23 de mayo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162</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B21A8E" w:rsidRPr="00890650" w:rsidRDefault="00B21A8E"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2083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23 de mayo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162</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txbxContent>
                </v:textbox>
              </v:shape>
            </w:pict>
          </mc:Fallback>
        </mc:AlternateContent>
      </w: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A50FCF" w:rsidP="00040C3A">
      <w:pPr>
        <w:tabs>
          <w:tab w:val="center" w:pos="5400"/>
        </w:tabs>
        <w:suppressAutoHyphens/>
        <w:jc w:val="center"/>
        <w:rPr>
          <w:rFonts w:asciiTheme="majorHAnsi" w:hAnsiTheme="majorHAnsi"/>
          <w:sz w:val="20"/>
          <w:szCs w:val="20"/>
          <w:lang w:val="pt-BR"/>
        </w:rPr>
      </w:pPr>
    </w:p>
    <w:p w:rsidR="00A50FCF" w:rsidRPr="00873E0F" w:rsidRDefault="00C0075D" w:rsidP="00040C3A">
      <w:pPr>
        <w:tabs>
          <w:tab w:val="center" w:pos="5400"/>
        </w:tabs>
        <w:suppressAutoHyphens/>
        <w:jc w:val="center"/>
        <w:rPr>
          <w:rFonts w:asciiTheme="majorHAnsi" w:hAnsiTheme="majorHAnsi"/>
          <w:sz w:val="20"/>
          <w:szCs w:val="20"/>
          <w:lang w:val="pt-BR"/>
        </w:rPr>
      </w:pPr>
      <w:r>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AF1E152" wp14:editId="2C5DFEFA">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A8E" w:rsidRPr="00305949" w:rsidRDefault="00B21A8E" w:rsidP="00EB1199">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42</w:t>
                            </w:r>
                            <w:r w:rsidRPr="00267CAA">
                              <w:rPr>
                                <w:rFonts w:asciiTheme="majorHAnsi" w:hAnsiTheme="majorHAnsi"/>
                                <w:color w:val="595959" w:themeColor="text1" w:themeTint="A6"/>
                                <w:sz w:val="18"/>
                                <w:szCs w:val="18"/>
                                <w:lang w:val="pt-BR"/>
                              </w:rPr>
                              <w:t>/17, Caso 12.031</w:t>
                            </w:r>
                            <w:r>
                              <w:rPr>
                                <w:rFonts w:asciiTheme="majorHAnsi" w:hAnsiTheme="majorHAnsi"/>
                                <w:color w:val="595959" w:themeColor="text1" w:themeTint="A6"/>
                                <w:sz w:val="18"/>
                                <w:szCs w:val="18"/>
                                <w:lang w:val="pt-BR"/>
                              </w:rPr>
                              <w:t>.</w:t>
                            </w:r>
                            <w:r w:rsidRPr="00267CAA">
                              <w:rPr>
                                <w:rFonts w:asciiTheme="majorHAnsi" w:hAnsiTheme="majorHAnsi"/>
                                <w:color w:val="595959" w:themeColor="text1" w:themeTint="A6"/>
                                <w:sz w:val="18"/>
                                <w:szCs w:val="18"/>
                                <w:lang w:val="pt-BR"/>
                              </w:rPr>
                              <w:t xml:space="preserve">Fondo. </w:t>
                            </w:r>
                            <w:r w:rsidRPr="00305949">
                              <w:rPr>
                                <w:rFonts w:asciiTheme="majorHAnsi" w:hAnsiTheme="majorHAnsi"/>
                                <w:color w:val="595959" w:themeColor="text1" w:themeTint="A6"/>
                                <w:sz w:val="18"/>
                                <w:szCs w:val="18"/>
                                <w:lang w:val="pt-BR"/>
                              </w:rPr>
                              <w:t>Jorge Rosadio Villavicencio.</w:t>
                            </w:r>
                            <w:r>
                              <w:rPr>
                                <w:rFonts w:asciiTheme="majorHAnsi" w:hAnsiTheme="majorHAnsi"/>
                                <w:color w:val="595959" w:themeColor="text1" w:themeTint="A6"/>
                                <w:sz w:val="18"/>
                                <w:szCs w:val="18"/>
                                <w:lang w:val="pt-BR"/>
                              </w:rPr>
                              <w:t xml:space="preserve"> Perú. 23</w:t>
                            </w:r>
                            <w:r w:rsidRPr="00305949">
                              <w:rPr>
                                <w:rFonts w:asciiTheme="majorHAnsi" w:hAnsiTheme="majorHAnsi"/>
                                <w:color w:val="595959" w:themeColor="text1" w:themeTint="A6"/>
                                <w:sz w:val="18"/>
                                <w:szCs w:val="18"/>
                                <w:lang w:val="pt-BR"/>
                              </w:rPr>
                              <w:t xml:space="preserve"> de </w:t>
                            </w:r>
                            <w:r>
                              <w:rPr>
                                <w:rFonts w:asciiTheme="majorHAnsi" w:hAnsiTheme="majorHAnsi"/>
                                <w:color w:val="595959" w:themeColor="text1" w:themeTint="A6"/>
                                <w:sz w:val="18"/>
                                <w:szCs w:val="18"/>
                                <w:lang w:val="pt-BR"/>
                              </w:rPr>
                              <w:t xml:space="preserve">mayo </w:t>
                            </w:r>
                            <w:r w:rsidRPr="00305949">
                              <w:rPr>
                                <w:rFonts w:asciiTheme="majorHAnsi" w:hAnsiTheme="majorHAnsi"/>
                                <w:color w:val="595959" w:themeColor="text1" w:themeTint="A6"/>
                                <w:sz w:val="18"/>
                                <w:szCs w:val="18"/>
                                <w:lang w:val="pt-BR"/>
                              </w:rPr>
                              <w:t>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B21A8E" w:rsidRPr="00305949" w:rsidRDefault="00B21A8E" w:rsidP="00EB1199">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42</w:t>
                      </w:r>
                      <w:r w:rsidRPr="00267CAA">
                        <w:rPr>
                          <w:rFonts w:asciiTheme="majorHAnsi" w:hAnsiTheme="majorHAnsi"/>
                          <w:color w:val="595959" w:themeColor="text1" w:themeTint="A6"/>
                          <w:sz w:val="18"/>
                          <w:szCs w:val="18"/>
                          <w:lang w:val="pt-BR"/>
                        </w:rPr>
                        <w:t>/17, Caso 12.031</w:t>
                      </w:r>
                      <w:r>
                        <w:rPr>
                          <w:rFonts w:asciiTheme="majorHAnsi" w:hAnsiTheme="majorHAnsi"/>
                          <w:color w:val="595959" w:themeColor="text1" w:themeTint="A6"/>
                          <w:sz w:val="18"/>
                          <w:szCs w:val="18"/>
                          <w:lang w:val="pt-BR"/>
                        </w:rPr>
                        <w:t>.</w:t>
                      </w:r>
                      <w:r w:rsidRPr="00267CAA">
                        <w:rPr>
                          <w:rFonts w:asciiTheme="majorHAnsi" w:hAnsiTheme="majorHAnsi"/>
                          <w:color w:val="595959" w:themeColor="text1" w:themeTint="A6"/>
                          <w:sz w:val="18"/>
                          <w:szCs w:val="18"/>
                          <w:lang w:val="pt-BR"/>
                        </w:rPr>
                        <w:t xml:space="preserve">Fondo. </w:t>
                      </w:r>
                      <w:r w:rsidRPr="00305949">
                        <w:rPr>
                          <w:rFonts w:asciiTheme="majorHAnsi" w:hAnsiTheme="majorHAnsi"/>
                          <w:color w:val="595959" w:themeColor="text1" w:themeTint="A6"/>
                          <w:sz w:val="18"/>
                          <w:szCs w:val="18"/>
                          <w:lang w:val="pt-BR"/>
                        </w:rPr>
                        <w:t>Jorge Rosadio Villavicencio.</w:t>
                      </w:r>
                      <w:r>
                        <w:rPr>
                          <w:rFonts w:asciiTheme="majorHAnsi" w:hAnsiTheme="majorHAnsi"/>
                          <w:color w:val="595959" w:themeColor="text1" w:themeTint="A6"/>
                          <w:sz w:val="18"/>
                          <w:szCs w:val="18"/>
                          <w:lang w:val="pt-BR"/>
                        </w:rPr>
                        <w:t xml:space="preserve"> Perú. 23</w:t>
                      </w:r>
                      <w:r w:rsidRPr="00305949">
                        <w:rPr>
                          <w:rFonts w:asciiTheme="majorHAnsi" w:hAnsiTheme="majorHAnsi"/>
                          <w:color w:val="595959" w:themeColor="text1" w:themeTint="A6"/>
                          <w:sz w:val="18"/>
                          <w:szCs w:val="18"/>
                          <w:lang w:val="pt-BR"/>
                        </w:rPr>
                        <w:t xml:space="preserve"> de </w:t>
                      </w:r>
                      <w:r>
                        <w:rPr>
                          <w:rFonts w:asciiTheme="majorHAnsi" w:hAnsiTheme="majorHAnsi"/>
                          <w:color w:val="595959" w:themeColor="text1" w:themeTint="A6"/>
                          <w:sz w:val="18"/>
                          <w:szCs w:val="18"/>
                          <w:lang w:val="pt-BR"/>
                        </w:rPr>
                        <w:t xml:space="preserve">mayo </w:t>
                      </w:r>
                      <w:r w:rsidRPr="00305949">
                        <w:rPr>
                          <w:rFonts w:asciiTheme="majorHAnsi" w:hAnsiTheme="majorHAnsi"/>
                          <w:color w:val="595959" w:themeColor="text1" w:themeTint="A6"/>
                          <w:sz w:val="18"/>
                          <w:szCs w:val="18"/>
                          <w:lang w:val="pt-BR"/>
                        </w:rPr>
                        <w:t>de 2017.</w:t>
                      </w:r>
                    </w:p>
                  </w:txbxContent>
                </v:textbox>
              </v:shape>
            </w:pict>
          </mc:Fallback>
        </mc:AlternateContent>
      </w:r>
    </w:p>
    <w:p w:rsidR="00A50FCF" w:rsidRPr="00873E0F" w:rsidRDefault="00A50FCF" w:rsidP="00040C3A">
      <w:pPr>
        <w:tabs>
          <w:tab w:val="center" w:pos="5400"/>
        </w:tabs>
        <w:suppressAutoHyphens/>
        <w:jc w:val="center"/>
        <w:rPr>
          <w:rFonts w:asciiTheme="majorHAnsi" w:hAnsiTheme="majorHAnsi"/>
          <w:sz w:val="20"/>
          <w:szCs w:val="20"/>
          <w:lang w:val="pt-BR"/>
        </w:rPr>
      </w:pPr>
    </w:p>
    <w:p w:rsidR="0090270B" w:rsidRPr="00873E0F" w:rsidRDefault="00C0075D" w:rsidP="005516A1">
      <w:pPr>
        <w:tabs>
          <w:tab w:val="center" w:pos="5400"/>
        </w:tabs>
        <w:suppressAutoHyphens/>
        <w:jc w:val="center"/>
        <w:rPr>
          <w:rFonts w:asciiTheme="majorHAnsi" w:hAnsiTheme="majorHAnsi"/>
          <w:b/>
          <w:sz w:val="20"/>
          <w:szCs w:val="20"/>
          <w:lang w:val="pt-BR"/>
        </w:rPr>
      </w:pPr>
      <w:r>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2D0B7DC9" wp14:editId="2CE54E01">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1A8E" w:rsidRPr="00D72DC6" w:rsidRDefault="00B21A8E" w:rsidP="00F02AD1">
                            <w:pPr>
                              <w:rPr>
                                <w:color w:val="FFFFFF" w:themeColor="background1"/>
                              </w:rPr>
                            </w:pPr>
                            <w:r w:rsidRPr="00D72DC6">
                              <w:rPr>
                                <w:noProof/>
                                <w:color w:val="FFFFFF" w:themeColor="background1"/>
                              </w:rPr>
                              <w:drawing>
                                <wp:inline distT="0" distB="0" distL="0" distR="0" wp14:anchorId="085E142A" wp14:editId="1C383EE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B21A8E" w:rsidRPr="00D72DC6" w:rsidRDefault="00B21A8E" w:rsidP="00F02AD1">
                      <w:pPr>
                        <w:rPr>
                          <w:color w:val="FFFFFF" w:themeColor="background1"/>
                        </w:rPr>
                      </w:pPr>
                      <w:r w:rsidRPr="00D72DC6">
                        <w:rPr>
                          <w:noProof/>
                          <w:color w:val="FFFFFF" w:themeColor="background1"/>
                        </w:rPr>
                        <w:drawing>
                          <wp:inline distT="0" distB="0" distL="0" distR="0" wp14:anchorId="085E142A" wp14:editId="1C383EE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3EE48DD" wp14:editId="176E3196">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A8E" w:rsidRPr="004B7EB6" w:rsidRDefault="00B21A8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B21A8E" w:rsidRPr="004B7EB6" w:rsidRDefault="00B21A8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873E0F" w:rsidRDefault="0070697F" w:rsidP="005516A1">
      <w:pPr>
        <w:tabs>
          <w:tab w:val="center" w:pos="5400"/>
        </w:tabs>
        <w:suppressAutoHyphens/>
        <w:jc w:val="center"/>
        <w:rPr>
          <w:rFonts w:asciiTheme="majorHAnsi" w:hAnsiTheme="majorHAnsi"/>
          <w:b/>
          <w:sz w:val="20"/>
          <w:szCs w:val="20"/>
          <w:lang w:val="pt-BR"/>
        </w:rPr>
        <w:sectPr w:rsidR="0070697F" w:rsidRPr="00873E0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4B316C" w:rsidRPr="00267CAA" w:rsidRDefault="00913433"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pt-BR"/>
        </w:rPr>
      </w:pPr>
      <w:r>
        <w:rPr>
          <w:rFonts w:asciiTheme="majorHAnsi" w:eastAsia="Times New Roman" w:hAnsiTheme="majorHAnsi"/>
          <w:b/>
          <w:sz w:val="20"/>
          <w:szCs w:val="20"/>
          <w:bdr w:val="none" w:sz="0" w:space="0" w:color="auto"/>
          <w:lang w:val="pt-BR"/>
        </w:rPr>
        <w:lastRenderedPageBreak/>
        <w:t>INFORME No. 42</w:t>
      </w:r>
      <w:r w:rsidR="00305949" w:rsidRPr="00267CAA">
        <w:rPr>
          <w:rFonts w:asciiTheme="majorHAnsi" w:eastAsia="Times New Roman" w:hAnsiTheme="majorHAnsi"/>
          <w:b/>
          <w:sz w:val="20"/>
          <w:szCs w:val="20"/>
          <w:bdr w:val="none" w:sz="0" w:space="0" w:color="auto"/>
          <w:lang w:val="pt-BR"/>
        </w:rPr>
        <w:t>/1</w:t>
      </w:r>
      <w:r w:rsidR="00F674F4" w:rsidRPr="00267CAA">
        <w:rPr>
          <w:rFonts w:asciiTheme="majorHAnsi" w:eastAsia="Times New Roman" w:hAnsiTheme="majorHAnsi"/>
          <w:b/>
          <w:sz w:val="20"/>
          <w:szCs w:val="20"/>
          <w:bdr w:val="none" w:sz="0" w:space="0" w:color="auto"/>
          <w:lang w:val="pt-BR"/>
        </w:rPr>
        <w:t>7</w:t>
      </w:r>
    </w:p>
    <w:p w:rsidR="004B316C" w:rsidRPr="00267CAA" w:rsidRDefault="00305949"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pt-BR"/>
        </w:rPr>
      </w:pPr>
      <w:r w:rsidRPr="00267CAA">
        <w:rPr>
          <w:rFonts w:asciiTheme="majorHAnsi" w:eastAsia="Times New Roman" w:hAnsiTheme="majorHAnsi"/>
          <w:b/>
          <w:sz w:val="20"/>
          <w:szCs w:val="20"/>
          <w:bdr w:val="none" w:sz="0" w:space="0" w:color="auto"/>
          <w:lang w:val="pt-BR"/>
        </w:rPr>
        <w:t>CASO 12.031</w:t>
      </w:r>
    </w:p>
    <w:p w:rsidR="004B316C" w:rsidRPr="00267CAA"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pt-BR"/>
        </w:rPr>
      </w:pPr>
      <w:r w:rsidRPr="00267CAA">
        <w:rPr>
          <w:rFonts w:asciiTheme="majorHAnsi" w:eastAsia="Times New Roman" w:hAnsiTheme="majorHAnsi"/>
          <w:sz w:val="20"/>
          <w:szCs w:val="20"/>
          <w:bdr w:val="none" w:sz="0" w:space="0" w:color="auto"/>
          <w:lang w:val="pt-BR"/>
        </w:rPr>
        <w:t>FONDO</w:t>
      </w:r>
    </w:p>
    <w:p w:rsidR="00B06C1C" w:rsidRPr="00F674F4" w:rsidRDefault="00305949"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pt-BR"/>
        </w:rPr>
      </w:pPr>
      <w:r w:rsidRPr="00F674F4">
        <w:rPr>
          <w:rFonts w:asciiTheme="majorHAnsi" w:eastAsia="Times New Roman" w:hAnsiTheme="majorHAnsi"/>
          <w:sz w:val="20"/>
          <w:szCs w:val="20"/>
          <w:bdr w:val="none" w:sz="0" w:space="0" w:color="auto"/>
          <w:lang w:val="pt-BR"/>
        </w:rPr>
        <w:t>JORGE ROSADIO VILLAVICENCIO</w:t>
      </w:r>
    </w:p>
    <w:p w:rsidR="00B06C1C" w:rsidRPr="00713F6D" w:rsidRDefault="008F0BA2"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PER</w:t>
      </w:r>
      <w:r w:rsidRPr="008D21FF">
        <w:rPr>
          <w:rFonts w:asciiTheme="majorHAnsi" w:eastAsia="Times New Roman" w:hAnsiTheme="majorHAnsi"/>
          <w:sz w:val="20"/>
          <w:szCs w:val="20"/>
          <w:bdr w:val="none" w:sz="0" w:space="0" w:color="auto"/>
          <w:lang w:val="es-VE"/>
        </w:rPr>
        <w:t>Ú</w:t>
      </w:r>
    </w:p>
    <w:p w:rsidR="0073741F" w:rsidRPr="00713F6D" w:rsidRDefault="00913433"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23</w:t>
      </w:r>
      <w:r w:rsidR="00E24E60" w:rsidRPr="00713F6D">
        <w:rPr>
          <w:rFonts w:asciiTheme="majorHAnsi" w:eastAsia="Times New Roman" w:hAnsiTheme="majorHAnsi"/>
          <w:sz w:val="20"/>
          <w:szCs w:val="20"/>
          <w:bdr w:val="none" w:sz="0" w:space="0" w:color="auto"/>
          <w:lang w:val="es-VE"/>
        </w:rPr>
        <w:t xml:space="preserve"> DE </w:t>
      </w:r>
      <w:r w:rsidR="00713F6D" w:rsidRPr="00713F6D">
        <w:rPr>
          <w:rFonts w:asciiTheme="majorHAnsi" w:eastAsia="Times New Roman" w:hAnsiTheme="majorHAnsi"/>
          <w:sz w:val="20"/>
          <w:szCs w:val="20"/>
          <w:bdr w:val="none" w:sz="0" w:space="0" w:color="auto"/>
          <w:lang w:val="es-VE"/>
        </w:rPr>
        <w:t xml:space="preserve">MAYO </w:t>
      </w:r>
      <w:r w:rsidR="00F674F4" w:rsidRPr="00713F6D">
        <w:rPr>
          <w:rFonts w:asciiTheme="majorHAnsi" w:eastAsia="Times New Roman" w:hAnsiTheme="majorHAnsi"/>
          <w:sz w:val="20"/>
          <w:szCs w:val="20"/>
          <w:bdr w:val="none" w:sz="0" w:space="0" w:color="auto"/>
          <w:lang w:val="es-VE"/>
        </w:rPr>
        <w:t>DE 2017</w:t>
      </w:r>
    </w:p>
    <w:p w:rsidR="004B316C" w:rsidRPr="00713F6D"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lang w:val="es-VE"/>
        </w:rPr>
      </w:pPr>
    </w:p>
    <w:p w:rsidR="0070697F" w:rsidRPr="00D64E6C" w:rsidRDefault="00AA09A2" w:rsidP="00913433">
      <w:pPr>
        <w:tabs>
          <w:tab w:val="center" w:pos="5400"/>
        </w:tabs>
        <w:suppressAutoHyphens/>
        <w:spacing w:line="276" w:lineRule="auto"/>
        <w:jc w:val="center"/>
        <w:rPr>
          <w:rFonts w:asciiTheme="majorHAnsi" w:hAnsiTheme="majorHAnsi"/>
          <w:b/>
          <w:sz w:val="20"/>
          <w:szCs w:val="20"/>
          <w:lang w:val="es-ES_tradnl"/>
        </w:rPr>
      </w:pPr>
      <w:r w:rsidRPr="00420489">
        <w:rPr>
          <w:rFonts w:asciiTheme="majorHAnsi" w:hAnsiTheme="majorHAnsi"/>
          <w:b/>
          <w:sz w:val="20"/>
          <w:szCs w:val="20"/>
          <w:lang w:val="es-ES_tradnl"/>
        </w:rPr>
        <w:t>Í</w:t>
      </w:r>
      <w:r w:rsidR="00DC7023" w:rsidRPr="00420489">
        <w:rPr>
          <w:rFonts w:asciiTheme="majorHAnsi" w:hAnsiTheme="majorHAnsi"/>
          <w:b/>
          <w:sz w:val="20"/>
          <w:szCs w:val="20"/>
          <w:lang w:val="es-ES_tradnl"/>
        </w:rPr>
        <w:t>NDICE</w:t>
      </w:r>
    </w:p>
    <w:sdt>
      <w:sdtPr>
        <w:rPr>
          <w:rFonts w:ascii="Times New Roman" w:eastAsia="Arial Unicode MS" w:hAnsi="Times New Roman" w:cs="Times New Roman"/>
          <w:b w:val="0"/>
          <w:bCs w:val="0"/>
          <w:color w:val="auto"/>
          <w:sz w:val="24"/>
          <w:szCs w:val="24"/>
          <w:bdr w:val="nil"/>
          <w:lang w:eastAsia="en-US"/>
        </w:rPr>
        <w:id w:val="580255000"/>
        <w:docPartObj>
          <w:docPartGallery w:val="Table of Contents"/>
          <w:docPartUnique/>
        </w:docPartObj>
      </w:sdtPr>
      <w:sdtEndPr>
        <w:rPr>
          <w:noProof/>
        </w:rPr>
      </w:sdtEndPr>
      <w:sdtContent>
        <w:p w:rsidR="00C12DEE" w:rsidRPr="009527F8" w:rsidRDefault="00C12DEE" w:rsidP="00C12DEE">
          <w:pPr>
            <w:pStyle w:val="TOCHeading"/>
            <w:ind w:right="-180"/>
            <w:rPr>
              <w:sz w:val="20"/>
              <w:szCs w:val="20"/>
            </w:rPr>
          </w:pPr>
        </w:p>
        <w:p w:rsidR="00991DED" w:rsidRPr="00991DED" w:rsidRDefault="00C12DEE">
          <w:pPr>
            <w:pStyle w:val="TOC1"/>
            <w:rPr>
              <w:rFonts w:eastAsiaTheme="minorEastAsia" w:cstheme="minorBidi"/>
              <w:b w:val="0"/>
              <w:bdr w:val="none" w:sz="0" w:space="0" w:color="auto"/>
            </w:rPr>
          </w:pPr>
          <w:r w:rsidRPr="009527F8">
            <w:fldChar w:fldCharType="begin"/>
          </w:r>
          <w:r w:rsidRPr="009527F8">
            <w:instrText xml:space="preserve"> TOC \o "1-3" \h \z \u </w:instrText>
          </w:r>
          <w:r w:rsidRPr="009527F8">
            <w:fldChar w:fldCharType="separate"/>
          </w:r>
          <w:hyperlink w:anchor="_Toc485394045" w:history="1">
            <w:r w:rsidR="00991DED" w:rsidRPr="00991DED">
              <w:rPr>
                <w:rStyle w:val="Hyperlink"/>
              </w:rPr>
              <w:t>I.</w:t>
            </w:r>
            <w:r w:rsidR="00991DED" w:rsidRPr="00991DED">
              <w:rPr>
                <w:rFonts w:eastAsiaTheme="minorEastAsia" w:cstheme="minorBidi"/>
                <w:b w:val="0"/>
                <w:bdr w:val="none" w:sz="0" w:space="0" w:color="auto"/>
              </w:rPr>
              <w:tab/>
            </w:r>
            <w:r w:rsidR="00991DED" w:rsidRPr="00991DED">
              <w:rPr>
                <w:rStyle w:val="Hyperlink"/>
              </w:rPr>
              <w:t>RESUMEN</w:t>
            </w:r>
            <w:r w:rsidR="00991DED" w:rsidRPr="00991DED">
              <w:rPr>
                <w:webHidden/>
              </w:rPr>
              <w:tab/>
            </w:r>
            <w:r w:rsidR="00991DED" w:rsidRPr="00991DED">
              <w:rPr>
                <w:webHidden/>
              </w:rPr>
              <w:fldChar w:fldCharType="begin"/>
            </w:r>
            <w:r w:rsidR="00991DED" w:rsidRPr="00991DED">
              <w:rPr>
                <w:webHidden/>
              </w:rPr>
              <w:instrText xml:space="preserve"> PAGEREF _Toc485394045 \h </w:instrText>
            </w:r>
            <w:r w:rsidR="00991DED" w:rsidRPr="00991DED">
              <w:rPr>
                <w:webHidden/>
              </w:rPr>
            </w:r>
            <w:r w:rsidR="00991DED" w:rsidRPr="00991DED">
              <w:rPr>
                <w:webHidden/>
              </w:rPr>
              <w:fldChar w:fldCharType="separate"/>
            </w:r>
            <w:r w:rsidR="00991DED" w:rsidRPr="00991DED">
              <w:rPr>
                <w:webHidden/>
              </w:rPr>
              <w:t>3</w:t>
            </w:r>
            <w:r w:rsidR="00991DED" w:rsidRPr="00991DED">
              <w:rPr>
                <w:webHidden/>
              </w:rPr>
              <w:fldChar w:fldCharType="end"/>
            </w:r>
          </w:hyperlink>
        </w:p>
        <w:p w:rsidR="00991DED" w:rsidRPr="00991DED" w:rsidRDefault="00E076CF">
          <w:pPr>
            <w:pStyle w:val="TOC1"/>
            <w:rPr>
              <w:rFonts w:eastAsiaTheme="minorEastAsia" w:cstheme="minorBidi"/>
              <w:b w:val="0"/>
              <w:bdr w:val="none" w:sz="0" w:space="0" w:color="auto"/>
            </w:rPr>
          </w:pPr>
          <w:hyperlink w:anchor="_Toc485394046" w:history="1">
            <w:r w:rsidR="00991DED" w:rsidRPr="00991DED">
              <w:rPr>
                <w:rStyle w:val="Hyperlink"/>
              </w:rPr>
              <w:t>II.</w:t>
            </w:r>
            <w:r w:rsidR="00991DED" w:rsidRPr="00991DED">
              <w:rPr>
                <w:rFonts w:eastAsiaTheme="minorEastAsia" w:cstheme="minorBidi"/>
                <w:b w:val="0"/>
                <w:bdr w:val="none" w:sz="0" w:space="0" w:color="auto"/>
              </w:rPr>
              <w:tab/>
            </w:r>
            <w:r w:rsidR="00991DED" w:rsidRPr="00991DED">
              <w:rPr>
                <w:rStyle w:val="Hyperlink"/>
              </w:rPr>
              <w:t>TRÁMITE ANTE LA COMISIÓN</w:t>
            </w:r>
            <w:r w:rsidR="00991DED" w:rsidRPr="00991DED">
              <w:rPr>
                <w:webHidden/>
              </w:rPr>
              <w:tab/>
            </w:r>
            <w:r w:rsidR="00991DED" w:rsidRPr="00991DED">
              <w:rPr>
                <w:webHidden/>
              </w:rPr>
              <w:fldChar w:fldCharType="begin"/>
            </w:r>
            <w:r w:rsidR="00991DED" w:rsidRPr="00991DED">
              <w:rPr>
                <w:webHidden/>
              </w:rPr>
              <w:instrText xml:space="preserve"> PAGEREF _Toc485394046 \h </w:instrText>
            </w:r>
            <w:r w:rsidR="00991DED" w:rsidRPr="00991DED">
              <w:rPr>
                <w:webHidden/>
              </w:rPr>
            </w:r>
            <w:r w:rsidR="00991DED" w:rsidRPr="00991DED">
              <w:rPr>
                <w:webHidden/>
              </w:rPr>
              <w:fldChar w:fldCharType="separate"/>
            </w:r>
            <w:r w:rsidR="00991DED" w:rsidRPr="00991DED">
              <w:rPr>
                <w:webHidden/>
              </w:rPr>
              <w:t>3</w:t>
            </w:r>
            <w:r w:rsidR="00991DED" w:rsidRPr="00991DED">
              <w:rPr>
                <w:webHidden/>
              </w:rPr>
              <w:fldChar w:fldCharType="end"/>
            </w:r>
          </w:hyperlink>
        </w:p>
        <w:p w:rsidR="00991DED" w:rsidRPr="00991DED" w:rsidRDefault="00E076CF">
          <w:pPr>
            <w:pStyle w:val="TOC1"/>
            <w:rPr>
              <w:rFonts w:eastAsiaTheme="minorEastAsia" w:cstheme="minorBidi"/>
              <w:b w:val="0"/>
              <w:bdr w:val="none" w:sz="0" w:space="0" w:color="auto"/>
            </w:rPr>
          </w:pPr>
          <w:hyperlink w:anchor="_Toc485394047" w:history="1">
            <w:r w:rsidR="00991DED" w:rsidRPr="00991DED">
              <w:rPr>
                <w:rStyle w:val="Hyperlink"/>
              </w:rPr>
              <w:t>III.</w:t>
            </w:r>
            <w:r w:rsidR="00991DED" w:rsidRPr="00991DED">
              <w:rPr>
                <w:rFonts w:eastAsiaTheme="minorEastAsia" w:cstheme="minorBidi"/>
                <w:b w:val="0"/>
                <w:bdr w:val="none" w:sz="0" w:space="0" w:color="auto"/>
              </w:rPr>
              <w:tab/>
            </w:r>
            <w:r w:rsidR="00991DED" w:rsidRPr="00991DED">
              <w:rPr>
                <w:rStyle w:val="Hyperlink"/>
              </w:rPr>
              <w:t>POSICIONES DE LAS PARTES</w:t>
            </w:r>
            <w:r w:rsidR="00991DED" w:rsidRPr="00991DED">
              <w:rPr>
                <w:webHidden/>
              </w:rPr>
              <w:tab/>
            </w:r>
            <w:r w:rsidR="00991DED" w:rsidRPr="00991DED">
              <w:rPr>
                <w:webHidden/>
              </w:rPr>
              <w:fldChar w:fldCharType="begin"/>
            </w:r>
            <w:r w:rsidR="00991DED" w:rsidRPr="00991DED">
              <w:rPr>
                <w:webHidden/>
              </w:rPr>
              <w:instrText xml:space="preserve"> PAGEREF _Toc485394047 \h </w:instrText>
            </w:r>
            <w:r w:rsidR="00991DED" w:rsidRPr="00991DED">
              <w:rPr>
                <w:webHidden/>
              </w:rPr>
            </w:r>
            <w:r w:rsidR="00991DED" w:rsidRPr="00991DED">
              <w:rPr>
                <w:webHidden/>
              </w:rPr>
              <w:fldChar w:fldCharType="separate"/>
            </w:r>
            <w:r w:rsidR="00991DED" w:rsidRPr="00991DED">
              <w:rPr>
                <w:webHidden/>
              </w:rPr>
              <w:t>4</w:t>
            </w:r>
            <w:r w:rsidR="00991DED" w:rsidRPr="00991DED">
              <w:rPr>
                <w:webHidden/>
              </w:rPr>
              <w:fldChar w:fldCharType="end"/>
            </w:r>
          </w:hyperlink>
        </w:p>
        <w:p w:rsidR="00991DED" w:rsidRPr="00991DED" w:rsidRDefault="00E076CF">
          <w:pPr>
            <w:pStyle w:val="TOC2"/>
            <w:rPr>
              <w:rFonts w:asciiTheme="majorHAnsi" w:eastAsiaTheme="minorEastAsia" w:hAnsiTheme="majorHAnsi" w:cstheme="minorBidi"/>
              <w:noProof/>
              <w:sz w:val="20"/>
              <w:szCs w:val="20"/>
              <w:bdr w:val="none" w:sz="0" w:space="0" w:color="auto"/>
            </w:rPr>
          </w:pPr>
          <w:hyperlink w:anchor="_Toc485394048" w:history="1">
            <w:r w:rsidR="00991DED" w:rsidRPr="00991DED">
              <w:rPr>
                <w:rStyle w:val="Hyperlink"/>
                <w:rFonts w:asciiTheme="majorHAnsi" w:hAnsiTheme="majorHAnsi"/>
                <w:noProof/>
                <w:sz w:val="20"/>
                <w:szCs w:val="20"/>
              </w:rPr>
              <w:t>A.</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rPr>
              <w:t>Posición de los peticionarios</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_Toc485394048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4</w:t>
            </w:r>
            <w:r w:rsidR="00991DED" w:rsidRPr="00991DED">
              <w:rPr>
                <w:rFonts w:asciiTheme="majorHAnsi" w:hAnsiTheme="majorHAnsi"/>
                <w:noProof/>
                <w:webHidden/>
                <w:sz w:val="20"/>
                <w:szCs w:val="20"/>
              </w:rPr>
              <w:fldChar w:fldCharType="end"/>
            </w:r>
          </w:hyperlink>
        </w:p>
        <w:p w:rsidR="00991DED" w:rsidRPr="00991DED" w:rsidRDefault="00E076CF">
          <w:pPr>
            <w:pStyle w:val="TOC2"/>
            <w:rPr>
              <w:rFonts w:asciiTheme="majorHAnsi" w:eastAsiaTheme="minorEastAsia" w:hAnsiTheme="majorHAnsi" w:cstheme="minorBidi"/>
              <w:noProof/>
              <w:sz w:val="20"/>
              <w:szCs w:val="20"/>
              <w:bdr w:val="none" w:sz="0" w:space="0" w:color="auto"/>
            </w:rPr>
          </w:pPr>
          <w:hyperlink w:anchor="_Toc485394049" w:history="1">
            <w:r w:rsidR="00991DED" w:rsidRPr="00991DED">
              <w:rPr>
                <w:rStyle w:val="Hyperlink"/>
                <w:rFonts w:asciiTheme="majorHAnsi" w:hAnsiTheme="majorHAnsi"/>
                <w:noProof/>
                <w:sz w:val="20"/>
                <w:szCs w:val="20"/>
              </w:rPr>
              <w:t>B.</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rPr>
              <w:t>Posición del Estado</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_Toc485394049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6</w:t>
            </w:r>
            <w:r w:rsidR="00991DED" w:rsidRPr="00991DED">
              <w:rPr>
                <w:rFonts w:asciiTheme="majorHAnsi" w:hAnsiTheme="majorHAnsi"/>
                <w:noProof/>
                <w:webHidden/>
                <w:sz w:val="20"/>
                <w:szCs w:val="20"/>
              </w:rPr>
              <w:fldChar w:fldCharType="end"/>
            </w:r>
          </w:hyperlink>
        </w:p>
        <w:p w:rsidR="00991DED" w:rsidRPr="00991DED" w:rsidRDefault="00E076CF">
          <w:pPr>
            <w:pStyle w:val="TOC1"/>
            <w:rPr>
              <w:rFonts w:eastAsiaTheme="minorEastAsia" w:cstheme="minorBidi"/>
              <w:b w:val="0"/>
              <w:bdr w:val="none" w:sz="0" w:space="0" w:color="auto"/>
            </w:rPr>
          </w:pPr>
          <w:hyperlink w:anchor="_Toc485394050" w:history="1">
            <w:r w:rsidR="00991DED" w:rsidRPr="00991DED">
              <w:rPr>
                <w:rStyle w:val="Hyperlink"/>
              </w:rPr>
              <w:t>IV.</w:t>
            </w:r>
            <w:r w:rsidR="00991DED" w:rsidRPr="00991DED">
              <w:rPr>
                <w:rFonts w:eastAsiaTheme="minorEastAsia" w:cstheme="minorBidi"/>
                <w:b w:val="0"/>
                <w:bdr w:val="none" w:sz="0" w:space="0" w:color="auto"/>
              </w:rPr>
              <w:tab/>
            </w:r>
            <w:r w:rsidR="00991DED" w:rsidRPr="00991DED">
              <w:rPr>
                <w:rStyle w:val="Hyperlink"/>
              </w:rPr>
              <w:t>HECHOS PROBADOS</w:t>
            </w:r>
            <w:r w:rsidR="00991DED" w:rsidRPr="00991DED">
              <w:rPr>
                <w:webHidden/>
              </w:rPr>
              <w:tab/>
            </w:r>
            <w:r w:rsidR="00991DED" w:rsidRPr="00991DED">
              <w:rPr>
                <w:webHidden/>
              </w:rPr>
              <w:fldChar w:fldCharType="begin"/>
            </w:r>
            <w:r w:rsidR="00991DED" w:rsidRPr="00991DED">
              <w:rPr>
                <w:webHidden/>
              </w:rPr>
              <w:instrText xml:space="preserve"> PAGEREF _Toc485394050 \h </w:instrText>
            </w:r>
            <w:r w:rsidR="00991DED" w:rsidRPr="00991DED">
              <w:rPr>
                <w:webHidden/>
              </w:rPr>
            </w:r>
            <w:r w:rsidR="00991DED" w:rsidRPr="00991DED">
              <w:rPr>
                <w:webHidden/>
              </w:rPr>
              <w:fldChar w:fldCharType="separate"/>
            </w:r>
            <w:r w:rsidR="00991DED" w:rsidRPr="00991DED">
              <w:rPr>
                <w:webHidden/>
              </w:rPr>
              <w:t>8</w:t>
            </w:r>
            <w:r w:rsidR="00991DED" w:rsidRPr="00991DED">
              <w:rPr>
                <w:webHidden/>
              </w:rPr>
              <w:fldChar w:fldCharType="end"/>
            </w:r>
          </w:hyperlink>
        </w:p>
        <w:p w:rsidR="00991DED" w:rsidRPr="00991DED" w:rsidRDefault="00E076CF">
          <w:pPr>
            <w:pStyle w:val="TOC2"/>
            <w:rPr>
              <w:rFonts w:asciiTheme="majorHAnsi" w:eastAsiaTheme="minorEastAsia" w:hAnsiTheme="majorHAnsi" w:cstheme="minorBidi"/>
              <w:noProof/>
              <w:sz w:val="20"/>
              <w:szCs w:val="20"/>
              <w:bdr w:val="none" w:sz="0" w:space="0" w:color="auto"/>
            </w:rPr>
          </w:pPr>
          <w:hyperlink w:anchor="_Toc485394051" w:history="1">
            <w:r w:rsidR="00991DED" w:rsidRPr="00991DED">
              <w:rPr>
                <w:rStyle w:val="Hyperlink"/>
                <w:rFonts w:asciiTheme="majorHAnsi" w:hAnsiTheme="majorHAnsi"/>
                <w:noProof/>
                <w:sz w:val="20"/>
                <w:szCs w:val="20"/>
              </w:rPr>
              <w:t>A.</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rPr>
              <w:t>La Operación “Ángel”</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_Toc485394051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9</w:t>
            </w:r>
            <w:r w:rsidR="00991DED" w:rsidRPr="00991DED">
              <w:rPr>
                <w:rFonts w:asciiTheme="majorHAnsi" w:hAnsiTheme="majorHAnsi"/>
                <w:noProof/>
                <w:webHidden/>
                <w:sz w:val="20"/>
                <w:szCs w:val="20"/>
              </w:rPr>
              <w:fldChar w:fldCharType="end"/>
            </w:r>
          </w:hyperlink>
        </w:p>
        <w:p w:rsidR="00991DED" w:rsidRPr="00991DED" w:rsidRDefault="00E076CF">
          <w:pPr>
            <w:pStyle w:val="TOC2"/>
            <w:rPr>
              <w:rFonts w:asciiTheme="majorHAnsi" w:eastAsiaTheme="minorEastAsia" w:hAnsiTheme="majorHAnsi" w:cstheme="minorBidi"/>
              <w:noProof/>
              <w:sz w:val="20"/>
              <w:szCs w:val="20"/>
              <w:bdr w:val="none" w:sz="0" w:space="0" w:color="auto"/>
            </w:rPr>
          </w:pPr>
          <w:hyperlink w:anchor="_Toc485394052" w:history="1">
            <w:r w:rsidR="00991DED" w:rsidRPr="00991DED">
              <w:rPr>
                <w:rStyle w:val="Hyperlink"/>
                <w:rFonts w:asciiTheme="majorHAnsi" w:hAnsiTheme="majorHAnsi"/>
                <w:noProof/>
                <w:sz w:val="20"/>
                <w:szCs w:val="20"/>
              </w:rPr>
              <w:t>B.</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rPr>
              <w:t>Investigación de la Inspectoría del Destacamento Leoncio Prado</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_Toc485394052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9</w:t>
            </w:r>
            <w:r w:rsidR="00991DED" w:rsidRPr="00991DED">
              <w:rPr>
                <w:rFonts w:asciiTheme="majorHAnsi" w:hAnsiTheme="majorHAnsi"/>
                <w:noProof/>
                <w:webHidden/>
                <w:sz w:val="20"/>
                <w:szCs w:val="20"/>
              </w:rPr>
              <w:fldChar w:fldCharType="end"/>
            </w:r>
          </w:hyperlink>
        </w:p>
        <w:p w:rsidR="00991DED" w:rsidRPr="00991DED" w:rsidRDefault="00E076CF">
          <w:pPr>
            <w:pStyle w:val="TOC2"/>
            <w:rPr>
              <w:rFonts w:asciiTheme="majorHAnsi" w:eastAsiaTheme="minorEastAsia" w:hAnsiTheme="majorHAnsi" w:cstheme="minorBidi"/>
              <w:noProof/>
              <w:sz w:val="20"/>
              <w:szCs w:val="20"/>
              <w:bdr w:val="none" w:sz="0" w:space="0" w:color="auto"/>
            </w:rPr>
          </w:pPr>
          <w:hyperlink w:anchor="_Toc485394053" w:history="1">
            <w:r w:rsidR="00991DED" w:rsidRPr="00991DED">
              <w:rPr>
                <w:rStyle w:val="Hyperlink"/>
                <w:rFonts w:asciiTheme="majorHAnsi" w:hAnsiTheme="majorHAnsi"/>
                <w:noProof/>
                <w:sz w:val="20"/>
                <w:szCs w:val="20"/>
              </w:rPr>
              <w:t>C.</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rPr>
              <w:t>Proceso administrativo disciplinario</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_Toc485394053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12</w:t>
            </w:r>
            <w:r w:rsidR="00991DED" w:rsidRPr="00991DED">
              <w:rPr>
                <w:rFonts w:asciiTheme="majorHAnsi" w:hAnsiTheme="majorHAnsi"/>
                <w:noProof/>
                <w:webHidden/>
                <w:sz w:val="20"/>
                <w:szCs w:val="20"/>
              </w:rPr>
              <w:fldChar w:fldCharType="end"/>
            </w:r>
          </w:hyperlink>
        </w:p>
        <w:p w:rsidR="00991DED" w:rsidRPr="00991DED" w:rsidRDefault="00E076CF">
          <w:pPr>
            <w:pStyle w:val="TOC2"/>
            <w:rPr>
              <w:rFonts w:asciiTheme="majorHAnsi" w:eastAsiaTheme="minorEastAsia" w:hAnsiTheme="majorHAnsi" w:cstheme="minorBidi"/>
              <w:noProof/>
              <w:sz w:val="20"/>
              <w:szCs w:val="20"/>
              <w:bdr w:val="none" w:sz="0" w:space="0" w:color="auto"/>
            </w:rPr>
          </w:pPr>
          <w:hyperlink w:anchor="_Toc485394054" w:history="1">
            <w:r w:rsidR="00991DED" w:rsidRPr="00991DED">
              <w:rPr>
                <w:rStyle w:val="Hyperlink"/>
                <w:rFonts w:asciiTheme="majorHAnsi" w:hAnsiTheme="majorHAnsi"/>
                <w:noProof/>
                <w:sz w:val="20"/>
                <w:szCs w:val="20"/>
                <w:lang w:val="es-VE"/>
              </w:rPr>
              <w:t>D.</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rPr>
              <w:t>Proceso en la jurisdicción penal militar</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_Toc485394054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14</w:t>
            </w:r>
            <w:r w:rsidR="00991DED" w:rsidRPr="00991DED">
              <w:rPr>
                <w:rFonts w:asciiTheme="majorHAnsi" w:hAnsiTheme="majorHAnsi"/>
                <w:noProof/>
                <w:webHidden/>
                <w:sz w:val="20"/>
                <w:szCs w:val="20"/>
              </w:rPr>
              <w:fldChar w:fldCharType="end"/>
            </w:r>
          </w:hyperlink>
        </w:p>
        <w:p w:rsidR="00991DED" w:rsidRPr="00991DED" w:rsidRDefault="00E076CF">
          <w:pPr>
            <w:pStyle w:val="TOC2"/>
            <w:rPr>
              <w:rFonts w:asciiTheme="majorHAnsi" w:eastAsiaTheme="minorEastAsia" w:hAnsiTheme="majorHAnsi" w:cstheme="minorBidi"/>
              <w:noProof/>
              <w:sz w:val="20"/>
              <w:szCs w:val="20"/>
              <w:bdr w:val="none" w:sz="0" w:space="0" w:color="auto"/>
            </w:rPr>
          </w:pPr>
          <w:hyperlink w:anchor="_Toc485394055" w:history="1">
            <w:r w:rsidR="00991DED" w:rsidRPr="00991DED">
              <w:rPr>
                <w:rStyle w:val="Hyperlink"/>
                <w:rFonts w:asciiTheme="majorHAnsi" w:hAnsiTheme="majorHAnsi"/>
                <w:noProof/>
                <w:sz w:val="20"/>
                <w:szCs w:val="20"/>
              </w:rPr>
              <w:t>E.</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rPr>
              <w:t>Proceso en la jurisdicción penal ordinaria</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_Toc485394055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16</w:t>
            </w:r>
            <w:r w:rsidR="00991DED" w:rsidRPr="00991DED">
              <w:rPr>
                <w:rFonts w:asciiTheme="majorHAnsi" w:hAnsiTheme="majorHAnsi"/>
                <w:noProof/>
                <w:webHidden/>
                <w:sz w:val="20"/>
                <w:szCs w:val="20"/>
              </w:rPr>
              <w:fldChar w:fldCharType="end"/>
            </w:r>
          </w:hyperlink>
        </w:p>
        <w:p w:rsidR="00991DED" w:rsidRPr="00991DED" w:rsidRDefault="00E076CF">
          <w:pPr>
            <w:pStyle w:val="TOC2"/>
            <w:rPr>
              <w:rFonts w:asciiTheme="majorHAnsi" w:eastAsiaTheme="minorEastAsia" w:hAnsiTheme="majorHAnsi" w:cstheme="minorBidi"/>
              <w:noProof/>
              <w:sz w:val="20"/>
              <w:szCs w:val="20"/>
              <w:bdr w:val="none" w:sz="0" w:space="0" w:color="auto"/>
            </w:rPr>
          </w:pPr>
          <w:hyperlink w:anchor="_Toc485394056" w:history="1">
            <w:r w:rsidR="00991DED" w:rsidRPr="00991DED">
              <w:rPr>
                <w:rStyle w:val="Hyperlink"/>
                <w:rFonts w:asciiTheme="majorHAnsi" w:hAnsiTheme="majorHAnsi"/>
                <w:noProof/>
                <w:sz w:val="20"/>
                <w:szCs w:val="20"/>
              </w:rPr>
              <w:t>F.</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rPr>
              <w:t>Detención</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_Toc485394056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20</w:t>
            </w:r>
            <w:r w:rsidR="00991DED" w:rsidRPr="00991DED">
              <w:rPr>
                <w:rFonts w:asciiTheme="majorHAnsi" w:hAnsiTheme="majorHAnsi"/>
                <w:noProof/>
                <w:webHidden/>
                <w:sz w:val="20"/>
                <w:szCs w:val="20"/>
              </w:rPr>
              <w:fldChar w:fldCharType="end"/>
            </w:r>
          </w:hyperlink>
        </w:p>
        <w:p w:rsidR="00991DED" w:rsidRPr="00991DED" w:rsidRDefault="00E076CF">
          <w:pPr>
            <w:pStyle w:val="TOC1"/>
            <w:rPr>
              <w:rFonts w:eastAsiaTheme="minorEastAsia" w:cstheme="minorBidi"/>
              <w:b w:val="0"/>
              <w:bdr w:val="none" w:sz="0" w:space="0" w:color="auto"/>
            </w:rPr>
          </w:pPr>
          <w:hyperlink w:anchor="_Toc485394057" w:history="1">
            <w:r w:rsidR="00991DED" w:rsidRPr="00991DED">
              <w:rPr>
                <w:rStyle w:val="Hyperlink"/>
              </w:rPr>
              <w:t>V.</w:t>
            </w:r>
            <w:r w:rsidR="00991DED" w:rsidRPr="00991DED">
              <w:rPr>
                <w:rFonts w:eastAsiaTheme="minorEastAsia" w:cstheme="minorBidi"/>
                <w:b w:val="0"/>
                <w:bdr w:val="none" w:sz="0" w:space="0" w:color="auto"/>
              </w:rPr>
              <w:tab/>
            </w:r>
            <w:r w:rsidR="00991DED" w:rsidRPr="00991DED">
              <w:rPr>
                <w:rStyle w:val="Hyperlink"/>
              </w:rPr>
              <w:t>ANALISIS DE DERECHO</w:t>
            </w:r>
            <w:r w:rsidR="00991DED" w:rsidRPr="00991DED">
              <w:rPr>
                <w:webHidden/>
              </w:rPr>
              <w:tab/>
            </w:r>
            <w:r w:rsidR="00991DED" w:rsidRPr="00991DED">
              <w:rPr>
                <w:webHidden/>
              </w:rPr>
              <w:fldChar w:fldCharType="begin"/>
            </w:r>
            <w:r w:rsidR="00991DED" w:rsidRPr="00991DED">
              <w:rPr>
                <w:webHidden/>
              </w:rPr>
              <w:instrText xml:space="preserve"> PAGEREF _Toc485394057 \h </w:instrText>
            </w:r>
            <w:r w:rsidR="00991DED" w:rsidRPr="00991DED">
              <w:rPr>
                <w:webHidden/>
              </w:rPr>
            </w:r>
            <w:r w:rsidR="00991DED" w:rsidRPr="00991DED">
              <w:rPr>
                <w:webHidden/>
              </w:rPr>
              <w:fldChar w:fldCharType="separate"/>
            </w:r>
            <w:r w:rsidR="00991DED" w:rsidRPr="00991DED">
              <w:rPr>
                <w:webHidden/>
              </w:rPr>
              <w:t>22</w:t>
            </w:r>
            <w:r w:rsidR="00991DED" w:rsidRPr="00991DED">
              <w:rPr>
                <w:webHidden/>
              </w:rPr>
              <w:fldChar w:fldCharType="end"/>
            </w:r>
          </w:hyperlink>
        </w:p>
        <w:p w:rsidR="00991DED" w:rsidRPr="00991DED" w:rsidRDefault="00E076CF">
          <w:pPr>
            <w:pStyle w:val="TOC2"/>
            <w:rPr>
              <w:rFonts w:asciiTheme="majorHAnsi" w:eastAsiaTheme="minorEastAsia" w:hAnsiTheme="majorHAnsi" w:cstheme="minorBidi"/>
              <w:noProof/>
              <w:sz w:val="20"/>
              <w:szCs w:val="20"/>
              <w:bdr w:val="none" w:sz="0" w:space="0" w:color="auto"/>
            </w:rPr>
          </w:pPr>
          <w:hyperlink w:anchor="_Toc485394058" w:history="1">
            <w:r w:rsidR="00991DED" w:rsidRPr="00991DED">
              <w:rPr>
                <w:rStyle w:val="Hyperlink"/>
                <w:rFonts w:asciiTheme="majorHAnsi" w:hAnsiTheme="majorHAnsi"/>
                <w:noProof/>
                <w:sz w:val="20"/>
                <w:szCs w:val="20"/>
                <w:lang w:val="es-ES" w:eastAsia="es-ES"/>
              </w:rPr>
              <w:t>A.</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lang w:val="es-ES" w:eastAsia="es-ES"/>
              </w:rPr>
              <w:t>El derecho a las garantías judiciales en relación con el proceso administrativo disciplinario (Artículos 8.1, 8.2 b, c, e de la Convención Americana en relación con el artículo 1.1 de la Convención Americana)</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_Toc485394058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22</w:t>
            </w:r>
            <w:r w:rsidR="00991DED" w:rsidRPr="00991DED">
              <w:rPr>
                <w:rFonts w:asciiTheme="majorHAnsi" w:hAnsiTheme="majorHAnsi"/>
                <w:noProof/>
                <w:webHidden/>
                <w:sz w:val="20"/>
                <w:szCs w:val="20"/>
              </w:rPr>
              <w:fldChar w:fldCharType="end"/>
            </w:r>
          </w:hyperlink>
        </w:p>
        <w:p w:rsidR="00991DED" w:rsidRPr="00991DED" w:rsidRDefault="00E076CF">
          <w:pPr>
            <w:pStyle w:val="TOC3"/>
            <w:tabs>
              <w:tab w:val="left" w:pos="2160"/>
            </w:tabs>
            <w:rPr>
              <w:rFonts w:asciiTheme="majorHAnsi" w:eastAsiaTheme="minorEastAsia" w:hAnsiTheme="majorHAnsi" w:cstheme="minorBidi"/>
              <w:noProof/>
              <w:sz w:val="20"/>
              <w:szCs w:val="20"/>
              <w:bdr w:val="none" w:sz="0" w:space="0" w:color="auto"/>
            </w:rPr>
          </w:pPr>
          <w:hyperlink w:anchor="_Toc485394059" w:history="1">
            <w:r w:rsidR="00991DED" w:rsidRPr="00991DED">
              <w:rPr>
                <w:rStyle w:val="Hyperlink"/>
                <w:rFonts w:asciiTheme="majorHAnsi" w:hAnsiTheme="majorHAnsi"/>
                <w:noProof/>
                <w:sz w:val="20"/>
                <w:szCs w:val="20"/>
                <w:lang w:val="es-ES_tradnl"/>
              </w:rPr>
              <w:t>1.</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lang w:val="es-ES_tradnl"/>
              </w:rPr>
              <w:t>Consideraciones generales</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_Toc485394059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23</w:t>
            </w:r>
            <w:r w:rsidR="00991DED" w:rsidRPr="00991DED">
              <w:rPr>
                <w:rFonts w:asciiTheme="majorHAnsi" w:hAnsiTheme="majorHAnsi"/>
                <w:noProof/>
                <w:webHidden/>
                <w:sz w:val="20"/>
                <w:szCs w:val="20"/>
              </w:rPr>
              <w:fldChar w:fldCharType="end"/>
            </w:r>
          </w:hyperlink>
        </w:p>
        <w:p w:rsidR="00991DED" w:rsidRPr="00991DED" w:rsidRDefault="00E076CF">
          <w:pPr>
            <w:pStyle w:val="TOC3"/>
            <w:tabs>
              <w:tab w:val="left" w:pos="2160"/>
            </w:tabs>
            <w:rPr>
              <w:rFonts w:asciiTheme="majorHAnsi" w:eastAsiaTheme="minorEastAsia" w:hAnsiTheme="majorHAnsi" w:cstheme="minorBidi"/>
              <w:noProof/>
              <w:sz w:val="20"/>
              <w:szCs w:val="20"/>
              <w:bdr w:val="none" w:sz="0" w:space="0" w:color="auto"/>
            </w:rPr>
          </w:pPr>
          <w:hyperlink w:anchor="_Toc485394060" w:history="1">
            <w:r w:rsidR="00991DED" w:rsidRPr="00991DED">
              <w:rPr>
                <w:rStyle w:val="Hyperlink"/>
                <w:rFonts w:asciiTheme="majorHAnsi" w:hAnsiTheme="majorHAnsi"/>
                <w:noProof/>
                <w:sz w:val="20"/>
                <w:szCs w:val="20"/>
                <w:lang w:val="es-ES_tradnl"/>
              </w:rPr>
              <w:t>2.</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lang w:val="es-ES_tradnl"/>
              </w:rPr>
              <w:t>Análisis del presente caso</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_Toc485394060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26</w:t>
            </w:r>
            <w:r w:rsidR="00991DED" w:rsidRPr="00991DED">
              <w:rPr>
                <w:rFonts w:asciiTheme="majorHAnsi" w:hAnsiTheme="majorHAnsi"/>
                <w:noProof/>
                <w:webHidden/>
                <w:sz w:val="20"/>
                <w:szCs w:val="20"/>
              </w:rPr>
              <w:fldChar w:fldCharType="end"/>
            </w:r>
          </w:hyperlink>
        </w:p>
        <w:p w:rsidR="00991DED" w:rsidRPr="00991DED" w:rsidRDefault="00E076CF">
          <w:pPr>
            <w:pStyle w:val="TOC2"/>
            <w:rPr>
              <w:rFonts w:asciiTheme="majorHAnsi" w:eastAsiaTheme="minorEastAsia" w:hAnsiTheme="majorHAnsi" w:cstheme="minorBidi"/>
              <w:noProof/>
              <w:sz w:val="20"/>
              <w:szCs w:val="20"/>
              <w:bdr w:val="none" w:sz="0" w:space="0" w:color="auto"/>
            </w:rPr>
          </w:pPr>
          <w:hyperlink w:anchor="_Toc485394061" w:history="1">
            <w:r w:rsidR="00991DED" w:rsidRPr="00991DED">
              <w:rPr>
                <w:rStyle w:val="Hyperlink"/>
                <w:rFonts w:asciiTheme="majorHAnsi" w:hAnsiTheme="majorHAnsi"/>
                <w:noProof/>
                <w:sz w:val="20"/>
                <w:szCs w:val="20"/>
                <w:lang w:val="es-ES" w:eastAsia="es-ES"/>
              </w:rPr>
              <w:t>B.</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lang w:val="es-ES" w:eastAsia="es-ES"/>
              </w:rPr>
              <w:t>El derecho a las garantías judiciales en relación con el proceso ante la jurisdicción penal militar y ordinaria (Artículos 8.1, 8.2 b, c y e, de la Convención Americana en relación con el artículo 1.1 de la Convención Americana)</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_Toc485394061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28</w:t>
            </w:r>
            <w:r w:rsidR="00991DED" w:rsidRPr="00991DED">
              <w:rPr>
                <w:rFonts w:asciiTheme="majorHAnsi" w:hAnsiTheme="majorHAnsi"/>
                <w:noProof/>
                <w:webHidden/>
                <w:sz w:val="20"/>
                <w:szCs w:val="20"/>
              </w:rPr>
              <w:fldChar w:fldCharType="end"/>
            </w:r>
          </w:hyperlink>
        </w:p>
        <w:p w:rsidR="00991DED" w:rsidRPr="00991DED" w:rsidRDefault="00E076CF">
          <w:pPr>
            <w:pStyle w:val="TOC3"/>
            <w:tabs>
              <w:tab w:val="left" w:pos="2160"/>
            </w:tabs>
            <w:rPr>
              <w:rFonts w:asciiTheme="majorHAnsi" w:eastAsiaTheme="minorEastAsia" w:hAnsiTheme="majorHAnsi" w:cstheme="minorBidi"/>
              <w:noProof/>
              <w:sz w:val="20"/>
              <w:szCs w:val="20"/>
              <w:bdr w:val="none" w:sz="0" w:space="0" w:color="auto"/>
            </w:rPr>
          </w:pPr>
          <w:hyperlink w:anchor="_Toc485394062" w:history="1">
            <w:r w:rsidR="00991DED" w:rsidRPr="00991DED">
              <w:rPr>
                <w:rStyle w:val="Hyperlink"/>
                <w:rFonts w:asciiTheme="majorHAnsi" w:hAnsiTheme="majorHAnsi"/>
                <w:noProof/>
                <w:sz w:val="20"/>
                <w:szCs w:val="20"/>
                <w:lang w:val="es-ES_tradnl"/>
              </w:rPr>
              <w:t>1.</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lang w:val="es-ES_tradnl"/>
              </w:rPr>
              <w:t>Consideraciones generales</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_Toc485394062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28</w:t>
            </w:r>
            <w:r w:rsidR="00991DED" w:rsidRPr="00991DED">
              <w:rPr>
                <w:rFonts w:asciiTheme="majorHAnsi" w:hAnsiTheme="majorHAnsi"/>
                <w:noProof/>
                <w:webHidden/>
                <w:sz w:val="20"/>
                <w:szCs w:val="20"/>
              </w:rPr>
              <w:fldChar w:fldCharType="end"/>
            </w:r>
          </w:hyperlink>
        </w:p>
        <w:p w:rsidR="00991DED" w:rsidRPr="00991DED" w:rsidRDefault="00E076CF">
          <w:pPr>
            <w:pStyle w:val="TOC3"/>
            <w:tabs>
              <w:tab w:val="left" w:pos="2160"/>
            </w:tabs>
            <w:rPr>
              <w:rFonts w:asciiTheme="majorHAnsi" w:eastAsiaTheme="minorEastAsia" w:hAnsiTheme="majorHAnsi" w:cstheme="minorBidi"/>
              <w:noProof/>
              <w:sz w:val="20"/>
              <w:szCs w:val="20"/>
              <w:bdr w:val="none" w:sz="0" w:space="0" w:color="auto"/>
            </w:rPr>
          </w:pPr>
          <w:hyperlink w:anchor="_Toc485394063" w:history="1">
            <w:r w:rsidR="00991DED" w:rsidRPr="00991DED">
              <w:rPr>
                <w:rStyle w:val="Hyperlink"/>
                <w:rFonts w:asciiTheme="majorHAnsi" w:hAnsiTheme="majorHAnsi"/>
                <w:noProof/>
                <w:sz w:val="20"/>
                <w:szCs w:val="20"/>
                <w:lang w:val="es-ES_tradnl"/>
              </w:rPr>
              <w:t>2.</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lang w:val="es-ES_tradnl"/>
              </w:rPr>
              <w:t>Análisis del presente caso</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_Toc485394063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28</w:t>
            </w:r>
            <w:r w:rsidR="00991DED" w:rsidRPr="00991DED">
              <w:rPr>
                <w:rFonts w:asciiTheme="majorHAnsi" w:hAnsiTheme="majorHAnsi"/>
                <w:noProof/>
                <w:webHidden/>
                <w:sz w:val="20"/>
                <w:szCs w:val="20"/>
              </w:rPr>
              <w:fldChar w:fldCharType="end"/>
            </w:r>
          </w:hyperlink>
        </w:p>
        <w:p w:rsidR="00991DED" w:rsidRPr="00991DED" w:rsidRDefault="00E076CF">
          <w:pPr>
            <w:pStyle w:val="TOC2"/>
            <w:rPr>
              <w:rFonts w:asciiTheme="majorHAnsi" w:eastAsiaTheme="minorEastAsia" w:hAnsiTheme="majorHAnsi" w:cstheme="minorBidi"/>
              <w:noProof/>
              <w:sz w:val="20"/>
              <w:szCs w:val="20"/>
              <w:bdr w:val="none" w:sz="0" w:space="0" w:color="auto"/>
            </w:rPr>
          </w:pPr>
          <w:hyperlink w:anchor="_Toc485394064" w:history="1">
            <w:r w:rsidR="00991DED" w:rsidRPr="00991DED">
              <w:rPr>
                <w:rStyle w:val="Hyperlink"/>
                <w:rFonts w:asciiTheme="majorHAnsi" w:hAnsiTheme="majorHAnsi"/>
                <w:noProof/>
                <w:sz w:val="20"/>
                <w:szCs w:val="20"/>
                <w:lang w:val="es-ES" w:eastAsia="es-ES"/>
              </w:rPr>
              <w:t>C.</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lang w:val="es-ES" w:eastAsia="es-ES"/>
              </w:rPr>
              <w:t xml:space="preserve">El principio de </w:t>
            </w:r>
            <w:r w:rsidR="00991DED" w:rsidRPr="00991DED">
              <w:rPr>
                <w:rStyle w:val="Hyperlink"/>
                <w:rFonts w:asciiTheme="majorHAnsi" w:hAnsiTheme="majorHAnsi"/>
                <w:i/>
                <w:noProof/>
                <w:sz w:val="20"/>
                <w:szCs w:val="20"/>
                <w:lang w:val="es-ES" w:eastAsia="es-ES"/>
              </w:rPr>
              <w:t>non bis in ídem</w:t>
            </w:r>
            <w:r w:rsidR="00991DED" w:rsidRPr="00991DED">
              <w:rPr>
                <w:rStyle w:val="Hyperlink"/>
                <w:rFonts w:asciiTheme="majorHAnsi" w:hAnsiTheme="majorHAnsi"/>
                <w:noProof/>
                <w:sz w:val="20"/>
                <w:szCs w:val="20"/>
                <w:lang w:val="es-ES" w:eastAsia="es-ES"/>
              </w:rPr>
              <w:t xml:space="preserve"> respecto de los procesos adelantados contra la presunta víctima (artículo 8.4 en relación con el artículo 1.1 de la Convención Americana)</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_Toc485394064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30</w:t>
            </w:r>
            <w:r w:rsidR="00991DED" w:rsidRPr="00991DED">
              <w:rPr>
                <w:rFonts w:asciiTheme="majorHAnsi" w:hAnsiTheme="majorHAnsi"/>
                <w:noProof/>
                <w:webHidden/>
                <w:sz w:val="20"/>
                <w:szCs w:val="20"/>
              </w:rPr>
              <w:fldChar w:fldCharType="end"/>
            </w:r>
          </w:hyperlink>
        </w:p>
        <w:p w:rsidR="00991DED" w:rsidRPr="00991DED" w:rsidRDefault="00E076CF">
          <w:pPr>
            <w:pStyle w:val="TOC3"/>
            <w:tabs>
              <w:tab w:val="left" w:pos="2160"/>
            </w:tabs>
            <w:rPr>
              <w:rFonts w:asciiTheme="majorHAnsi" w:eastAsiaTheme="minorEastAsia" w:hAnsiTheme="majorHAnsi" w:cstheme="minorBidi"/>
              <w:noProof/>
              <w:sz w:val="20"/>
              <w:szCs w:val="20"/>
              <w:bdr w:val="none" w:sz="0" w:space="0" w:color="auto"/>
            </w:rPr>
          </w:pPr>
          <w:hyperlink w:anchor="_Toc485394065" w:history="1">
            <w:r w:rsidR="00991DED" w:rsidRPr="00991DED">
              <w:rPr>
                <w:rStyle w:val="Hyperlink"/>
                <w:rFonts w:asciiTheme="majorHAnsi" w:hAnsiTheme="majorHAnsi"/>
                <w:noProof/>
                <w:sz w:val="20"/>
                <w:szCs w:val="20"/>
                <w:lang w:val="es-ES_tradnl"/>
              </w:rPr>
              <w:t>1.</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lang w:val="es-ES_tradnl"/>
              </w:rPr>
              <w:t>Consideraciones generales</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_Toc485394065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30</w:t>
            </w:r>
            <w:r w:rsidR="00991DED" w:rsidRPr="00991DED">
              <w:rPr>
                <w:rFonts w:asciiTheme="majorHAnsi" w:hAnsiTheme="majorHAnsi"/>
                <w:noProof/>
                <w:webHidden/>
                <w:sz w:val="20"/>
                <w:szCs w:val="20"/>
              </w:rPr>
              <w:fldChar w:fldCharType="end"/>
            </w:r>
          </w:hyperlink>
        </w:p>
        <w:p w:rsidR="00991DED" w:rsidRPr="00991DED" w:rsidRDefault="00E076CF">
          <w:pPr>
            <w:pStyle w:val="TOC3"/>
            <w:tabs>
              <w:tab w:val="left" w:pos="2160"/>
            </w:tabs>
            <w:rPr>
              <w:rFonts w:asciiTheme="majorHAnsi" w:eastAsiaTheme="minorEastAsia" w:hAnsiTheme="majorHAnsi" w:cstheme="minorBidi"/>
              <w:noProof/>
              <w:sz w:val="20"/>
              <w:szCs w:val="20"/>
              <w:bdr w:val="none" w:sz="0" w:space="0" w:color="auto"/>
            </w:rPr>
          </w:pPr>
          <w:hyperlink w:anchor="_Toc485394066" w:history="1">
            <w:r w:rsidR="00991DED" w:rsidRPr="00991DED">
              <w:rPr>
                <w:rStyle w:val="Hyperlink"/>
                <w:rFonts w:asciiTheme="majorHAnsi" w:hAnsiTheme="majorHAnsi"/>
                <w:noProof/>
                <w:sz w:val="20"/>
                <w:szCs w:val="20"/>
                <w:lang w:val="es-ES_tradnl"/>
              </w:rPr>
              <w:t>2.</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lang w:val="es-ES_tradnl"/>
              </w:rPr>
              <w:t>Análisis del caso</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_Toc485394066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32</w:t>
            </w:r>
            <w:r w:rsidR="00991DED" w:rsidRPr="00991DED">
              <w:rPr>
                <w:rFonts w:asciiTheme="majorHAnsi" w:hAnsiTheme="majorHAnsi"/>
                <w:noProof/>
                <w:webHidden/>
                <w:sz w:val="20"/>
                <w:szCs w:val="20"/>
              </w:rPr>
              <w:fldChar w:fldCharType="end"/>
            </w:r>
          </w:hyperlink>
        </w:p>
        <w:p w:rsidR="00991DED" w:rsidRPr="00991DED" w:rsidRDefault="00E076CF">
          <w:pPr>
            <w:pStyle w:val="TOC2"/>
            <w:rPr>
              <w:rFonts w:asciiTheme="majorHAnsi" w:eastAsiaTheme="minorEastAsia" w:hAnsiTheme="majorHAnsi" w:cstheme="minorBidi"/>
              <w:noProof/>
              <w:sz w:val="20"/>
              <w:szCs w:val="20"/>
              <w:bdr w:val="none" w:sz="0" w:space="0" w:color="auto"/>
            </w:rPr>
          </w:pPr>
          <w:hyperlink w:anchor="_Toc485394067" w:history="1">
            <w:r w:rsidR="00991DED" w:rsidRPr="00991DED">
              <w:rPr>
                <w:rStyle w:val="Hyperlink"/>
                <w:rFonts w:asciiTheme="majorHAnsi" w:hAnsiTheme="majorHAnsi"/>
                <w:noProof/>
                <w:sz w:val="20"/>
                <w:szCs w:val="20"/>
                <w:lang w:val="es-ES" w:eastAsia="es-ES"/>
              </w:rPr>
              <w:t>D.</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lang w:val="es-ES" w:eastAsia="es-ES"/>
              </w:rPr>
              <w:t>El derecho a la libertad personal, a las garantías judiciales y a la protección judicial respecto de la detención preventiva (Artículos 7.1, 7.3, 7.5, 7.6, 8.2, 25.1 y 1.1 de la Convención Americana)</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_Toc485394067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33</w:t>
            </w:r>
            <w:r w:rsidR="00991DED" w:rsidRPr="00991DED">
              <w:rPr>
                <w:rFonts w:asciiTheme="majorHAnsi" w:hAnsiTheme="majorHAnsi"/>
                <w:noProof/>
                <w:webHidden/>
                <w:sz w:val="20"/>
                <w:szCs w:val="20"/>
              </w:rPr>
              <w:fldChar w:fldCharType="end"/>
            </w:r>
          </w:hyperlink>
        </w:p>
        <w:p w:rsidR="00991DED" w:rsidRPr="00991DED" w:rsidRDefault="00E076CF">
          <w:pPr>
            <w:pStyle w:val="TOC3"/>
            <w:tabs>
              <w:tab w:val="left" w:pos="2160"/>
            </w:tabs>
            <w:rPr>
              <w:rFonts w:asciiTheme="majorHAnsi" w:eastAsiaTheme="minorEastAsia" w:hAnsiTheme="majorHAnsi" w:cstheme="minorBidi"/>
              <w:noProof/>
              <w:sz w:val="20"/>
              <w:szCs w:val="20"/>
              <w:bdr w:val="none" w:sz="0" w:space="0" w:color="auto"/>
            </w:rPr>
          </w:pPr>
          <w:hyperlink w:anchor="_Toc485394068" w:history="1">
            <w:r w:rsidR="00991DED" w:rsidRPr="00991DED">
              <w:rPr>
                <w:rStyle w:val="Hyperlink"/>
                <w:rFonts w:asciiTheme="majorHAnsi" w:hAnsiTheme="majorHAnsi"/>
                <w:noProof/>
                <w:sz w:val="20"/>
                <w:szCs w:val="20"/>
                <w:lang w:val="es-VE"/>
              </w:rPr>
              <w:t>1.</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lang w:val="es-VE"/>
              </w:rPr>
              <w:t>Consideraciones generales</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_Toc485394068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34</w:t>
            </w:r>
            <w:r w:rsidR="00991DED" w:rsidRPr="00991DED">
              <w:rPr>
                <w:rFonts w:asciiTheme="majorHAnsi" w:hAnsiTheme="majorHAnsi"/>
                <w:noProof/>
                <w:webHidden/>
                <w:sz w:val="20"/>
                <w:szCs w:val="20"/>
              </w:rPr>
              <w:fldChar w:fldCharType="end"/>
            </w:r>
          </w:hyperlink>
        </w:p>
        <w:p w:rsidR="00991DED" w:rsidRPr="00991DED" w:rsidRDefault="00E076CF">
          <w:pPr>
            <w:pStyle w:val="TOC3"/>
            <w:tabs>
              <w:tab w:val="left" w:pos="2160"/>
            </w:tabs>
            <w:rPr>
              <w:rFonts w:asciiTheme="majorHAnsi" w:eastAsiaTheme="minorEastAsia" w:hAnsiTheme="majorHAnsi" w:cstheme="minorBidi"/>
              <w:noProof/>
              <w:sz w:val="20"/>
              <w:szCs w:val="20"/>
              <w:bdr w:val="none" w:sz="0" w:space="0" w:color="auto"/>
            </w:rPr>
          </w:pPr>
          <w:hyperlink w:anchor="_Toc485394069" w:history="1">
            <w:r w:rsidR="00991DED" w:rsidRPr="00991DED">
              <w:rPr>
                <w:rStyle w:val="Hyperlink"/>
                <w:rFonts w:asciiTheme="majorHAnsi" w:hAnsiTheme="majorHAnsi"/>
                <w:noProof/>
                <w:sz w:val="20"/>
                <w:szCs w:val="20"/>
                <w:lang w:val="es-VE"/>
              </w:rPr>
              <w:t>2.</w:t>
            </w:r>
            <w:r w:rsidR="00991DED" w:rsidRPr="00991DED">
              <w:rPr>
                <w:rFonts w:asciiTheme="majorHAnsi" w:eastAsiaTheme="minorEastAsia" w:hAnsiTheme="majorHAnsi" w:cstheme="minorBidi"/>
                <w:noProof/>
                <w:sz w:val="20"/>
                <w:szCs w:val="20"/>
                <w:bdr w:val="none" w:sz="0" w:space="0" w:color="auto"/>
              </w:rPr>
              <w:tab/>
            </w:r>
            <w:r w:rsidR="00991DED" w:rsidRPr="00991DED">
              <w:rPr>
                <w:rStyle w:val="Hyperlink"/>
                <w:rFonts w:asciiTheme="majorHAnsi" w:hAnsiTheme="majorHAnsi"/>
                <w:noProof/>
                <w:sz w:val="20"/>
                <w:szCs w:val="20"/>
                <w:lang w:val="es-VE"/>
              </w:rPr>
              <w:t>Análisis del caso</w:t>
            </w:r>
            <w:r w:rsidR="00991DED" w:rsidRPr="00991DED">
              <w:rPr>
                <w:rFonts w:asciiTheme="majorHAnsi" w:hAnsiTheme="majorHAnsi"/>
                <w:noProof/>
                <w:webHidden/>
                <w:sz w:val="20"/>
                <w:szCs w:val="20"/>
              </w:rPr>
              <w:tab/>
            </w:r>
            <w:r w:rsidR="00991DED" w:rsidRPr="00991DED">
              <w:rPr>
                <w:rFonts w:asciiTheme="majorHAnsi" w:hAnsiTheme="majorHAnsi"/>
                <w:noProof/>
                <w:webHidden/>
                <w:sz w:val="20"/>
                <w:szCs w:val="20"/>
              </w:rPr>
              <w:fldChar w:fldCharType="begin"/>
            </w:r>
            <w:r w:rsidR="00991DED" w:rsidRPr="00991DED">
              <w:rPr>
                <w:rFonts w:asciiTheme="majorHAnsi" w:hAnsiTheme="majorHAnsi"/>
                <w:noProof/>
                <w:webHidden/>
                <w:sz w:val="20"/>
                <w:szCs w:val="20"/>
              </w:rPr>
              <w:instrText xml:space="preserve"> PAGEREF _Toc485394069 \h </w:instrText>
            </w:r>
            <w:r w:rsidR="00991DED" w:rsidRPr="00991DED">
              <w:rPr>
                <w:rFonts w:asciiTheme="majorHAnsi" w:hAnsiTheme="majorHAnsi"/>
                <w:noProof/>
                <w:webHidden/>
                <w:sz w:val="20"/>
                <w:szCs w:val="20"/>
              </w:rPr>
            </w:r>
            <w:r w:rsidR="00991DED" w:rsidRPr="00991DED">
              <w:rPr>
                <w:rFonts w:asciiTheme="majorHAnsi" w:hAnsiTheme="majorHAnsi"/>
                <w:noProof/>
                <w:webHidden/>
                <w:sz w:val="20"/>
                <w:szCs w:val="20"/>
              </w:rPr>
              <w:fldChar w:fldCharType="separate"/>
            </w:r>
            <w:r w:rsidR="00991DED" w:rsidRPr="00991DED">
              <w:rPr>
                <w:rFonts w:asciiTheme="majorHAnsi" w:hAnsiTheme="majorHAnsi"/>
                <w:noProof/>
                <w:webHidden/>
                <w:sz w:val="20"/>
                <w:szCs w:val="20"/>
              </w:rPr>
              <w:t>36</w:t>
            </w:r>
            <w:r w:rsidR="00991DED" w:rsidRPr="00991DED">
              <w:rPr>
                <w:rFonts w:asciiTheme="majorHAnsi" w:hAnsiTheme="majorHAnsi"/>
                <w:noProof/>
                <w:webHidden/>
                <w:sz w:val="20"/>
                <w:szCs w:val="20"/>
              </w:rPr>
              <w:fldChar w:fldCharType="end"/>
            </w:r>
          </w:hyperlink>
        </w:p>
        <w:p w:rsidR="00991DED" w:rsidRPr="00991DED" w:rsidRDefault="00E076CF">
          <w:pPr>
            <w:pStyle w:val="TOC1"/>
            <w:rPr>
              <w:rFonts w:eastAsiaTheme="minorEastAsia" w:cstheme="minorBidi"/>
              <w:b w:val="0"/>
              <w:bdr w:val="none" w:sz="0" w:space="0" w:color="auto"/>
            </w:rPr>
          </w:pPr>
          <w:hyperlink w:anchor="_Toc485394070" w:history="1">
            <w:r w:rsidR="00991DED" w:rsidRPr="00991DED">
              <w:rPr>
                <w:rStyle w:val="Hyperlink"/>
              </w:rPr>
              <w:t>VI.</w:t>
            </w:r>
            <w:r w:rsidR="00991DED" w:rsidRPr="00991DED">
              <w:rPr>
                <w:rFonts w:eastAsiaTheme="minorEastAsia" w:cstheme="minorBidi"/>
                <w:b w:val="0"/>
                <w:bdr w:val="none" w:sz="0" w:space="0" w:color="auto"/>
              </w:rPr>
              <w:tab/>
            </w:r>
            <w:r w:rsidR="00991DED" w:rsidRPr="00991DED">
              <w:rPr>
                <w:rStyle w:val="Hyperlink"/>
              </w:rPr>
              <w:t>CONCLUSIONES</w:t>
            </w:r>
            <w:r w:rsidR="00991DED" w:rsidRPr="00991DED">
              <w:rPr>
                <w:webHidden/>
              </w:rPr>
              <w:tab/>
            </w:r>
            <w:r w:rsidR="00991DED" w:rsidRPr="00991DED">
              <w:rPr>
                <w:webHidden/>
              </w:rPr>
              <w:fldChar w:fldCharType="begin"/>
            </w:r>
            <w:r w:rsidR="00991DED" w:rsidRPr="00991DED">
              <w:rPr>
                <w:webHidden/>
              </w:rPr>
              <w:instrText xml:space="preserve"> PAGEREF _Toc485394070 \h </w:instrText>
            </w:r>
            <w:r w:rsidR="00991DED" w:rsidRPr="00991DED">
              <w:rPr>
                <w:webHidden/>
              </w:rPr>
            </w:r>
            <w:r w:rsidR="00991DED" w:rsidRPr="00991DED">
              <w:rPr>
                <w:webHidden/>
              </w:rPr>
              <w:fldChar w:fldCharType="separate"/>
            </w:r>
            <w:r w:rsidR="00991DED" w:rsidRPr="00991DED">
              <w:rPr>
                <w:webHidden/>
              </w:rPr>
              <w:t>38</w:t>
            </w:r>
            <w:r w:rsidR="00991DED" w:rsidRPr="00991DED">
              <w:rPr>
                <w:webHidden/>
              </w:rPr>
              <w:fldChar w:fldCharType="end"/>
            </w:r>
          </w:hyperlink>
        </w:p>
        <w:p w:rsidR="00991DED" w:rsidRPr="00991DED" w:rsidRDefault="00E076CF">
          <w:pPr>
            <w:pStyle w:val="TOC1"/>
            <w:rPr>
              <w:rFonts w:eastAsiaTheme="minorEastAsia" w:cstheme="minorBidi"/>
              <w:b w:val="0"/>
              <w:bdr w:val="none" w:sz="0" w:space="0" w:color="auto"/>
            </w:rPr>
          </w:pPr>
          <w:hyperlink w:anchor="_Toc485394071" w:history="1">
            <w:r w:rsidR="00991DED" w:rsidRPr="00991DED">
              <w:rPr>
                <w:rStyle w:val="Hyperlink"/>
              </w:rPr>
              <w:t>VII.</w:t>
            </w:r>
            <w:r w:rsidR="00991DED" w:rsidRPr="00991DED">
              <w:rPr>
                <w:rFonts w:eastAsiaTheme="minorEastAsia" w:cstheme="minorBidi"/>
                <w:b w:val="0"/>
                <w:bdr w:val="none" w:sz="0" w:space="0" w:color="auto"/>
              </w:rPr>
              <w:tab/>
            </w:r>
            <w:r w:rsidR="00991DED" w:rsidRPr="00991DED">
              <w:rPr>
                <w:rStyle w:val="Hyperlink"/>
              </w:rPr>
              <w:t>RECOMENDACIONES</w:t>
            </w:r>
            <w:r w:rsidR="00991DED" w:rsidRPr="00991DED">
              <w:rPr>
                <w:webHidden/>
              </w:rPr>
              <w:tab/>
            </w:r>
            <w:r w:rsidR="00991DED" w:rsidRPr="00991DED">
              <w:rPr>
                <w:webHidden/>
              </w:rPr>
              <w:fldChar w:fldCharType="begin"/>
            </w:r>
            <w:r w:rsidR="00991DED" w:rsidRPr="00991DED">
              <w:rPr>
                <w:webHidden/>
              </w:rPr>
              <w:instrText xml:space="preserve"> PAGEREF _Toc485394071 \h </w:instrText>
            </w:r>
            <w:r w:rsidR="00991DED" w:rsidRPr="00991DED">
              <w:rPr>
                <w:webHidden/>
              </w:rPr>
            </w:r>
            <w:r w:rsidR="00991DED" w:rsidRPr="00991DED">
              <w:rPr>
                <w:webHidden/>
              </w:rPr>
              <w:fldChar w:fldCharType="separate"/>
            </w:r>
            <w:r w:rsidR="00991DED" w:rsidRPr="00991DED">
              <w:rPr>
                <w:webHidden/>
              </w:rPr>
              <w:t>38</w:t>
            </w:r>
            <w:r w:rsidR="00991DED" w:rsidRPr="00991DED">
              <w:rPr>
                <w:webHidden/>
              </w:rPr>
              <w:fldChar w:fldCharType="end"/>
            </w:r>
          </w:hyperlink>
        </w:p>
        <w:p w:rsidR="00C12DEE" w:rsidRDefault="00C12DEE" w:rsidP="00C12DEE">
          <w:pPr>
            <w:ind w:right="-180"/>
          </w:pPr>
          <w:r w:rsidRPr="009527F8">
            <w:rPr>
              <w:rFonts w:asciiTheme="majorHAnsi" w:hAnsiTheme="majorHAnsi"/>
              <w:b/>
              <w:bCs/>
              <w:noProof/>
              <w:sz w:val="20"/>
              <w:szCs w:val="20"/>
            </w:rPr>
            <w:fldChar w:fldCharType="end"/>
          </w:r>
        </w:p>
      </w:sdtContent>
    </w:sdt>
    <w:p w:rsidR="00C12DEE" w:rsidRDefault="00C12DEE" w:rsidP="00C12DEE">
      <w:pPr>
        <w:rPr>
          <w:rFonts w:asciiTheme="majorHAnsi" w:hAnsiTheme="majorHAnsi"/>
          <w:sz w:val="20"/>
          <w:szCs w:val="20"/>
          <w:lang w:val="es-VE"/>
        </w:rPr>
      </w:pPr>
    </w:p>
    <w:p w:rsidR="00C12DEE" w:rsidRDefault="00C12DEE" w:rsidP="00C12DEE">
      <w:pPr>
        <w:rPr>
          <w:rFonts w:asciiTheme="majorHAnsi" w:hAnsiTheme="majorHAnsi"/>
          <w:sz w:val="20"/>
          <w:szCs w:val="20"/>
          <w:lang w:val="es-VE"/>
        </w:rPr>
      </w:pPr>
    </w:p>
    <w:p w:rsidR="00C12DEE" w:rsidRDefault="00014BFF" w:rsidP="00C12DEE">
      <w:pPr>
        <w:rPr>
          <w:rFonts w:asciiTheme="majorHAnsi" w:hAnsiTheme="majorHAnsi"/>
          <w:sz w:val="20"/>
          <w:szCs w:val="20"/>
          <w:lang w:val="es-VE"/>
        </w:rPr>
      </w:pPr>
      <w:r>
        <w:rPr>
          <w:rFonts w:asciiTheme="majorHAnsi" w:hAnsiTheme="majorHAnsi"/>
          <w:sz w:val="20"/>
          <w:szCs w:val="20"/>
          <w:lang w:val="es-VE"/>
        </w:rPr>
        <w:br w:type="page"/>
      </w:r>
    </w:p>
    <w:p w:rsidR="004B316C" w:rsidRPr="00267CAA" w:rsidRDefault="00B06C1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pt-BR"/>
        </w:rPr>
      </w:pPr>
      <w:r w:rsidRPr="00267CAA">
        <w:rPr>
          <w:rFonts w:asciiTheme="majorHAnsi" w:eastAsia="Times New Roman" w:hAnsiTheme="majorHAnsi"/>
          <w:b/>
          <w:sz w:val="20"/>
          <w:szCs w:val="20"/>
          <w:bdr w:val="none" w:sz="0" w:space="0" w:color="auto"/>
          <w:lang w:val="pt-BR"/>
        </w:rPr>
        <w:lastRenderedPageBreak/>
        <w:t xml:space="preserve">INFORME No. </w:t>
      </w:r>
      <w:r w:rsidR="00913433">
        <w:rPr>
          <w:rFonts w:asciiTheme="majorHAnsi" w:eastAsia="Times New Roman" w:hAnsiTheme="majorHAnsi"/>
          <w:b/>
          <w:sz w:val="20"/>
          <w:szCs w:val="20"/>
          <w:bdr w:val="none" w:sz="0" w:space="0" w:color="auto"/>
          <w:lang w:val="pt-BR"/>
        </w:rPr>
        <w:t>42</w:t>
      </w:r>
      <w:r w:rsidR="00F674F4" w:rsidRPr="00267CAA">
        <w:rPr>
          <w:rFonts w:asciiTheme="majorHAnsi" w:eastAsia="Times New Roman" w:hAnsiTheme="majorHAnsi"/>
          <w:b/>
          <w:sz w:val="20"/>
          <w:szCs w:val="20"/>
          <w:bdr w:val="none" w:sz="0" w:space="0" w:color="auto"/>
          <w:lang w:val="pt-BR"/>
        </w:rPr>
        <w:t>/17</w:t>
      </w:r>
    </w:p>
    <w:p w:rsidR="004B316C" w:rsidRPr="00267CAA" w:rsidRDefault="00F674F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pt-BR"/>
        </w:rPr>
      </w:pPr>
      <w:r w:rsidRPr="00267CAA">
        <w:rPr>
          <w:rFonts w:asciiTheme="majorHAnsi" w:eastAsia="Times New Roman" w:hAnsiTheme="majorHAnsi"/>
          <w:b/>
          <w:sz w:val="20"/>
          <w:szCs w:val="20"/>
          <w:bdr w:val="none" w:sz="0" w:space="0" w:color="auto"/>
          <w:lang w:val="pt-BR"/>
        </w:rPr>
        <w:t>CASO 12.031</w:t>
      </w:r>
    </w:p>
    <w:p w:rsidR="004B316C" w:rsidRPr="00267CAA" w:rsidRDefault="004B316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pt-BR"/>
        </w:rPr>
      </w:pPr>
      <w:r w:rsidRPr="00267CAA">
        <w:rPr>
          <w:rFonts w:asciiTheme="majorHAnsi" w:eastAsia="Times New Roman" w:hAnsiTheme="majorHAnsi"/>
          <w:sz w:val="20"/>
          <w:szCs w:val="20"/>
          <w:bdr w:val="none" w:sz="0" w:space="0" w:color="auto"/>
          <w:lang w:val="pt-BR"/>
        </w:rPr>
        <w:t>FONDO</w:t>
      </w:r>
    </w:p>
    <w:p w:rsidR="00B06C1C" w:rsidRPr="00F674F4" w:rsidRDefault="00F674F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pt-BR"/>
        </w:rPr>
      </w:pPr>
      <w:r w:rsidRPr="00F674F4">
        <w:rPr>
          <w:rFonts w:asciiTheme="majorHAnsi" w:eastAsia="Times New Roman" w:hAnsiTheme="majorHAnsi"/>
          <w:sz w:val="20"/>
          <w:szCs w:val="20"/>
          <w:bdr w:val="none" w:sz="0" w:space="0" w:color="auto"/>
          <w:lang w:val="pt-BR"/>
        </w:rPr>
        <w:t>JORGE ROSADIO VILLAVICENCIO</w:t>
      </w:r>
    </w:p>
    <w:p w:rsidR="00B06C1C" w:rsidRPr="008D21FF" w:rsidRDefault="00F674F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8D21FF">
        <w:rPr>
          <w:rFonts w:asciiTheme="majorHAnsi" w:eastAsia="Times New Roman" w:hAnsiTheme="majorHAnsi"/>
          <w:sz w:val="20"/>
          <w:szCs w:val="20"/>
          <w:bdr w:val="none" w:sz="0" w:space="0" w:color="auto"/>
          <w:lang w:val="es-VE"/>
        </w:rPr>
        <w:t>PERÚ</w:t>
      </w:r>
      <w:r w:rsidR="00F039D8">
        <w:rPr>
          <w:rStyle w:val="FootnoteReference"/>
          <w:rFonts w:eastAsia="Times New Roman"/>
          <w:szCs w:val="20"/>
          <w:bdr w:val="none" w:sz="0" w:space="0" w:color="auto"/>
          <w:lang w:val="es-VE"/>
        </w:rPr>
        <w:footnoteReference w:id="2"/>
      </w:r>
    </w:p>
    <w:p w:rsidR="004B316C" w:rsidRPr="008D21FF" w:rsidRDefault="00913433" w:rsidP="00B330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23</w:t>
      </w:r>
      <w:r w:rsidR="00B5326D" w:rsidRPr="008D21FF">
        <w:rPr>
          <w:rFonts w:asciiTheme="majorHAnsi" w:eastAsia="Times New Roman" w:hAnsiTheme="majorHAnsi"/>
          <w:sz w:val="20"/>
          <w:szCs w:val="20"/>
          <w:bdr w:val="none" w:sz="0" w:space="0" w:color="auto"/>
          <w:lang w:val="es-VE"/>
        </w:rPr>
        <w:t xml:space="preserve"> DE </w:t>
      </w:r>
      <w:r w:rsidR="004D6582">
        <w:rPr>
          <w:rFonts w:asciiTheme="majorHAnsi" w:eastAsia="Times New Roman" w:hAnsiTheme="majorHAnsi"/>
          <w:sz w:val="20"/>
          <w:szCs w:val="20"/>
          <w:bdr w:val="none" w:sz="0" w:space="0" w:color="auto"/>
          <w:lang w:val="es-VE"/>
        </w:rPr>
        <w:t xml:space="preserve">MAYO </w:t>
      </w:r>
      <w:r w:rsidR="00EB1199" w:rsidRPr="008D21FF">
        <w:rPr>
          <w:rFonts w:asciiTheme="majorHAnsi" w:eastAsia="Times New Roman" w:hAnsiTheme="majorHAnsi"/>
          <w:sz w:val="20"/>
          <w:szCs w:val="20"/>
          <w:bdr w:val="none" w:sz="0" w:space="0" w:color="auto"/>
          <w:lang w:val="es-VE"/>
        </w:rPr>
        <w:t>DE 201</w:t>
      </w:r>
      <w:r w:rsidR="00F674F4" w:rsidRPr="008D21FF">
        <w:rPr>
          <w:rFonts w:asciiTheme="majorHAnsi" w:eastAsia="Times New Roman" w:hAnsiTheme="majorHAnsi"/>
          <w:sz w:val="20"/>
          <w:szCs w:val="20"/>
          <w:bdr w:val="none" w:sz="0" w:space="0" w:color="auto"/>
          <w:lang w:val="es-VE"/>
        </w:rPr>
        <w:t>7</w:t>
      </w:r>
    </w:p>
    <w:p w:rsidR="00F039D8" w:rsidRDefault="00F039D8" w:rsidP="000F02CF">
      <w:pPr>
        <w:rPr>
          <w:rFonts w:asciiTheme="majorHAnsi" w:eastAsia="Times New Roman" w:hAnsiTheme="majorHAnsi"/>
          <w:b/>
          <w:sz w:val="20"/>
          <w:szCs w:val="20"/>
          <w:bdr w:val="none" w:sz="0" w:space="0" w:color="auto"/>
          <w:lang w:val="es-ES_tradnl"/>
        </w:rPr>
      </w:pPr>
    </w:p>
    <w:p w:rsidR="00F039D8" w:rsidRPr="008D68B9" w:rsidRDefault="00F039D8" w:rsidP="00F039D8">
      <w:pPr>
        <w:pStyle w:val="Heading1"/>
        <w:numPr>
          <w:ilvl w:val="0"/>
          <w:numId w:val="55"/>
        </w:numPr>
        <w:tabs>
          <w:tab w:val="clear" w:pos="1440"/>
        </w:tabs>
      </w:pPr>
      <w:bookmarkStart w:id="1" w:name="_Toc370840743"/>
      <w:bookmarkStart w:id="2" w:name="_Toc370840839"/>
      <w:bookmarkStart w:id="3" w:name="_Toc423514405"/>
      <w:bookmarkStart w:id="4" w:name="_Toc433115981"/>
      <w:bookmarkStart w:id="5" w:name="_Toc444958124"/>
      <w:bookmarkStart w:id="6" w:name="_Toc485394045"/>
      <w:r w:rsidRPr="008D68B9">
        <w:t>RESUMEN</w:t>
      </w:r>
      <w:bookmarkEnd w:id="1"/>
      <w:bookmarkEnd w:id="2"/>
      <w:bookmarkEnd w:id="3"/>
      <w:bookmarkEnd w:id="4"/>
      <w:bookmarkEnd w:id="5"/>
      <w:bookmarkEnd w:id="6"/>
    </w:p>
    <w:p w:rsidR="00F039D8" w:rsidRPr="008D68B9" w:rsidRDefault="00F039D8" w:rsidP="00F039D8">
      <w:pPr>
        <w:jc w:val="both"/>
        <w:rPr>
          <w:rFonts w:asciiTheme="majorHAnsi" w:hAnsiTheme="majorHAnsi" w:cs="Arial"/>
          <w:sz w:val="20"/>
          <w:szCs w:val="20"/>
          <w:lang w:val="es-ES"/>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8D68B9">
        <w:rPr>
          <w:rFonts w:asciiTheme="majorHAnsi" w:eastAsia="Calibri" w:hAnsiTheme="majorHAnsi"/>
          <w:sz w:val="20"/>
          <w:szCs w:val="20"/>
          <w:lang w:val="es-VE"/>
        </w:rPr>
        <w:t xml:space="preserve">El </w:t>
      </w:r>
      <w:r>
        <w:rPr>
          <w:rFonts w:asciiTheme="majorHAnsi" w:eastAsia="Calibri" w:hAnsiTheme="majorHAnsi"/>
          <w:sz w:val="20"/>
          <w:szCs w:val="20"/>
          <w:lang w:val="es-VE"/>
        </w:rPr>
        <w:t>1</w:t>
      </w:r>
      <w:r w:rsidRPr="008D68B9">
        <w:rPr>
          <w:rFonts w:asciiTheme="majorHAnsi" w:eastAsia="Calibri" w:hAnsiTheme="majorHAnsi"/>
          <w:sz w:val="20"/>
          <w:szCs w:val="20"/>
          <w:lang w:val="es-VE"/>
        </w:rPr>
        <w:t xml:space="preserve">3 de </w:t>
      </w:r>
      <w:r>
        <w:rPr>
          <w:rFonts w:asciiTheme="majorHAnsi" w:eastAsia="Calibri" w:hAnsiTheme="majorHAnsi"/>
          <w:sz w:val="20"/>
          <w:szCs w:val="20"/>
          <w:lang w:val="es-VE"/>
        </w:rPr>
        <w:t>abril de 1998 la</w:t>
      </w:r>
      <w:r w:rsidRPr="00E9411E">
        <w:rPr>
          <w:rFonts w:asciiTheme="majorHAnsi" w:eastAsia="Calibri" w:hAnsiTheme="majorHAnsi"/>
          <w:sz w:val="20"/>
          <w:szCs w:val="20"/>
          <w:lang w:val="es-VE"/>
        </w:rPr>
        <w:t xml:space="preserve"> Comisión Interamericana de Derechos Humanos (en adelante “la Comisión”, “la Comisión Interamericana” o “la CIDH”) recibió una petición presentada por</w:t>
      </w:r>
      <w:r>
        <w:rPr>
          <w:rFonts w:asciiTheme="majorHAnsi" w:eastAsia="Calibri" w:hAnsiTheme="majorHAnsi"/>
          <w:sz w:val="20"/>
          <w:szCs w:val="20"/>
          <w:lang w:val="es-VE"/>
        </w:rPr>
        <w:t xml:space="preserve"> Amelia Villavicencio de Rosadio</w:t>
      </w:r>
      <w:r w:rsidRPr="00EA290B">
        <w:rPr>
          <w:rStyle w:val="FootnoteReference"/>
          <w:rFonts w:asciiTheme="majorHAnsi" w:eastAsia="Calibri" w:hAnsiTheme="majorHAnsi"/>
          <w:sz w:val="20"/>
          <w:szCs w:val="20"/>
          <w:lang w:val="es-VE"/>
        </w:rPr>
        <w:footnoteReference w:id="3"/>
      </w:r>
      <w:r>
        <w:rPr>
          <w:rFonts w:asciiTheme="majorHAnsi" w:eastAsia="Calibri" w:hAnsiTheme="majorHAnsi"/>
          <w:sz w:val="20"/>
          <w:szCs w:val="20"/>
          <w:lang w:val="es-VE"/>
        </w:rPr>
        <w:t xml:space="preserve"> (en adelante “los peticionarios”) en la cual se alega la responsabilidad de la República del Perú </w:t>
      </w:r>
      <w:r w:rsidRPr="00E9411E">
        <w:rPr>
          <w:rFonts w:asciiTheme="majorHAnsi" w:eastAsia="Calibri" w:hAnsiTheme="majorHAnsi"/>
          <w:sz w:val="20"/>
          <w:szCs w:val="20"/>
          <w:lang w:val="es-VE"/>
        </w:rPr>
        <w:t xml:space="preserve">(en adelante “el Estado”, “el Estado </w:t>
      </w:r>
      <w:r>
        <w:rPr>
          <w:rFonts w:asciiTheme="majorHAnsi" w:eastAsia="Calibri" w:hAnsiTheme="majorHAnsi"/>
          <w:sz w:val="20"/>
          <w:szCs w:val="20"/>
          <w:lang w:val="es-VE"/>
        </w:rPr>
        <w:t>peruano</w:t>
      </w:r>
      <w:r w:rsidRPr="00E9411E">
        <w:rPr>
          <w:rFonts w:asciiTheme="majorHAnsi" w:eastAsia="Calibri" w:hAnsiTheme="majorHAnsi"/>
          <w:sz w:val="20"/>
          <w:szCs w:val="20"/>
          <w:lang w:val="es-VE"/>
        </w:rPr>
        <w:t>” o “</w:t>
      </w:r>
      <w:r>
        <w:rPr>
          <w:rFonts w:asciiTheme="majorHAnsi" w:eastAsia="Calibri" w:hAnsiTheme="majorHAnsi"/>
          <w:sz w:val="20"/>
          <w:szCs w:val="20"/>
          <w:lang w:val="es-VE"/>
        </w:rPr>
        <w:t>Perú</w:t>
      </w:r>
      <w:r w:rsidRPr="00E9411E">
        <w:rPr>
          <w:rFonts w:asciiTheme="majorHAnsi" w:eastAsia="Calibri" w:hAnsiTheme="majorHAnsi"/>
          <w:sz w:val="20"/>
          <w:szCs w:val="20"/>
          <w:lang w:val="es-VE"/>
        </w:rPr>
        <w:t>”)</w:t>
      </w:r>
      <w:r w:rsidRPr="00A26E51">
        <w:rPr>
          <w:rFonts w:asciiTheme="majorHAnsi" w:eastAsia="Calibri" w:hAnsiTheme="majorHAnsi"/>
          <w:sz w:val="20"/>
          <w:szCs w:val="20"/>
          <w:lang w:val="es-VE"/>
        </w:rPr>
        <w:t xml:space="preserve"> por la violación de varias disposiciones de la Convención Americana sobre Derechos Humanos (en adelante “la Convención” o “la Convención Americana”) en </w:t>
      </w:r>
      <w:r>
        <w:rPr>
          <w:rFonts w:asciiTheme="majorHAnsi" w:eastAsia="Calibri" w:hAnsiTheme="majorHAnsi"/>
          <w:sz w:val="20"/>
          <w:szCs w:val="20"/>
          <w:lang w:val="es-VE"/>
        </w:rPr>
        <w:t>perjuicio de</w:t>
      </w:r>
      <w:r w:rsidRPr="00A26E51">
        <w:rPr>
          <w:rFonts w:asciiTheme="majorHAnsi" w:eastAsia="Calibri" w:hAnsiTheme="majorHAnsi"/>
          <w:sz w:val="20"/>
          <w:szCs w:val="20"/>
          <w:lang w:val="es-VE"/>
        </w:rPr>
        <w:t xml:space="preserve"> </w:t>
      </w:r>
      <w:r>
        <w:rPr>
          <w:rFonts w:asciiTheme="majorHAnsi" w:eastAsia="Calibri" w:hAnsiTheme="majorHAnsi"/>
          <w:sz w:val="20"/>
          <w:szCs w:val="20"/>
          <w:lang w:val="es-VE"/>
        </w:rPr>
        <w:t xml:space="preserve">Jorge </w:t>
      </w:r>
      <w:proofErr w:type="spellStart"/>
      <w:r>
        <w:rPr>
          <w:rFonts w:asciiTheme="majorHAnsi" w:eastAsia="Calibri" w:hAnsiTheme="majorHAnsi"/>
          <w:sz w:val="20"/>
          <w:szCs w:val="20"/>
          <w:lang w:val="es-VE"/>
        </w:rPr>
        <w:t>Rosadío</w:t>
      </w:r>
      <w:proofErr w:type="spellEnd"/>
      <w:r>
        <w:rPr>
          <w:rFonts w:asciiTheme="majorHAnsi" w:eastAsia="Calibri" w:hAnsiTheme="majorHAnsi"/>
          <w:sz w:val="20"/>
          <w:szCs w:val="20"/>
          <w:lang w:val="es-VE"/>
        </w:rPr>
        <w:t xml:space="preserve"> Villavicencio (en adelante “la presunta víctima”). </w:t>
      </w:r>
    </w:p>
    <w:p w:rsidR="00F039D8" w:rsidRPr="008D68B9" w:rsidRDefault="00F039D8" w:rsidP="00F039D8">
      <w:pPr>
        <w:tabs>
          <w:tab w:val="left" w:pos="1440"/>
        </w:tabs>
        <w:jc w:val="both"/>
        <w:rPr>
          <w:rFonts w:asciiTheme="majorHAnsi" w:eastAsia="Calibri" w:hAnsiTheme="majorHAnsi"/>
          <w:sz w:val="20"/>
          <w:szCs w:val="20"/>
          <w:lang w:val="es-VE"/>
        </w:rPr>
      </w:pPr>
      <w:r w:rsidRPr="008D68B9">
        <w:rPr>
          <w:rFonts w:asciiTheme="majorHAnsi" w:eastAsia="Calibri" w:hAnsiTheme="majorHAnsi"/>
          <w:sz w:val="20"/>
          <w:szCs w:val="20"/>
          <w:lang w:val="es-VE"/>
        </w:rPr>
        <w:t xml:space="preserve"> </w:t>
      </w:r>
    </w:p>
    <w:p w:rsidR="00F039D8" w:rsidRPr="007E7C09"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Los peticionarios</w:t>
      </w:r>
      <w:r w:rsidRPr="008D68B9">
        <w:rPr>
          <w:rFonts w:asciiTheme="majorHAnsi" w:eastAsia="Calibri" w:hAnsiTheme="majorHAnsi"/>
          <w:sz w:val="20"/>
          <w:szCs w:val="20"/>
          <w:lang w:val="es-VE"/>
        </w:rPr>
        <w:t xml:space="preserve"> denunci</w:t>
      </w:r>
      <w:r>
        <w:rPr>
          <w:rFonts w:asciiTheme="majorHAnsi" w:eastAsia="Calibri" w:hAnsiTheme="majorHAnsi"/>
          <w:sz w:val="20"/>
          <w:szCs w:val="20"/>
          <w:lang w:val="es-VE"/>
        </w:rPr>
        <w:t>aron</w:t>
      </w:r>
      <w:r w:rsidRPr="008D68B9">
        <w:rPr>
          <w:rFonts w:asciiTheme="majorHAnsi" w:eastAsia="Calibri" w:hAnsiTheme="majorHAnsi"/>
          <w:sz w:val="20"/>
          <w:szCs w:val="20"/>
          <w:lang w:val="es-VE"/>
        </w:rPr>
        <w:t xml:space="preserve"> </w:t>
      </w:r>
      <w:r>
        <w:rPr>
          <w:rFonts w:asciiTheme="majorHAnsi" w:eastAsia="Calibri" w:hAnsiTheme="majorHAnsi"/>
          <w:sz w:val="20"/>
          <w:szCs w:val="20"/>
          <w:lang w:val="es-VE"/>
        </w:rPr>
        <w:t>una serie de violaciones al debido proceso cometidas en contra de la presunta víctima por las autoridades que la sancionaron en la vía administrativa disciplinaria y la juzgaron y condenaron en la jurisdicción militar y penal ordinaria, por los delitos de desobediencia y tráfico ilícito de drogas respectivamente, mientras se desempeñaba como Jefe d</w:t>
      </w:r>
      <w:r w:rsidR="009B08BE">
        <w:rPr>
          <w:rFonts w:asciiTheme="majorHAnsi" w:eastAsia="Calibri" w:hAnsiTheme="majorHAnsi"/>
          <w:sz w:val="20"/>
          <w:szCs w:val="20"/>
          <w:lang w:val="es-VE"/>
        </w:rPr>
        <w:t>e la Base Militar de Sio</w:t>
      </w:r>
      <w:r>
        <w:rPr>
          <w:rFonts w:asciiTheme="majorHAnsi" w:eastAsia="Calibri" w:hAnsiTheme="majorHAnsi"/>
          <w:sz w:val="20"/>
          <w:szCs w:val="20"/>
          <w:lang w:val="es-VE"/>
        </w:rPr>
        <w:t>n, de la Quinta Región Militar y cumplía con la ejecución de un plan de inteligencia que le fue encomendado, y que</w:t>
      </w:r>
      <w:r w:rsidRPr="007E7C09">
        <w:rPr>
          <w:rFonts w:asciiTheme="majorHAnsi" w:eastAsia="Calibri" w:hAnsiTheme="majorHAnsi"/>
          <w:sz w:val="20"/>
          <w:szCs w:val="20"/>
          <w:lang w:val="es-VE"/>
        </w:rPr>
        <w:t xml:space="preserve"> consistía en infiltrarse en grupos d</w:t>
      </w:r>
      <w:r w:rsidR="009B08BE">
        <w:rPr>
          <w:rFonts w:asciiTheme="majorHAnsi" w:eastAsia="Calibri" w:hAnsiTheme="majorHAnsi"/>
          <w:sz w:val="20"/>
          <w:szCs w:val="20"/>
          <w:lang w:val="es-VE"/>
        </w:rPr>
        <w:t>e narcotráfico en la zona de Sio</w:t>
      </w:r>
      <w:r w:rsidRPr="007E7C09">
        <w:rPr>
          <w:rFonts w:asciiTheme="majorHAnsi" w:eastAsia="Calibri" w:hAnsiTheme="majorHAnsi"/>
          <w:sz w:val="20"/>
          <w:szCs w:val="20"/>
          <w:lang w:val="es-VE"/>
        </w:rPr>
        <w:t xml:space="preserve">n. </w:t>
      </w:r>
    </w:p>
    <w:p w:rsidR="00F039D8" w:rsidRPr="008D68B9"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039D8" w:rsidRPr="00BC09CD"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El Estado indicó que a la presunta víctima se le encomendó una operación anti-drogas en la que debía actuar como si fuera un oficial corrupto; sin embargo no dio cumplimiento a la misión asignada y por el contrario se aprovechó de ella buscando su beneficio económico. Agregó que en virtud de ello, se le iniciaron una serie de procesos disciplinarios, en la jurisdicción penal militar y en la jurisdicción penal ordinaria, que culminaron en su condena por los delitos de desobediencia y tráfico de estupefacientes. Refirió que dichos procesos se realizaron con plena observancia de las garantías del debido proceso y respetando los derechos humanos de la presunta víctima. </w:t>
      </w:r>
    </w:p>
    <w:p w:rsidR="00F039D8" w:rsidRPr="008D68B9"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039D8" w:rsidRPr="001D4F5E" w:rsidRDefault="00F039D8" w:rsidP="001D4F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1D4F5E">
        <w:rPr>
          <w:rFonts w:asciiTheme="majorHAnsi" w:eastAsia="Calibri" w:hAnsiTheme="majorHAnsi"/>
          <w:sz w:val="20"/>
          <w:szCs w:val="20"/>
          <w:lang w:val="es-VE"/>
        </w:rPr>
        <w:t>Tras analizar las posiciones de las partes, la Comisión Interamericana concluyó que el Estado peruano es responsable por la violación de los derechos consagrados en los artículos 7</w:t>
      </w:r>
      <w:r w:rsidR="001D4F5E" w:rsidRPr="001D4F5E">
        <w:rPr>
          <w:rFonts w:asciiTheme="majorHAnsi" w:eastAsia="Calibri" w:hAnsiTheme="majorHAnsi"/>
          <w:sz w:val="20"/>
          <w:szCs w:val="20"/>
          <w:lang w:val="es-VE"/>
        </w:rPr>
        <w:t>.1, 7.3, 7.5, 7.6</w:t>
      </w:r>
      <w:r w:rsidRPr="001D4F5E">
        <w:rPr>
          <w:rFonts w:asciiTheme="majorHAnsi" w:eastAsia="Calibri" w:hAnsiTheme="majorHAnsi"/>
          <w:sz w:val="20"/>
          <w:szCs w:val="20"/>
          <w:lang w:val="es-VE"/>
        </w:rPr>
        <w:t xml:space="preserve"> (derecho a la libertad personal), 8</w:t>
      </w:r>
      <w:r w:rsidR="001D4F5E" w:rsidRPr="001D4F5E">
        <w:rPr>
          <w:rFonts w:asciiTheme="majorHAnsi" w:eastAsia="Calibri" w:hAnsiTheme="majorHAnsi"/>
          <w:sz w:val="20"/>
          <w:szCs w:val="20"/>
          <w:lang w:val="es-VE"/>
        </w:rPr>
        <w:t>.1, 8.2</w:t>
      </w:r>
      <w:r w:rsidR="00C858C1">
        <w:rPr>
          <w:rFonts w:asciiTheme="majorHAnsi" w:eastAsia="Calibri" w:hAnsiTheme="majorHAnsi"/>
          <w:sz w:val="20"/>
          <w:szCs w:val="20"/>
          <w:lang w:val="es-VE"/>
        </w:rPr>
        <w:t>, 8.2</w:t>
      </w:r>
      <w:r w:rsidR="001D4F5E" w:rsidRPr="001D4F5E">
        <w:rPr>
          <w:rFonts w:asciiTheme="majorHAnsi" w:eastAsia="Calibri" w:hAnsiTheme="majorHAnsi"/>
          <w:sz w:val="20"/>
          <w:szCs w:val="20"/>
          <w:lang w:val="es-VE"/>
        </w:rPr>
        <w:t xml:space="preserve"> b), c), e)</w:t>
      </w:r>
      <w:r w:rsidR="00A3230B">
        <w:rPr>
          <w:rFonts w:asciiTheme="majorHAnsi" w:eastAsia="Calibri" w:hAnsiTheme="majorHAnsi"/>
          <w:sz w:val="20"/>
          <w:szCs w:val="20"/>
          <w:lang w:val="es-VE"/>
        </w:rPr>
        <w:t>, 8.4</w:t>
      </w:r>
      <w:r w:rsidR="00664336">
        <w:rPr>
          <w:rFonts w:asciiTheme="majorHAnsi" w:eastAsia="Calibri" w:hAnsiTheme="majorHAnsi"/>
          <w:sz w:val="20"/>
          <w:szCs w:val="20"/>
          <w:lang w:val="es-VE"/>
        </w:rPr>
        <w:t xml:space="preserve"> (garantías judiciales)</w:t>
      </w:r>
      <w:r w:rsidR="001D4F5E" w:rsidRPr="001D4F5E">
        <w:rPr>
          <w:rFonts w:asciiTheme="majorHAnsi" w:eastAsia="Calibri" w:hAnsiTheme="majorHAnsi"/>
          <w:sz w:val="20"/>
          <w:szCs w:val="20"/>
          <w:lang w:val="es-VE"/>
        </w:rPr>
        <w:t>, 25</w:t>
      </w:r>
      <w:r w:rsidR="00C858C1">
        <w:rPr>
          <w:rFonts w:asciiTheme="majorHAnsi" w:eastAsia="Calibri" w:hAnsiTheme="majorHAnsi"/>
          <w:sz w:val="20"/>
          <w:szCs w:val="20"/>
          <w:lang w:val="es-VE"/>
        </w:rPr>
        <w:t>.1</w:t>
      </w:r>
      <w:r w:rsidR="001D4F5E" w:rsidRPr="001D4F5E">
        <w:rPr>
          <w:rFonts w:asciiTheme="majorHAnsi" w:eastAsia="Calibri" w:hAnsiTheme="majorHAnsi"/>
          <w:sz w:val="20"/>
          <w:szCs w:val="20"/>
          <w:lang w:val="es-VE"/>
        </w:rPr>
        <w:t xml:space="preserve"> (protección judicial) de la Convención Americana</w:t>
      </w:r>
      <w:r w:rsidRPr="001D4F5E">
        <w:rPr>
          <w:rFonts w:asciiTheme="majorHAnsi" w:eastAsia="Calibri" w:hAnsiTheme="majorHAnsi"/>
          <w:sz w:val="20"/>
          <w:szCs w:val="20"/>
          <w:lang w:val="es-VE"/>
        </w:rPr>
        <w:t xml:space="preserve"> en r</w:t>
      </w:r>
      <w:r w:rsidR="00862518">
        <w:rPr>
          <w:rFonts w:asciiTheme="majorHAnsi" w:eastAsia="Calibri" w:hAnsiTheme="majorHAnsi"/>
          <w:sz w:val="20"/>
          <w:szCs w:val="20"/>
          <w:lang w:val="es-VE"/>
        </w:rPr>
        <w:t>elación con la</w:t>
      </w:r>
      <w:r w:rsidR="001D4F5E" w:rsidRPr="001D4F5E">
        <w:rPr>
          <w:rFonts w:asciiTheme="majorHAnsi" w:eastAsia="Calibri" w:hAnsiTheme="majorHAnsi"/>
          <w:sz w:val="20"/>
          <w:szCs w:val="20"/>
          <w:lang w:val="es-VE"/>
        </w:rPr>
        <w:t xml:space="preserve"> </w:t>
      </w:r>
      <w:r w:rsidR="00862518">
        <w:rPr>
          <w:rFonts w:asciiTheme="majorHAnsi" w:eastAsia="Calibri" w:hAnsiTheme="majorHAnsi"/>
          <w:sz w:val="20"/>
          <w:szCs w:val="20"/>
          <w:lang w:val="es-VE"/>
        </w:rPr>
        <w:t>obligaciones establecidas en el</w:t>
      </w:r>
      <w:r w:rsidRPr="001D4F5E">
        <w:rPr>
          <w:rFonts w:asciiTheme="majorHAnsi" w:eastAsia="Calibri" w:hAnsiTheme="majorHAnsi"/>
          <w:sz w:val="20"/>
          <w:szCs w:val="20"/>
          <w:lang w:val="es-VE"/>
        </w:rPr>
        <w:t xml:space="preserve"> artículo 1.1 de</w:t>
      </w:r>
      <w:r w:rsidR="001D4F5E" w:rsidRPr="001D4F5E">
        <w:rPr>
          <w:rFonts w:asciiTheme="majorHAnsi" w:eastAsia="Calibri" w:hAnsiTheme="majorHAnsi"/>
          <w:sz w:val="20"/>
          <w:szCs w:val="20"/>
          <w:lang w:val="es-VE"/>
        </w:rPr>
        <w:t>l mismo instrumento</w:t>
      </w:r>
      <w:r w:rsidRPr="001D4F5E">
        <w:rPr>
          <w:rFonts w:asciiTheme="majorHAnsi" w:eastAsia="Calibri" w:hAnsiTheme="majorHAnsi"/>
          <w:sz w:val="20"/>
          <w:szCs w:val="20"/>
          <w:lang w:val="es-VE"/>
        </w:rPr>
        <w:t xml:space="preserve">, en perjuicio de Jorge Rosadio Villavicencio. </w:t>
      </w:r>
    </w:p>
    <w:p w:rsidR="001D4F5E" w:rsidRPr="008D68B9" w:rsidRDefault="001D4F5E"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highlight w:val="yellow"/>
          <w:lang w:val="es-VE"/>
        </w:rPr>
      </w:pPr>
    </w:p>
    <w:p w:rsidR="00F039D8" w:rsidRPr="008D68B9" w:rsidRDefault="00F039D8" w:rsidP="00F039D8">
      <w:pPr>
        <w:pStyle w:val="Heading1"/>
        <w:numPr>
          <w:ilvl w:val="0"/>
          <w:numId w:val="55"/>
        </w:numPr>
        <w:tabs>
          <w:tab w:val="clear" w:pos="1440"/>
        </w:tabs>
      </w:pPr>
      <w:bookmarkStart w:id="7" w:name="_Toc370840744"/>
      <w:bookmarkStart w:id="8" w:name="_Toc370840840"/>
      <w:bookmarkStart w:id="9" w:name="_Toc423514406"/>
      <w:bookmarkStart w:id="10" w:name="_Toc433115982"/>
      <w:bookmarkStart w:id="11" w:name="_Toc444958125"/>
      <w:bookmarkStart w:id="12" w:name="_Toc485394046"/>
      <w:r w:rsidRPr="008D68B9">
        <w:t xml:space="preserve">TRÁMITE ANTE LA </w:t>
      </w:r>
      <w:bookmarkStart w:id="13" w:name="_Toc370840745"/>
      <w:bookmarkStart w:id="14" w:name="_Toc370840841"/>
      <w:bookmarkEnd w:id="7"/>
      <w:bookmarkEnd w:id="8"/>
      <w:r w:rsidRPr="008D68B9">
        <w:t>COMISIÓN</w:t>
      </w:r>
      <w:bookmarkEnd w:id="9"/>
      <w:bookmarkEnd w:id="10"/>
      <w:bookmarkEnd w:id="11"/>
      <w:bookmarkEnd w:id="12"/>
    </w:p>
    <w:p w:rsidR="00F039D8" w:rsidRPr="008D68B9" w:rsidRDefault="00F039D8" w:rsidP="00F039D8">
      <w:pPr>
        <w:rPr>
          <w:rFonts w:asciiTheme="majorHAnsi" w:hAnsiTheme="majorHAnsi"/>
          <w:sz w:val="20"/>
          <w:szCs w:val="20"/>
          <w:lang w:val="es-ES"/>
        </w:rPr>
      </w:pPr>
    </w:p>
    <w:p w:rsidR="00F039D8" w:rsidRPr="008D68B9" w:rsidRDefault="00F039D8" w:rsidP="00F039D8">
      <w:pPr>
        <w:ind w:left="708"/>
        <w:rPr>
          <w:rFonts w:asciiTheme="majorHAnsi" w:hAnsiTheme="majorHAnsi"/>
          <w:b/>
          <w:sz w:val="20"/>
          <w:szCs w:val="20"/>
          <w:lang w:val="es-ES"/>
        </w:rPr>
      </w:pPr>
      <w:r w:rsidRPr="008D68B9">
        <w:rPr>
          <w:rFonts w:asciiTheme="majorHAnsi" w:hAnsiTheme="majorHAnsi"/>
          <w:b/>
          <w:sz w:val="20"/>
          <w:szCs w:val="20"/>
          <w:lang w:val="es-ES"/>
        </w:rPr>
        <w:t>A.</w:t>
      </w:r>
      <w:r w:rsidRPr="008D68B9">
        <w:rPr>
          <w:rFonts w:asciiTheme="majorHAnsi" w:hAnsiTheme="majorHAnsi"/>
          <w:b/>
          <w:sz w:val="20"/>
          <w:szCs w:val="20"/>
          <w:lang w:val="es-ES"/>
        </w:rPr>
        <w:tab/>
        <w:t>Trámite del caso desde el informe de admisibilidad</w:t>
      </w:r>
    </w:p>
    <w:p w:rsidR="00F039D8" w:rsidRPr="008D68B9" w:rsidRDefault="00F039D8" w:rsidP="00F039D8">
      <w:pPr>
        <w:rPr>
          <w:rFonts w:asciiTheme="majorHAnsi" w:hAnsiTheme="majorHAnsi"/>
          <w:sz w:val="20"/>
          <w:szCs w:val="20"/>
          <w:lang w:val="es-ES"/>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El 13</w:t>
      </w:r>
      <w:r w:rsidRPr="008D68B9">
        <w:rPr>
          <w:rFonts w:asciiTheme="majorHAnsi" w:eastAsia="Calibri" w:hAnsiTheme="majorHAnsi"/>
          <w:sz w:val="20"/>
          <w:szCs w:val="20"/>
          <w:lang w:val="es-VE"/>
        </w:rPr>
        <w:t xml:space="preserve"> de </w:t>
      </w:r>
      <w:r>
        <w:rPr>
          <w:rFonts w:asciiTheme="majorHAnsi" w:eastAsia="Calibri" w:hAnsiTheme="majorHAnsi"/>
          <w:sz w:val="20"/>
          <w:szCs w:val="20"/>
          <w:lang w:val="es-VE"/>
        </w:rPr>
        <w:t>abril</w:t>
      </w:r>
      <w:r w:rsidRPr="008D68B9">
        <w:rPr>
          <w:rFonts w:asciiTheme="majorHAnsi" w:eastAsia="Calibri" w:hAnsiTheme="majorHAnsi"/>
          <w:sz w:val="20"/>
          <w:szCs w:val="20"/>
          <w:lang w:val="es-VE"/>
        </w:rPr>
        <w:t xml:space="preserve"> de </w:t>
      </w:r>
      <w:r>
        <w:rPr>
          <w:rFonts w:asciiTheme="majorHAnsi" w:eastAsia="Calibri" w:hAnsiTheme="majorHAnsi"/>
          <w:sz w:val="20"/>
          <w:szCs w:val="20"/>
          <w:lang w:val="es-VE"/>
        </w:rPr>
        <w:t>1998</w:t>
      </w:r>
      <w:r w:rsidRPr="008D68B9">
        <w:rPr>
          <w:rFonts w:asciiTheme="majorHAnsi" w:eastAsia="Calibri" w:hAnsiTheme="majorHAnsi"/>
          <w:sz w:val="20"/>
          <w:szCs w:val="20"/>
          <w:lang w:val="es-VE"/>
        </w:rPr>
        <w:t xml:space="preserve"> la Comisión recibió la petición y la registró bajo el número </w:t>
      </w:r>
      <w:r>
        <w:rPr>
          <w:rFonts w:asciiTheme="majorHAnsi" w:eastAsia="Calibri" w:hAnsiTheme="majorHAnsi"/>
          <w:sz w:val="20"/>
          <w:szCs w:val="20"/>
          <w:lang w:val="es-VE"/>
        </w:rPr>
        <w:t>78-98</w:t>
      </w:r>
      <w:r w:rsidRPr="008D68B9">
        <w:rPr>
          <w:rFonts w:asciiTheme="majorHAnsi" w:eastAsia="Calibri" w:hAnsiTheme="majorHAnsi"/>
          <w:sz w:val="20"/>
          <w:szCs w:val="20"/>
          <w:lang w:val="es-VE"/>
        </w:rPr>
        <w:t>. El trámite hasta la decisión sobre admisibilidad se encuentra explicado en detalle en el Informe No.</w:t>
      </w:r>
      <w:r>
        <w:rPr>
          <w:rFonts w:asciiTheme="majorHAnsi" w:eastAsia="Calibri" w:hAnsiTheme="majorHAnsi"/>
          <w:sz w:val="20"/>
          <w:szCs w:val="20"/>
          <w:lang w:val="es-VE"/>
        </w:rPr>
        <w:t xml:space="preserve"> 13/03 de 20 </w:t>
      </w:r>
      <w:r>
        <w:rPr>
          <w:rFonts w:asciiTheme="majorHAnsi" w:eastAsia="Calibri" w:hAnsiTheme="majorHAnsi"/>
          <w:sz w:val="20"/>
          <w:szCs w:val="20"/>
          <w:lang w:val="es-VE"/>
        </w:rPr>
        <w:lastRenderedPageBreak/>
        <w:t>de febrero de 2003</w:t>
      </w:r>
      <w:r w:rsidRPr="008D68B9">
        <w:rPr>
          <w:rFonts w:asciiTheme="majorHAnsi" w:eastAsia="Calibri" w:hAnsiTheme="majorHAnsi"/>
          <w:sz w:val="20"/>
          <w:szCs w:val="20"/>
          <w:vertAlign w:val="superscript"/>
        </w:rPr>
        <w:footnoteReference w:id="4"/>
      </w:r>
      <w:r w:rsidRPr="008D68B9">
        <w:rPr>
          <w:rFonts w:asciiTheme="majorHAnsi" w:eastAsia="Calibri" w:hAnsiTheme="majorHAnsi"/>
          <w:sz w:val="20"/>
          <w:szCs w:val="20"/>
          <w:lang w:val="es-VE"/>
        </w:rPr>
        <w:t xml:space="preserve">. En dicho informe la CIDH declaró la petición admisible en cuanto a la posible violación de los derechos consagrados </w:t>
      </w:r>
      <w:r w:rsidRPr="00D7724D">
        <w:rPr>
          <w:rFonts w:asciiTheme="majorHAnsi" w:eastAsia="Calibri" w:hAnsiTheme="majorHAnsi"/>
          <w:sz w:val="20"/>
          <w:szCs w:val="20"/>
          <w:lang w:val="es-VE"/>
        </w:rPr>
        <w:t>en los artículos 1</w:t>
      </w:r>
      <w:r>
        <w:rPr>
          <w:rFonts w:asciiTheme="majorHAnsi" w:eastAsia="Calibri" w:hAnsiTheme="majorHAnsi"/>
          <w:sz w:val="20"/>
          <w:szCs w:val="20"/>
          <w:lang w:val="es-VE"/>
        </w:rPr>
        <w:t>.</w:t>
      </w:r>
      <w:r w:rsidRPr="00D7724D">
        <w:rPr>
          <w:rFonts w:asciiTheme="majorHAnsi" w:eastAsia="Calibri" w:hAnsiTheme="majorHAnsi"/>
          <w:sz w:val="20"/>
          <w:szCs w:val="20"/>
          <w:lang w:val="es-VE"/>
        </w:rPr>
        <w:t>1,</w:t>
      </w:r>
      <w:r>
        <w:rPr>
          <w:rFonts w:asciiTheme="majorHAnsi" w:eastAsia="Calibri" w:hAnsiTheme="majorHAnsi"/>
          <w:sz w:val="20"/>
          <w:szCs w:val="20"/>
          <w:lang w:val="es-VE"/>
        </w:rPr>
        <w:t xml:space="preserve"> 7 y 8</w:t>
      </w:r>
      <w:r w:rsidRPr="00D7724D">
        <w:rPr>
          <w:rFonts w:asciiTheme="majorHAnsi" w:eastAsia="Calibri" w:hAnsiTheme="majorHAnsi"/>
          <w:sz w:val="20"/>
          <w:szCs w:val="20"/>
          <w:lang w:val="es-VE"/>
        </w:rPr>
        <w:t xml:space="preserve"> de la Convención Americana</w:t>
      </w:r>
      <w:r w:rsidRPr="007E7C09">
        <w:rPr>
          <w:rStyle w:val="FootnoteReference"/>
          <w:rFonts w:asciiTheme="majorHAnsi" w:eastAsia="Calibri" w:hAnsiTheme="majorHAnsi"/>
          <w:sz w:val="20"/>
          <w:szCs w:val="20"/>
          <w:lang w:val="es-VE"/>
        </w:rPr>
        <w:footnoteReference w:id="5"/>
      </w:r>
      <w:r w:rsidRPr="007E7C09">
        <w:rPr>
          <w:rFonts w:asciiTheme="majorHAnsi" w:eastAsia="Calibri" w:hAnsiTheme="majorHAnsi"/>
          <w:sz w:val="20"/>
          <w:szCs w:val="20"/>
          <w:lang w:val="es-VE"/>
        </w:rPr>
        <w:t>.</w:t>
      </w:r>
    </w:p>
    <w:p w:rsidR="00F039D8" w:rsidRPr="00292BDB"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El 4 de marzo de 2003</w:t>
      </w:r>
      <w:r w:rsidRPr="00964BBE">
        <w:rPr>
          <w:rFonts w:asciiTheme="majorHAnsi" w:eastAsia="Calibri" w:hAnsiTheme="majorHAnsi"/>
          <w:sz w:val="20"/>
          <w:szCs w:val="20"/>
          <w:lang w:val="es-VE"/>
        </w:rPr>
        <w:t xml:space="preserve"> la Comisión notificó a las partes el informe de admisibilidad. Asimismo, conforme a su Reglamento, se puso a disposición de las partes a fin de llegar a una solución amistosa y solicitó a </w:t>
      </w:r>
      <w:r>
        <w:rPr>
          <w:rFonts w:asciiTheme="majorHAnsi" w:eastAsia="Calibri" w:hAnsiTheme="majorHAnsi"/>
          <w:sz w:val="20"/>
          <w:szCs w:val="20"/>
          <w:lang w:val="es-VE"/>
        </w:rPr>
        <w:t>las dos</w:t>
      </w:r>
      <w:r w:rsidRPr="00964BBE">
        <w:rPr>
          <w:rFonts w:asciiTheme="majorHAnsi" w:eastAsia="Calibri" w:hAnsiTheme="majorHAnsi"/>
          <w:sz w:val="20"/>
          <w:szCs w:val="20"/>
          <w:lang w:val="es-VE"/>
        </w:rPr>
        <w:t xml:space="preserve"> partes presentar sus observaciones sobre una posible solución amistosa </w:t>
      </w:r>
      <w:r>
        <w:rPr>
          <w:rFonts w:asciiTheme="majorHAnsi" w:eastAsia="Calibri" w:hAnsiTheme="majorHAnsi"/>
          <w:sz w:val="20"/>
          <w:szCs w:val="20"/>
          <w:lang w:val="es-VE"/>
        </w:rPr>
        <w:t>a la mayor brevedad posible</w:t>
      </w:r>
      <w:r w:rsidRPr="00964BBE">
        <w:rPr>
          <w:rFonts w:asciiTheme="majorHAnsi" w:eastAsia="Calibri" w:hAnsiTheme="majorHAnsi"/>
          <w:sz w:val="20"/>
          <w:szCs w:val="20"/>
          <w:lang w:val="es-VE"/>
        </w:rPr>
        <w:t xml:space="preserve">. Asimismo, solicitó a los peticionarios presentar sus observaciones adicionales sobre el fondo en un plazo de dos meses. </w:t>
      </w:r>
    </w:p>
    <w:p w:rsidR="00F039D8" w:rsidRPr="0077501B"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F039D8" w:rsidRPr="00A72736"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sidRPr="0077501B">
        <w:rPr>
          <w:rFonts w:asciiTheme="majorHAnsi" w:eastAsia="Calibri" w:hAnsiTheme="majorHAnsi"/>
          <w:sz w:val="20"/>
          <w:szCs w:val="20"/>
          <w:lang w:val="es-VE"/>
        </w:rPr>
        <w:t xml:space="preserve">El 12 de septiembre de 2003 </w:t>
      </w:r>
      <w:r>
        <w:rPr>
          <w:rFonts w:asciiTheme="majorHAnsi" w:eastAsia="Calibri" w:hAnsiTheme="majorHAnsi"/>
          <w:sz w:val="20"/>
          <w:szCs w:val="20"/>
          <w:lang w:val="es-VE"/>
        </w:rPr>
        <w:t>los peticionarios</w:t>
      </w:r>
      <w:r w:rsidRPr="0077501B">
        <w:rPr>
          <w:rFonts w:asciiTheme="majorHAnsi" w:eastAsia="Calibri" w:hAnsiTheme="majorHAnsi"/>
          <w:sz w:val="20"/>
          <w:szCs w:val="20"/>
          <w:lang w:val="es-VE"/>
        </w:rPr>
        <w:t xml:space="preserve"> present</w:t>
      </w:r>
      <w:r>
        <w:rPr>
          <w:rFonts w:asciiTheme="majorHAnsi" w:eastAsia="Calibri" w:hAnsiTheme="majorHAnsi"/>
          <w:sz w:val="20"/>
          <w:szCs w:val="20"/>
          <w:lang w:val="es-VE"/>
        </w:rPr>
        <w:t xml:space="preserve">aron </w:t>
      </w:r>
      <w:r w:rsidRPr="0077501B">
        <w:rPr>
          <w:rFonts w:asciiTheme="majorHAnsi" w:eastAsia="Calibri" w:hAnsiTheme="majorHAnsi"/>
          <w:sz w:val="20"/>
          <w:szCs w:val="20"/>
          <w:lang w:val="es-VE"/>
        </w:rPr>
        <w:t>sus observacion</w:t>
      </w:r>
      <w:r>
        <w:rPr>
          <w:rFonts w:asciiTheme="majorHAnsi" w:eastAsia="Calibri" w:hAnsiTheme="majorHAnsi"/>
          <w:sz w:val="20"/>
          <w:szCs w:val="20"/>
          <w:lang w:val="es-VE"/>
        </w:rPr>
        <w:t xml:space="preserve">es adicionales sobre el fondo las cuales fueron remitidas al Estado. El 20 de octubre de 2016 la CIDH otorgó al Estado un nuevo plazo reglamentario para presentar observaciones adicionales sobre el fondo. El 6 de marzo de 2017 el Estado presentó sus observaciones adicionales sobre el fondo, las cuales fueron remitidas para conocimiento del peticionario. </w:t>
      </w:r>
    </w:p>
    <w:p w:rsidR="00F039D8" w:rsidRPr="0077501B"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rsidR="00F039D8" w:rsidRPr="008D68B9" w:rsidRDefault="00F039D8" w:rsidP="00F039D8">
      <w:pPr>
        <w:pStyle w:val="Heading1"/>
        <w:numPr>
          <w:ilvl w:val="0"/>
          <w:numId w:val="55"/>
        </w:numPr>
        <w:tabs>
          <w:tab w:val="clear" w:pos="1440"/>
        </w:tabs>
      </w:pPr>
      <w:bookmarkStart w:id="15" w:name="_Toc423514407"/>
      <w:bookmarkStart w:id="16" w:name="_Toc433115983"/>
      <w:bookmarkStart w:id="17" w:name="_Toc444958126"/>
      <w:bookmarkStart w:id="18" w:name="_Toc485394047"/>
      <w:r w:rsidRPr="008D68B9">
        <w:t>POSICIONES DE LAS PARTES</w:t>
      </w:r>
      <w:bookmarkEnd w:id="13"/>
      <w:bookmarkEnd w:id="14"/>
      <w:bookmarkEnd w:id="15"/>
      <w:bookmarkEnd w:id="16"/>
      <w:bookmarkEnd w:id="17"/>
      <w:bookmarkEnd w:id="18"/>
    </w:p>
    <w:p w:rsidR="00F039D8" w:rsidRPr="008D68B9" w:rsidRDefault="00F039D8" w:rsidP="00F039D8">
      <w:pPr>
        <w:rPr>
          <w:rFonts w:asciiTheme="majorHAnsi" w:hAnsiTheme="majorHAnsi"/>
          <w:sz w:val="20"/>
          <w:szCs w:val="20"/>
          <w:lang w:val="es-CO"/>
        </w:rPr>
      </w:pPr>
    </w:p>
    <w:p w:rsidR="00F039D8" w:rsidRPr="008D68B9" w:rsidRDefault="00F039D8" w:rsidP="00F039D8">
      <w:pPr>
        <w:pStyle w:val="Heading2"/>
        <w:numPr>
          <w:ilvl w:val="0"/>
          <w:numId w:val="59"/>
        </w:numPr>
      </w:pPr>
      <w:bookmarkStart w:id="19" w:name="_Toc423514408"/>
      <w:bookmarkStart w:id="20" w:name="_Toc433115984"/>
      <w:bookmarkStart w:id="21" w:name="_Toc444958127"/>
      <w:bookmarkStart w:id="22" w:name="_Toc485394048"/>
      <w:r w:rsidRPr="008D68B9">
        <w:t>Posición de los peticionarios</w:t>
      </w:r>
      <w:bookmarkEnd w:id="19"/>
      <w:bookmarkEnd w:id="20"/>
      <w:bookmarkEnd w:id="21"/>
      <w:bookmarkEnd w:id="22"/>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Los peticionarios sostuvieron</w:t>
      </w:r>
      <w:r w:rsidRPr="00885009">
        <w:rPr>
          <w:rFonts w:asciiTheme="majorHAnsi" w:eastAsia="Calibri" w:hAnsiTheme="majorHAnsi"/>
          <w:sz w:val="20"/>
          <w:szCs w:val="20"/>
          <w:lang w:val="es-VE"/>
        </w:rPr>
        <w:t xml:space="preserve"> que el 30 de junio de 1994 </w:t>
      </w:r>
      <w:r>
        <w:rPr>
          <w:rFonts w:asciiTheme="majorHAnsi" w:eastAsia="Calibri" w:hAnsiTheme="majorHAnsi"/>
          <w:sz w:val="20"/>
          <w:szCs w:val="20"/>
          <w:lang w:val="es-VE"/>
        </w:rPr>
        <w:t xml:space="preserve">Jorge </w:t>
      </w:r>
      <w:proofErr w:type="spellStart"/>
      <w:r>
        <w:rPr>
          <w:rFonts w:asciiTheme="majorHAnsi" w:eastAsia="Calibri" w:hAnsiTheme="majorHAnsi"/>
          <w:sz w:val="20"/>
          <w:szCs w:val="20"/>
          <w:lang w:val="es-VE"/>
        </w:rPr>
        <w:t>Rosad</w:t>
      </w:r>
      <w:r w:rsidR="002012CF">
        <w:rPr>
          <w:rFonts w:asciiTheme="majorHAnsi" w:eastAsia="Calibri" w:hAnsiTheme="majorHAnsi"/>
          <w:sz w:val="20"/>
          <w:szCs w:val="20"/>
          <w:lang w:val="es-VE"/>
        </w:rPr>
        <w:t>i</w:t>
      </w:r>
      <w:r>
        <w:rPr>
          <w:rFonts w:asciiTheme="majorHAnsi" w:eastAsia="Calibri" w:hAnsiTheme="majorHAnsi"/>
          <w:sz w:val="20"/>
          <w:szCs w:val="20"/>
          <w:lang w:val="es-VE"/>
        </w:rPr>
        <w:t>o</w:t>
      </w:r>
      <w:proofErr w:type="spellEnd"/>
      <w:r>
        <w:rPr>
          <w:rFonts w:asciiTheme="majorHAnsi" w:eastAsia="Calibri" w:hAnsiTheme="majorHAnsi"/>
          <w:sz w:val="20"/>
          <w:szCs w:val="20"/>
          <w:lang w:val="es-VE"/>
        </w:rPr>
        <w:t xml:space="preserve"> Villavicencio, Oficial del Ejército P</w:t>
      </w:r>
      <w:r w:rsidRPr="00885009">
        <w:rPr>
          <w:rFonts w:asciiTheme="majorHAnsi" w:eastAsia="Calibri" w:hAnsiTheme="majorHAnsi"/>
          <w:sz w:val="20"/>
          <w:szCs w:val="20"/>
          <w:lang w:val="es-VE"/>
        </w:rPr>
        <w:t xml:space="preserve">eruano, fue notificado </w:t>
      </w:r>
      <w:r>
        <w:rPr>
          <w:rFonts w:asciiTheme="majorHAnsi" w:eastAsia="Calibri" w:hAnsiTheme="majorHAnsi"/>
          <w:sz w:val="20"/>
          <w:szCs w:val="20"/>
          <w:lang w:val="es-VE"/>
        </w:rPr>
        <w:t xml:space="preserve">de su designación como </w:t>
      </w:r>
      <w:r w:rsidR="009B08BE">
        <w:rPr>
          <w:rFonts w:asciiTheme="majorHAnsi" w:eastAsia="Calibri" w:hAnsiTheme="majorHAnsi"/>
          <w:sz w:val="20"/>
          <w:szCs w:val="20"/>
          <w:lang w:val="es-VE"/>
        </w:rPr>
        <w:t>Jefe de la Base Militar de Sio</w:t>
      </w:r>
      <w:r w:rsidRPr="00885009">
        <w:rPr>
          <w:rFonts w:asciiTheme="majorHAnsi" w:eastAsia="Calibri" w:hAnsiTheme="majorHAnsi"/>
          <w:sz w:val="20"/>
          <w:szCs w:val="20"/>
          <w:lang w:val="es-VE"/>
        </w:rPr>
        <w:t>n de la Quinta Región Militar, destacamento "Leoncio Prado", Compañía de Inteligencia N° 341, con base en la ciudad de Tarap</w:t>
      </w:r>
      <w:r>
        <w:rPr>
          <w:rFonts w:asciiTheme="majorHAnsi" w:eastAsia="Calibri" w:hAnsiTheme="majorHAnsi"/>
          <w:sz w:val="20"/>
          <w:szCs w:val="20"/>
          <w:lang w:val="es-VE"/>
        </w:rPr>
        <w:t xml:space="preserve">oto, departamento de San Martín, a partir del 1 de julio de 1994. </w:t>
      </w:r>
    </w:p>
    <w:p w:rsidR="00F039D8" w:rsidRPr="00954C30"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Manifestaron</w:t>
      </w:r>
      <w:r w:rsidRPr="00885009">
        <w:rPr>
          <w:rFonts w:asciiTheme="majorHAnsi" w:eastAsia="Calibri" w:hAnsiTheme="majorHAnsi"/>
          <w:sz w:val="20"/>
          <w:szCs w:val="20"/>
          <w:lang w:val="es-VE"/>
        </w:rPr>
        <w:t xml:space="preserve"> que el </w:t>
      </w:r>
      <w:r>
        <w:rPr>
          <w:rFonts w:asciiTheme="majorHAnsi" w:eastAsia="Calibri" w:hAnsiTheme="majorHAnsi"/>
          <w:sz w:val="20"/>
          <w:szCs w:val="20"/>
          <w:lang w:val="es-VE"/>
        </w:rPr>
        <w:t xml:space="preserve">señor </w:t>
      </w:r>
      <w:proofErr w:type="spellStart"/>
      <w:r w:rsidRPr="00885009">
        <w:rPr>
          <w:rFonts w:asciiTheme="majorHAnsi" w:eastAsia="Calibri" w:hAnsiTheme="majorHAnsi"/>
          <w:sz w:val="20"/>
          <w:szCs w:val="20"/>
          <w:lang w:val="es-VE"/>
        </w:rPr>
        <w:t>Rosad</w:t>
      </w:r>
      <w:r w:rsidR="002012CF">
        <w:rPr>
          <w:rFonts w:asciiTheme="majorHAnsi" w:eastAsia="Calibri" w:hAnsiTheme="majorHAnsi"/>
          <w:sz w:val="20"/>
          <w:szCs w:val="20"/>
          <w:lang w:val="es-VE"/>
        </w:rPr>
        <w:t>i</w:t>
      </w:r>
      <w:r w:rsidRPr="00885009">
        <w:rPr>
          <w:rFonts w:asciiTheme="majorHAnsi" w:eastAsia="Calibri" w:hAnsiTheme="majorHAnsi"/>
          <w:sz w:val="20"/>
          <w:szCs w:val="20"/>
          <w:lang w:val="es-VE"/>
        </w:rPr>
        <w:t>o</w:t>
      </w:r>
      <w:proofErr w:type="spellEnd"/>
      <w:r w:rsidRPr="00885009">
        <w:rPr>
          <w:rFonts w:asciiTheme="majorHAnsi" w:eastAsia="Calibri" w:hAnsiTheme="majorHAnsi"/>
          <w:sz w:val="20"/>
          <w:szCs w:val="20"/>
          <w:lang w:val="es-VE"/>
        </w:rPr>
        <w:t xml:space="preserve"> Villavicencio asumió su cargo y su superior jerárquico, el Coronel (EP) Emilio Murgueytio, le encomendó una misión de inteligencia en su calidad de Jefe de la Base de Sión: llevar a cabo el Plan de Operaciones "Ángel" clasificado como </w:t>
      </w:r>
      <w:r w:rsidR="00297BEA">
        <w:rPr>
          <w:rFonts w:asciiTheme="majorHAnsi" w:eastAsia="Calibri" w:hAnsiTheme="majorHAnsi"/>
          <w:sz w:val="20"/>
          <w:szCs w:val="20"/>
          <w:lang w:val="es-VE"/>
        </w:rPr>
        <w:t>"s</w:t>
      </w:r>
      <w:r w:rsidRPr="00885009">
        <w:rPr>
          <w:rFonts w:asciiTheme="majorHAnsi" w:eastAsia="Calibri" w:hAnsiTheme="majorHAnsi"/>
          <w:sz w:val="20"/>
          <w:szCs w:val="20"/>
          <w:lang w:val="es-VE"/>
        </w:rPr>
        <w:t>ecreto", consistente en infiltrarse</w:t>
      </w:r>
      <w:r>
        <w:rPr>
          <w:rFonts w:asciiTheme="majorHAnsi" w:eastAsia="Calibri" w:hAnsiTheme="majorHAnsi"/>
          <w:sz w:val="20"/>
          <w:szCs w:val="20"/>
          <w:lang w:val="es-VE"/>
        </w:rPr>
        <w:t xml:space="preserve"> “como un oficial corrupto”</w:t>
      </w:r>
      <w:r w:rsidRPr="00885009">
        <w:rPr>
          <w:rFonts w:asciiTheme="majorHAnsi" w:eastAsia="Calibri" w:hAnsiTheme="majorHAnsi"/>
          <w:sz w:val="20"/>
          <w:szCs w:val="20"/>
          <w:lang w:val="es-VE"/>
        </w:rPr>
        <w:t xml:space="preserve"> dentro de las organizaciones de narcotrafica</w:t>
      </w:r>
      <w:r>
        <w:rPr>
          <w:rFonts w:asciiTheme="majorHAnsi" w:eastAsia="Calibri" w:hAnsiTheme="majorHAnsi"/>
          <w:sz w:val="20"/>
          <w:szCs w:val="20"/>
          <w:lang w:val="es-VE"/>
        </w:rPr>
        <w:t>ntes para desarticularlas. Indicaron que inició dicha misión de inteligencia en la primera quincena de agosto de 1994.</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039D8" w:rsidRPr="00F56735"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olor w:val="000000"/>
          <w:sz w:val="20"/>
          <w:szCs w:val="20"/>
          <w:bdr w:val="none" w:sz="0" w:space="0" w:color="auto"/>
          <w:lang w:val="es-ES"/>
        </w:rPr>
      </w:pPr>
      <w:r>
        <w:rPr>
          <w:rFonts w:asciiTheme="majorHAnsi" w:eastAsia="Calibri" w:hAnsiTheme="majorHAnsi"/>
          <w:sz w:val="20"/>
          <w:szCs w:val="20"/>
          <w:lang w:val="es-VE"/>
        </w:rPr>
        <w:t>Refirieron</w:t>
      </w:r>
      <w:r w:rsidRPr="00036935">
        <w:rPr>
          <w:rFonts w:asciiTheme="majorHAnsi" w:eastAsia="Calibri" w:hAnsiTheme="majorHAnsi"/>
          <w:sz w:val="20"/>
          <w:szCs w:val="20"/>
          <w:lang w:val="es-VE"/>
        </w:rPr>
        <w:t xml:space="preserve"> que el 25 de septiembre de 1994 la presunta víctima fue notificada </w:t>
      </w:r>
      <w:r>
        <w:rPr>
          <w:rFonts w:asciiTheme="majorHAnsi" w:eastAsia="Times New Roman" w:hAnsiTheme="majorHAnsi"/>
          <w:color w:val="000000"/>
          <w:sz w:val="20"/>
          <w:szCs w:val="20"/>
          <w:bdr w:val="none" w:sz="0" w:space="0" w:color="auto"/>
          <w:lang w:val="es-ES"/>
        </w:rPr>
        <w:t>que había sido denunciada</w:t>
      </w:r>
      <w:r w:rsidRPr="00036935">
        <w:rPr>
          <w:rFonts w:asciiTheme="majorHAnsi" w:eastAsia="Times New Roman" w:hAnsiTheme="majorHAnsi"/>
          <w:color w:val="000000"/>
          <w:sz w:val="20"/>
          <w:szCs w:val="20"/>
          <w:bdr w:val="none" w:sz="0" w:space="0" w:color="auto"/>
          <w:lang w:val="es-ES"/>
        </w:rPr>
        <w:t xml:space="preserve"> </w:t>
      </w:r>
      <w:r>
        <w:rPr>
          <w:rFonts w:asciiTheme="majorHAnsi" w:eastAsia="Times New Roman" w:hAnsiTheme="majorHAnsi"/>
          <w:color w:val="000000"/>
          <w:sz w:val="20"/>
          <w:szCs w:val="20"/>
          <w:bdr w:val="none" w:sz="0" w:space="0" w:color="auto"/>
          <w:lang w:val="es-ES"/>
        </w:rPr>
        <w:t>por la comisión del delito de t</w:t>
      </w:r>
      <w:r w:rsidRPr="00036935">
        <w:rPr>
          <w:rFonts w:asciiTheme="majorHAnsi" w:eastAsia="Times New Roman" w:hAnsiTheme="majorHAnsi"/>
          <w:color w:val="000000"/>
          <w:sz w:val="20"/>
          <w:szCs w:val="20"/>
          <w:bdr w:val="none" w:sz="0" w:space="0" w:color="auto"/>
          <w:lang w:val="es-ES"/>
        </w:rPr>
        <w:t>ráfico ilícito de drogas (artículo 296 del Código Penal), en el fuero común, y por los siguien</w:t>
      </w:r>
      <w:r>
        <w:rPr>
          <w:rFonts w:asciiTheme="majorHAnsi" w:eastAsia="Times New Roman" w:hAnsiTheme="majorHAnsi"/>
          <w:color w:val="000000"/>
          <w:sz w:val="20"/>
          <w:szCs w:val="20"/>
          <w:bdr w:val="none" w:sz="0" w:space="0" w:color="auto"/>
          <w:lang w:val="es-ES"/>
        </w:rPr>
        <w:t>tes delitos establecidos en el Código de Justicia M</w:t>
      </w:r>
      <w:r w:rsidRPr="00F56735">
        <w:rPr>
          <w:rFonts w:asciiTheme="majorHAnsi" w:eastAsia="Times New Roman" w:hAnsiTheme="majorHAnsi"/>
          <w:color w:val="000000"/>
          <w:sz w:val="20"/>
          <w:szCs w:val="20"/>
          <w:bdr w:val="none" w:sz="0" w:space="0" w:color="auto"/>
          <w:lang w:val="es-ES"/>
        </w:rPr>
        <w:t xml:space="preserve">ilitar: contra el deber y dignidad de la función (artículo 200); falsedad (artículo 299), negligencia (artículo 238), contra la administración de justicia (artículo 302, inc. 4), abuso de autoridad (artículo 180, inc. 8.a) y desobediencia (artículo 158 del citado cuerpo legal). </w:t>
      </w:r>
    </w:p>
    <w:p w:rsidR="00F039D8" w:rsidRPr="00B31F46"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highlight w:val="yellow"/>
          <w:lang w:val="es-VE"/>
        </w:rPr>
      </w:pPr>
    </w:p>
    <w:p w:rsidR="00F039D8" w:rsidRPr="00F06F36"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Indicaron que en la vía administrativa disciplinaria, el 3 de marzo de 1995 la Comandancia General del Ejército decidió pasar a situación de retiro a la presunta víctima. No obstante, agregaron que la presunta víctima ya había sido pasada a situación de retiro desde el 24 de febrero de 1995</w:t>
      </w:r>
      <w:r w:rsidRPr="00F06F36">
        <w:rPr>
          <w:rFonts w:asciiTheme="majorHAnsi" w:eastAsia="Calibri" w:hAnsiTheme="majorHAnsi"/>
          <w:sz w:val="20"/>
          <w:szCs w:val="20"/>
          <w:lang w:val="es-VE"/>
        </w:rPr>
        <w:t xml:space="preserve">, antes de que se tomara formalmente dicha decisión. </w:t>
      </w:r>
    </w:p>
    <w:p w:rsidR="00F039D8" w:rsidRPr="00084660" w:rsidRDefault="00F039D8" w:rsidP="00F039D8">
      <w:pPr>
        <w:pStyle w:val="ListParagrap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Agregaron que el proceso administrativo disciplinario se inició cuando la presunta víctima ya se encontraba privada de libertad y fue conducido por un “Consejo de investigación para Oficiales Subalternos”, que no tenía competencia para pronunciarse sobre su situación por ser un oficial y no </w:t>
      </w:r>
      <w:r>
        <w:rPr>
          <w:rFonts w:asciiTheme="majorHAnsi" w:eastAsia="Calibri" w:hAnsiTheme="majorHAnsi"/>
          <w:sz w:val="20"/>
          <w:szCs w:val="20"/>
          <w:lang w:val="es-VE"/>
        </w:rPr>
        <w:lastRenderedPageBreak/>
        <w:t>“subalterno” u “oficial subalterno”, y que no fue citado ante el referido Consejo. Indicaron que la presunta víctima no accionó</w:t>
      </w:r>
      <w:r w:rsidRPr="00E15452">
        <w:rPr>
          <w:rFonts w:asciiTheme="majorHAnsi" w:eastAsia="Calibri" w:hAnsiTheme="majorHAnsi"/>
          <w:sz w:val="20"/>
          <w:szCs w:val="20"/>
          <w:lang w:val="es-VE"/>
        </w:rPr>
        <w:t xml:space="preserve"> en contra de dicha decisión porque se encontraba privado de libertad. </w:t>
      </w:r>
    </w:p>
    <w:p w:rsidR="00F039D8" w:rsidRPr="00F56735"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039D8" w:rsidRPr="00571DFD"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En cuanto al proceso en el fuero militar</w:t>
      </w:r>
      <w:r w:rsidR="00534A52">
        <w:rPr>
          <w:rFonts w:asciiTheme="majorHAnsi" w:eastAsia="Calibri" w:hAnsiTheme="majorHAnsi"/>
          <w:sz w:val="20"/>
          <w:szCs w:val="20"/>
          <w:lang w:val="es-VE"/>
        </w:rPr>
        <w:t>,</w:t>
      </w:r>
      <w:r>
        <w:rPr>
          <w:rFonts w:asciiTheme="majorHAnsi" w:eastAsia="Calibri" w:hAnsiTheme="majorHAnsi"/>
          <w:sz w:val="20"/>
          <w:szCs w:val="20"/>
          <w:lang w:val="es-VE"/>
        </w:rPr>
        <w:t xml:space="preserve"> indicaron que el 29 de noviembre de 1996 la presunta víctima fue condenada a la pena de </w:t>
      </w:r>
      <w:r w:rsidRPr="00571DFD">
        <w:rPr>
          <w:rFonts w:asciiTheme="majorHAnsi" w:eastAsia="Calibri" w:hAnsiTheme="majorHAnsi"/>
          <w:sz w:val="20"/>
          <w:szCs w:val="20"/>
          <w:lang w:val="es-VE"/>
        </w:rPr>
        <w:t>16 meses de prisión por el delito de negligencia.</w:t>
      </w:r>
      <w:r>
        <w:rPr>
          <w:rFonts w:asciiTheme="majorHAnsi" w:eastAsia="Calibri" w:hAnsiTheme="majorHAnsi"/>
          <w:sz w:val="20"/>
          <w:szCs w:val="20"/>
          <w:lang w:val="es-VE"/>
        </w:rPr>
        <w:t xml:space="preserve"> Con poste</w:t>
      </w:r>
      <w:r w:rsidR="009D5B30">
        <w:rPr>
          <w:rFonts w:asciiTheme="majorHAnsi" w:eastAsia="Calibri" w:hAnsiTheme="majorHAnsi"/>
          <w:sz w:val="20"/>
          <w:szCs w:val="20"/>
          <w:lang w:val="es-VE"/>
        </w:rPr>
        <w:t>rioridad</w:t>
      </w:r>
      <w:r w:rsidR="00534A52">
        <w:rPr>
          <w:rFonts w:asciiTheme="majorHAnsi" w:eastAsia="Calibri" w:hAnsiTheme="majorHAnsi"/>
          <w:sz w:val="20"/>
          <w:szCs w:val="20"/>
          <w:lang w:val="es-VE"/>
        </w:rPr>
        <w:t>,</w:t>
      </w:r>
      <w:r w:rsidR="009D5B30">
        <w:rPr>
          <w:rFonts w:asciiTheme="majorHAnsi" w:eastAsia="Calibri" w:hAnsiTheme="majorHAnsi"/>
          <w:sz w:val="20"/>
          <w:szCs w:val="20"/>
          <w:lang w:val="es-VE"/>
        </w:rPr>
        <w:t xml:space="preserve"> el Consejo Supremo de J</w:t>
      </w:r>
      <w:r>
        <w:rPr>
          <w:rFonts w:asciiTheme="majorHAnsi" w:eastAsia="Calibri" w:hAnsiTheme="majorHAnsi"/>
          <w:sz w:val="20"/>
          <w:szCs w:val="20"/>
          <w:lang w:val="es-VE"/>
        </w:rPr>
        <w:t xml:space="preserve">usticia Militar anuló dicha sentencia, y en una nueva decisión del 15 de diciembre de 1997, el Consejo de Guerra Permanente de la Sexta Zona Judicial del Ejército lo condenó a 28 meses de prisión </w:t>
      </w:r>
      <w:r w:rsidRPr="00571DFD">
        <w:rPr>
          <w:rFonts w:asciiTheme="majorHAnsi" w:eastAsia="Calibri" w:hAnsiTheme="majorHAnsi"/>
          <w:sz w:val="20"/>
          <w:szCs w:val="20"/>
          <w:lang w:val="es-VE"/>
        </w:rPr>
        <w:t xml:space="preserve">por los delitos de “desobediencia contra el deber y dignidad de la función, falsedad, negligencia y abuso de autoridad”. </w:t>
      </w:r>
    </w:p>
    <w:p w:rsidR="00F039D8" w:rsidRDefault="00F039D8" w:rsidP="00F039D8">
      <w:pPr>
        <w:pStyle w:val="ListParagrap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Indicaron</w:t>
      </w:r>
      <w:r w:rsidRPr="00BB0C60">
        <w:rPr>
          <w:rFonts w:asciiTheme="majorHAnsi" w:eastAsia="Calibri" w:hAnsiTheme="majorHAnsi"/>
          <w:sz w:val="20"/>
          <w:szCs w:val="20"/>
          <w:lang w:val="es-VE"/>
        </w:rPr>
        <w:t xml:space="preserve"> que en este nuevo</w:t>
      </w:r>
      <w:r>
        <w:rPr>
          <w:rFonts w:asciiTheme="majorHAnsi" w:eastAsia="Calibri" w:hAnsiTheme="majorHAnsi"/>
          <w:sz w:val="20"/>
          <w:szCs w:val="20"/>
          <w:lang w:val="es-VE"/>
        </w:rPr>
        <w:t xml:space="preserve"> proceso actuó como su</w:t>
      </w:r>
      <w:r w:rsidR="00297BEA">
        <w:rPr>
          <w:rFonts w:asciiTheme="majorHAnsi" w:eastAsia="Calibri" w:hAnsiTheme="majorHAnsi"/>
          <w:sz w:val="20"/>
          <w:szCs w:val="20"/>
          <w:lang w:val="es-VE"/>
        </w:rPr>
        <w:t xml:space="preserve"> defensor de oficio, un militar</w:t>
      </w:r>
      <w:r>
        <w:rPr>
          <w:rFonts w:asciiTheme="majorHAnsi" w:eastAsia="Calibri" w:hAnsiTheme="majorHAnsi"/>
          <w:sz w:val="20"/>
          <w:szCs w:val="20"/>
          <w:lang w:val="es-VE"/>
        </w:rPr>
        <w:t xml:space="preserve"> que fue posteriormente juez durante el proceso penal militar, por</w:t>
      </w:r>
      <w:r w:rsidR="00297BEA">
        <w:rPr>
          <w:rFonts w:asciiTheme="majorHAnsi" w:eastAsia="Calibri" w:hAnsiTheme="majorHAnsi"/>
          <w:sz w:val="20"/>
          <w:szCs w:val="20"/>
          <w:lang w:val="es-VE"/>
        </w:rPr>
        <w:t xml:space="preserve"> lo que debió inhibirse. Refirieron</w:t>
      </w:r>
      <w:r>
        <w:rPr>
          <w:rFonts w:asciiTheme="majorHAnsi" w:eastAsia="Calibri" w:hAnsiTheme="majorHAnsi"/>
          <w:sz w:val="20"/>
          <w:szCs w:val="20"/>
          <w:lang w:val="es-VE"/>
        </w:rPr>
        <w:t xml:space="preserve"> que no tiene fundamento el alegato del Estado según el cual la presunta víctima debió presentar la solicitud de inhibitoria ya que fue el Estado el que designó a su defensor de oficio, y luego lo nombró juez para investigar el caso contra la presunta víctima. </w:t>
      </w:r>
    </w:p>
    <w:p w:rsidR="00F039D8" w:rsidRPr="00CE69CE" w:rsidRDefault="00F039D8" w:rsidP="00F039D8">
      <w:pPr>
        <w:rPr>
          <w:rFonts w:asciiTheme="majorHAnsi" w:eastAsia="Calibri" w:hAnsiTheme="majorHAnsi"/>
          <w:sz w:val="20"/>
          <w:szCs w:val="20"/>
          <w:lang w:val="es-VE"/>
        </w:rPr>
      </w:pPr>
    </w:p>
    <w:p w:rsidR="00F039D8" w:rsidRPr="00A53FBB"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Agregaron que las audiencias en el marco del proceso ante la jurisdicción militar se llevaron a cabo el 29 de noviembre de 1996 y 15 de diciembre de 1997. Indicaron que en la primera, el Consej</w:t>
      </w:r>
      <w:r w:rsidR="009D5B30">
        <w:rPr>
          <w:rFonts w:asciiTheme="majorHAnsi" w:eastAsia="Calibri" w:hAnsiTheme="majorHAnsi"/>
          <w:sz w:val="20"/>
          <w:szCs w:val="20"/>
          <w:lang w:val="es-VE"/>
        </w:rPr>
        <w:t>o de Guerra Permanente de la Sexta</w:t>
      </w:r>
      <w:r>
        <w:rPr>
          <w:rFonts w:asciiTheme="majorHAnsi" w:eastAsia="Calibri" w:hAnsiTheme="majorHAnsi"/>
          <w:sz w:val="20"/>
          <w:szCs w:val="20"/>
          <w:lang w:val="es-VE"/>
        </w:rPr>
        <w:t xml:space="preserve"> Zona Judicial del Ejército se trasladó al Establecimiento Penitenciario de </w:t>
      </w:r>
      <w:proofErr w:type="spellStart"/>
      <w:r>
        <w:rPr>
          <w:rFonts w:asciiTheme="majorHAnsi" w:eastAsia="Calibri" w:hAnsiTheme="majorHAnsi"/>
          <w:sz w:val="20"/>
          <w:szCs w:val="20"/>
          <w:lang w:val="es-VE"/>
        </w:rPr>
        <w:t>Moyabamba</w:t>
      </w:r>
      <w:proofErr w:type="spellEnd"/>
      <w:r>
        <w:rPr>
          <w:rFonts w:asciiTheme="majorHAnsi" w:eastAsia="Calibri" w:hAnsiTheme="majorHAnsi"/>
          <w:sz w:val="20"/>
          <w:szCs w:val="20"/>
          <w:lang w:val="es-VE"/>
        </w:rPr>
        <w:t xml:space="preserve"> y procedió casi de manera inmediata a realizar la audiencia en contra de la presunta víctima, sin concederle ni siquiera 24 horas para preparar su defensa, e impidiendo que pudiera ser asistido por un</w:t>
      </w:r>
      <w:r w:rsidR="00297BEA">
        <w:rPr>
          <w:rFonts w:asciiTheme="majorHAnsi" w:eastAsia="Calibri" w:hAnsiTheme="majorHAnsi"/>
          <w:sz w:val="20"/>
          <w:szCs w:val="20"/>
          <w:lang w:val="es-VE"/>
        </w:rPr>
        <w:t xml:space="preserve"> abogado de su elección. Refirieron</w:t>
      </w:r>
      <w:r>
        <w:rPr>
          <w:rFonts w:asciiTheme="majorHAnsi" w:eastAsia="Calibri" w:hAnsiTheme="majorHAnsi"/>
          <w:sz w:val="20"/>
          <w:szCs w:val="20"/>
          <w:lang w:val="es-VE"/>
        </w:rPr>
        <w:t xml:space="preserve"> que en la segunda fecha, el Consejo procedió de la misma manera. </w:t>
      </w:r>
    </w:p>
    <w:p w:rsidR="00F039D8" w:rsidRDefault="00F039D8" w:rsidP="00F039D8">
      <w:pPr>
        <w:pStyle w:val="ListParagrap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Refirieron que a través de la comunicación que el Estado remitió a la CIDH, la presunta víctima se percató que el Consejo Supremo dictó una sentencia el 30 de junio de 1998, en el marco de un recurso de revisión, la cual confirmó la que se mencionó con anterioridad. Destacó que no fue notificado de dicha decisión. </w:t>
      </w:r>
    </w:p>
    <w:p w:rsidR="00F039D8" w:rsidRDefault="00F039D8" w:rsidP="00F039D8">
      <w:pPr>
        <w:pStyle w:val="ListParagrap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Estimaron que los actos </w:t>
      </w:r>
      <w:r w:rsidRPr="00671BCD">
        <w:rPr>
          <w:rFonts w:asciiTheme="majorHAnsi" w:eastAsia="Calibri" w:hAnsiTheme="majorHAnsi"/>
          <w:sz w:val="20"/>
          <w:szCs w:val="20"/>
          <w:lang w:val="es-VE"/>
        </w:rPr>
        <w:t xml:space="preserve">realizados por la presunta víctima no se encuadran </w:t>
      </w:r>
      <w:r>
        <w:rPr>
          <w:rFonts w:asciiTheme="majorHAnsi" w:eastAsia="Calibri" w:hAnsiTheme="majorHAnsi"/>
          <w:sz w:val="20"/>
          <w:szCs w:val="20"/>
          <w:lang w:val="es-VE"/>
        </w:rPr>
        <w:t>dentro del tipo penal de desobediencia</w:t>
      </w:r>
      <w:r w:rsidRPr="00671BCD">
        <w:rPr>
          <w:rFonts w:asciiTheme="majorHAnsi" w:eastAsia="Calibri" w:hAnsiTheme="majorHAnsi"/>
          <w:sz w:val="20"/>
          <w:szCs w:val="20"/>
          <w:lang w:val="es-VE"/>
        </w:rPr>
        <w:t>, porque el artículo 19.7 del Código de Justicia Militar establece que están exentos de responsabilidad “el que procede en virtud de obediencia al superior, siempre que la orden de este no sea notoria</w:t>
      </w:r>
      <w:r w:rsidR="00297BEA">
        <w:rPr>
          <w:rFonts w:asciiTheme="majorHAnsi" w:eastAsia="Calibri" w:hAnsiTheme="majorHAnsi"/>
          <w:sz w:val="20"/>
          <w:szCs w:val="20"/>
          <w:lang w:val="es-VE"/>
        </w:rPr>
        <w:t>mente ilícita”. A su vez, indicaron</w:t>
      </w:r>
      <w:r w:rsidRPr="00671BCD">
        <w:rPr>
          <w:rFonts w:asciiTheme="majorHAnsi" w:eastAsia="Calibri" w:hAnsiTheme="majorHAnsi"/>
          <w:sz w:val="20"/>
          <w:szCs w:val="20"/>
          <w:lang w:val="es-VE"/>
        </w:rPr>
        <w:t xml:space="preserve"> que el artículo 19.5 del mismo Código considera exento de responsabilidad a quien “procede en ejercicio de un derecho o en el cumplimiento de sus deberes</w:t>
      </w:r>
      <w:r w:rsidR="00297BEA">
        <w:rPr>
          <w:rFonts w:asciiTheme="majorHAnsi" w:eastAsia="Calibri" w:hAnsiTheme="majorHAnsi"/>
          <w:sz w:val="20"/>
          <w:szCs w:val="20"/>
          <w:lang w:val="es-VE"/>
        </w:rPr>
        <w:t xml:space="preserve"> militares o de función”. Indicaron</w:t>
      </w:r>
      <w:r w:rsidRPr="00671BCD">
        <w:rPr>
          <w:rFonts w:asciiTheme="majorHAnsi" w:eastAsia="Calibri" w:hAnsiTheme="majorHAnsi"/>
          <w:sz w:val="20"/>
          <w:szCs w:val="20"/>
          <w:lang w:val="es-VE"/>
        </w:rPr>
        <w:t xml:space="preserve"> que está probado que su superior le dio una orden que cumplió de acuerdo con los manuales militares de inteligencia, por lo que sus actos están exentos de toda responsabilidad penal militar. </w:t>
      </w:r>
    </w:p>
    <w:p w:rsidR="00F039D8" w:rsidRPr="00EE2DD6" w:rsidRDefault="00F039D8" w:rsidP="00F039D8">
      <w:pPr>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Refirieron</w:t>
      </w:r>
      <w:r w:rsidRPr="008A71DF">
        <w:rPr>
          <w:rFonts w:asciiTheme="majorHAnsi" w:eastAsia="Calibri" w:hAnsiTheme="majorHAnsi"/>
          <w:sz w:val="20"/>
          <w:szCs w:val="20"/>
          <w:lang w:val="es-VE"/>
        </w:rPr>
        <w:t xml:space="preserve"> que también se iniciaron acciones en contra </w:t>
      </w:r>
      <w:r>
        <w:rPr>
          <w:rFonts w:asciiTheme="majorHAnsi" w:eastAsia="Calibri" w:hAnsiTheme="majorHAnsi"/>
          <w:sz w:val="20"/>
          <w:szCs w:val="20"/>
          <w:lang w:val="es-VE"/>
        </w:rPr>
        <w:t xml:space="preserve">de la presunta víctima </w:t>
      </w:r>
      <w:r w:rsidRPr="008A71DF">
        <w:rPr>
          <w:rFonts w:asciiTheme="majorHAnsi" w:eastAsia="Calibri" w:hAnsiTheme="majorHAnsi"/>
          <w:sz w:val="20"/>
          <w:szCs w:val="20"/>
          <w:lang w:val="es-VE"/>
        </w:rPr>
        <w:t>en la jurisdicción penal or</w:t>
      </w:r>
      <w:r w:rsidR="00297BEA">
        <w:rPr>
          <w:rFonts w:asciiTheme="majorHAnsi" w:eastAsia="Calibri" w:hAnsiTheme="majorHAnsi"/>
          <w:sz w:val="20"/>
          <w:szCs w:val="20"/>
          <w:lang w:val="es-VE"/>
        </w:rPr>
        <w:t>dinaria. En este sentido, indicaron</w:t>
      </w:r>
      <w:r w:rsidRPr="008A71DF">
        <w:rPr>
          <w:rFonts w:asciiTheme="majorHAnsi" w:eastAsia="Calibri" w:hAnsiTheme="majorHAnsi"/>
          <w:sz w:val="20"/>
          <w:szCs w:val="20"/>
          <w:lang w:val="es-VE"/>
        </w:rPr>
        <w:t xml:space="preserve"> que el 17 de abril de 1997 fue condenado por el delito de tráfico ilícito de drogas, en una sentencia en la que no se motivó la excepción de natural</w:t>
      </w:r>
      <w:r>
        <w:rPr>
          <w:rFonts w:asciiTheme="majorHAnsi" w:eastAsia="Calibri" w:hAnsiTheme="majorHAnsi"/>
          <w:sz w:val="20"/>
          <w:szCs w:val="20"/>
          <w:lang w:val="es-VE"/>
        </w:rPr>
        <w:t>eza de la acción que interpuso.</w:t>
      </w:r>
    </w:p>
    <w:p w:rsidR="00F039D8" w:rsidRPr="008A71DF"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En cuanto al derecho, los peticionarios indicaron que el Estado violó los artículos 1.1, 7, 8,</w:t>
      </w:r>
      <w:r w:rsidR="004763C9">
        <w:rPr>
          <w:rFonts w:asciiTheme="majorHAnsi" w:eastAsia="Calibri" w:hAnsiTheme="majorHAnsi"/>
          <w:sz w:val="20"/>
          <w:szCs w:val="20"/>
          <w:lang w:val="es-VE"/>
        </w:rPr>
        <w:t xml:space="preserve"> </w:t>
      </w:r>
      <w:r>
        <w:rPr>
          <w:rFonts w:asciiTheme="majorHAnsi" w:eastAsia="Calibri" w:hAnsiTheme="majorHAnsi"/>
          <w:sz w:val="20"/>
          <w:szCs w:val="20"/>
          <w:lang w:val="es-VE"/>
        </w:rPr>
        <w:t xml:space="preserve">9 y 25 de la Convención Americana. </w:t>
      </w:r>
    </w:p>
    <w:p w:rsidR="00F039D8" w:rsidRPr="002228E4" w:rsidRDefault="00F039D8" w:rsidP="00F039D8">
      <w:pPr>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Argumentaron que el Estado violó el </w:t>
      </w:r>
      <w:r w:rsidRPr="009C545F">
        <w:rPr>
          <w:rFonts w:asciiTheme="majorHAnsi" w:eastAsia="Calibri" w:hAnsiTheme="majorHAnsi"/>
          <w:b/>
          <w:sz w:val="20"/>
          <w:szCs w:val="20"/>
          <w:lang w:val="es-VE"/>
        </w:rPr>
        <w:t>derecho a la libertad personal</w:t>
      </w:r>
      <w:r>
        <w:rPr>
          <w:rFonts w:asciiTheme="majorHAnsi" w:eastAsia="Calibri" w:hAnsiTheme="majorHAnsi"/>
          <w:sz w:val="20"/>
          <w:szCs w:val="20"/>
          <w:lang w:val="es-VE"/>
        </w:rPr>
        <w:t xml:space="preserve"> porque los procesos iniciados en su contra, y que ocasionaron su detención, no respetaron las garantías del debido proceso. </w:t>
      </w:r>
    </w:p>
    <w:p w:rsidR="00F039D8" w:rsidRDefault="00F039D8" w:rsidP="00F039D8">
      <w:pPr>
        <w:pStyle w:val="ListParagraph"/>
        <w:rPr>
          <w:rFonts w:asciiTheme="majorHAnsi" w:eastAsia="Calibri" w:hAnsiTheme="majorHAnsi"/>
          <w:sz w:val="20"/>
          <w:szCs w:val="20"/>
          <w:lang w:val="es-VE"/>
        </w:rPr>
      </w:pPr>
    </w:p>
    <w:p w:rsidR="00F039D8" w:rsidRPr="00704943"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Indicaron en particular, que en el marco del proceso en el fuero común, </w:t>
      </w:r>
      <w:r w:rsidRPr="00704943">
        <w:rPr>
          <w:rFonts w:asciiTheme="majorHAnsi" w:eastAsia="Calibri" w:hAnsiTheme="majorHAnsi"/>
          <w:sz w:val="20"/>
          <w:szCs w:val="20"/>
          <w:lang w:val="es-VE"/>
        </w:rPr>
        <w:t xml:space="preserve">el 28 de septiembre de 1994, el Juez de 1era Instancia Mixto de la Provincia de Mariscal Cáceres solicitó al General de Brigada y Jefe del Destacamento Leoncio Prado poner a disposición a la presunta víctima, sin embargo esta fue puesta a disposición de dicho juez hasta el 4 de diciembre de 1994, es decir, después de setenta y ocho días. </w:t>
      </w:r>
    </w:p>
    <w:p w:rsidR="00F039D8" w:rsidRDefault="00F039D8" w:rsidP="00F039D8">
      <w:pPr>
        <w:pStyle w:val="ListParagrap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Argumentaron que se violó el </w:t>
      </w:r>
      <w:r w:rsidRPr="001E0E3A">
        <w:rPr>
          <w:rFonts w:asciiTheme="majorHAnsi" w:eastAsia="Calibri" w:hAnsiTheme="majorHAnsi"/>
          <w:b/>
          <w:sz w:val="20"/>
          <w:szCs w:val="20"/>
          <w:lang w:val="es-VE"/>
        </w:rPr>
        <w:t>derecho a las garantías judiciales</w:t>
      </w:r>
      <w:r>
        <w:rPr>
          <w:rFonts w:asciiTheme="majorHAnsi" w:eastAsia="Calibri" w:hAnsiTheme="majorHAnsi"/>
          <w:sz w:val="20"/>
          <w:szCs w:val="20"/>
          <w:lang w:val="es-VE"/>
        </w:rPr>
        <w:t xml:space="preserve"> porque se decidió pasar a retiro a la presunta víctima, por medida disciplinaria, sin otorgarle el derecho a ser escuchado por el Consejo de Investigación para Oficiales Subalternos, como lo establecía el Decreto Legislativo No. 752. Agregaron que </w:t>
      </w:r>
      <w:r>
        <w:rPr>
          <w:rFonts w:asciiTheme="majorHAnsi" w:eastAsia="Calibri" w:hAnsiTheme="majorHAnsi"/>
          <w:sz w:val="20"/>
          <w:szCs w:val="20"/>
          <w:lang w:val="es-VE"/>
        </w:rPr>
        <w:lastRenderedPageBreak/>
        <w:t>esto también constituye una aplicación dis</w:t>
      </w:r>
      <w:r w:rsidR="00913433">
        <w:rPr>
          <w:rFonts w:asciiTheme="majorHAnsi" w:eastAsia="Calibri" w:hAnsiTheme="majorHAnsi"/>
          <w:sz w:val="20"/>
          <w:szCs w:val="20"/>
          <w:lang w:val="es-VE"/>
        </w:rPr>
        <w:t>criminatoria de la ley porque sí</w:t>
      </w:r>
      <w:r>
        <w:rPr>
          <w:rFonts w:asciiTheme="majorHAnsi" w:eastAsia="Calibri" w:hAnsiTheme="majorHAnsi"/>
          <w:sz w:val="20"/>
          <w:szCs w:val="20"/>
          <w:lang w:val="es-VE"/>
        </w:rPr>
        <w:t xml:space="preserve"> permitió esta oportunidad a otros oficiales </w:t>
      </w:r>
      <w:proofErr w:type="spellStart"/>
      <w:r>
        <w:rPr>
          <w:rFonts w:asciiTheme="majorHAnsi" w:eastAsia="Calibri" w:hAnsiTheme="majorHAnsi"/>
          <w:sz w:val="20"/>
          <w:szCs w:val="20"/>
          <w:lang w:val="es-VE"/>
        </w:rPr>
        <w:t>co</w:t>
      </w:r>
      <w:proofErr w:type="spellEnd"/>
      <w:r>
        <w:rPr>
          <w:rFonts w:asciiTheme="majorHAnsi" w:eastAsia="Calibri" w:hAnsiTheme="majorHAnsi"/>
          <w:sz w:val="20"/>
          <w:szCs w:val="20"/>
          <w:lang w:val="es-VE"/>
        </w:rPr>
        <w:t xml:space="preserve">-procesados con la presunta víctima. </w:t>
      </w:r>
    </w:p>
    <w:p w:rsidR="00F039D8" w:rsidRDefault="00F039D8" w:rsidP="00F039D8">
      <w:pPr>
        <w:pStyle w:val="ListParagraph"/>
        <w:rPr>
          <w:rFonts w:asciiTheme="majorHAnsi" w:eastAsia="Calibri" w:hAnsiTheme="majorHAnsi"/>
          <w:sz w:val="20"/>
          <w:szCs w:val="20"/>
          <w:lang w:val="es-VE"/>
        </w:rPr>
      </w:pPr>
    </w:p>
    <w:p w:rsidR="00F039D8" w:rsidRDefault="009D5B30"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Refirieron que </w:t>
      </w:r>
      <w:r w:rsidR="00F039D8">
        <w:rPr>
          <w:rFonts w:asciiTheme="majorHAnsi" w:eastAsia="Calibri" w:hAnsiTheme="majorHAnsi"/>
          <w:sz w:val="20"/>
          <w:szCs w:val="20"/>
          <w:lang w:val="es-VE"/>
        </w:rPr>
        <w:t xml:space="preserve">en el proceso ante la jurisdicción militar no se le permitió a la presunta víctima nombrar un abogado defensor de su elección, y se le designó un abogado de oficio, que también representaba al acusador de la presunta víctima. Agregaron que dicho defensor no presentó el alegato de defensa verbal o escrita durante las audiencias públicas y sugirió a la presunta víctima no apelar las condenas impuestas para no obtener una condena mayor, por lo que no fue una defensa efectiva. </w:t>
      </w:r>
    </w:p>
    <w:p w:rsidR="00F039D8" w:rsidRPr="00F14659" w:rsidRDefault="00F039D8" w:rsidP="00F039D8">
      <w:pPr>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Alegaron</w:t>
      </w:r>
      <w:r w:rsidRPr="00BA73DD">
        <w:rPr>
          <w:rFonts w:asciiTheme="majorHAnsi" w:eastAsia="Calibri" w:hAnsiTheme="majorHAnsi"/>
          <w:sz w:val="20"/>
          <w:szCs w:val="20"/>
          <w:lang w:val="es-VE"/>
        </w:rPr>
        <w:t xml:space="preserve"> que también se vulneró dicho derecho porque en el proceso en el fuero ordinario interpuso una excepción de la naturaleza de la acción al considerar que los hechos que se le imputaban no eran justiciable</w:t>
      </w:r>
      <w:r w:rsidR="00297BEA">
        <w:rPr>
          <w:rFonts w:asciiTheme="majorHAnsi" w:eastAsia="Calibri" w:hAnsiTheme="majorHAnsi"/>
          <w:sz w:val="20"/>
          <w:szCs w:val="20"/>
          <w:lang w:val="es-VE"/>
        </w:rPr>
        <w:t>s penalmente, sin embargo indicaron</w:t>
      </w:r>
      <w:r w:rsidRPr="00BA73DD">
        <w:rPr>
          <w:rFonts w:asciiTheme="majorHAnsi" w:eastAsia="Calibri" w:hAnsiTheme="majorHAnsi"/>
          <w:sz w:val="20"/>
          <w:szCs w:val="20"/>
          <w:lang w:val="es-VE"/>
        </w:rPr>
        <w:t xml:space="preserve"> que dicha acción fue declarada sin </w:t>
      </w:r>
      <w:r>
        <w:rPr>
          <w:rFonts w:asciiTheme="majorHAnsi" w:eastAsia="Calibri" w:hAnsiTheme="majorHAnsi"/>
          <w:sz w:val="20"/>
          <w:szCs w:val="20"/>
          <w:lang w:val="es-VE"/>
        </w:rPr>
        <w:t>lugar sin ningún tipo de motivación.</w:t>
      </w:r>
    </w:p>
    <w:p w:rsidR="00F039D8" w:rsidRPr="00B31F46" w:rsidRDefault="00F039D8" w:rsidP="00F039D8">
      <w:pPr>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Agregaron que fue sujeto a una persecución múltiple basada en los mismos hechos y contraria al </w:t>
      </w:r>
      <w:r w:rsidRPr="00671BCD">
        <w:rPr>
          <w:rFonts w:asciiTheme="majorHAnsi" w:eastAsia="Calibri" w:hAnsiTheme="majorHAnsi"/>
          <w:sz w:val="20"/>
          <w:szCs w:val="20"/>
          <w:lang w:val="es-VE"/>
        </w:rPr>
        <w:t>principio de</w:t>
      </w:r>
      <w:r w:rsidRPr="00C37D3B">
        <w:rPr>
          <w:rFonts w:asciiTheme="majorHAnsi" w:eastAsia="Calibri" w:hAnsiTheme="majorHAnsi"/>
          <w:i/>
          <w:sz w:val="20"/>
          <w:szCs w:val="20"/>
          <w:lang w:val="es-VE"/>
        </w:rPr>
        <w:t xml:space="preserve"> non bis in ídem</w:t>
      </w:r>
      <w:r>
        <w:rPr>
          <w:rFonts w:asciiTheme="majorHAnsi" w:eastAsia="Calibri" w:hAnsiTheme="majorHAnsi"/>
          <w:sz w:val="20"/>
          <w:szCs w:val="20"/>
          <w:lang w:val="es-VE"/>
        </w:rPr>
        <w:t>. Indicaron que pese a que el Estado indica que lo actuado en el fuero militar es independiente de la sanción administrativa, esto no es así porque son los mismos hechos que sirvieron de base para todas las actuaciones.</w:t>
      </w:r>
    </w:p>
    <w:p w:rsidR="00F039D8" w:rsidRPr="00BA73DD"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Argumentaron que se violó el </w:t>
      </w:r>
      <w:r w:rsidRPr="00076DC3">
        <w:rPr>
          <w:rFonts w:asciiTheme="majorHAnsi" w:eastAsia="Calibri" w:hAnsiTheme="majorHAnsi"/>
          <w:sz w:val="20"/>
          <w:szCs w:val="20"/>
          <w:lang w:val="es-VE"/>
        </w:rPr>
        <w:t>derecho de recurrir el fallo ante juez o tribunal superior</w:t>
      </w:r>
      <w:r>
        <w:rPr>
          <w:rFonts w:asciiTheme="majorHAnsi" w:eastAsia="Calibri" w:hAnsiTheme="majorHAnsi"/>
          <w:sz w:val="20"/>
          <w:szCs w:val="20"/>
          <w:lang w:val="es-VE"/>
        </w:rPr>
        <w:t xml:space="preserve"> porque en el proceso en el fuero ordinario la presunta víctima interpuso un recurso de nulidad contra la sentencia condenatoria y la Segunda Sala Penal de la Corte Suprema de Justicia declaró sin lugar dicho recurso, pero además elevó la pena privativa de libertad de seis a quince años así como el monto de la reparación de diecinueve mil nuevos soles a setenta mil nuevos soles. Por ello consideraron que se castigó a la presunta víctima por cuestionar el fallo. </w:t>
      </w:r>
    </w:p>
    <w:p w:rsidR="00F039D8" w:rsidRPr="00704943" w:rsidRDefault="00F039D8" w:rsidP="00F039D8">
      <w:pPr>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Alegaron que el Estado peruano violó el </w:t>
      </w:r>
      <w:r w:rsidRPr="002A15E0">
        <w:rPr>
          <w:rFonts w:asciiTheme="majorHAnsi" w:eastAsia="Calibri" w:hAnsiTheme="majorHAnsi"/>
          <w:b/>
          <w:sz w:val="20"/>
          <w:szCs w:val="20"/>
          <w:lang w:val="es-VE"/>
        </w:rPr>
        <w:t>principio de legalidad</w:t>
      </w:r>
      <w:r>
        <w:rPr>
          <w:rFonts w:asciiTheme="majorHAnsi" w:eastAsia="Calibri" w:hAnsiTheme="majorHAnsi"/>
          <w:sz w:val="20"/>
          <w:szCs w:val="20"/>
          <w:lang w:val="es-VE"/>
        </w:rPr>
        <w:t xml:space="preserve"> porque el sistema penal peruano permitió la persecución múltiple y que tribunales ordinarios como privativos se pronuncien sobre los mismos hechos e incumplan el principio de </w:t>
      </w:r>
      <w:r w:rsidRPr="00C37D3B">
        <w:rPr>
          <w:rFonts w:asciiTheme="majorHAnsi" w:eastAsia="Calibri" w:hAnsiTheme="majorHAnsi"/>
          <w:i/>
          <w:sz w:val="20"/>
          <w:szCs w:val="20"/>
          <w:lang w:val="es-VE"/>
        </w:rPr>
        <w:t>non bis in ídem.</w:t>
      </w:r>
      <w:r>
        <w:rPr>
          <w:rFonts w:asciiTheme="majorHAnsi" w:eastAsia="Calibri" w:hAnsiTheme="majorHAnsi"/>
          <w:sz w:val="20"/>
          <w:szCs w:val="20"/>
          <w:lang w:val="es-VE"/>
        </w:rPr>
        <w:t xml:space="preserve"> </w:t>
      </w:r>
    </w:p>
    <w:p w:rsidR="00F039D8" w:rsidRPr="00E46409" w:rsidRDefault="00F039D8" w:rsidP="00F039D8">
      <w:pPr>
        <w:rPr>
          <w:rFonts w:asciiTheme="majorHAnsi" w:eastAsia="Calibri" w:hAnsiTheme="majorHAnsi"/>
          <w:sz w:val="20"/>
          <w:szCs w:val="20"/>
          <w:lang w:val="es-VE"/>
        </w:rPr>
      </w:pPr>
    </w:p>
    <w:p w:rsidR="00F039D8" w:rsidRPr="009D5B30" w:rsidRDefault="00F039D8" w:rsidP="009D5B3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Pr>
          <w:rFonts w:asciiTheme="majorHAnsi" w:eastAsia="Calibri" w:hAnsiTheme="majorHAnsi"/>
          <w:sz w:val="20"/>
          <w:szCs w:val="20"/>
          <w:lang w:val="es-VE"/>
        </w:rPr>
        <w:t>Indicaron que la presunta víctima</w:t>
      </w:r>
      <w:r w:rsidR="009D5B30">
        <w:rPr>
          <w:rFonts w:asciiTheme="majorHAnsi" w:eastAsia="Calibri" w:hAnsiTheme="majorHAnsi"/>
          <w:sz w:val="20"/>
          <w:szCs w:val="20"/>
          <w:lang w:val="es-VE"/>
        </w:rPr>
        <w:t>,</w:t>
      </w:r>
      <w:r>
        <w:rPr>
          <w:rFonts w:asciiTheme="majorHAnsi" w:eastAsia="Calibri" w:hAnsiTheme="majorHAnsi"/>
          <w:sz w:val="20"/>
          <w:szCs w:val="20"/>
          <w:lang w:val="es-VE"/>
        </w:rPr>
        <w:t xml:space="preserve"> </w:t>
      </w:r>
      <w:r w:rsidR="009D5B30">
        <w:rPr>
          <w:rFonts w:asciiTheme="majorHAnsi" w:eastAsia="Calibri" w:hAnsiTheme="majorHAnsi"/>
          <w:sz w:val="20"/>
          <w:szCs w:val="20"/>
          <w:lang w:val="es-VE"/>
        </w:rPr>
        <w:t xml:space="preserve">quien estuvo detenida desde el </w:t>
      </w:r>
      <w:r w:rsidR="009D5B30" w:rsidRPr="009D5B30">
        <w:rPr>
          <w:rFonts w:ascii="Cambria" w:hAnsi="Cambria"/>
          <w:sz w:val="20"/>
          <w:szCs w:val="20"/>
          <w:lang w:val="es-VE"/>
        </w:rPr>
        <w:t>14 de septiembre de 1994</w:t>
      </w:r>
      <w:r w:rsidR="009D5B30">
        <w:rPr>
          <w:rFonts w:ascii="Cambria" w:hAnsi="Cambria"/>
          <w:sz w:val="20"/>
          <w:szCs w:val="20"/>
          <w:lang w:val="es-VE"/>
        </w:rPr>
        <w:t>,</w:t>
      </w:r>
      <w:r w:rsidR="009D5B30" w:rsidRPr="009D5B30">
        <w:rPr>
          <w:rFonts w:ascii="Cambria" w:hAnsi="Cambria"/>
          <w:sz w:val="20"/>
          <w:szCs w:val="20"/>
          <w:lang w:val="es-VE"/>
        </w:rPr>
        <w:t xml:space="preserve"> </w:t>
      </w:r>
      <w:r w:rsidRPr="009D5B30">
        <w:rPr>
          <w:rFonts w:asciiTheme="majorHAnsi" w:eastAsia="Calibri" w:hAnsiTheme="majorHAnsi"/>
          <w:sz w:val="20"/>
          <w:szCs w:val="20"/>
          <w:lang w:val="es-VE"/>
        </w:rPr>
        <w:t xml:space="preserve">recuperó su libertad el 4 de marzo de 1999. Agregaron que no obstante, los antecedentes judiciales, penales y penitenciarios afectan seriamente su proyecto de vida. Refirieron por ejemplo, que a la presunta víctima le niegan puestos de trabajo por contar con antecedentes penales. </w:t>
      </w:r>
    </w:p>
    <w:p w:rsidR="00F039D8" w:rsidRPr="008D68B9"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039D8" w:rsidRPr="008D68B9" w:rsidRDefault="00F039D8" w:rsidP="00F039D8">
      <w:pPr>
        <w:pStyle w:val="Heading2"/>
        <w:numPr>
          <w:ilvl w:val="0"/>
          <w:numId w:val="59"/>
        </w:numPr>
      </w:pPr>
      <w:bookmarkStart w:id="23" w:name="_Toc370840747"/>
      <w:bookmarkStart w:id="24" w:name="_Toc370840843"/>
      <w:bookmarkStart w:id="25" w:name="_Toc423514409"/>
      <w:bookmarkStart w:id="26" w:name="_Toc433115985"/>
      <w:bookmarkStart w:id="27" w:name="_Toc444958128"/>
      <w:bookmarkStart w:id="28" w:name="_Toc485394049"/>
      <w:r w:rsidRPr="008D68B9">
        <w:t>Posición del Estado</w:t>
      </w:r>
      <w:bookmarkEnd w:id="23"/>
      <w:bookmarkEnd w:id="24"/>
      <w:bookmarkEnd w:id="25"/>
      <w:bookmarkEnd w:id="26"/>
      <w:bookmarkEnd w:id="27"/>
      <w:bookmarkEnd w:id="28"/>
    </w:p>
    <w:p w:rsidR="00F039D8" w:rsidRPr="008D68B9"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VE"/>
        </w:rPr>
      </w:pPr>
    </w:p>
    <w:p w:rsidR="00F039D8" w:rsidRPr="002D066E" w:rsidRDefault="00F039D8" w:rsidP="002D06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El Estado indicó que a la presunta víctima se le encomendó </w:t>
      </w:r>
      <w:proofErr w:type="gramStart"/>
      <w:r>
        <w:rPr>
          <w:rFonts w:asciiTheme="majorHAnsi" w:eastAsia="Calibri" w:hAnsiTheme="majorHAnsi"/>
          <w:sz w:val="20"/>
          <w:szCs w:val="20"/>
          <w:lang w:val="es-VE"/>
        </w:rPr>
        <w:t>una operación antidrogas</w:t>
      </w:r>
      <w:proofErr w:type="gramEnd"/>
      <w:r>
        <w:rPr>
          <w:rFonts w:asciiTheme="majorHAnsi" w:eastAsia="Calibri" w:hAnsiTheme="majorHAnsi"/>
          <w:sz w:val="20"/>
          <w:szCs w:val="20"/>
          <w:lang w:val="es-VE"/>
        </w:rPr>
        <w:t xml:space="preserve"> en la que debía actuar como si fuera un oficial corrupto; sin embargo no dio cumplimiento a la misión asignada y por el contrario se aprovechó de ella buscando su beneficio económico. </w:t>
      </w:r>
      <w:r w:rsidRPr="002D066E">
        <w:rPr>
          <w:rFonts w:asciiTheme="majorHAnsi" w:eastAsia="Calibri" w:hAnsiTheme="majorHAnsi"/>
          <w:sz w:val="20"/>
          <w:szCs w:val="20"/>
          <w:lang w:val="es-VE"/>
        </w:rPr>
        <w:t xml:space="preserve">Refirió que en virtud de ello se le iniciaron varios procesos en la vía administrativa, penal militar y penal ordinaria. </w:t>
      </w:r>
    </w:p>
    <w:p w:rsidR="00F039D8" w:rsidRPr="005A32FB"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En cuanto a los procesos refirió que se aplicó una sanción administrativa por la Comandancia General del Ejército y se iniciaron procesos en el fuero militar y en el fuero civil, los cuales culminaron en condenas en contra del peticionario.</w:t>
      </w:r>
    </w:p>
    <w:p w:rsidR="00F039D8" w:rsidRDefault="00F039D8" w:rsidP="00F039D8">
      <w:pPr>
        <w:pStyle w:val="ListParagraph"/>
        <w:rPr>
          <w:rFonts w:asciiTheme="majorHAnsi" w:eastAsia="Calibri" w:hAnsiTheme="majorHAnsi"/>
          <w:sz w:val="20"/>
          <w:szCs w:val="20"/>
          <w:lang w:val="es-VE"/>
        </w:rPr>
      </w:pPr>
    </w:p>
    <w:p w:rsidR="00F039D8" w:rsidRPr="002D066E" w:rsidRDefault="00F039D8" w:rsidP="002D06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Con respecto a la sanción disciplinaria, indicó</w:t>
      </w:r>
      <w:r w:rsidRPr="00E45AAF">
        <w:rPr>
          <w:rFonts w:asciiTheme="majorHAnsi" w:eastAsia="Calibri" w:hAnsiTheme="majorHAnsi"/>
          <w:sz w:val="20"/>
          <w:szCs w:val="20"/>
          <w:lang w:val="es-VE"/>
        </w:rPr>
        <w:t xml:space="preserve"> que mediante resolución de la Comandancia General del </w:t>
      </w:r>
      <w:r>
        <w:rPr>
          <w:rFonts w:asciiTheme="majorHAnsi" w:eastAsia="Calibri" w:hAnsiTheme="majorHAnsi"/>
          <w:sz w:val="20"/>
          <w:szCs w:val="20"/>
          <w:lang w:val="es-VE"/>
        </w:rPr>
        <w:t xml:space="preserve">Ejército de 3 de marzo de 1995 </w:t>
      </w:r>
      <w:r w:rsidRPr="00E45AAF">
        <w:rPr>
          <w:rFonts w:asciiTheme="majorHAnsi" w:eastAsia="Calibri" w:hAnsiTheme="majorHAnsi"/>
          <w:sz w:val="20"/>
          <w:szCs w:val="20"/>
          <w:lang w:val="es-VE"/>
        </w:rPr>
        <w:t>se resolvió pasar a situación de retiro a Jorge</w:t>
      </w:r>
      <w:r>
        <w:rPr>
          <w:rFonts w:asciiTheme="majorHAnsi" w:eastAsia="Calibri" w:hAnsiTheme="majorHAnsi"/>
          <w:sz w:val="20"/>
          <w:szCs w:val="20"/>
          <w:lang w:val="es-VE"/>
        </w:rPr>
        <w:t xml:space="preserve"> Rosadio Villavicencio, y que en vista que dicha resolución no fue impugnada, quedó consentida por la presunta víctima. </w:t>
      </w:r>
      <w:r w:rsidRPr="002D066E">
        <w:rPr>
          <w:rFonts w:asciiTheme="majorHAnsi" w:eastAsia="Calibri" w:hAnsiTheme="majorHAnsi"/>
          <w:sz w:val="20"/>
          <w:szCs w:val="20"/>
          <w:lang w:val="es-VE"/>
        </w:rPr>
        <w:t>Agregó con respecto al argumento del peticionario, según el cual no tuvo derecho a</w:t>
      </w:r>
      <w:r w:rsidR="00745212">
        <w:rPr>
          <w:rFonts w:asciiTheme="majorHAnsi" w:eastAsia="Calibri" w:hAnsiTheme="majorHAnsi"/>
          <w:sz w:val="20"/>
          <w:szCs w:val="20"/>
          <w:lang w:val="es-VE"/>
        </w:rPr>
        <w:t xml:space="preserve"> una</w:t>
      </w:r>
      <w:r w:rsidRPr="002D066E">
        <w:rPr>
          <w:rFonts w:asciiTheme="majorHAnsi" w:eastAsia="Calibri" w:hAnsiTheme="majorHAnsi"/>
          <w:sz w:val="20"/>
          <w:szCs w:val="20"/>
          <w:lang w:val="es-VE"/>
        </w:rPr>
        <w:t xml:space="preserve"> audiencia en el marco del proceso disciplinario, que no en todos los casos de investigación disciplinaria es obligatorio escuchar a la persona involucrada, como el caso de tráfico ilícito de drogas, en la medida en que la persona sometida a proceso se encuentre con mandato judicial de privación de libertad. </w:t>
      </w:r>
    </w:p>
    <w:p w:rsidR="00F039D8" w:rsidRPr="004437BB"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039D8" w:rsidRPr="0078432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lastRenderedPageBreak/>
        <w:t xml:space="preserve">En cuanto al proceso en el fuero militar, indicó que el Consejo Supremo de Justicia Militar abrió un proceso contra Jorge Rosadio Villavicencio ante la Sexta Zona Judicial del Ejército. </w:t>
      </w:r>
    </w:p>
    <w:p w:rsidR="00F039D8" w:rsidRDefault="00F039D8" w:rsidP="00F039D8">
      <w:pPr>
        <w:pStyle w:val="ListParagrap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4C4636">
        <w:rPr>
          <w:rFonts w:asciiTheme="majorHAnsi" w:eastAsia="Calibri" w:hAnsiTheme="majorHAnsi"/>
          <w:sz w:val="20"/>
          <w:szCs w:val="20"/>
          <w:lang w:val="es-VE"/>
        </w:rPr>
        <w:t xml:space="preserve">Indicó que </w:t>
      </w:r>
      <w:r>
        <w:rPr>
          <w:rFonts w:asciiTheme="majorHAnsi" w:eastAsia="Calibri" w:hAnsiTheme="majorHAnsi"/>
          <w:sz w:val="20"/>
          <w:szCs w:val="20"/>
          <w:lang w:val="es-VE"/>
        </w:rPr>
        <w:t xml:space="preserve">el 29 de noviembre de 1996 el Consejo de Guerra Permanente de la Sexta Zona Judicial del Ejército condenó a la presunta víctima a 16 meses de prisión efectiva por el delito de negligencia. Refirió que la presunta víctima impugnó dicha decisión, sin embargo el 14 de septiembre de 1998, el Consejo Supremo de Justicia Militar denegó la impugnación. Agregó que en dicha decisión, el Consejo también amplió los hechos, y condenó a la presunta víctima a 28 meses de prisión por el delito de desobediencia, además de absolverlo por los delitos contra el deber y dignidad de la función y falsedad, negligencia y abuso de autoridad. </w:t>
      </w:r>
    </w:p>
    <w:p w:rsidR="00F039D8" w:rsidRDefault="00F039D8" w:rsidP="00F039D8">
      <w:pPr>
        <w:pStyle w:val="ListParagrap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Agregó que l</w:t>
      </w:r>
      <w:r w:rsidR="002D066E">
        <w:rPr>
          <w:rFonts w:asciiTheme="majorHAnsi" w:eastAsia="Calibri" w:hAnsiTheme="majorHAnsi"/>
          <w:sz w:val="20"/>
          <w:szCs w:val="20"/>
          <w:lang w:val="es-VE"/>
        </w:rPr>
        <w:t>os peticionarios</w:t>
      </w:r>
      <w:r>
        <w:rPr>
          <w:rFonts w:asciiTheme="majorHAnsi" w:eastAsia="Calibri" w:hAnsiTheme="majorHAnsi"/>
          <w:sz w:val="20"/>
          <w:szCs w:val="20"/>
          <w:lang w:val="es-VE"/>
        </w:rPr>
        <w:t xml:space="preserve"> se equivoca</w:t>
      </w:r>
      <w:r w:rsidR="002D066E">
        <w:rPr>
          <w:rFonts w:asciiTheme="majorHAnsi" w:eastAsia="Calibri" w:hAnsiTheme="majorHAnsi"/>
          <w:sz w:val="20"/>
          <w:szCs w:val="20"/>
          <w:lang w:val="es-VE"/>
        </w:rPr>
        <w:t>n</w:t>
      </w:r>
      <w:r>
        <w:rPr>
          <w:rFonts w:asciiTheme="majorHAnsi" w:eastAsia="Calibri" w:hAnsiTheme="majorHAnsi"/>
          <w:sz w:val="20"/>
          <w:szCs w:val="20"/>
          <w:lang w:val="es-VE"/>
        </w:rPr>
        <w:t xml:space="preserve"> al decir que existieron dos procesos penales en el fuero militar, pues se trató de un único proceso con pluralidad de instancias. Añ</w:t>
      </w:r>
      <w:r w:rsidR="002D066E">
        <w:rPr>
          <w:rFonts w:asciiTheme="majorHAnsi" w:eastAsia="Calibri" w:hAnsiTheme="majorHAnsi"/>
          <w:sz w:val="20"/>
          <w:szCs w:val="20"/>
          <w:lang w:val="es-VE"/>
        </w:rPr>
        <w:t>adió respecto al argumento de los peticionarios</w:t>
      </w:r>
      <w:r>
        <w:rPr>
          <w:rFonts w:asciiTheme="majorHAnsi" w:eastAsia="Calibri" w:hAnsiTheme="majorHAnsi"/>
          <w:sz w:val="20"/>
          <w:szCs w:val="20"/>
          <w:lang w:val="es-VE"/>
        </w:rPr>
        <w:t xml:space="preserve"> según el cual la presunta víctima no fue notificada de la decisión que le impuso la pena de 16 meses de prisión efectiva, que ello resulta erróneo porque la misma presunta víctima reconoció que “en cuanto a su firma en las notificaciones de sentencia fue por recomendación de su defensor de oficio”. </w:t>
      </w:r>
    </w:p>
    <w:p w:rsidR="00F039D8" w:rsidRDefault="00F039D8" w:rsidP="00F039D8">
      <w:pPr>
        <w:pStyle w:val="ListParagraph"/>
        <w:rPr>
          <w:rFonts w:asciiTheme="majorHAnsi" w:eastAsia="Calibri" w:hAnsiTheme="majorHAnsi"/>
          <w:sz w:val="20"/>
          <w:szCs w:val="20"/>
          <w:lang w:val="es-VE"/>
        </w:rPr>
      </w:pPr>
    </w:p>
    <w:p w:rsidR="00F039D8" w:rsidRPr="00607933"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El Estado también refirió que no es cierto que la presunta víctima no contó con un defensor de oficio durante el proceso en el fuero militar. Indicó que contó con asistencia jurídica durante la audiencia pública. Asimismo </w:t>
      </w:r>
      <w:r w:rsidRPr="00607933">
        <w:rPr>
          <w:rFonts w:asciiTheme="majorHAnsi" w:eastAsia="Calibri" w:hAnsiTheme="majorHAnsi"/>
          <w:sz w:val="20"/>
          <w:szCs w:val="20"/>
          <w:lang w:val="es-VE"/>
        </w:rPr>
        <w:t xml:space="preserve">contó con la asistencia de un abogado en su declaración instructiva del 20 de junio de 1995. </w:t>
      </w:r>
      <w:r>
        <w:rPr>
          <w:rFonts w:asciiTheme="majorHAnsi" w:eastAsia="Calibri" w:hAnsiTheme="majorHAnsi"/>
          <w:sz w:val="20"/>
          <w:szCs w:val="20"/>
          <w:lang w:val="es-VE"/>
        </w:rPr>
        <w:t>Indicó que el</w:t>
      </w:r>
      <w:r w:rsidRPr="00607933">
        <w:rPr>
          <w:rFonts w:asciiTheme="majorHAnsi" w:eastAsia="Calibri" w:hAnsiTheme="majorHAnsi"/>
          <w:sz w:val="20"/>
          <w:szCs w:val="20"/>
          <w:lang w:val="es-VE"/>
        </w:rPr>
        <w:t xml:space="preserve"> 4 de diciembre de 1995, el Consejo de Guerra Permanente de la Quinta Zona Judicial del Ejército ordenó que se designe un defensor de oficio en favor del peticionario y el 18 de diciembre de 1995 el abogado defensor de la presunta víctima presentó un alegato de defensa en su favor. </w:t>
      </w:r>
    </w:p>
    <w:p w:rsidR="00F039D8" w:rsidRDefault="00F039D8" w:rsidP="00F039D8">
      <w:pPr>
        <w:pStyle w:val="ListParagraph"/>
        <w:rPr>
          <w:rFonts w:asciiTheme="majorHAnsi" w:eastAsia="Calibri" w:hAnsiTheme="majorHAnsi"/>
          <w:sz w:val="20"/>
          <w:szCs w:val="20"/>
          <w:lang w:val="es-VE"/>
        </w:rPr>
      </w:pPr>
    </w:p>
    <w:p w:rsidR="00F039D8" w:rsidRPr="00B8342B"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Indicó que si bien es cierto que el abogado defensor de la presunta víctima durante la etapa de investigación policial fue asignado después como Juez Militar Permanente del proceso, la presunta víctima no presentó ningún pedido de inhibitoria contra dicho juez en el marco del proceso. </w:t>
      </w:r>
    </w:p>
    <w:p w:rsidR="00F039D8" w:rsidRDefault="00F039D8" w:rsidP="00F039D8">
      <w:pPr>
        <w:pStyle w:val="ListParagraph"/>
        <w:rPr>
          <w:rFonts w:asciiTheme="majorHAnsi" w:eastAsia="Calibri" w:hAnsiTheme="majorHAnsi"/>
          <w:sz w:val="20"/>
          <w:szCs w:val="20"/>
          <w:lang w:val="es-VE"/>
        </w:rPr>
      </w:pPr>
    </w:p>
    <w:p w:rsidR="00F039D8" w:rsidRPr="0078432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Refirió </w:t>
      </w:r>
      <w:r w:rsidRPr="00784328">
        <w:rPr>
          <w:rFonts w:asciiTheme="majorHAnsi" w:eastAsia="Calibri" w:hAnsiTheme="majorHAnsi"/>
          <w:sz w:val="20"/>
          <w:szCs w:val="20"/>
          <w:lang w:val="es-VE"/>
        </w:rPr>
        <w:t xml:space="preserve">que lo actuado en esta jurisdicción es totalmente independiente de la sanción administrativa de pase a situación de retiro dispuesta por el </w:t>
      </w:r>
      <w:r>
        <w:rPr>
          <w:rFonts w:asciiTheme="majorHAnsi" w:eastAsia="Calibri" w:hAnsiTheme="majorHAnsi"/>
          <w:sz w:val="20"/>
          <w:szCs w:val="20"/>
          <w:lang w:val="es-VE"/>
        </w:rPr>
        <w:t>E</w:t>
      </w:r>
      <w:r w:rsidRPr="00784328">
        <w:rPr>
          <w:rFonts w:asciiTheme="majorHAnsi" w:eastAsia="Calibri" w:hAnsiTheme="majorHAnsi"/>
          <w:sz w:val="20"/>
          <w:szCs w:val="20"/>
          <w:lang w:val="es-VE"/>
        </w:rPr>
        <w:t>jército peruano. En este sentido, agregó que según dispone el artículo 28 del Reglamento</w:t>
      </w:r>
      <w:r>
        <w:rPr>
          <w:rFonts w:asciiTheme="majorHAnsi" w:eastAsia="Calibri" w:hAnsiTheme="majorHAnsi"/>
          <w:sz w:val="20"/>
          <w:szCs w:val="20"/>
          <w:lang w:val="es-VE"/>
        </w:rPr>
        <w:t xml:space="preserve"> de los Consejos de Investigación para Oficiales del Ejército, </w:t>
      </w:r>
      <w:r w:rsidRPr="00D837C5">
        <w:rPr>
          <w:rFonts w:asciiTheme="majorHAnsi" w:eastAsia="Calibri" w:hAnsiTheme="majorHAnsi"/>
          <w:sz w:val="20"/>
          <w:szCs w:val="20"/>
          <w:lang w:val="es-VE"/>
        </w:rPr>
        <w:t>“la medida disciplinaria recomendada por el Consejo de Investigación y aprobada por resolución Ministerial es independiente de cualquiera que sea la resolución judicial que se dicte en el juicio que se hubiese originado de los mismos hechos”.</w:t>
      </w:r>
    </w:p>
    <w:p w:rsidR="00F039D8" w:rsidRDefault="00F039D8" w:rsidP="00F039D8">
      <w:pPr>
        <w:pStyle w:val="ListParagrap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A</w:t>
      </w:r>
      <w:r w:rsidR="002D066E">
        <w:rPr>
          <w:rFonts w:asciiTheme="majorHAnsi" w:eastAsia="Calibri" w:hAnsiTheme="majorHAnsi"/>
          <w:sz w:val="20"/>
          <w:szCs w:val="20"/>
          <w:lang w:val="es-VE"/>
        </w:rPr>
        <w:t>gregó respecto del argumento de los</w:t>
      </w:r>
      <w:r>
        <w:rPr>
          <w:rFonts w:asciiTheme="majorHAnsi" w:eastAsia="Calibri" w:hAnsiTheme="majorHAnsi"/>
          <w:sz w:val="20"/>
          <w:szCs w:val="20"/>
          <w:lang w:val="es-VE"/>
        </w:rPr>
        <w:t xml:space="preserve"> peticionario</w:t>
      </w:r>
      <w:r w:rsidR="002D066E">
        <w:rPr>
          <w:rFonts w:asciiTheme="majorHAnsi" w:eastAsia="Calibri" w:hAnsiTheme="majorHAnsi"/>
          <w:sz w:val="20"/>
          <w:szCs w:val="20"/>
          <w:lang w:val="es-VE"/>
        </w:rPr>
        <w:t xml:space="preserve">s según </w:t>
      </w:r>
      <w:r w:rsidR="00D75FA5">
        <w:rPr>
          <w:rFonts w:asciiTheme="majorHAnsi" w:eastAsia="Calibri" w:hAnsiTheme="majorHAnsi"/>
          <w:sz w:val="20"/>
          <w:szCs w:val="20"/>
          <w:lang w:val="es-VE"/>
        </w:rPr>
        <w:t>el</w:t>
      </w:r>
      <w:r>
        <w:rPr>
          <w:rFonts w:asciiTheme="majorHAnsi" w:eastAsia="Calibri" w:hAnsiTheme="majorHAnsi"/>
          <w:sz w:val="20"/>
          <w:szCs w:val="20"/>
          <w:lang w:val="es-VE"/>
        </w:rPr>
        <w:t xml:space="preserve"> cual no tuvo tiempo suficiente para preparar su defensa, que la presunta víctima rindió su declaración preventiva el 15 de septiembre de 1994, por lo que desde esa fecha tenía conocimiento de los hechos de los que se le acusaba. </w:t>
      </w:r>
    </w:p>
    <w:p w:rsidR="00F039D8" w:rsidRDefault="00F039D8" w:rsidP="00F039D8">
      <w:pPr>
        <w:pStyle w:val="ListParagrap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Por otra parte, informó que también se inició un proceso penal en contra de la presunta víctima en el fuero común, y el 17 de abril de 1996 la Sala Penal de la Corte Superior de San Martín condenó a Jorge Rosadio Villavicencio a 6 años de prisión por el delito de tráfico ilícito de drogas. Agregó que la presunta víctima interpuso un recurso de nulidad en contra de dicha </w:t>
      </w:r>
      <w:r w:rsidR="00563BD4">
        <w:rPr>
          <w:rFonts w:asciiTheme="majorHAnsi" w:eastAsia="Calibri" w:hAnsiTheme="majorHAnsi"/>
          <w:sz w:val="20"/>
          <w:szCs w:val="20"/>
          <w:lang w:val="es-VE"/>
        </w:rPr>
        <w:t xml:space="preserve">decisión, el cual fue resuelto </w:t>
      </w:r>
      <w:r>
        <w:rPr>
          <w:rFonts w:asciiTheme="majorHAnsi" w:eastAsia="Calibri" w:hAnsiTheme="majorHAnsi"/>
          <w:sz w:val="20"/>
          <w:szCs w:val="20"/>
          <w:lang w:val="es-VE"/>
        </w:rPr>
        <w:t xml:space="preserve">por la Sala Penal Especializada en delitos de tráfico ilícito de drogas de la Corte Suprema de Justicia. </w:t>
      </w:r>
    </w:p>
    <w:p w:rsidR="00F039D8" w:rsidRPr="00B86C43"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039D8" w:rsidRPr="00067E4A"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El Estado argumentó que no se configuró un doble enjuiciamiento al peticionario por los mismos hechos, porque la legislación establece claramente la jurisdicción para cada uno de los delitos por los que fue procesado. La jurisdicción común conoce del delito de tráfico ilícito de drogas y el fuero militar del delito de desobediencia. </w:t>
      </w:r>
    </w:p>
    <w:p w:rsidR="00F039D8" w:rsidRPr="00C97568" w:rsidRDefault="00F039D8" w:rsidP="00F039D8">
      <w:pPr>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El Estado informó que el 4 de marzo de 1999 la presunta víctima obtuvo su libertad, acogiéndose al beneficio de </w:t>
      </w:r>
      <w:proofErr w:type="spellStart"/>
      <w:r>
        <w:rPr>
          <w:rFonts w:asciiTheme="majorHAnsi" w:eastAsia="Calibri" w:hAnsiTheme="majorHAnsi"/>
          <w:sz w:val="20"/>
          <w:szCs w:val="20"/>
          <w:lang w:val="es-VE"/>
        </w:rPr>
        <w:t>semi</w:t>
      </w:r>
      <w:proofErr w:type="spellEnd"/>
      <w:r>
        <w:rPr>
          <w:rFonts w:asciiTheme="majorHAnsi" w:eastAsia="Calibri" w:hAnsiTheme="majorHAnsi"/>
          <w:sz w:val="20"/>
          <w:szCs w:val="20"/>
          <w:lang w:val="es-VE"/>
        </w:rPr>
        <w:t xml:space="preserve">-libertad. Indicó que dicho beneficio se obtiene cuando el condenado ha cumplido la tercera parte de la pena impuesta. Agregó que bajo esta modalidad, la presunta víctima debe seguir cumpliendo con las normas del sistema penitenciario para liberados hasta el fin de la condena. </w:t>
      </w:r>
    </w:p>
    <w:p w:rsidR="00F039D8" w:rsidRDefault="00F039D8" w:rsidP="00F039D8">
      <w:pPr>
        <w:pStyle w:val="ListParagraph"/>
        <w:rPr>
          <w:rFonts w:asciiTheme="majorHAnsi" w:eastAsia="Calibri" w:hAnsiTheme="majorHAnsi"/>
          <w:sz w:val="20"/>
          <w:szCs w:val="20"/>
          <w:lang w:val="es-VE"/>
        </w:rPr>
      </w:pPr>
    </w:p>
    <w:p w:rsidR="00F039D8" w:rsidRPr="00C45EB0"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lastRenderedPageBreak/>
        <w:t xml:space="preserve">Indicó que ello configura la sustracción de la materia en el presente caso, no solo por la libertad concedida, sino porque la misma se obtuvo mediante el uso de los procedimientos regulares de la jurisdicción interna. </w:t>
      </w:r>
    </w:p>
    <w:p w:rsidR="00F039D8" w:rsidRPr="005F70BD" w:rsidRDefault="00F039D8" w:rsidP="00F039D8">
      <w:pPr>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En cuanto al derecho, el Estado alegó que no procede declarar la violación del </w:t>
      </w:r>
      <w:r w:rsidRPr="00E51F47">
        <w:rPr>
          <w:rFonts w:asciiTheme="majorHAnsi" w:eastAsia="Calibri" w:hAnsiTheme="majorHAnsi"/>
          <w:b/>
          <w:sz w:val="20"/>
          <w:szCs w:val="20"/>
          <w:lang w:val="es-VE"/>
        </w:rPr>
        <w:t>derecho a la libertad personal</w:t>
      </w:r>
      <w:r>
        <w:rPr>
          <w:rFonts w:asciiTheme="majorHAnsi" w:eastAsia="Calibri" w:hAnsiTheme="majorHAnsi"/>
          <w:sz w:val="20"/>
          <w:szCs w:val="20"/>
          <w:lang w:val="es-VE"/>
        </w:rPr>
        <w:t xml:space="preserve"> y se refirió en particular a la inexistencia de violaciones a los artículos 7.3 y 7.5 de la Convención Americana.</w:t>
      </w:r>
    </w:p>
    <w:p w:rsidR="00F039D8" w:rsidRDefault="00F039D8" w:rsidP="00F039D8">
      <w:pPr>
        <w:pStyle w:val="ListParagraph"/>
        <w:rPr>
          <w:rFonts w:asciiTheme="majorHAnsi" w:eastAsia="Calibri" w:hAnsiTheme="majorHAns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Con respecto a la </w:t>
      </w:r>
      <w:r w:rsidR="00563BD4">
        <w:rPr>
          <w:rFonts w:asciiTheme="majorHAnsi" w:eastAsia="Calibri" w:hAnsiTheme="majorHAnsi"/>
          <w:sz w:val="20"/>
          <w:szCs w:val="20"/>
          <w:lang w:val="es-VE"/>
        </w:rPr>
        <w:t xml:space="preserve">alegada </w:t>
      </w:r>
      <w:r>
        <w:rPr>
          <w:rFonts w:asciiTheme="majorHAnsi" w:eastAsia="Calibri" w:hAnsiTheme="majorHAnsi"/>
          <w:sz w:val="20"/>
          <w:szCs w:val="20"/>
          <w:lang w:val="es-VE"/>
        </w:rPr>
        <w:t xml:space="preserve">violación del artículo 7.3 de la Convención argumentó que la detención de la presunta víctima fue legal y exenta de arbitrariedad e indicó que “habían </w:t>
      </w:r>
      <w:r w:rsidRPr="002B64D3">
        <w:rPr>
          <w:rFonts w:asciiTheme="majorHAnsi" w:eastAsia="Calibri" w:hAnsiTheme="majorHAnsi"/>
          <w:sz w:val="20"/>
          <w:szCs w:val="20"/>
          <w:lang w:val="es-VE"/>
        </w:rPr>
        <w:t xml:space="preserve">indicios suficientes que permitían razonablemente suponer la eventual culpabilidad de la persona sometida al proceso”, como la sanción disciplinaria, y la misma declaración de la presunta víctima en la que reconoció que no comunicó a sus superiores </w:t>
      </w:r>
      <w:r>
        <w:rPr>
          <w:rFonts w:asciiTheme="majorHAnsi" w:eastAsia="Calibri" w:hAnsiTheme="majorHAnsi"/>
          <w:sz w:val="20"/>
          <w:szCs w:val="20"/>
          <w:lang w:val="es-VE"/>
        </w:rPr>
        <w:t>de ciertos vuelos realizados. A</w:t>
      </w:r>
      <w:r w:rsidRPr="002B64D3">
        <w:rPr>
          <w:rFonts w:asciiTheme="majorHAnsi" w:eastAsia="Calibri" w:hAnsiTheme="majorHAnsi"/>
          <w:sz w:val="20"/>
          <w:szCs w:val="20"/>
          <w:lang w:val="es-VE"/>
        </w:rPr>
        <w:t>gregó que además, la detención fue objeto de revisión judicial y que el peticionario pudo hacer uso de los recursos respectivos para cuestionar dicha medida, por lo que no existe transgresión al artículo 7</w:t>
      </w:r>
      <w:r>
        <w:rPr>
          <w:rFonts w:asciiTheme="majorHAnsi" w:eastAsia="Calibri" w:hAnsiTheme="majorHAnsi"/>
          <w:sz w:val="20"/>
          <w:szCs w:val="20"/>
          <w:lang w:val="es-VE"/>
        </w:rPr>
        <w:t>.3</w:t>
      </w:r>
      <w:r w:rsidRPr="002B64D3">
        <w:rPr>
          <w:rFonts w:asciiTheme="majorHAnsi" w:eastAsia="Calibri" w:hAnsiTheme="majorHAnsi"/>
          <w:sz w:val="20"/>
          <w:szCs w:val="20"/>
          <w:lang w:val="es-VE"/>
        </w:rPr>
        <w:t xml:space="preserve"> de la Convención Americana.</w:t>
      </w:r>
    </w:p>
    <w:p w:rsidR="00F039D8" w:rsidRPr="008434BF" w:rsidRDefault="00F039D8" w:rsidP="00F039D8">
      <w:pPr>
        <w:rPr>
          <w:rFonts w:asciiTheme="majorHAnsi" w:eastAsia="Calibri" w:hAnsiTheme="majorHAnsi"/>
          <w:sz w:val="20"/>
          <w:szCs w:val="20"/>
          <w:lang w:val="es-VE"/>
        </w:rPr>
      </w:pPr>
    </w:p>
    <w:p w:rsidR="00F039D8" w:rsidRPr="002B64D3"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En relación con el artículo 7.5 de la Convención el Estado indicó que la presunta víctima fue puesta a disposición de autoridad competente, ya que el 15 de septiembre de 1994 rindió declaración en presencia del Instructor y Fiscal. Indicó que si bien el peticionario alega que fue hasta el 28 de septiembre de 1994 que el Juez de Primera Instancia Mixto solicitó que le envíen al inculpado, para ese momento ya había sido escuchado personalmente por un funcionario autorizado por ley para ejercer funciones judiciales. </w:t>
      </w:r>
    </w:p>
    <w:p w:rsidR="00F039D8" w:rsidRPr="008434BF" w:rsidRDefault="00F039D8" w:rsidP="00F039D8">
      <w:pPr>
        <w:rPr>
          <w:rFonts w:asciiTheme="majorHAnsi" w:eastAsia="Calibri" w:hAnsiTheme="majorHAnsi"/>
          <w:sz w:val="20"/>
          <w:szCs w:val="20"/>
          <w:lang w:val="es-VE"/>
        </w:rPr>
      </w:pPr>
    </w:p>
    <w:p w:rsidR="00F039D8" w:rsidRPr="00563BD4" w:rsidRDefault="00F039D8" w:rsidP="00563B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sidRPr="00563BD4">
        <w:rPr>
          <w:rFonts w:asciiTheme="majorHAnsi" w:eastAsia="Calibri" w:hAnsiTheme="majorHAnsi"/>
          <w:sz w:val="20"/>
          <w:szCs w:val="20"/>
          <w:lang w:val="es-VE"/>
        </w:rPr>
        <w:t xml:space="preserve">Alegó que no se vulneró el </w:t>
      </w:r>
      <w:r w:rsidRPr="00563BD4">
        <w:rPr>
          <w:rFonts w:asciiTheme="majorHAnsi" w:eastAsia="Calibri" w:hAnsiTheme="majorHAnsi"/>
          <w:b/>
          <w:sz w:val="20"/>
          <w:szCs w:val="20"/>
          <w:lang w:val="es-VE"/>
        </w:rPr>
        <w:t>derecho a las garantías judiciales</w:t>
      </w:r>
      <w:r w:rsidR="00563BD4" w:rsidRPr="00563BD4">
        <w:rPr>
          <w:rFonts w:asciiTheme="majorHAnsi" w:eastAsia="Calibri" w:hAnsiTheme="majorHAnsi"/>
          <w:sz w:val="20"/>
          <w:szCs w:val="20"/>
          <w:lang w:val="es-VE"/>
        </w:rPr>
        <w:t>,</w:t>
      </w:r>
      <w:r w:rsidRPr="00563BD4">
        <w:rPr>
          <w:rFonts w:asciiTheme="majorHAnsi" w:eastAsia="Calibri" w:hAnsiTheme="majorHAnsi"/>
          <w:sz w:val="20"/>
          <w:szCs w:val="20"/>
          <w:lang w:val="es-VE"/>
        </w:rPr>
        <w:t xml:space="preserve"> ya que en los procesos realizados en contra de la presunta víctima se respetaron todas las garantías del debido proceso. </w:t>
      </w:r>
      <w:r w:rsidR="00563BD4" w:rsidRPr="00563BD4">
        <w:rPr>
          <w:rFonts w:asciiTheme="majorHAnsi" w:eastAsia="Calibri" w:hAnsiTheme="majorHAnsi"/>
          <w:sz w:val="20"/>
          <w:szCs w:val="20"/>
          <w:lang w:val="es-VE"/>
        </w:rPr>
        <w:t xml:space="preserve">Como se indicó con anterioridad, en un primer momento el Estado reconoció que </w:t>
      </w:r>
      <w:r w:rsidR="00563BD4" w:rsidRPr="00563BD4">
        <w:rPr>
          <w:rFonts w:asciiTheme="majorHAnsi" w:hAnsiTheme="majorHAnsi"/>
          <w:sz w:val="20"/>
          <w:szCs w:val="20"/>
          <w:lang w:val="es-VE"/>
        </w:rPr>
        <w:t xml:space="preserve">el abogado defensor de la presunta víctima durante la etapa de investigación policial, fungió después como Juez Militar Permanente en el proceso ante la jurisdicción militar. Sin embargo con posterioridad indicó que </w:t>
      </w:r>
      <w:r w:rsidRPr="00563BD4">
        <w:rPr>
          <w:rFonts w:asciiTheme="majorHAnsi" w:eastAsia="Calibri" w:hAnsiTheme="majorHAnsi"/>
          <w:sz w:val="20"/>
          <w:szCs w:val="20"/>
          <w:lang w:val="es-VE"/>
        </w:rPr>
        <w:t xml:space="preserve">no existe registro que confirme el alegato según el cual su defensor de oficio fue designado como Juez Militar Permanente dentro de la misma causa, y que en cualquier caso, la presunta víctima pudo haber interpuesto una recusación o inhibición. Indicó que la presunta víctima pretende utilizar a la CIDH como una cuarta instancia, lo cual no corresponde conforme a la propia jurisprudencia del Sistema Interamericano.  Agregó que el Estado cumplió con su obligación de designar un defensor de oficio a la presunta víctima, y que esta no comprobó que nombró a un defensor de su elección en el plazo previsto por la ley. </w:t>
      </w:r>
    </w:p>
    <w:p w:rsidR="00F039D8" w:rsidRPr="00C45EB0"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lang w:val="es-VE"/>
        </w:rPr>
      </w:pPr>
    </w:p>
    <w:p w:rsidR="00F039D8" w:rsidRPr="001E007C"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Alegó que no es procedente declarar la violación </w:t>
      </w:r>
      <w:r w:rsidRPr="00A62094">
        <w:rPr>
          <w:rFonts w:asciiTheme="majorHAnsi" w:eastAsia="Calibri" w:hAnsiTheme="majorHAnsi"/>
          <w:b/>
          <w:sz w:val="20"/>
          <w:szCs w:val="20"/>
          <w:lang w:val="es-VE"/>
        </w:rPr>
        <w:t>del principio de legalidad</w:t>
      </w:r>
      <w:r>
        <w:rPr>
          <w:rFonts w:asciiTheme="majorHAnsi" w:eastAsia="Calibri" w:hAnsiTheme="majorHAnsi"/>
          <w:sz w:val="20"/>
          <w:szCs w:val="20"/>
          <w:lang w:val="es-VE"/>
        </w:rPr>
        <w:t xml:space="preserve"> porque no hay hechos que la </w:t>
      </w:r>
      <w:r w:rsidR="00563BD4">
        <w:rPr>
          <w:rFonts w:asciiTheme="majorHAnsi" w:eastAsia="Calibri" w:hAnsiTheme="majorHAnsi"/>
          <w:sz w:val="20"/>
          <w:szCs w:val="20"/>
          <w:lang w:val="es-VE"/>
        </w:rPr>
        <w:t>sustenten c</w:t>
      </w:r>
      <w:r>
        <w:rPr>
          <w:rFonts w:asciiTheme="majorHAnsi" w:eastAsia="Calibri" w:hAnsiTheme="majorHAnsi"/>
          <w:sz w:val="20"/>
          <w:szCs w:val="20"/>
          <w:lang w:val="es-VE"/>
        </w:rPr>
        <w:t xml:space="preserve">omo tal. </w:t>
      </w:r>
      <w:r w:rsidRPr="001E007C">
        <w:rPr>
          <w:rFonts w:asciiTheme="majorHAnsi" w:eastAsia="Calibri" w:hAnsiTheme="majorHAnsi"/>
          <w:sz w:val="20"/>
          <w:szCs w:val="20"/>
          <w:lang w:val="es-VE"/>
        </w:rPr>
        <w:t>Además, agregó que en el informe de admisibilidad, la CIDH cometió un error material porque en el párrafo 38 se indica que “la peticionaria no precisó la violación alegada al artículo 9 de la Convención, no siendo por lo tanto procedente admitir esta violación porque del contexto de su petición en este aspecto no hay hechos que la caractericen como tal”, no obstante, en el punto 1 la CIDH decidió declarar admisible las alegaciones del peticionario relacionadas con la violación del artículo 9</w:t>
      </w:r>
      <w:r w:rsidR="00563BD4">
        <w:rPr>
          <w:rStyle w:val="FootnoteReference"/>
          <w:rFonts w:eastAsia="Calibri"/>
          <w:szCs w:val="20"/>
          <w:lang w:val="es-VE"/>
        </w:rPr>
        <w:footnoteReference w:id="6"/>
      </w:r>
      <w:r w:rsidRPr="001E007C">
        <w:rPr>
          <w:rFonts w:asciiTheme="majorHAnsi" w:eastAsia="Calibri" w:hAnsiTheme="majorHAnsi"/>
          <w:sz w:val="20"/>
          <w:szCs w:val="20"/>
          <w:lang w:val="es-VE"/>
        </w:rPr>
        <w:t xml:space="preserve">. </w:t>
      </w:r>
    </w:p>
    <w:p w:rsidR="00F039D8" w:rsidRDefault="00F039D8" w:rsidP="00F039D8">
      <w:pPr>
        <w:pStyle w:val="ListParagraph"/>
        <w:rPr>
          <w:rFonts w:asciiTheme="majorHAnsi" w:eastAsia="Calibri" w:hAnsiTheme="majorHAnsi"/>
          <w:sz w:val="20"/>
          <w:szCs w:val="20"/>
          <w:lang w:val="es-VE"/>
        </w:rPr>
      </w:pPr>
    </w:p>
    <w:p w:rsidR="00F039D8" w:rsidRPr="00B84561"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Calibri" w:hAnsiTheme="majorHAnsi"/>
          <w:sz w:val="20"/>
          <w:szCs w:val="20"/>
          <w:lang w:val="es-VE"/>
        </w:rPr>
      </w:pPr>
      <w:r>
        <w:rPr>
          <w:rFonts w:asciiTheme="majorHAnsi" w:eastAsia="Calibri" w:hAnsiTheme="majorHAnsi"/>
          <w:sz w:val="20"/>
          <w:szCs w:val="20"/>
          <w:lang w:val="es-VE"/>
        </w:rPr>
        <w:t xml:space="preserve">Añadió que tampoco es procedente declarar la violación </w:t>
      </w:r>
      <w:r w:rsidRPr="00E51F47">
        <w:rPr>
          <w:rFonts w:asciiTheme="majorHAnsi" w:eastAsia="Calibri" w:hAnsiTheme="majorHAnsi"/>
          <w:b/>
          <w:sz w:val="20"/>
          <w:szCs w:val="20"/>
          <w:lang w:val="es-VE"/>
        </w:rPr>
        <w:t>del derecho a la igualdad ante la ley</w:t>
      </w:r>
      <w:r>
        <w:rPr>
          <w:rFonts w:asciiTheme="majorHAnsi" w:eastAsia="Calibri" w:hAnsiTheme="majorHAnsi"/>
          <w:sz w:val="20"/>
          <w:szCs w:val="20"/>
          <w:lang w:val="es-VE"/>
        </w:rPr>
        <w:t xml:space="preserve">, como sostiene la peticionaria porque tal violación no fue admitida en el informe de admisibilidad. </w:t>
      </w:r>
    </w:p>
    <w:p w:rsidR="00F039D8" w:rsidRPr="008D68B9" w:rsidRDefault="00F039D8" w:rsidP="00F039D8">
      <w:pPr>
        <w:rPr>
          <w:rFonts w:asciiTheme="majorHAnsi" w:eastAsia="Times New Roman" w:hAnsiTheme="majorHAnsi"/>
          <w:sz w:val="20"/>
          <w:szCs w:val="20"/>
          <w:bdr w:val="none" w:sz="0" w:space="0" w:color="auto"/>
          <w:lang w:val="es-AR"/>
        </w:rPr>
      </w:pPr>
    </w:p>
    <w:p w:rsidR="00F039D8" w:rsidRPr="00C7651F" w:rsidRDefault="00F039D8" w:rsidP="00F039D8">
      <w:pPr>
        <w:pStyle w:val="Heading1"/>
        <w:numPr>
          <w:ilvl w:val="0"/>
          <w:numId w:val="55"/>
        </w:numPr>
        <w:tabs>
          <w:tab w:val="clear" w:pos="1440"/>
        </w:tabs>
      </w:pPr>
      <w:bookmarkStart w:id="29" w:name="_Toc370840748"/>
      <w:bookmarkStart w:id="30" w:name="_Toc370840844"/>
      <w:bookmarkStart w:id="31" w:name="_Toc423514410"/>
      <w:bookmarkStart w:id="32" w:name="_Toc433115986"/>
      <w:bookmarkStart w:id="33" w:name="_Toc444958129"/>
      <w:bookmarkStart w:id="34" w:name="_Toc485394050"/>
      <w:r w:rsidRPr="00C7651F">
        <w:t>HECHOS PROBADOS</w:t>
      </w:r>
      <w:bookmarkEnd w:id="29"/>
      <w:bookmarkEnd w:id="30"/>
      <w:bookmarkEnd w:id="31"/>
      <w:bookmarkEnd w:id="32"/>
      <w:bookmarkEnd w:id="33"/>
      <w:bookmarkEnd w:id="34"/>
    </w:p>
    <w:p w:rsidR="00F039D8" w:rsidRPr="009A0E6B" w:rsidRDefault="00F039D8" w:rsidP="00F039D8">
      <w:pPr>
        <w:ind w:right="720"/>
        <w:jc w:val="both"/>
        <w:rPr>
          <w:rFonts w:asciiTheme="majorHAnsi" w:hAnsiTheme="majorHAnsi"/>
          <w:sz w:val="20"/>
          <w:szCs w:val="20"/>
          <w:highlight w:val="yellow"/>
          <w:lang w:val="es-VE"/>
        </w:rPr>
      </w:pPr>
      <w:r w:rsidRPr="008D68B9">
        <w:rPr>
          <w:rFonts w:asciiTheme="majorHAnsi" w:hAnsiTheme="majorHAnsi"/>
          <w:sz w:val="20"/>
          <w:szCs w:val="20"/>
          <w:highlight w:val="yellow"/>
          <w:lang w:val="es-VE"/>
        </w:rPr>
        <w:t xml:space="preserve"> </w:t>
      </w: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sidRPr="00732D63">
        <w:rPr>
          <w:rFonts w:ascii="Cambria" w:eastAsia="Times New Roman" w:hAnsi="Cambria"/>
          <w:sz w:val="20"/>
          <w:szCs w:val="20"/>
          <w:lang w:val="es-AR"/>
        </w:rPr>
        <w:t>Tomando en cuenta la información disponible en el expediente</w:t>
      </w:r>
      <w:r>
        <w:rPr>
          <w:rFonts w:ascii="Cambria" w:eastAsia="Times New Roman" w:hAnsi="Cambria"/>
          <w:sz w:val="20"/>
          <w:szCs w:val="20"/>
          <w:lang w:val="es-AR"/>
        </w:rPr>
        <w:t>,</w:t>
      </w:r>
      <w:r w:rsidRPr="00732D63">
        <w:rPr>
          <w:rFonts w:ascii="Cambria" w:eastAsia="Times New Roman" w:hAnsi="Cambria"/>
          <w:sz w:val="20"/>
          <w:szCs w:val="20"/>
          <w:lang w:val="es-AR"/>
        </w:rPr>
        <w:t xml:space="preserve"> los hechos probados serán descritos en el siguiente orden: A. La Operación “Ángel”; B.</w:t>
      </w:r>
      <w:r>
        <w:rPr>
          <w:rFonts w:ascii="Cambria" w:eastAsia="Times New Roman" w:hAnsi="Cambria"/>
          <w:sz w:val="20"/>
          <w:szCs w:val="20"/>
          <w:lang w:val="es-AR"/>
        </w:rPr>
        <w:t xml:space="preserve"> Investigación de la Inspectoría del Destacamento Leoncio Prado; C. Proceso Administrativo Disciplinario; D. Proceso en la jurisdicción penal militar; E. Proceso en la jurisdicción penal ordinaria; F. Detención. </w:t>
      </w:r>
    </w:p>
    <w:p w:rsidR="00F039D8" w:rsidRPr="00732D63" w:rsidRDefault="00F039D8" w:rsidP="00F039D8">
      <w:pPr>
        <w:tabs>
          <w:tab w:val="left" w:pos="1440"/>
        </w:tabs>
        <w:ind w:left="720"/>
        <w:jc w:val="both"/>
        <w:rPr>
          <w:rFonts w:ascii="Cambria" w:eastAsia="Times New Roman" w:hAnsi="Cambria"/>
          <w:sz w:val="20"/>
          <w:szCs w:val="20"/>
          <w:lang w:val="es-AR"/>
        </w:rPr>
      </w:pPr>
    </w:p>
    <w:p w:rsidR="00F039D8" w:rsidRDefault="00F039D8" w:rsidP="00F039D8">
      <w:pPr>
        <w:pStyle w:val="Heading2"/>
        <w:numPr>
          <w:ilvl w:val="0"/>
          <w:numId w:val="60"/>
        </w:numPr>
      </w:pPr>
      <w:bookmarkStart w:id="35" w:name="_Toc485394051"/>
      <w:r>
        <w:lastRenderedPageBreak/>
        <w:t>La Operación “Ángel”</w:t>
      </w:r>
      <w:bookmarkEnd w:id="35"/>
    </w:p>
    <w:p w:rsidR="00F039D8" w:rsidRPr="00732D63" w:rsidRDefault="00F039D8" w:rsidP="00F039D8">
      <w:pPr>
        <w:tabs>
          <w:tab w:val="left" w:pos="1440"/>
        </w:tabs>
        <w:jc w:val="both"/>
        <w:rPr>
          <w:rFonts w:ascii="Cambria" w:eastAsia="Times New Roman" w:hAnsi="Cambria"/>
          <w:sz w:val="20"/>
          <w:szCs w:val="20"/>
          <w:lang w:val="es-AR"/>
        </w:rPr>
      </w:pPr>
    </w:p>
    <w:p w:rsidR="00F039D8" w:rsidRPr="00AA2F50" w:rsidRDefault="00F10032"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Pr>
          <w:rFonts w:ascii="Cambria" w:eastAsia="Times New Roman" w:hAnsi="Cambria"/>
          <w:sz w:val="20"/>
          <w:szCs w:val="20"/>
          <w:lang w:val="es-AR"/>
        </w:rPr>
        <w:t>Según</w:t>
      </w:r>
      <w:r w:rsidR="00F039D8">
        <w:rPr>
          <w:rFonts w:ascii="Cambria" w:eastAsia="Times New Roman" w:hAnsi="Cambria"/>
          <w:sz w:val="20"/>
          <w:szCs w:val="20"/>
          <w:lang w:val="es-VE"/>
        </w:rPr>
        <w:t xml:space="preserve"> consta en el expediente del caso, la presunta víctima se desempeñó como Teniente de Inteligencia del Ejército Peruano a partir del 1 de enero de 1990</w:t>
      </w:r>
      <w:r w:rsidR="00F039D8" w:rsidRPr="00354080">
        <w:rPr>
          <w:rStyle w:val="FootnoteReference"/>
          <w:rFonts w:asciiTheme="majorHAnsi" w:eastAsia="Times New Roman" w:hAnsiTheme="majorHAnsi"/>
          <w:sz w:val="20"/>
          <w:szCs w:val="20"/>
          <w:lang w:val="es-VE"/>
        </w:rPr>
        <w:footnoteReference w:id="7"/>
      </w:r>
      <w:r w:rsidR="00F039D8">
        <w:rPr>
          <w:rFonts w:ascii="Cambria" w:eastAsia="Times New Roman" w:hAnsi="Cambria"/>
          <w:sz w:val="20"/>
          <w:szCs w:val="20"/>
          <w:lang w:val="es-VE"/>
        </w:rPr>
        <w:t xml:space="preserve">. </w:t>
      </w:r>
    </w:p>
    <w:p w:rsidR="00F039D8" w:rsidRPr="00314486" w:rsidRDefault="00F039D8" w:rsidP="00F039D8">
      <w:pPr>
        <w:tabs>
          <w:tab w:val="left" w:pos="1440"/>
        </w:tabs>
        <w:jc w:val="both"/>
        <w:rPr>
          <w:rFonts w:ascii="Cambria" w:eastAsia="Times New Roman" w:hAnsi="Cambria"/>
          <w:sz w:val="20"/>
          <w:szCs w:val="20"/>
          <w:lang w:val="es-AR"/>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Pr>
          <w:rFonts w:ascii="Cambria" w:eastAsia="Times New Roman" w:hAnsi="Cambria"/>
          <w:sz w:val="20"/>
          <w:szCs w:val="20"/>
          <w:lang w:val="es-AR"/>
        </w:rPr>
        <w:t xml:space="preserve">El 30 de junio de 1994 se le notificó al señor Rosadio Villavicencio </w:t>
      </w:r>
      <w:r w:rsidRPr="00314486">
        <w:rPr>
          <w:rFonts w:ascii="Cambria" w:hAnsi="Cambria"/>
          <w:sz w:val="20"/>
          <w:szCs w:val="20"/>
          <w:lang w:val="es-AR"/>
        </w:rPr>
        <w:t>que fue asignad</w:t>
      </w:r>
      <w:r>
        <w:rPr>
          <w:rFonts w:ascii="Cambria" w:hAnsi="Cambria"/>
          <w:sz w:val="20"/>
          <w:szCs w:val="20"/>
          <w:lang w:val="es-AR"/>
        </w:rPr>
        <w:t>o</w:t>
      </w:r>
      <w:r w:rsidRPr="00314486">
        <w:rPr>
          <w:rFonts w:ascii="Cambria" w:hAnsi="Cambria"/>
          <w:sz w:val="20"/>
          <w:szCs w:val="20"/>
          <w:lang w:val="es-AR"/>
        </w:rPr>
        <w:t xml:space="preserve"> a la Quinta Región Militar, Destacamento “Leoncio Prado”, Compañía de Inteligencia No. 341</w:t>
      </w:r>
      <w:r w:rsidRPr="00E93074">
        <w:rPr>
          <w:rStyle w:val="FootnoteReference"/>
          <w:rFonts w:ascii="Cambria" w:hAnsi="Cambria"/>
          <w:sz w:val="20"/>
          <w:szCs w:val="20"/>
          <w:lang w:val="es-ES_tradnl"/>
        </w:rPr>
        <w:footnoteReference w:id="8"/>
      </w:r>
      <w:r>
        <w:rPr>
          <w:rFonts w:ascii="Cambria" w:hAnsi="Cambria"/>
          <w:sz w:val="20"/>
          <w:szCs w:val="20"/>
          <w:lang w:val="es-AR"/>
        </w:rPr>
        <w:t xml:space="preserve"> en la zona de Sion, con el objeto de cumplir con una misión de inteligencia. </w:t>
      </w:r>
      <w:r w:rsidR="005212FD">
        <w:rPr>
          <w:rFonts w:ascii="Cambria" w:hAnsi="Cambria"/>
          <w:sz w:val="20"/>
          <w:szCs w:val="20"/>
          <w:lang w:val="es-AR"/>
        </w:rPr>
        <w:t>Según consta en el expediente, la presunta víctima estuvo a cargo del Destacamento “Leoncio Prado” a partir del 5 de agosto de 1994.</w:t>
      </w:r>
    </w:p>
    <w:p w:rsidR="00F039D8" w:rsidRPr="008A68C9"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AR"/>
        </w:rPr>
      </w:pPr>
      <w:r w:rsidRPr="001A12F3">
        <w:rPr>
          <w:rFonts w:asciiTheme="majorHAnsi" w:hAnsiTheme="majorHAnsi"/>
          <w:sz w:val="20"/>
          <w:szCs w:val="20"/>
          <w:lang w:val="es-AR"/>
        </w:rPr>
        <w:t>Según refirió la presunta víctima, la misión de inteligencia se denominaba “Plan Ángel” y los pasos de la misma le fueron dados verbalmente. Dicha misión consistía en infiltrarse en grupos de narcotráfico en la zona de Sion, y proceder a la captura de narcotraficantes, así como decomiso de droga, dinero, material y equipo.</w:t>
      </w:r>
      <w:r w:rsidR="005212FD">
        <w:rPr>
          <w:rFonts w:asciiTheme="majorHAnsi" w:hAnsiTheme="majorHAnsi"/>
          <w:sz w:val="20"/>
          <w:szCs w:val="20"/>
          <w:lang w:val="es-AR"/>
        </w:rPr>
        <w:t xml:space="preserve"> </w:t>
      </w:r>
    </w:p>
    <w:p w:rsidR="005212FD" w:rsidRPr="005212FD" w:rsidRDefault="005212FD" w:rsidP="005212F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AR"/>
        </w:rPr>
      </w:pPr>
    </w:p>
    <w:p w:rsidR="00F039D8" w:rsidRPr="00D302DD"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Pr>
          <w:rFonts w:asciiTheme="majorHAnsi" w:hAnsiTheme="majorHAnsi"/>
          <w:sz w:val="20"/>
          <w:szCs w:val="20"/>
          <w:lang w:val="es-AR"/>
        </w:rPr>
        <w:t>Agregó que para resguardarse confeccionó el documentó “Plan de Operaciones Ángel” el cual contiene todas las instrucciones que le fueron proporcionadas</w:t>
      </w:r>
      <w:r w:rsidRPr="00811AF5">
        <w:rPr>
          <w:rStyle w:val="FootnoteReference"/>
          <w:rFonts w:asciiTheme="majorHAnsi" w:hAnsiTheme="majorHAnsi"/>
          <w:sz w:val="20"/>
          <w:szCs w:val="20"/>
          <w:lang w:val="es-AR"/>
        </w:rPr>
        <w:footnoteReference w:id="9"/>
      </w:r>
      <w:r w:rsidRPr="00811AF5">
        <w:rPr>
          <w:rFonts w:asciiTheme="majorHAnsi" w:hAnsiTheme="majorHAnsi"/>
          <w:sz w:val="20"/>
          <w:szCs w:val="20"/>
          <w:lang w:val="es-AR"/>
        </w:rPr>
        <w:t>.</w:t>
      </w:r>
      <w:r>
        <w:rPr>
          <w:rFonts w:asciiTheme="majorHAnsi" w:hAnsiTheme="majorHAnsi"/>
          <w:sz w:val="20"/>
          <w:szCs w:val="20"/>
          <w:lang w:val="es-AR"/>
        </w:rPr>
        <w:t xml:space="preserve"> Según consta en dicho documento, </w:t>
      </w:r>
      <w:r w:rsidRPr="00D302DD">
        <w:rPr>
          <w:rFonts w:ascii="Cambria" w:hAnsi="Cambria"/>
          <w:sz w:val="20"/>
          <w:szCs w:val="20"/>
          <w:lang w:val="es-AR"/>
        </w:rPr>
        <w:t>el plan constaba de cinco pasos que el oficial ejecutor debía seguir: i) el primer paso consistía en mostrarse como un oficial corrupto y aceptar invitaciones, regalos y dinero por parte de narcotraficantes, sin hacer saber al personal de tropa que se encontraba trabajando en un equipo de inteligencia; ii) el segundo paso consistía en identificar la forma en que ingresan avionetas con droga a la zona, y las actividades en el momento de intercambio de la droga por dinero; iii) el tercer paso consistía en que el oficial autorizase vuelos de narcotraficantes a cambio de un pago por parte de estos; iv) el cuarto paso consistía en camb</w:t>
      </w:r>
      <w:r>
        <w:rPr>
          <w:rFonts w:ascii="Cambria" w:hAnsi="Cambria"/>
          <w:sz w:val="20"/>
          <w:szCs w:val="20"/>
          <w:lang w:val="es-AR"/>
        </w:rPr>
        <w:t>iar al personal de la base; v) f</w:t>
      </w:r>
      <w:r w:rsidRPr="00D302DD">
        <w:rPr>
          <w:rFonts w:ascii="Cambria" w:hAnsi="Cambria"/>
          <w:sz w:val="20"/>
          <w:szCs w:val="20"/>
          <w:lang w:val="es-AR"/>
        </w:rPr>
        <w:t>inalmente se procedería a la captura de los narcotraficantes</w:t>
      </w:r>
      <w:r w:rsidRPr="00A75C18">
        <w:rPr>
          <w:rStyle w:val="FootnoteReference"/>
          <w:rFonts w:ascii="Cambria" w:hAnsi="Cambria"/>
          <w:sz w:val="20"/>
          <w:szCs w:val="20"/>
          <w:lang w:val="es-ES_tradnl"/>
        </w:rPr>
        <w:footnoteReference w:id="10"/>
      </w:r>
      <w:r w:rsidRPr="00D302DD">
        <w:rPr>
          <w:rFonts w:ascii="Cambria" w:hAnsi="Cambria"/>
          <w:sz w:val="20"/>
          <w:szCs w:val="20"/>
          <w:lang w:val="es-AR"/>
        </w:rPr>
        <w:t xml:space="preserve">. </w:t>
      </w:r>
    </w:p>
    <w:p w:rsidR="00F039D8" w:rsidRPr="00D73D84" w:rsidRDefault="00F039D8" w:rsidP="00F039D8">
      <w:pPr>
        <w:pStyle w:val="ListParagraph"/>
        <w:rPr>
          <w:lang w:val="es-AR"/>
        </w:rPr>
      </w:pPr>
    </w:p>
    <w:p w:rsidR="00F039D8" w:rsidRPr="00A318BC"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Pr>
          <w:rFonts w:asciiTheme="majorHAnsi" w:hAnsiTheme="majorHAnsi"/>
          <w:sz w:val="20"/>
          <w:szCs w:val="20"/>
          <w:lang w:val="es-VE"/>
        </w:rPr>
        <w:t>En dicho plan también se hace constar que una parte del dinero incautado en la operación “</w:t>
      </w:r>
      <w:r w:rsidRPr="00A318BC">
        <w:rPr>
          <w:rFonts w:ascii="Cambria" w:hAnsi="Cambria"/>
          <w:sz w:val="20"/>
          <w:szCs w:val="20"/>
          <w:lang w:val="es-ES_tradnl"/>
        </w:rPr>
        <w:t>debe ser llevado al CG del Desto “LP” para pagar a la “firma” que proporcionó la información y colaboró con la operación”</w:t>
      </w:r>
      <w:r w:rsidRPr="00A318BC">
        <w:rPr>
          <w:rStyle w:val="FootnoteReference"/>
          <w:rFonts w:ascii="Cambria" w:hAnsi="Cambria"/>
          <w:sz w:val="20"/>
          <w:szCs w:val="20"/>
          <w:lang w:val="es-ES_tradnl"/>
        </w:rPr>
        <w:footnoteReference w:id="11"/>
      </w:r>
      <w:r w:rsidRPr="00A318BC">
        <w:rPr>
          <w:rFonts w:ascii="Cambria" w:hAnsi="Cambria"/>
          <w:sz w:val="20"/>
          <w:szCs w:val="20"/>
          <w:lang w:val="es-ES_tradnl"/>
        </w:rPr>
        <w:t xml:space="preserve">. </w:t>
      </w:r>
    </w:p>
    <w:p w:rsidR="00F039D8" w:rsidRDefault="00F039D8" w:rsidP="00F039D8">
      <w:pPr>
        <w:pStyle w:val="ListParagraph"/>
        <w:rPr>
          <w:i/>
          <w:sz w:val="20"/>
          <w:szCs w:val="20"/>
          <w:lang w:val="es-ES_tradnl"/>
        </w:rPr>
      </w:pPr>
    </w:p>
    <w:p w:rsidR="00F039D8" w:rsidRPr="00D302DD"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i/>
          <w:sz w:val="20"/>
          <w:szCs w:val="20"/>
          <w:lang w:val="es-ES_tradnl"/>
        </w:rPr>
      </w:pPr>
      <w:r>
        <w:rPr>
          <w:rFonts w:ascii="Cambria" w:hAnsi="Cambria"/>
          <w:sz w:val="20"/>
          <w:szCs w:val="20"/>
          <w:lang w:val="es-ES_tradnl"/>
        </w:rPr>
        <w:t>La presunta víctima alegó a lo largo de los procesos que se describen a continuación, que desarrolló el plan de inteligencia conforme a las órdenes verbales que le fueron indicadas.</w:t>
      </w:r>
    </w:p>
    <w:p w:rsidR="00F039D8" w:rsidRDefault="00F039D8" w:rsidP="00F039D8">
      <w:pPr>
        <w:pStyle w:val="ListParagraph"/>
        <w:rPr>
          <w:i/>
          <w:sz w:val="20"/>
          <w:szCs w:val="20"/>
          <w:lang w:val="es-ES_tradnl"/>
        </w:rPr>
      </w:pPr>
    </w:p>
    <w:p w:rsidR="00F039D8" w:rsidRPr="005F4043"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i/>
          <w:sz w:val="20"/>
          <w:szCs w:val="20"/>
          <w:lang w:val="es-ES_tradnl"/>
        </w:rPr>
      </w:pPr>
      <w:r>
        <w:rPr>
          <w:rFonts w:ascii="Cambria" w:hAnsi="Cambria"/>
          <w:sz w:val="20"/>
          <w:szCs w:val="20"/>
          <w:lang w:val="es-ES_tradnl"/>
        </w:rPr>
        <w:t>El Estado no negó propiamente la existencia del Plan de Operaciones Ángel, pero refirió que la presunta víctima desobedeció las órdenes que le fueron dadas y aprovechó el plan de inteligencia para su beneficio personal. Asimismo, en el marco de los procesos internos, agentes estatales hicieron referencia a otros planes denominados “Limpieza 94” y “Colocación 1994”.</w:t>
      </w:r>
      <w:r w:rsidRPr="005F4043">
        <w:rPr>
          <w:rFonts w:ascii="Cambria" w:hAnsi="Cambria"/>
          <w:sz w:val="20"/>
          <w:szCs w:val="20"/>
          <w:lang w:val="es-ES_tradnl"/>
        </w:rPr>
        <w:t xml:space="preserve"> No obstante la presunt</w:t>
      </w:r>
      <w:r>
        <w:rPr>
          <w:rFonts w:ascii="Cambria" w:hAnsi="Cambria"/>
          <w:sz w:val="20"/>
          <w:szCs w:val="20"/>
          <w:lang w:val="es-ES_tradnl"/>
        </w:rPr>
        <w:t>a víctima negó la existencia de</w:t>
      </w:r>
      <w:r w:rsidRPr="005F4043">
        <w:rPr>
          <w:rFonts w:ascii="Cambria" w:hAnsi="Cambria"/>
          <w:sz w:val="20"/>
          <w:szCs w:val="20"/>
          <w:lang w:val="es-ES_tradnl"/>
        </w:rPr>
        <w:t xml:space="preserve"> </w:t>
      </w:r>
      <w:r>
        <w:rPr>
          <w:rFonts w:ascii="Cambria" w:hAnsi="Cambria"/>
          <w:sz w:val="20"/>
          <w:szCs w:val="20"/>
          <w:lang w:val="es-ES_tradnl"/>
        </w:rPr>
        <w:t xml:space="preserve">los </w:t>
      </w:r>
      <w:r w:rsidRPr="005F4043">
        <w:rPr>
          <w:rFonts w:ascii="Cambria" w:hAnsi="Cambria"/>
          <w:sz w:val="20"/>
          <w:szCs w:val="20"/>
          <w:lang w:val="es-ES_tradnl"/>
        </w:rPr>
        <w:t>mismo</w:t>
      </w:r>
      <w:r>
        <w:rPr>
          <w:rFonts w:ascii="Cambria" w:hAnsi="Cambria"/>
          <w:sz w:val="20"/>
          <w:szCs w:val="20"/>
          <w:lang w:val="es-ES_tradnl"/>
        </w:rPr>
        <w:t>s</w:t>
      </w:r>
      <w:r w:rsidRPr="005F4043">
        <w:rPr>
          <w:rFonts w:ascii="Cambria" w:hAnsi="Cambria"/>
          <w:sz w:val="20"/>
          <w:szCs w:val="20"/>
          <w:lang w:val="es-ES_tradnl"/>
        </w:rPr>
        <w:t xml:space="preserve">. </w:t>
      </w:r>
      <w:r w:rsidRPr="005F4043">
        <w:rPr>
          <w:rFonts w:asciiTheme="majorHAnsi" w:hAnsiTheme="majorHAnsi"/>
          <w:sz w:val="20"/>
          <w:szCs w:val="20"/>
          <w:lang w:val="es-CO"/>
        </w:rPr>
        <w:t>La CIDH no cuenta con documentación sobre la existencia d</w:t>
      </w:r>
      <w:r>
        <w:rPr>
          <w:rFonts w:asciiTheme="majorHAnsi" w:hAnsiTheme="majorHAnsi"/>
          <w:sz w:val="20"/>
          <w:szCs w:val="20"/>
          <w:lang w:val="es-CO"/>
        </w:rPr>
        <w:t xml:space="preserve">e estos </w:t>
      </w:r>
      <w:r w:rsidRPr="005F4043">
        <w:rPr>
          <w:rFonts w:asciiTheme="majorHAnsi" w:hAnsiTheme="majorHAnsi"/>
          <w:sz w:val="20"/>
          <w:szCs w:val="20"/>
          <w:lang w:val="es-CO"/>
        </w:rPr>
        <w:t>plan</w:t>
      </w:r>
      <w:r>
        <w:rPr>
          <w:rFonts w:asciiTheme="majorHAnsi" w:hAnsiTheme="majorHAnsi"/>
          <w:sz w:val="20"/>
          <w:szCs w:val="20"/>
          <w:lang w:val="es-CO"/>
        </w:rPr>
        <w:t>es</w:t>
      </w:r>
      <w:r w:rsidRPr="005F4043">
        <w:rPr>
          <w:rFonts w:asciiTheme="majorHAnsi" w:hAnsiTheme="majorHAnsi"/>
          <w:sz w:val="20"/>
          <w:szCs w:val="20"/>
          <w:lang w:val="es-CO"/>
        </w:rPr>
        <w:t>, más allá de l</w:t>
      </w:r>
      <w:r>
        <w:rPr>
          <w:rFonts w:asciiTheme="majorHAnsi" w:hAnsiTheme="majorHAnsi"/>
          <w:sz w:val="20"/>
          <w:szCs w:val="20"/>
          <w:lang w:val="es-CO"/>
        </w:rPr>
        <w:t>as referencias realizadas en los expedientes internos.</w:t>
      </w:r>
    </w:p>
    <w:p w:rsidR="00F039D8" w:rsidRPr="00F42A0E"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i/>
          <w:sz w:val="20"/>
          <w:szCs w:val="20"/>
          <w:lang w:val="es-ES_tradnl"/>
        </w:rPr>
      </w:pPr>
    </w:p>
    <w:p w:rsidR="00F039D8" w:rsidRDefault="00F039D8" w:rsidP="00F039D8">
      <w:pPr>
        <w:pStyle w:val="Heading2"/>
        <w:numPr>
          <w:ilvl w:val="0"/>
          <w:numId w:val="60"/>
        </w:numPr>
      </w:pPr>
      <w:bookmarkStart w:id="36" w:name="_Toc485394052"/>
      <w:r w:rsidRPr="00244EB9">
        <w:t>Investigación de la Inspectoría del Destacamento Leoncio Prado</w:t>
      </w:r>
      <w:bookmarkEnd w:id="36"/>
    </w:p>
    <w:p w:rsidR="00F039D8" w:rsidRPr="00A05EB2" w:rsidRDefault="00F039D8" w:rsidP="00F039D8">
      <w:pPr>
        <w:tabs>
          <w:tab w:val="left" w:pos="1440"/>
        </w:tabs>
        <w:ind w:left="720"/>
        <w:jc w:val="both"/>
        <w:rPr>
          <w:rFonts w:ascii="Cambria" w:hAnsi="Cambria"/>
          <w:sz w:val="20"/>
          <w:szCs w:val="20"/>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Pr>
          <w:rFonts w:ascii="Cambria" w:hAnsi="Cambria"/>
          <w:sz w:val="20"/>
          <w:szCs w:val="20"/>
          <w:lang w:val="es-ES_tradnl"/>
        </w:rPr>
        <w:t>En septiembre de 1994 la</w:t>
      </w:r>
      <w:r w:rsidRPr="009111EC">
        <w:rPr>
          <w:rFonts w:ascii="Cambria" w:hAnsi="Cambria"/>
          <w:sz w:val="20"/>
          <w:szCs w:val="20"/>
          <w:lang w:val="es-ES_tradnl"/>
        </w:rPr>
        <w:t xml:space="preserve"> </w:t>
      </w:r>
      <w:r>
        <w:rPr>
          <w:rFonts w:ascii="Cambria" w:hAnsi="Cambria"/>
          <w:sz w:val="20"/>
          <w:szCs w:val="20"/>
          <w:lang w:val="es-ES_tradnl"/>
        </w:rPr>
        <w:t>Inspectoría del Destacamento Leoncio Prado inició una investigación en contra de la presunta víctima y otros miembros del pe</w:t>
      </w:r>
      <w:r w:rsidR="0016331B">
        <w:rPr>
          <w:rFonts w:ascii="Cambria" w:hAnsi="Cambria"/>
          <w:sz w:val="20"/>
          <w:szCs w:val="20"/>
          <w:lang w:val="es-ES_tradnl"/>
        </w:rPr>
        <w:t>rsonal militar de la Base de Sio</w:t>
      </w:r>
      <w:r>
        <w:rPr>
          <w:rFonts w:ascii="Cambria" w:hAnsi="Cambria"/>
          <w:sz w:val="20"/>
          <w:szCs w:val="20"/>
          <w:lang w:val="es-ES_tradnl"/>
        </w:rPr>
        <w:t xml:space="preserve">n, para determinar si cometieron irregularidades en el ejercicio de sus funciones. </w:t>
      </w:r>
    </w:p>
    <w:p w:rsidR="00F039D8" w:rsidRDefault="00F039D8" w:rsidP="00F039D8">
      <w:pPr>
        <w:tabs>
          <w:tab w:val="left" w:pos="1440"/>
          <w:tab w:val="num" w:pos="2040"/>
        </w:tabs>
        <w:jc w:val="both"/>
        <w:rPr>
          <w:rFonts w:ascii="Cambria" w:hAnsi="Cambria"/>
          <w:sz w:val="20"/>
          <w:szCs w:val="20"/>
          <w:lang w:val="es-ES_tradnl"/>
        </w:rPr>
      </w:pPr>
    </w:p>
    <w:p w:rsidR="00F039D8" w:rsidRPr="0068047A"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Pr>
          <w:rFonts w:ascii="Cambria" w:hAnsi="Cambria"/>
          <w:sz w:val="20"/>
          <w:szCs w:val="20"/>
          <w:lang w:val="es-ES_tradnl"/>
        </w:rPr>
        <w:t xml:space="preserve">En el marco de dicha investigación, el 15 de septiembre de 1994 la presunta víctima rindió su declaración ante el Instructor en el Destacamento “Leoncio Prado” con la presencia del abogado que le fue </w:t>
      </w:r>
      <w:r>
        <w:rPr>
          <w:rFonts w:ascii="Cambria" w:hAnsi="Cambria"/>
          <w:sz w:val="20"/>
          <w:szCs w:val="20"/>
          <w:lang w:val="es-ES_tradnl"/>
        </w:rPr>
        <w:lastRenderedPageBreak/>
        <w:t>designado, Jorge Ramírez Huerta</w:t>
      </w:r>
      <w:r w:rsidR="00393C41">
        <w:rPr>
          <w:rFonts w:ascii="Cambria" w:hAnsi="Cambria"/>
          <w:sz w:val="20"/>
          <w:szCs w:val="20"/>
          <w:lang w:val="es-ES_tradnl"/>
        </w:rPr>
        <w:t xml:space="preserve">, </w:t>
      </w:r>
      <w:r w:rsidR="00FF4930">
        <w:rPr>
          <w:rFonts w:ascii="Cambria" w:hAnsi="Cambria"/>
          <w:sz w:val="20"/>
          <w:szCs w:val="20"/>
          <w:lang w:val="es-ES_tradnl"/>
        </w:rPr>
        <w:t>quien según la información disponible era militar en servicio activo</w:t>
      </w:r>
      <w:r w:rsidRPr="0068047A">
        <w:rPr>
          <w:rFonts w:ascii="Cambria" w:hAnsi="Cambria"/>
          <w:sz w:val="20"/>
          <w:szCs w:val="20"/>
          <w:lang w:val="es-ES_tradnl"/>
        </w:rPr>
        <w:t xml:space="preserve">. En dicha declaración indicó que en el marco de las tareas de inteligencia que le fueron encomendadas, en las que debía hacerse pasar como un oficial corrupto e infiltrarse en los grupos de </w:t>
      </w:r>
      <w:r w:rsidR="0016331B">
        <w:rPr>
          <w:rFonts w:ascii="Cambria" w:hAnsi="Cambria"/>
          <w:sz w:val="20"/>
          <w:szCs w:val="20"/>
          <w:lang w:val="es-ES_tradnl"/>
        </w:rPr>
        <w:t>narcotráfico en la región de Sio</w:t>
      </w:r>
      <w:r w:rsidRPr="0068047A">
        <w:rPr>
          <w:rFonts w:ascii="Cambria" w:hAnsi="Cambria"/>
          <w:sz w:val="20"/>
          <w:szCs w:val="20"/>
          <w:lang w:val="es-ES_tradnl"/>
        </w:rPr>
        <w:t>n, autorizó tres vuelos de transporte de droga: el primero el 17 de agosto de 1994, el segundo el 24 de agosto de 1994 y el tercero el 31 de agosto de 1994</w:t>
      </w:r>
      <w:r w:rsidRPr="00E93074">
        <w:rPr>
          <w:rStyle w:val="FootnoteReference"/>
          <w:rFonts w:ascii="Cambria" w:hAnsi="Cambria"/>
          <w:sz w:val="20"/>
          <w:szCs w:val="20"/>
          <w:lang w:val="es-ES_tradnl"/>
        </w:rPr>
        <w:footnoteReference w:id="12"/>
      </w:r>
      <w:r w:rsidRPr="0068047A">
        <w:rPr>
          <w:rFonts w:ascii="Cambria" w:hAnsi="Cambria"/>
          <w:sz w:val="20"/>
          <w:szCs w:val="20"/>
          <w:lang w:val="es-ES_tradnl"/>
        </w:rPr>
        <w:t xml:space="preserve">. </w:t>
      </w:r>
    </w:p>
    <w:p w:rsidR="00F039D8" w:rsidRDefault="00F039D8" w:rsidP="00F039D8">
      <w:pPr>
        <w:tabs>
          <w:tab w:val="left" w:pos="1440"/>
        </w:tabs>
        <w:ind w:left="720"/>
        <w:jc w:val="both"/>
        <w:rPr>
          <w:rFonts w:ascii="Cambria" w:hAnsi="Cambria"/>
          <w:sz w:val="20"/>
          <w:szCs w:val="20"/>
          <w:lang w:val="es-ES_tradnl"/>
        </w:rPr>
      </w:pPr>
    </w:p>
    <w:p w:rsidR="00F039D8" w:rsidRPr="002A6779"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sidRPr="002A6779">
        <w:rPr>
          <w:rFonts w:ascii="Cambria" w:hAnsi="Cambria"/>
          <w:sz w:val="20"/>
          <w:szCs w:val="20"/>
          <w:lang w:val="es-ES_tradnl"/>
        </w:rPr>
        <w:t>También fue preguntado si recibió, entre el 24 y 26 de agosto de 1994, la suma de 13 mil dólares por parte de “</w:t>
      </w:r>
      <w:proofErr w:type="spellStart"/>
      <w:r w:rsidRPr="002A6779">
        <w:rPr>
          <w:rFonts w:ascii="Cambria" w:hAnsi="Cambria"/>
          <w:sz w:val="20"/>
          <w:szCs w:val="20"/>
          <w:lang w:val="es-ES_tradnl"/>
        </w:rPr>
        <w:t>Rensam</w:t>
      </w:r>
      <w:proofErr w:type="spellEnd"/>
      <w:r w:rsidRPr="002A6779">
        <w:rPr>
          <w:rFonts w:ascii="Cambria" w:hAnsi="Cambria"/>
          <w:sz w:val="20"/>
          <w:szCs w:val="20"/>
          <w:lang w:val="es-ES_tradnl"/>
        </w:rPr>
        <w:t xml:space="preserve">”, a lo que contestó que “de acuerdo a las indicaciones recibidas por parte del </w:t>
      </w:r>
      <w:proofErr w:type="spellStart"/>
      <w:r w:rsidRPr="002A6779">
        <w:rPr>
          <w:rFonts w:ascii="Cambria" w:hAnsi="Cambria"/>
          <w:sz w:val="20"/>
          <w:szCs w:val="20"/>
          <w:lang w:val="es-ES_tradnl"/>
        </w:rPr>
        <w:t>Crnel</w:t>
      </w:r>
      <w:proofErr w:type="spellEnd"/>
      <w:r w:rsidRPr="002A6779">
        <w:rPr>
          <w:rFonts w:ascii="Cambria" w:hAnsi="Cambria"/>
          <w:sz w:val="20"/>
          <w:szCs w:val="20"/>
          <w:lang w:val="es-ES_tradnl"/>
        </w:rPr>
        <w:t xml:space="preserve"> “JANO” se repartió el dinero entre todo el personal de la Base, vale decir Oficiales, Sub Oficiales Técnicos, Personal de Tropa así como para cancelar deudas </w:t>
      </w:r>
      <w:r w:rsidRPr="002A6779">
        <w:rPr>
          <w:rFonts w:asciiTheme="majorHAnsi" w:hAnsiTheme="majorHAnsi"/>
          <w:sz w:val="20"/>
          <w:szCs w:val="20"/>
          <w:lang w:val="es-ES_tradnl"/>
        </w:rPr>
        <w:t>de la Base (….)</w:t>
      </w:r>
      <w:r w:rsidRPr="002A6779">
        <w:rPr>
          <w:rStyle w:val="FootnoteReference"/>
          <w:rFonts w:asciiTheme="majorHAnsi" w:hAnsiTheme="majorHAnsi"/>
          <w:sz w:val="20"/>
          <w:szCs w:val="20"/>
          <w:lang w:val="es-ES_tradnl"/>
        </w:rPr>
        <w:footnoteReference w:id="13"/>
      </w:r>
      <w:r w:rsidRPr="002A6779">
        <w:rPr>
          <w:rFonts w:asciiTheme="majorHAnsi" w:hAnsiTheme="majorHAnsi"/>
          <w:sz w:val="20"/>
          <w:szCs w:val="20"/>
          <w:lang w:val="es-ES_tradnl"/>
        </w:rPr>
        <w:t>”.</w:t>
      </w:r>
      <w:r w:rsidR="00B54D29">
        <w:rPr>
          <w:rFonts w:asciiTheme="majorHAnsi" w:hAnsiTheme="majorHAnsi"/>
          <w:i/>
          <w:sz w:val="20"/>
          <w:szCs w:val="20"/>
          <w:lang w:val="es-ES_tradnl"/>
        </w:rPr>
        <w:t xml:space="preserve"> </w:t>
      </w:r>
      <w:r w:rsidRPr="002A6779">
        <w:rPr>
          <w:rFonts w:ascii="Cambria" w:hAnsi="Cambria"/>
          <w:sz w:val="20"/>
          <w:szCs w:val="20"/>
          <w:lang w:val="es-ES_tradnl"/>
        </w:rPr>
        <w:t>Agregó que en su caso le correspondió el monto de dos mil dólares, el cual fue depositado en la cuenta bancaria de su madre</w:t>
      </w:r>
      <w:r w:rsidRPr="002A6779">
        <w:rPr>
          <w:rStyle w:val="FootnoteReference"/>
          <w:rFonts w:ascii="Cambria" w:hAnsi="Cambria"/>
          <w:sz w:val="20"/>
          <w:szCs w:val="20"/>
          <w:lang w:val="es-ES_tradnl"/>
        </w:rPr>
        <w:footnoteReference w:id="14"/>
      </w:r>
      <w:r w:rsidRPr="002A6779">
        <w:rPr>
          <w:rFonts w:ascii="Cambria" w:hAnsi="Cambria"/>
          <w:sz w:val="20"/>
          <w:szCs w:val="20"/>
          <w:lang w:val="es-ES_tradnl"/>
        </w:rPr>
        <w:t xml:space="preserve">. </w:t>
      </w:r>
    </w:p>
    <w:p w:rsidR="00F039D8" w:rsidRPr="00A75C18" w:rsidRDefault="00F039D8" w:rsidP="00F039D8">
      <w:pPr>
        <w:rPr>
          <w:rFonts w:asciiTheme="majorHAnsi" w:hAnsiTheme="majorHAnsi"/>
          <w:sz w:val="20"/>
          <w:szCs w:val="20"/>
          <w:highlight w:val="yellow"/>
          <w:lang w:val="es-ES_tradnl"/>
        </w:rPr>
      </w:pPr>
    </w:p>
    <w:p w:rsidR="00F039D8" w:rsidRPr="00FE625D" w:rsidRDefault="00FE625D" w:rsidP="00FE625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_tradnl"/>
        </w:rPr>
      </w:pPr>
      <w:r>
        <w:rPr>
          <w:rFonts w:ascii="Cambria" w:hAnsi="Cambria"/>
          <w:sz w:val="20"/>
          <w:szCs w:val="20"/>
          <w:lang w:val="es-ES_tradnl"/>
        </w:rPr>
        <w:t xml:space="preserve">De las actas del expediente con el que cuenta la Comisión, surge que </w:t>
      </w:r>
      <w:r w:rsidR="00F039D8" w:rsidRPr="00FE625D">
        <w:rPr>
          <w:rFonts w:asciiTheme="majorHAnsi" w:hAnsiTheme="majorHAnsi"/>
          <w:sz w:val="20"/>
          <w:szCs w:val="20"/>
          <w:lang w:val="es-ES_tradnl"/>
        </w:rPr>
        <w:t xml:space="preserve">“Coronel JANO” sería un alias para identificar al Coronel Emilio Murgueytio </w:t>
      </w:r>
      <w:r w:rsidR="00F039D8" w:rsidRPr="00FE625D">
        <w:rPr>
          <w:rFonts w:asciiTheme="majorHAnsi" w:hAnsiTheme="majorHAnsi"/>
          <w:sz w:val="20"/>
          <w:szCs w:val="20"/>
          <w:lang w:val="es-VE"/>
        </w:rPr>
        <w:t xml:space="preserve">Yáñez, superior jerárquico de la presunta víctima. </w:t>
      </w:r>
      <w:r w:rsidR="00F039D8" w:rsidRPr="00FE625D">
        <w:rPr>
          <w:sz w:val="20"/>
          <w:szCs w:val="20"/>
          <w:lang w:val="es-VE"/>
        </w:rPr>
        <w:t xml:space="preserve"> </w:t>
      </w:r>
    </w:p>
    <w:p w:rsidR="00F039D8" w:rsidRDefault="00F039D8" w:rsidP="00F039D8">
      <w:pPr>
        <w:jc w:val="both"/>
        <w:rPr>
          <w:rFonts w:ascii="Cambria" w:hAnsi="Cambria"/>
          <w:i/>
          <w:sz w:val="20"/>
          <w:szCs w:val="20"/>
          <w:lang w:val="es-ES_tradnl"/>
        </w:rPr>
      </w:pPr>
    </w:p>
    <w:p w:rsidR="00F039D8" w:rsidRPr="003F2B27"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356F8F">
        <w:rPr>
          <w:rFonts w:ascii="Cambria" w:hAnsi="Cambria"/>
          <w:sz w:val="20"/>
          <w:szCs w:val="20"/>
          <w:lang w:val="es-VE"/>
        </w:rPr>
        <w:t>El 22 de septiembre de 1994 el Coronel Emilio Murgueytio Yáñez</w:t>
      </w:r>
      <w:r>
        <w:rPr>
          <w:rFonts w:ascii="Cambria" w:hAnsi="Cambria"/>
          <w:sz w:val="20"/>
          <w:szCs w:val="20"/>
          <w:lang w:val="es-VE"/>
        </w:rPr>
        <w:t>, quien se desempeñaba como superior jerárquico de la presunta víctima, rindió su declaración ante el instructor, también con la asistencia jurídica de Jorge Ramírez Huerta</w:t>
      </w:r>
      <w:r w:rsidRPr="006F1E3E">
        <w:rPr>
          <w:rFonts w:ascii="Cambria" w:hAnsi="Cambria"/>
          <w:sz w:val="20"/>
          <w:szCs w:val="20"/>
          <w:vertAlign w:val="superscript"/>
          <w:lang w:val="es-VE"/>
        </w:rPr>
        <w:footnoteReference w:id="15"/>
      </w:r>
      <w:r w:rsidRPr="003F2B27">
        <w:rPr>
          <w:rFonts w:ascii="Cambria" w:hAnsi="Cambria"/>
          <w:sz w:val="20"/>
          <w:szCs w:val="20"/>
          <w:lang w:val="es-VE"/>
        </w:rPr>
        <w:t>.</w:t>
      </w:r>
    </w:p>
    <w:p w:rsidR="00F039D8" w:rsidRDefault="00F039D8" w:rsidP="00F039D8">
      <w:pPr>
        <w:tabs>
          <w:tab w:val="left" w:pos="1440"/>
        </w:tabs>
        <w:ind w:left="720"/>
        <w:jc w:val="both"/>
        <w:rPr>
          <w:rFonts w:ascii="Cambria" w:hAnsi="Cambria"/>
          <w:sz w:val="20"/>
          <w:szCs w:val="20"/>
          <w:lang w:val="es-VE"/>
        </w:rPr>
      </w:pPr>
    </w:p>
    <w:p w:rsidR="00F039D8" w:rsidRPr="00356F8F"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356F8F">
        <w:rPr>
          <w:rFonts w:ascii="Cambria" w:hAnsi="Cambria"/>
          <w:sz w:val="20"/>
          <w:szCs w:val="20"/>
          <w:lang w:val="es-AR"/>
        </w:rPr>
        <w:t xml:space="preserve">En su declaración expresó que </w:t>
      </w:r>
      <w:r w:rsidRPr="00356F8F">
        <w:rPr>
          <w:rFonts w:ascii="Cambria" w:hAnsi="Cambria"/>
          <w:sz w:val="20"/>
          <w:szCs w:val="20"/>
          <w:lang w:val="es-ES_tradnl"/>
        </w:rPr>
        <w:t xml:space="preserve">en cumplimiento del Plan de Operaciones “Limpieza 94” el cual tenía el objetivo de desbaratar organizaciones dedicadas al narcotráfico ordenó a la presunta víctima ganarse la confianza de narcotraficantes y recibir dinero de ellos, y hacer constar esto en un acta. </w:t>
      </w:r>
    </w:p>
    <w:p w:rsidR="00F039D8" w:rsidRDefault="00F039D8" w:rsidP="00F039D8">
      <w:pPr>
        <w:tabs>
          <w:tab w:val="left" w:pos="1440"/>
        </w:tabs>
        <w:ind w:left="720"/>
        <w:jc w:val="both"/>
        <w:rPr>
          <w:rFonts w:ascii="Cambria" w:hAnsi="Cambria"/>
          <w:sz w:val="20"/>
          <w:szCs w:val="20"/>
          <w:lang w:val="es-VE"/>
        </w:rPr>
      </w:pPr>
    </w:p>
    <w:p w:rsidR="00F039D8" w:rsidRPr="002C4864"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356F8F">
        <w:rPr>
          <w:rFonts w:ascii="Cambria" w:hAnsi="Cambria"/>
          <w:sz w:val="20"/>
          <w:szCs w:val="20"/>
          <w:lang w:val="es-ES_tradnl"/>
        </w:rPr>
        <w:t xml:space="preserve">Al preguntársele si ordenó a la presunta víctima que el dinero obtenido por permitir el embarque aéreo de drogas se repartiera entre el personal de la base contestó que </w:t>
      </w:r>
      <w:r w:rsidRPr="00BD5584">
        <w:rPr>
          <w:rFonts w:ascii="Cambria" w:hAnsi="Cambria"/>
          <w:sz w:val="20"/>
          <w:szCs w:val="20"/>
          <w:lang w:val="es-ES_tradnl"/>
        </w:rPr>
        <w:t>“cualquier dinero obtenido por los narcotraficantes debería recibirlo y remitirlo con un Acta al CG del Desto LEONCIO PRADO”</w:t>
      </w:r>
      <w:r w:rsidRPr="00BD5584">
        <w:rPr>
          <w:rStyle w:val="FootnoteReference"/>
          <w:szCs w:val="20"/>
          <w:lang w:val="es-ES_tradnl"/>
        </w:rPr>
        <w:t xml:space="preserve"> </w:t>
      </w:r>
      <w:r w:rsidRPr="00BD5584">
        <w:rPr>
          <w:rStyle w:val="FootnoteReference"/>
          <w:rFonts w:ascii="Cambria" w:hAnsi="Cambria"/>
          <w:sz w:val="20"/>
          <w:szCs w:val="20"/>
          <w:lang w:val="es-ES_tradnl"/>
        </w:rPr>
        <w:footnoteReference w:id="16"/>
      </w:r>
      <w:r w:rsidRPr="00BD5584">
        <w:rPr>
          <w:rFonts w:ascii="Cambria" w:hAnsi="Cambria"/>
          <w:sz w:val="20"/>
          <w:szCs w:val="20"/>
          <w:lang w:val="es-ES_tradnl"/>
        </w:rPr>
        <w:t>.</w:t>
      </w:r>
      <w:r w:rsidRPr="00356F8F">
        <w:rPr>
          <w:rFonts w:ascii="Cambria" w:hAnsi="Cambria"/>
          <w:i/>
          <w:sz w:val="20"/>
          <w:szCs w:val="20"/>
          <w:lang w:val="es-ES_tradnl"/>
        </w:rPr>
        <w:t xml:space="preserve"> </w:t>
      </w:r>
    </w:p>
    <w:p w:rsidR="00F039D8" w:rsidRPr="00BD5584"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F039D8" w:rsidRPr="008F18E7"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356F8F">
        <w:rPr>
          <w:rFonts w:ascii="Cambria" w:hAnsi="Cambria"/>
          <w:sz w:val="20"/>
          <w:szCs w:val="20"/>
          <w:lang w:val="es-ES_tradnl"/>
        </w:rPr>
        <w:t xml:space="preserve">Agregó </w:t>
      </w:r>
      <w:r w:rsidR="00FE625D">
        <w:rPr>
          <w:rFonts w:ascii="Cambria" w:hAnsi="Cambria"/>
          <w:sz w:val="20"/>
          <w:szCs w:val="20"/>
          <w:lang w:val="es-ES_tradnl"/>
        </w:rPr>
        <w:t xml:space="preserve">el Coronel, </w:t>
      </w:r>
      <w:r w:rsidRPr="00356F8F">
        <w:rPr>
          <w:rFonts w:ascii="Cambria" w:hAnsi="Cambria"/>
          <w:sz w:val="20"/>
          <w:szCs w:val="20"/>
          <w:lang w:val="es-ES_tradnl"/>
        </w:rPr>
        <w:t>que el 1 de septiembre de 1994 se reunió con la presunta víctima y le dio un plazo de 10 días para dar cumplimiento a la misión</w:t>
      </w:r>
      <w:r>
        <w:rPr>
          <w:rFonts w:ascii="Cambria" w:hAnsi="Cambria"/>
          <w:sz w:val="20"/>
          <w:szCs w:val="20"/>
          <w:lang w:val="es-ES_tradnl"/>
        </w:rPr>
        <w:t>,</w:t>
      </w:r>
      <w:r w:rsidRPr="00356F8F">
        <w:rPr>
          <w:rFonts w:ascii="Cambria" w:hAnsi="Cambria"/>
          <w:sz w:val="20"/>
          <w:szCs w:val="20"/>
          <w:lang w:val="es-ES_tradnl"/>
        </w:rPr>
        <w:t xml:space="preserve"> a lo que esta contestó que el plan se estaba ejecutando perfectamente, que se había realizado un vuelo el 31 de agosto de 1994</w:t>
      </w:r>
      <w:r>
        <w:rPr>
          <w:rFonts w:ascii="Cambria" w:hAnsi="Cambria"/>
          <w:sz w:val="20"/>
          <w:szCs w:val="20"/>
          <w:lang w:val="es-ES_tradnl"/>
        </w:rPr>
        <w:t>,</w:t>
      </w:r>
      <w:r w:rsidRPr="00356F8F">
        <w:rPr>
          <w:rFonts w:ascii="Cambria" w:hAnsi="Cambria"/>
          <w:sz w:val="20"/>
          <w:szCs w:val="20"/>
          <w:lang w:val="es-ES_tradnl"/>
        </w:rPr>
        <w:t xml:space="preserve"> y que en </w:t>
      </w:r>
      <w:r w:rsidR="00FE625D">
        <w:rPr>
          <w:rFonts w:ascii="Cambria" w:hAnsi="Cambria"/>
          <w:sz w:val="20"/>
          <w:szCs w:val="20"/>
          <w:lang w:val="es-ES_tradnl"/>
        </w:rPr>
        <w:t>el siguiente vuelo</w:t>
      </w:r>
      <w:r w:rsidRPr="00356F8F">
        <w:rPr>
          <w:rFonts w:ascii="Cambria" w:hAnsi="Cambria"/>
          <w:sz w:val="20"/>
          <w:szCs w:val="20"/>
          <w:lang w:val="es-ES_tradnl"/>
        </w:rPr>
        <w:t xml:space="preserve"> </w:t>
      </w:r>
      <w:r w:rsidR="00FE625D">
        <w:rPr>
          <w:rFonts w:ascii="Cambria" w:hAnsi="Cambria"/>
          <w:sz w:val="20"/>
          <w:szCs w:val="20"/>
          <w:lang w:val="es-ES_tradnl"/>
        </w:rPr>
        <w:t>iban a proceder</w:t>
      </w:r>
      <w:r w:rsidRPr="00356F8F">
        <w:rPr>
          <w:rFonts w:ascii="Cambria" w:hAnsi="Cambria"/>
          <w:sz w:val="20"/>
          <w:szCs w:val="20"/>
          <w:lang w:val="es-ES_tradnl"/>
        </w:rPr>
        <w:t xml:space="preserve"> a capturar a los narcotraficantes, sin especificar la fecha. No obstante, indicó que </w:t>
      </w:r>
      <w:r w:rsidRPr="008F18E7">
        <w:rPr>
          <w:rFonts w:ascii="Cambria" w:hAnsi="Cambria"/>
          <w:sz w:val="20"/>
          <w:szCs w:val="20"/>
          <w:lang w:val="es-ES_tradnl"/>
        </w:rPr>
        <w:t xml:space="preserve">“esta operación de captura se suspendió en vista que el </w:t>
      </w:r>
      <w:proofErr w:type="spellStart"/>
      <w:r w:rsidRPr="008F18E7">
        <w:rPr>
          <w:rFonts w:ascii="Cambria" w:hAnsi="Cambria"/>
          <w:sz w:val="20"/>
          <w:szCs w:val="20"/>
          <w:lang w:val="es-ES_tradnl"/>
        </w:rPr>
        <w:t>Tte</w:t>
      </w:r>
      <w:proofErr w:type="spellEnd"/>
      <w:r w:rsidRPr="008F18E7">
        <w:rPr>
          <w:rFonts w:ascii="Cambria" w:hAnsi="Cambria"/>
          <w:sz w:val="20"/>
          <w:szCs w:val="20"/>
          <w:lang w:val="es-ES_tradnl"/>
        </w:rPr>
        <w:t xml:space="preserve"> </w:t>
      </w:r>
      <w:proofErr w:type="spellStart"/>
      <w:r w:rsidRPr="008F18E7">
        <w:rPr>
          <w:rFonts w:ascii="Cambria" w:hAnsi="Cambria"/>
          <w:sz w:val="20"/>
          <w:szCs w:val="20"/>
          <w:lang w:val="es-ES_tradnl"/>
        </w:rPr>
        <w:t>Rosadio</w:t>
      </w:r>
      <w:proofErr w:type="spellEnd"/>
      <w:r w:rsidRPr="008F18E7">
        <w:rPr>
          <w:rFonts w:ascii="Cambria" w:hAnsi="Cambria"/>
          <w:sz w:val="20"/>
          <w:szCs w:val="20"/>
          <w:lang w:val="es-ES_tradnl"/>
        </w:rPr>
        <w:t xml:space="preserve"> había tergiversado la orden, al enterarnos en este CG que el mencionado oficial ya había autorizado tres (03) vuelos en apoyo al narcotráfico”</w:t>
      </w:r>
      <w:r w:rsidRPr="008F18E7">
        <w:rPr>
          <w:rStyle w:val="FootnoteReference"/>
          <w:rFonts w:ascii="Cambria" w:hAnsi="Cambria"/>
          <w:sz w:val="20"/>
          <w:szCs w:val="20"/>
          <w:lang w:val="es-ES_tradnl"/>
        </w:rPr>
        <w:t xml:space="preserve"> </w:t>
      </w:r>
      <w:r w:rsidRPr="008F18E7">
        <w:rPr>
          <w:rStyle w:val="FootnoteReference"/>
          <w:rFonts w:ascii="Cambria" w:hAnsi="Cambria"/>
          <w:sz w:val="20"/>
          <w:szCs w:val="20"/>
          <w:lang w:val="es-ES_tradnl"/>
        </w:rPr>
        <w:footnoteReference w:id="17"/>
      </w:r>
      <w:r w:rsidRPr="008F18E7">
        <w:rPr>
          <w:rFonts w:ascii="Cambria" w:hAnsi="Cambria"/>
          <w:sz w:val="20"/>
          <w:szCs w:val="20"/>
          <w:lang w:val="es-ES_tradnl"/>
        </w:rPr>
        <w:t xml:space="preserve">. </w:t>
      </w:r>
    </w:p>
    <w:p w:rsidR="00F039D8" w:rsidRDefault="00F039D8" w:rsidP="00F039D8">
      <w:pPr>
        <w:pStyle w:val="ListParagraph"/>
        <w:rPr>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Pr>
          <w:rFonts w:ascii="Cambria" w:hAnsi="Cambria"/>
          <w:sz w:val="20"/>
          <w:szCs w:val="20"/>
          <w:lang w:val="es-VE"/>
        </w:rPr>
        <w:t xml:space="preserve">Al respecto, según un escrito aportado por el peticionario, el 30 de agosto de </w:t>
      </w:r>
      <w:r w:rsidRPr="00BF572D">
        <w:rPr>
          <w:rFonts w:ascii="Cambria" w:hAnsi="Cambria"/>
          <w:sz w:val="20"/>
          <w:szCs w:val="20"/>
          <w:lang w:val="es-AR"/>
        </w:rPr>
        <w:t xml:space="preserve">1994 la presunta víctima hizo constar en un acta que recibió 9,960 dólares al autorizar un vuelo de una avioneta de narcotraficantes, y de </w:t>
      </w:r>
      <w:r w:rsidRPr="008F18E7">
        <w:rPr>
          <w:rFonts w:ascii="Cambria" w:hAnsi="Cambria"/>
          <w:sz w:val="20"/>
          <w:szCs w:val="20"/>
          <w:lang w:val="es-AR"/>
        </w:rPr>
        <w:t>“acuerdo al Plan de operaciones y disposiciones verbales del coronel Jefe del Estado Mayor Operativo (JEMO) del DLP-TARAPOTO”</w:t>
      </w:r>
      <w:r w:rsidRPr="00BF572D">
        <w:rPr>
          <w:rFonts w:ascii="Cambria" w:hAnsi="Cambria"/>
          <w:i/>
          <w:sz w:val="20"/>
          <w:szCs w:val="20"/>
          <w:lang w:val="es-AR"/>
        </w:rPr>
        <w:t xml:space="preserve"> </w:t>
      </w:r>
      <w:r w:rsidRPr="00BF572D">
        <w:rPr>
          <w:rFonts w:ascii="Cambria" w:hAnsi="Cambria"/>
          <w:sz w:val="20"/>
          <w:szCs w:val="20"/>
          <w:lang w:val="es-AR"/>
        </w:rPr>
        <w:t>distribuyó dicho dinero entre el personal de la base</w:t>
      </w:r>
      <w:r>
        <w:rPr>
          <w:rFonts w:ascii="Cambria" w:hAnsi="Cambria"/>
          <w:sz w:val="20"/>
          <w:szCs w:val="20"/>
          <w:lang w:val="es-AR"/>
        </w:rPr>
        <w:t>”</w:t>
      </w:r>
      <w:r w:rsidRPr="00E93074">
        <w:rPr>
          <w:rStyle w:val="FootnoteReference"/>
          <w:rFonts w:ascii="Cambria" w:hAnsi="Cambria"/>
          <w:sz w:val="20"/>
          <w:szCs w:val="20"/>
          <w:lang w:val="es-ES_tradnl"/>
        </w:rPr>
        <w:footnoteReference w:id="18"/>
      </w:r>
      <w:r w:rsidRPr="00BF572D">
        <w:rPr>
          <w:rFonts w:ascii="Cambria" w:hAnsi="Cambria"/>
          <w:sz w:val="20"/>
          <w:szCs w:val="20"/>
          <w:lang w:val="es-AR"/>
        </w:rPr>
        <w:t xml:space="preserve">. </w:t>
      </w:r>
      <w:r>
        <w:rPr>
          <w:rFonts w:ascii="Cambria" w:hAnsi="Cambria"/>
          <w:sz w:val="20"/>
          <w:szCs w:val="20"/>
          <w:lang w:val="es-AR"/>
        </w:rPr>
        <w:t>Según entiende la Comisión</w:t>
      </w:r>
      <w:r w:rsidR="005E5972">
        <w:rPr>
          <w:rFonts w:ascii="Cambria" w:hAnsi="Cambria"/>
          <w:sz w:val="20"/>
          <w:szCs w:val="20"/>
          <w:lang w:val="es-AR"/>
        </w:rPr>
        <w:t xml:space="preserve">, además de “JANO”, </w:t>
      </w:r>
      <w:r>
        <w:rPr>
          <w:rFonts w:ascii="Cambria" w:hAnsi="Cambria"/>
          <w:sz w:val="20"/>
          <w:szCs w:val="20"/>
          <w:lang w:val="es-AR"/>
        </w:rPr>
        <w:t xml:space="preserve">el alias “JEMO” sería otro nombre para identificar al Coronel Emilio Murgueytio Yañez. </w:t>
      </w:r>
      <w:r w:rsidR="005E5972">
        <w:rPr>
          <w:rFonts w:ascii="Cambria" w:hAnsi="Cambria"/>
          <w:sz w:val="20"/>
          <w:szCs w:val="20"/>
          <w:lang w:val="es-AR"/>
        </w:rPr>
        <w:t xml:space="preserve">La Comisión no cuenta con información sobre el uso dado a dicha acta a nivel interno. </w:t>
      </w:r>
    </w:p>
    <w:p w:rsidR="00F039D8" w:rsidRPr="00303416"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F039D8" w:rsidRPr="005232BA"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ES_tradnl"/>
        </w:rPr>
      </w:pPr>
      <w:r w:rsidRPr="005C3525">
        <w:rPr>
          <w:rFonts w:ascii="Cambria" w:eastAsia="Times New Roman" w:hAnsi="Cambria"/>
          <w:sz w:val="20"/>
          <w:szCs w:val="20"/>
          <w:lang w:val="es-AR"/>
        </w:rPr>
        <w:lastRenderedPageBreak/>
        <w:t xml:space="preserve">El 25 de septiembre de 1994 el Comandante General </w:t>
      </w:r>
      <w:r>
        <w:rPr>
          <w:rFonts w:ascii="Cambria" w:eastAsia="Times New Roman" w:hAnsi="Cambria"/>
          <w:sz w:val="20"/>
          <w:szCs w:val="20"/>
          <w:lang w:val="es-AR"/>
        </w:rPr>
        <w:t>del Destacamento “Leoncio Prado</w:t>
      </w:r>
      <w:r w:rsidRPr="005C3525">
        <w:rPr>
          <w:rFonts w:ascii="Cambria" w:eastAsia="Times New Roman" w:hAnsi="Cambria"/>
          <w:sz w:val="20"/>
          <w:szCs w:val="20"/>
          <w:lang w:val="es-AR"/>
        </w:rPr>
        <w:t>“ informó a la presunta víctima que como consecuencia de la investigación efectuada por la</w:t>
      </w:r>
      <w:r>
        <w:rPr>
          <w:rFonts w:ascii="Cambria" w:eastAsia="Times New Roman" w:hAnsi="Cambria"/>
          <w:sz w:val="20"/>
          <w:szCs w:val="20"/>
          <w:lang w:val="es-AR"/>
        </w:rPr>
        <w:t xml:space="preserve"> Inspectoría del destacamento Leoncio Prado,</w:t>
      </w:r>
      <w:r w:rsidRPr="005C3525">
        <w:rPr>
          <w:rFonts w:ascii="Cambria" w:eastAsia="Times New Roman" w:hAnsi="Cambria"/>
          <w:sz w:val="20"/>
          <w:szCs w:val="20"/>
          <w:lang w:val="es-AR"/>
        </w:rPr>
        <w:t xml:space="preserve"> relacionada con supuestas irregularidades cometidas en sus funciones, fue denunciado por el delito de tráfico ilícito de drogas contemplado en el artículo 296 del Código Penal, y por los delitos contra el deber y dignidad de la función, falsedad, negligencia, contra la administración de justicia y desobediencia contemplados en los artículos 200, 299, 238, 302, 180 y 158 del Código de Justicia Militar</w:t>
      </w:r>
      <w:r w:rsidRPr="00E93074">
        <w:rPr>
          <w:rStyle w:val="FootnoteReference"/>
          <w:rFonts w:ascii="Cambria" w:eastAsia="Times New Roman" w:hAnsi="Cambria"/>
          <w:sz w:val="20"/>
          <w:szCs w:val="20"/>
          <w:lang w:val="es-AR"/>
        </w:rPr>
        <w:footnoteReference w:id="19"/>
      </w:r>
      <w:r w:rsidRPr="005C3525">
        <w:rPr>
          <w:rFonts w:ascii="Cambria" w:eastAsia="Times New Roman" w:hAnsi="Cambria"/>
          <w:sz w:val="20"/>
          <w:szCs w:val="20"/>
          <w:lang w:val="es-AR"/>
        </w:rPr>
        <w:t>.</w:t>
      </w:r>
    </w:p>
    <w:p w:rsidR="00F039D8" w:rsidRPr="004C6104" w:rsidRDefault="00F039D8" w:rsidP="00F039D8">
      <w:pPr>
        <w:pBdr>
          <w:top w:val="none" w:sz="0" w:space="0" w:color="auto"/>
        </w:pBdr>
        <w:tabs>
          <w:tab w:val="left" w:pos="1440"/>
        </w:tabs>
        <w:ind w:left="720"/>
        <w:jc w:val="both"/>
        <w:rPr>
          <w:rFonts w:ascii="Cambria" w:hAnsi="Cambria"/>
          <w:sz w:val="20"/>
          <w:szCs w:val="20"/>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sidRPr="005C3525">
        <w:rPr>
          <w:rFonts w:ascii="Cambria" w:hAnsi="Cambria"/>
          <w:sz w:val="20"/>
          <w:szCs w:val="20"/>
          <w:lang w:val="es-ES_tradnl"/>
        </w:rPr>
        <w:t>El 15 de diciembre de 1994 la Inspectoría del Destacamento Leoncio Prado presentó al Comandante General del Ejército el informe de investigación relacionado con presuntos delitos come</w:t>
      </w:r>
      <w:r>
        <w:rPr>
          <w:rFonts w:ascii="Cambria" w:hAnsi="Cambria"/>
          <w:sz w:val="20"/>
          <w:szCs w:val="20"/>
          <w:lang w:val="es-ES_tradnl"/>
        </w:rPr>
        <w:t>tidos por la presunta víctima.</w:t>
      </w:r>
    </w:p>
    <w:p w:rsidR="00F039D8" w:rsidRDefault="00F039D8" w:rsidP="00F039D8">
      <w:pPr>
        <w:pStyle w:val="ListParagraph"/>
        <w:rPr>
          <w:sz w:val="20"/>
          <w:szCs w:val="20"/>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sidRPr="005C3525">
        <w:rPr>
          <w:rFonts w:ascii="Cambria" w:hAnsi="Cambria"/>
          <w:sz w:val="20"/>
          <w:szCs w:val="20"/>
          <w:lang w:val="es-ES_tradnl"/>
        </w:rPr>
        <w:t>En dicho informe indicó que se determinó que a la presunta víctima se le asignó la misión de infiltrarse en “firmas” de narcotráfico en l</w:t>
      </w:r>
      <w:r w:rsidR="005E5972">
        <w:rPr>
          <w:rFonts w:ascii="Cambria" w:hAnsi="Cambria"/>
          <w:sz w:val="20"/>
          <w:szCs w:val="20"/>
          <w:lang w:val="es-ES_tradnl"/>
        </w:rPr>
        <w:t xml:space="preserve">a zona de Sion para lo cual el </w:t>
      </w:r>
      <w:r w:rsidRPr="005C3525">
        <w:rPr>
          <w:rFonts w:ascii="Cambria" w:hAnsi="Cambria"/>
          <w:sz w:val="20"/>
          <w:szCs w:val="20"/>
          <w:lang w:val="es-ES_tradnl"/>
        </w:rPr>
        <w:t>Coronel Murg</w:t>
      </w:r>
      <w:r w:rsidR="005E5972">
        <w:rPr>
          <w:rFonts w:ascii="Cambria" w:hAnsi="Cambria"/>
          <w:sz w:val="20"/>
          <w:szCs w:val="20"/>
          <w:lang w:val="es-ES_tradnl"/>
        </w:rPr>
        <w:t>ueytio</w:t>
      </w:r>
      <w:r w:rsidRPr="005C3525">
        <w:rPr>
          <w:rFonts w:ascii="Cambria" w:hAnsi="Cambria"/>
          <w:sz w:val="20"/>
          <w:szCs w:val="20"/>
          <w:lang w:val="es-ES_tradnl"/>
        </w:rPr>
        <w:t xml:space="preserve"> le dictó instrucciones como: </w:t>
      </w:r>
      <w:r w:rsidRPr="008F18E7">
        <w:rPr>
          <w:rFonts w:ascii="Cambria" w:hAnsi="Cambria"/>
          <w:sz w:val="20"/>
          <w:szCs w:val="20"/>
          <w:lang w:val="es-ES_tradnl"/>
        </w:rPr>
        <w:t>“(a)ganarse la confianza de las “firmas” narcotraficantes y tropa comprometida con éstas;(b) aceptar un “arreglo” para la realización de un vuelo”; (c)</w:t>
      </w:r>
      <w:r>
        <w:rPr>
          <w:rFonts w:ascii="Cambria" w:hAnsi="Cambria"/>
          <w:sz w:val="20"/>
          <w:szCs w:val="20"/>
          <w:lang w:val="es-ES_tradnl"/>
        </w:rPr>
        <w:t xml:space="preserve"> </w:t>
      </w:r>
      <w:r w:rsidRPr="008F18E7">
        <w:rPr>
          <w:rFonts w:ascii="Cambria" w:hAnsi="Cambria"/>
          <w:sz w:val="20"/>
          <w:szCs w:val="20"/>
          <w:lang w:val="es-ES_tradnl"/>
        </w:rPr>
        <w:t>repartir el dinero para evitar sospechas; (d) que la parte que le correspondía al Tte</w:t>
      </w:r>
      <w:r>
        <w:rPr>
          <w:rFonts w:ascii="Cambria" w:hAnsi="Cambria"/>
          <w:sz w:val="20"/>
          <w:szCs w:val="20"/>
          <w:lang w:val="es-ES_tradnl"/>
        </w:rPr>
        <w:t>.</w:t>
      </w:r>
      <w:r w:rsidRPr="008F18E7">
        <w:rPr>
          <w:rFonts w:ascii="Cambria" w:hAnsi="Cambria"/>
          <w:sz w:val="20"/>
          <w:szCs w:val="20"/>
          <w:lang w:val="es-ES_tradnl"/>
        </w:rPr>
        <w:t xml:space="preserve"> ROSADIO por este “arreglo”, debía retenerla y hacer un acta para remitirla al PC del Desto “LP”</w:t>
      </w:r>
      <w:r w:rsidRPr="008F18E7">
        <w:rPr>
          <w:rStyle w:val="FootnoteReference"/>
          <w:rFonts w:ascii="Cambria" w:hAnsi="Cambria"/>
          <w:sz w:val="20"/>
          <w:szCs w:val="20"/>
          <w:lang w:val="es-ES_tradnl"/>
        </w:rPr>
        <w:footnoteReference w:id="20"/>
      </w:r>
      <w:r w:rsidRPr="008F18E7">
        <w:rPr>
          <w:rFonts w:ascii="Cambria" w:hAnsi="Cambria"/>
          <w:sz w:val="20"/>
          <w:szCs w:val="20"/>
          <w:lang w:val="es-ES_tradnl"/>
        </w:rPr>
        <w:t>.</w:t>
      </w:r>
    </w:p>
    <w:p w:rsidR="00F039D8" w:rsidRDefault="00F039D8" w:rsidP="00F039D8">
      <w:pPr>
        <w:pStyle w:val="ListParagraph"/>
        <w:rPr>
          <w:sz w:val="20"/>
          <w:szCs w:val="20"/>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Pr>
          <w:rFonts w:ascii="Cambria" w:hAnsi="Cambria"/>
          <w:sz w:val="20"/>
          <w:szCs w:val="20"/>
          <w:lang w:val="es-ES_tradnl"/>
        </w:rPr>
        <w:t>Agregó que el Teniente</w:t>
      </w:r>
      <w:r w:rsidRPr="005C3525">
        <w:rPr>
          <w:rFonts w:ascii="Cambria" w:hAnsi="Cambria"/>
          <w:sz w:val="20"/>
          <w:szCs w:val="20"/>
          <w:lang w:val="es-ES_tradnl"/>
        </w:rPr>
        <w:t xml:space="preserve"> Rosadio </w:t>
      </w:r>
      <w:r w:rsidRPr="008F18E7">
        <w:rPr>
          <w:rFonts w:ascii="Cambria" w:hAnsi="Cambria"/>
          <w:sz w:val="20"/>
          <w:szCs w:val="20"/>
          <w:lang w:val="es-ES_tradnl"/>
        </w:rPr>
        <w:t>“durante su permanencia en la Base CS de SION; ha actuado maliciosamente al ocultar información referente a la realización de vuelos dedicados al TID y además ha faltado a la verdad al tratar de sorprender en sus declaraciones, al manifestar haber dado cuenta en forma radial de estos hechos”</w:t>
      </w:r>
      <w:r w:rsidRPr="008F18E7">
        <w:rPr>
          <w:rStyle w:val="FootnoteReference"/>
          <w:szCs w:val="20"/>
          <w:lang w:val="es-ES_tradnl"/>
        </w:rPr>
        <w:t xml:space="preserve"> </w:t>
      </w:r>
      <w:r w:rsidRPr="008F18E7">
        <w:rPr>
          <w:rStyle w:val="FootnoteReference"/>
          <w:rFonts w:ascii="Cambria" w:hAnsi="Cambria"/>
          <w:sz w:val="20"/>
          <w:szCs w:val="20"/>
          <w:lang w:val="es-ES_tradnl"/>
        </w:rPr>
        <w:footnoteReference w:id="21"/>
      </w:r>
      <w:r w:rsidRPr="008F18E7">
        <w:rPr>
          <w:rFonts w:ascii="Cambria" w:hAnsi="Cambria"/>
          <w:sz w:val="20"/>
          <w:szCs w:val="20"/>
          <w:lang w:val="es-ES_tradnl"/>
        </w:rPr>
        <w:t>.</w:t>
      </w:r>
      <w:r w:rsidRPr="005C3525">
        <w:rPr>
          <w:rFonts w:ascii="Cambria" w:hAnsi="Cambria"/>
          <w:sz w:val="20"/>
          <w:szCs w:val="20"/>
          <w:lang w:val="es-ES_tradnl"/>
        </w:rPr>
        <w:t xml:space="preserve"> </w:t>
      </w:r>
    </w:p>
    <w:p w:rsidR="00F039D8" w:rsidRDefault="00F039D8" w:rsidP="00F039D8">
      <w:pPr>
        <w:pStyle w:val="ListParagraph"/>
        <w:rPr>
          <w:sz w:val="20"/>
          <w:szCs w:val="20"/>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sidRPr="005C3525">
        <w:rPr>
          <w:rFonts w:ascii="Cambria" w:hAnsi="Cambria"/>
          <w:sz w:val="20"/>
          <w:szCs w:val="20"/>
          <w:lang w:val="es-ES_tradnl"/>
        </w:rPr>
        <w:t>En virtud de ello</w:t>
      </w:r>
      <w:r>
        <w:rPr>
          <w:rFonts w:ascii="Cambria" w:hAnsi="Cambria"/>
          <w:sz w:val="20"/>
          <w:szCs w:val="20"/>
          <w:lang w:val="es-ES_tradnl"/>
        </w:rPr>
        <w:t xml:space="preserve"> indicó la Inspectoría que </w:t>
      </w:r>
      <w:r w:rsidRPr="005C3525">
        <w:rPr>
          <w:rFonts w:ascii="Cambria" w:hAnsi="Cambria"/>
          <w:sz w:val="20"/>
          <w:szCs w:val="20"/>
          <w:lang w:val="es-ES_tradnl"/>
        </w:rPr>
        <w:t>denunció a la presunta víctima ante el CGP de la 5ta zona militar</w:t>
      </w:r>
      <w:r>
        <w:rPr>
          <w:rFonts w:ascii="Cambria" w:hAnsi="Cambria"/>
          <w:sz w:val="20"/>
          <w:szCs w:val="20"/>
          <w:lang w:val="es-ES_tradnl"/>
        </w:rPr>
        <w:t xml:space="preserve">, y recomendó: </w:t>
      </w:r>
    </w:p>
    <w:p w:rsidR="00F039D8" w:rsidRDefault="00F039D8" w:rsidP="00F039D8">
      <w:pPr>
        <w:pStyle w:val="ListParagraph"/>
        <w:rPr>
          <w:sz w:val="20"/>
          <w:szCs w:val="20"/>
          <w:lang w:val="es-ES_tradnl"/>
        </w:rPr>
      </w:pP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Pr>
          <w:rFonts w:ascii="Cambria" w:hAnsi="Cambria"/>
          <w:sz w:val="20"/>
          <w:szCs w:val="20"/>
          <w:lang w:val="es-ES_tradnl"/>
        </w:rPr>
        <w:t xml:space="preserve">1) Someter al Consejo de Investigación para Oficiales Subalternos al </w:t>
      </w:r>
      <w:proofErr w:type="spellStart"/>
      <w:r>
        <w:rPr>
          <w:rFonts w:ascii="Cambria" w:hAnsi="Cambria"/>
          <w:sz w:val="20"/>
          <w:szCs w:val="20"/>
          <w:lang w:val="es-ES_tradnl"/>
        </w:rPr>
        <w:t>Tte</w:t>
      </w:r>
      <w:proofErr w:type="spellEnd"/>
      <w:r>
        <w:rPr>
          <w:rFonts w:ascii="Cambria" w:hAnsi="Cambria"/>
          <w:sz w:val="20"/>
          <w:szCs w:val="20"/>
          <w:lang w:val="es-ES_tradnl"/>
        </w:rPr>
        <w:t xml:space="preserve"> </w:t>
      </w:r>
      <w:proofErr w:type="spellStart"/>
      <w:r>
        <w:rPr>
          <w:rFonts w:ascii="Cambria" w:hAnsi="Cambria"/>
          <w:sz w:val="20"/>
          <w:szCs w:val="20"/>
          <w:lang w:val="es-ES_tradnl"/>
        </w:rPr>
        <w:t>Intg</w:t>
      </w:r>
      <w:proofErr w:type="spellEnd"/>
      <w:r>
        <w:rPr>
          <w:rFonts w:ascii="Cambria" w:hAnsi="Cambria"/>
          <w:sz w:val="20"/>
          <w:szCs w:val="20"/>
          <w:lang w:val="es-ES_tradnl"/>
        </w:rPr>
        <w:t xml:space="preserve"> ROSADIO VILLAVICENCIO Jorge, por medida disciplinaria para definir su situación en el Ejército por los siguientes delitos:</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Pr>
          <w:rFonts w:ascii="Cambria" w:hAnsi="Cambria"/>
          <w:sz w:val="20"/>
          <w:szCs w:val="20"/>
          <w:lang w:val="es-ES_tradnl"/>
        </w:rPr>
        <w:t xml:space="preserve">(a) Ser el autor de los presuntos delitos: </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u w:val="single"/>
          <w:lang w:val="es-ES_tradnl"/>
        </w:rPr>
      </w:pPr>
    </w:p>
    <w:p w:rsidR="00F039D8" w:rsidRPr="005C69F1"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
          <w:sz w:val="20"/>
          <w:szCs w:val="20"/>
          <w:lang w:val="es-ES_tradnl"/>
        </w:rPr>
      </w:pPr>
      <w:r w:rsidRPr="00164CE5">
        <w:rPr>
          <w:rFonts w:ascii="Cambria" w:hAnsi="Cambria"/>
          <w:sz w:val="20"/>
          <w:szCs w:val="20"/>
          <w:u w:val="single"/>
          <w:lang w:val="es-ES_tradnl"/>
        </w:rPr>
        <w:t>1.</w:t>
      </w:r>
      <w:r>
        <w:rPr>
          <w:rFonts w:ascii="Cambria" w:hAnsi="Cambria"/>
          <w:b/>
          <w:sz w:val="20"/>
          <w:szCs w:val="20"/>
          <w:lang w:val="es-ES_tradnl"/>
        </w:rPr>
        <w:t xml:space="preserve"> Del Código Penal</w:t>
      </w:r>
    </w:p>
    <w:p w:rsidR="00F039D8" w:rsidRPr="009F2C05"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r w:rsidRPr="009F2C05">
        <w:rPr>
          <w:rFonts w:ascii="Cambria" w:hAnsi="Cambria"/>
          <w:sz w:val="20"/>
          <w:szCs w:val="20"/>
          <w:lang w:val="es-VE"/>
        </w:rPr>
        <w:t>Tráfico Ilícito de Drogas, Art 296.</w:t>
      </w:r>
    </w:p>
    <w:p w:rsidR="00F039D8" w:rsidRPr="009F2C05"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
          <w:sz w:val="20"/>
          <w:szCs w:val="20"/>
          <w:lang w:val="es-ES_tradnl"/>
        </w:rPr>
      </w:pPr>
      <w:r w:rsidRPr="00164CE5">
        <w:rPr>
          <w:rFonts w:ascii="Cambria" w:hAnsi="Cambria"/>
          <w:sz w:val="20"/>
          <w:szCs w:val="20"/>
          <w:u w:val="single"/>
          <w:lang w:val="es-ES_tradnl"/>
        </w:rPr>
        <w:t>2.</w:t>
      </w:r>
      <w:r w:rsidRPr="00164CE5">
        <w:rPr>
          <w:rFonts w:ascii="Cambria" w:hAnsi="Cambria"/>
          <w:b/>
          <w:sz w:val="20"/>
          <w:szCs w:val="20"/>
          <w:lang w:val="es-ES_tradnl"/>
        </w:rPr>
        <w:t xml:space="preserve"> Del Código de Justicia Militar</w:t>
      </w:r>
    </w:p>
    <w:p w:rsidR="00F039D8" w:rsidRPr="00164CE5"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
          <w:sz w:val="20"/>
          <w:szCs w:val="20"/>
          <w:lang w:val="es-ES_tradnl"/>
        </w:rPr>
      </w:pP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sidRPr="005C69F1">
        <w:rPr>
          <w:rFonts w:ascii="Cambria" w:hAnsi="Cambria"/>
          <w:b/>
          <w:sz w:val="20"/>
          <w:szCs w:val="20"/>
          <w:lang w:val="es-ES_tradnl"/>
        </w:rPr>
        <w:t>Contra el Deber y Dignidad de la Función, Art 200,</w:t>
      </w:r>
      <w:r>
        <w:rPr>
          <w:rFonts w:ascii="Cambria" w:hAnsi="Cambria"/>
          <w:sz w:val="20"/>
          <w:szCs w:val="20"/>
          <w:lang w:val="es-ES_tradnl"/>
        </w:rPr>
        <w:t xml:space="preserve"> (Aceptar dinero y regalos a sabiendas que le era hecho con el fin de violar sus obligaciones). </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sidRPr="005C69F1">
        <w:rPr>
          <w:rFonts w:ascii="Cambria" w:hAnsi="Cambria"/>
          <w:b/>
          <w:sz w:val="20"/>
          <w:szCs w:val="20"/>
          <w:lang w:val="es-ES_tradnl"/>
        </w:rPr>
        <w:t>Falsedad, Art. 299,</w:t>
      </w:r>
      <w:r>
        <w:rPr>
          <w:rFonts w:ascii="Cambria" w:hAnsi="Cambria"/>
          <w:sz w:val="20"/>
          <w:szCs w:val="20"/>
          <w:lang w:val="es-ES_tradnl"/>
        </w:rPr>
        <w:t xml:space="preserve"> (Dar a sabiendas información falsa sobre asuntos del servicio)</w:t>
      </w:r>
      <w:r w:rsidR="005E5972">
        <w:rPr>
          <w:rFonts w:ascii="Cambria" w:hAnsi="Cambria"/>
          <w:sz w:val="20"/>
          <w:szCs w:val="20"/>
          <w:lang w:val="es-ES_tradnl"/>
        </w:rPr>
        <w:t>.</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sidRPr="005C69F1">
        <w:rPr>
          <w:rFonts w:ascii="Cambria" w:hAnsi="Cambria"/>
          <w:b/>
          <w:sz w:val="20"/>
          <w:szCs w:val="20"/>
          <w:lang w:val="es-ES_tradnl"/>
        </w:rPr>
        <w:t>Negligencia, Art 238,</w:t>
      </w:r>
      <w:r>
        <w:rPr>
          <w:rFonts w:ascii="Cambria" w:hAnsi="Cambria"/>
          <w:sz w:val="20"/>
          <w:szCs w:val="20"/>
          <w:lang w:val="es-ES_tradnl"/>
        </w:rPr>
        <w:t xml:space="preserve"> (Por dejar de cumplir los deberes que le correspondían por su grado y cargo).</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sidRPr="005C69F1">
        <w:rPr>
          <w:rFonts w:ascii="Cambria" w:hAnsi="Cambria"/>
          <w:b/>
          <w:sz w:val="20"/>
          <w:szCs w:val="20"/>
          <w:lang w:val="es-ES_tradnl"/>
        </w:rPr>
        <w:t>Contra la Administración de Justicia, Art 302, Inc.4,</w:t>
      </w:r>
      <w:r>
        <w:rPr>
          <w:rFonts w:ascii="Cambria" w:hAnsi="Cambria"/>
          <w:sz w:val="20"/>
          <w:szCs w:val="20"/>
          <w:lang w:val="es-ES_tradnl"/>
        </w:rPr>
        <w:t xml:space="preserve"> (Por omitir comunicar a su Comando la comisión de un delito).</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sidRPr="00A43ED6">
        <w:rPr>
          <w:rFonts w:ascii="Cambria" w:hAnsi="Cambria"/>
          <w:b/>
          <w:sz w:val="20"/>
          <w:szCs w:val="20"/>
          <w:lang w:val="es-ES_tradnl"/>
        </w:rPr>
        <w:t>A</w:t>
      </w:r>
      <w:r w:rsidRPr="005C69F1">
        <w:rPr>
          <w:rFonts w:ascii="Cambria" w:hAnsi="Cambria"/>
          <w:b/>
          <w:sz w:val="20"/>
          <w:szCs w:val="20"/>
          <w:lang w:val="es-ES_tradnl"/>
        </w:rPr>
        <w:t xml:space="preserve">buso de Autoridad, Art </w:t>
      </w:r>
      <w:r>
        <w:rPr>
          <w:rFonts w:ascii="Cambria" w:hAnsi="Cambria"/>
          <w:b/>
          <w:sz w:val="20"/>
          <w:szCs w:val="20"/>
          <w:lang w:val="es-ES_tradnl"/>
        </w:rPr>
        <w:t xml:space="preserve">180, </w:t>
      </w:r>
      <w:proofErr w:type="spellStart"/>
      <w:r>
        <w:rPr>
          <w:rFonts w:ascii="Cambria" w:hAnsi="Cambria"/>
          <w:b/>
          <w:sz w:val="20"/>
          <w:szCs w:val="20"/>
          <w:lang w:val="es-ES_tradnl"/>
        </w:rPr>
        <w:t>Inc</w:t>
      </w:r>
      <w:proofErr w:type="spellEnd"/>
      <w:r>
        <w:rPr>
          <w:rFonts w:ascii="Cambria" w:hAnsi="Cambria"/>
          <w:b/>
          <w:sz w:val="20"/>
          <w:szCs w:val="20"/>
          <w:lang w:val="es-ES_tradnl"/>
        </w:rPr>
        <w:t xml:space="preserve"> 8</w:t>
      </w:r>
      <w:r w:rsidRPr="005C69F1">
        <w:rPr>
          <w:rFonts w:ascii="Cambria" w:hAnsi="Cambria"/>
          <w:b/>
          <w:sz w:val="20"/>
          <w:szCs w:val="20"/>
          <w:lang w:val="es-ES_tradnl"/>
        </w:rPr>
        <w:t xml:space="preserve"> (a),</w:t>
      </w:r>
      <w:r>
        <w:rPr>
          <w:rFonts w:ascii="Cambria" w:hAnsi="Cambria"/>
          <w:sz w:val="20"/>
          <w:szCs w:val="20"/>
          <w:lang w:val="es-ES_tradnl"/>
        </w:rPr>
        <w:t xml:space="preserve"> (Exigir con fines de provecho personal a sus subalternos, obligaciones ajenas al servicio militar).</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sidRPr="005C69F1">
        <w:rPr>
          <w:rFonts w:ascii="Cambria" w:hAnsi="Cambria"/>
          <w:b/>
          <w:sz w:val="20"/>
          <w:szCs w:val="20"/>
          <w:lang w:val="es-ES_tradnl"/>
        </w:rPr>
        <w:t>Desobediencia, Art 158,</w:t>
      </w:r>
      <w:r>
        <w:rPr>
          <w:rFonts w:ascii="Cambria" w:hAnsi="Cambria"/>
          <w:sz w:val="20"/>
          <w:szCs w:val="20"/>
          <w:lang w:val="es-ES_tradnl"/>
        </w:rPr>
        <w:t xml:space="preserve"> (Por no cumplir con las disposiciones ordenadas para el cumplimiento de una misión). </w:t>
      </w:r>
    </w:p>
    <w:p w:rsidR="00F039D8" w:rsidRPr="001E4BF9"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Pr>
          <w:rFonts w:ascii="Cambria" w:hAnsi="Cambria"/>
          <w:sz w:val="20"/>
          <w:szCs w:val="20"/>
          <w:lang w:val="es-ES_tradnl"/>
        </w:rPr>
        <w:lastRenderedPageBreak/>
        <w:t>(b) Haber demostrado falta de formación profesional, honor, ética y capacidad moral, al hacer fracasar una operación antidrogas, por haberse coludido con elementos narcotraficantes, con el único objeto de obtener beneficios económicos, poniendo en riesgo el prestigio del EP.</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Pr>
          <w:rFonts w:ascii="Cambria" w:hAnsi="Cambria"/>
          <w:sz w:val="20"/>
          <w:szCs w:val="20"/>
          <w:lang w:val="es-ES_tradnl"/>
        </w:rPr>
        <w:t xml:space="preserve">(c) Haber demostrado absoluta falta de carácter militar y capacidad de </w:t>
      </w:r>
      <w:proofErr w:type="spellStart"/>
      <w:r>
        <w:rPr>
          <w:rFonts w:ascii="Cambria" w:hAnsi="Cambria"/>
          <w:sz w:val="20"/>
          <w:szCs w:val="20"/>
          <w:lang w:val="es-ES_tradnl"/>
        </w:rPr>
        <w:t>Cmdo</w:t>
      </w:r>
      <w:proofErr w:type="spellEnd"/>
      <w:r>
        <w:rPr>
          <w:rFonts w:ascii="Cambria" w:hAnsi="Cambria"/>
          <w:sz w:val="20"/>
          <w:szCs w:val="20"/>
          <w:lang w:val="es-ES_tradnl"/>
        </w:rPr>
        <w:t>, al permitir que personal a su mando no cumpla con sus funciones, mantenga relaciones con personas dedicadas al narcotráfico, sustraiga y comercialice material de guerra a sicarios narcotraficantes, atentando contra la disciplina e imagen del EP</w:t>
      </w:r>
      <w:r w:rsidRPr="00D87778">
        <w:rPr>
          <w:rStyle w:val="FootnoteReference"/>
          <w:rFonts w:ascii="Cambria" w:hAnsi="Cambria"/>
          <w:sz w:val="20"/>
          <w:szCs w:val="20"/>
          <w:lang w:val="es-ES_tradnl"/>
        </w:rPr>
        <w:footnoteReference w:id="22"/>
      </w:r>
      <w:r>
        <w:rPr>
          <w:rFonts w:ascii="Cambria" w:hAnsi="Cambria"/>
          <w:sz w:val="20"/>
          <w:szCs w:val="20"/>
          <w:lang w:val="es-ES_tradnl"/>
        </w:rPr>
        <w:t>.</w:t>
      </w:r>
    </w:p>
    <w:p w:rsidR="00F039D8" w:rsidRDefault="00F039D8" w:rsidP="00F039D8">
      <w:pPr>
        <w:pStyle w:val="ListParagraph"/>
        <w:ind w:left="0"/>
        <w:rPr>
          <w:sz w:val="20"/>
          <w:szCs w:val="20"/>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Pr>
          <w:rFonts w:ascii="Cambria" w:hAnsi="Cambria"/>
          <w:sz w:val="20"/>
          <w:szCs w:val="20"/>
          <w:lang w:val="es-ES_tradnl"/>
        </w:rPr>
        <w:t xml:space="preserve">Como consecuencia de dicha denuncia se le iniciaron a la presunta víctima procesos en la vía administrativa, en la jurisdicción penal militar y en la jurisdicción penal ordinaria, cuyos desarrollos se describen a continuación. </w:t>
      </w:r>
    </w:p>
    <w:p w:rsidR="00F039D8" w:rsidRPr="00AB2ED9" w:rsidRDefault="00F039D8" w:rsidP="00F039D8">
      <w:pPr>
        <w:tabs>
          <w:tab w:val="left" w:pos="1440"/>
        </w:tabs>
        <w:jc w:val="both"/>
        <w:rPr>
          <w:rFonts w:ascii="Cambria" w:hAnsi="Cambria"/>
          <w:sz w:val="20"/>
          <w:szCs w:val="20"/>
          <w:lang w:val="es-ES_tradnl"/>
        </w:rPr>
      </w:pPr>
    </w:p>
    <w:p w:rsidR="00F039D8" w:rsidRPr="00244EB9" w:rsidRDefault="00F039D8" w:rsidP="00F039D8">
      <w:pPr>
        <w:pStyle w:val="Heading2"/>
        <w:numPr>
          <w:ilvl w:val="0"/>
          <w:numId w:val="60"/>
        </w:numPr>
      </w:pPr>
      <w:bookmarkStart w:id="37" w:name="_Toc485394053"/>
      <w:r w:rsidRPr="00244EB9">
        <w:t xml:space="preserve">Proceso administrativo </w:t>
      </w:r>
      <w:r>
        <w:t>disciplinario</w:t>
      </w:r>
      <w:bookmarkEnd w:id="37"/>
    </w:p>
    <w:p w:rsidR="00F039D8" w:rsidRPr="00AC7A24" w:rsidRDefault="00F039D8" w:rsidP="00F039D8">
      <w:pPr>
        <w:tabs>
          <w:tab w:val="left" w:pos="1440"/>
        </w:tabs>
        <w:ind w:left="720"/>
        <w:jc w:val="both"/>
        <w:rPr>
          <w:rFonts w:ascii="Cambria" w:eastAsia="Times New Roman" w:hAnsi="Cambria"/>
          <w:sz w:val="20"/>
          <w:szCs w:val="20"/>
          <w:lang w:val="es-AR"/>
        </w:rPr>
      </w:pPr>
    </w:p>
    <w:p w:rsidR="00F039D8" w:rsidRPr="00572DFF"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Pr>
          <w:rFonts w:ascii="Cambria" w:eastAsia="Times New Roman" w:hAnsi="Cambria"/>
          <w:sz w:val="20"/>
          <w:szCs w:val="20"/>
          <w:lang w:val="es-AR"/>
        </w:rPr>
        <w:t>En la vía administrativa, el 7 de febrero de 1995, e</w:t>
      </w:r>
      <w:r w:rsidRPr="00AB2ED9">
        <w:rPr>
          <w:rFonts w:ascii="Cambria" w:eastAsia="Times New Roman" w:hAnsi="Cambria"/>
          <w:sz w:val="20"/>
          <w:szCs w:val="20"/>
          <w:lang w:val="es-AR"/>
        </w:rPr>
        <w:t>l Consejo de Investigación para Oficiales Subalternos, órgano encargado de analizar posibles sanciones administrativas a personal del ejército</w:t>
      </w:r>
      <w:r w:rsidRPr="000E6D64">
        <w:rPr>
          <w:rFonts w:ascii="Cambria" w:eastAsia="Times New Roman" w:hAnsi="Cambria"/>
          <w:sz w:val="20"/>
          <w:szCs w:val="20"/>
          <w:vertAlign w:val="superscript"/>
          <w:lang w:val="es-AR"/>
        </w:rPr>
        <w:footnoteReference w:id="23"/>
      </w:r>
      <w:r w:rsidRPr="00AB2ED9">
        <w:rPr>
          <w:rFonts w:ascii="Cambria" w:eastAsia="Times New Roman" w:hAnsi="Cambria"/>
          <w:sz w:val="20"/>
          <w:szCs w:val="20"/>
          <w:lang w:val="es-AR"/>
        </w:rPr>
        <w:t xml:space="preserve"> recomendó </w:t>
      </w:r>
      <w:r w:rsidRPr="008F18E7">
        <w:rPr>
          <w:rFonts w:ascii="Cambria" w:hAnsi="Cambria"/>
          <w:sz w:val="20"/>
          <w:szCs w:val="20"/>
          <w:lang w:val="es-AR"/>
        </w:rPr>
        <w:t xml:space="preserve">“pasar a la situación de retiro al </w:t>
      </w:r>
      <w:proofErr w:type="spellStart"/>
      <w:r w:rsidRPr="008F18E7">
        <w:rPr>
          <w:rFonts w:ascii="Cambria" w:hAnsi="Cambria"/>
          <w:sz w:val="20"/>
          <w:szCs w:val="20"/>
          <w:lang w:val="es-AR"/>
        </w:rPr>
        <w:t>Tte</w:t>
      </w:r>
      <w:proofErr w:type="spellEnd"/>
      <w:r w:rsidRPr="008F18E7">
        <w:rPr>
          <w:rFonts w:ascii="Cambria" w:hAnsi="Cambria"/>
          <w:sz w:val="20"/>
          <w:szCs w:val="20"/>
          <w:lang w:val="es-AR"/>
        </w:rPr>
        <w:t xml:space="preserve"> </w:t>
      </w:r>
      <w:proofErr w:type="spellStart"/>
      <w:r w:rsidRPr="008F18E7">
        <w:rPr>
          <w:rFonts w:ascii="Cambria" w:hAnsi="Cambria"/>
          <w:sz w:val="20"/>
          <w:szCs w:val="20"/>
          <w:lang w:val="es-AR"/>
        </w:rPr>
        <w:t>Intg</w:t>
      </w:r>
      <w:proofErr w:type="spellEnd"/>
      <w:r w:rsidRPr="008F18E7">
        <w:rPr>
          <w:rFonts w:ascii="Cambria" w:hAnsi="Cambria"/>
          <w:sz w:val="20"/>
          <w:szCs w:val="20"/>
          <w:lang w:val="es-AR"/>
        </w:rPr>
        <w:t xml:space="preserve"> ROSADIO VILLAVICENCIO Jorge, por Medida Disciplinaria (Faltas Contra el Honor, Decoro, Moral y Deberes Militares: Contra el Deber y Dignidad de la Función –Falsedad-Negligencia-Contra la Administración de Justicia –Des</w:t>
      </w:r>
      <w:r>
        <w:rPr>
          <w:rFonts w:ascii="Cambria" w:hAnsi="Cambria"/>
          <w:sz w:val="20"/>
          <w:szCs w:val="20"/>
          <w:lang w:val="es-AR"/>
        </w:rPr>
        <w:t>obediencia-Abuso de Autoridad-</w:t>
      </w:r>
      <w:proofErr w:type="spellStart"/>
      <w:r>
        <w:rPr>
          <w:rFonts w:ascii="Cambria" w:hAnsi="Cambria"/>
          <w:sz w:val="20"/>
          <w:szCs w:val="20"/>
          <w:lang w:val="es-AR"/>
        </w:rPr>
        <w:t>TI</w:t>
      </w:r>
      <w:r w:rsidRPr="008F18E7">
        <w:rPr>
          <w:rFonts w:ascii="Cambria" w:hAnsi="Cambria"/>
          <w:sz w:val="20"/>
          <w:szCs w:val="20"/>
          <w:lang w:val="es-AR"/>
        </w:rPr>
        <w:t>d</w:t>
      </w:r>
      <w:proofErr w:type="spellEnd"/>
      <w:r w:rsidRPr="008F18E7">
        <w:rPr>
          <w:rFonts w:ascii="Cambria" w:hAnsi="Cambria"/>
          <w:sz w:val="20"/>
          <w:szCs w:val="20"/>
          <w:lang w:val="es-AR"/>
        </w:rPr>
        <w:t>)”</w:t>
      </w:r>
      <w:r w:rsidRPr="008F18E7">
        <w:rPr>
          <w:rStyle w:val="FootnoteReference"/>
          <w:rFonts w:ascii="Cambria" w:hAnsi="Cambria"/>
          <w:sz w:val="20"/>
          <w:szCs w:val="20"/>
          <w:lang w:val="es-AR"/>
        </w:rPr>
        <w:footnoteReference w:id="24"/>
      </w:r>
      <w:r w:rsidRPr="008F18E7">
        <w:rPr>
          <w:rFonts w:ascii="Cambria" w:hAnsi="Cambria"/>
          <w:sz w:val="20"/>
          <w:szCs w:val="20"/>
          <w:lang w:val="es-AR"/>
        </w:rPr>
        <w:t>.</w:t>
      </w:r>
    </w:p>
    <w:p w:rsidR="00F039D8" w:rsidRPr="00572DFF"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val="es-AR"/>
        </w:rPr>
      </w:pPr>
    </w:p>
    <w:p w:rsidR="00F039D8" w:rsidRPr="00572DFF"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Pr>
          <w:rFonts w:ascii="Cambria" w:eastAsia="Times New Roman" w:hAnsi="Cambria"/>
          <w:sz w:val="20"/>
          <w:szCs w:val="20"/>
          <w:lang w:val="es-AR"/>
        </w:rPr>
        <w:t>El Consejo estimó probadas 9 cuestiones de hecho entre las cuales constan que</w:t>
      </w:r>
      <w:r w:rsidRPr="00572DFF">
        <w:rPr>
          <w:rFonts w:ascii="Cambria" w:eastAsia="Times New Roman" w:hAnsi="Cambria"/>
          <w:sz w:val="20"/>
          <w:szCs w:val="20"/>
          <w:lang w:val="es-AR"/>
        </w:rPr>
        <w:t xml:space="preserve"> “</w:t>
      </w:r>
      <w:r w:rsidRPr="00572DFF">
        <w:rPr>
          <w:rFonts w:ascii="Cambria" w:hAnsi="Cambria"/>
          <w:sz w:val="20"/>
          <w:szCs w:val="20"/>
          <w:lang w:val="es-VE"/>
        </w:rPr>
        <w:t xml:space="preserve">el </w:t>
      </w:r>
      <w:proofErr w:type="spellStart"/>
      <w:r w:rsidRPr="00572DFF">
        <w:rPr>
          <w:rFonts w:ascii="Cambria" w:hAnsi="Cambria"/>
          <w:sz w:val="20"/>
          <w:szCs w:val="20"/>
          <w:lang w:val="es-VE"/>
        </w:rPr>
        <w:t>Tte</w:t>
      </w:r>
      <w:proofErr w:type="spellEnd"/>
      <w:r w:rsidRPr="00572DFF">
        <w:rPr>
          <w:rFonts w:ascii="Cambria" w:hAnsi="Cambria"/>
          <w:sz w:val="20"/>
          <w:szCs w:val="20"/>
          <w:lang w:val="es-VE"/>
        </w:rPr>
        <w:t xml:space="preserve"> </w:t>
      </w:r>
      <w:proofErr w:type="spellStart"/>
      <w:r w:rsidRPr="00572DFF">
        <w:rPr>
          <w:rFonts w:ascii="Cambria" w:hAnsi="Cambria"/>
          <w:sz w:val="20"/>
          <w:szCs w:val="20"/>
          <w:lang w:val="es-VE"/>
        </w:rPr>
        <w:t>Intg</w:t>
      </w:r>
      <w:proofErr w:type="spellEnd"/>
      <w:r w:rsidRPr="00572DFF">
        <w:rPr>
          <w:rFonts w:ascii="Cambria" w:hAnsi="Cambria"/>
          <w:sz w:val="20"/>
          <w:szCs w:val="20"/>
          <w:lang w:val="es-VE"/>
        </w:rPr>
        <w:t xml:space="preserve"> ROSADIO VILLAVICENCIO Jorge, autorizó la realización de tres vuelos clandestinos de avionetas con droga” (…) “habiendo dado cuenta al Puesto de Comando del </w:t>
      </w:r>
      <w:proofErr w:type="spellStart"/>
      <w:r w:rsidRPr="00572DFF">
        <w:rPr>
          <w:rFonts w:ascii="Cambria" w:hAnsi="Cambria"/>
          <w:sz w:val="20"/>
          <w:szCs w:val="20"/>
          <w:lang w:val="es-VE"/>
        </w:rPr>
        <w:t>Desto</w:t>
      </w:r>
      <w:proofErr w:type="spellEnd"/>
      <w:r w:rsidRPr="00572DFF">
        <w:rPr>
          <w:rFonts w:ascii="Cambria" w:hAnsi="Cambria"/>
          <w:sz w:val="20"/>
          <w:szCs w:val="20"/>
          <w:lang w:val="es-VE"/>
        </w:rPr>
        <w:t xml:space="preserve"> LEONCIO PRADO, solo del último vuelo” y agregó que la presunta víctima “recibió beneficios económicos personales” por autorizar dichos vuelos</w:t>
      </w:r>
      <w:r w:rsidRPr="008F18E7">
        <w:rPr>
          <w:rStyle w:val="FootnoteReference"/>
          <w:rFonts w:ascii="Cambria" w:hAnsi="Cambria"/>
          <w:sz w:val="20"/>
          <w:szCs w:val="20"/>
          <w:lang w:val="es-AR"/>
        </w:rPr>
        <w:footnoteReference w:id="25"/>
      </w:r>
      <w:r>
        <w:rPr>
          <w:rFonts w:ascii="Cambria" w:hAnsi="Cambria"/>
          <w:sz w:val="20"/>
          <w:szCs w:val="20"/>
          <w:lang w:val="es-VE"/>
        </w:rPr>
        <w:t xml:space="preserve"> y que “ha sido denunciado ante el CGP de la 5ta ZJE, por ser presunto autor de los Delitos Contra el Deber y Dignidad de la Función, Falsedad, Negligencia, Contra la Administración de Justicia, Abuso de Autoridad, Desobediencia y ser presunto autor TID”</w:t>
      </w:r>
      <w:r w:rsidRPr="00572DFF">
        <w:rPr>
          <w:rStyle w:val="FootnoteReference"/>
          <w:rFonts w:ascii="Cambria" w:hAnsi="Cambria"/>
          <w:sz w:val="20"/>
          <w:szCs w:val="20"/>
          <w:lang w:val="es-AR"/>
        </w:rPr>
        <w:t xml:space="preserve"> </w:t>
      </w:r>
      <w:r w:rsidRPr="008F18E7">
        <w:rPr>
          <w:rStyle w:val="FootnoteReference"/>
          <w:rFonts w:ascii="Cambria" w:hAnsi="Cambria"/>
          <w:sz w:val="20"/>
          <w:szCs w:val="20"/>
          <w:lang w:val="es-AR"/>
        </w:rPr>
        <w:footnoteReference w:id="26"/>
      </w:r>
      <w:r>
        <w:rPr>
          <w:rFonts w:ascii="Cambria" w:hAnsi="Cambria"/>
          <w:sz w:val="20"/>
          <w:szCs w:val="20"/>
          <w:lang w:val="es-VE"/>
        </w:rPr>
        <w:t xml:space="preserve">. </w:t>
      </w:r>
    </w:p>
    <w:p w:rsidR="00F039D8" w:rsidRPr="00856075"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i/>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Pr>
          <w:rFonts w:ascii="Cambria" w:eastAsia="Times New Roman" w:hAnsi="Cambria"/>
          <w:sz w:val="20"/>
          <w:szCs w:val="20"/>
          <w:lang w:val="es-AR"/>
        </w:rPr>
        <w:t>Según consta en el expediente la presunta víctima no compareció a la audiencia ante el Consejo</w:t>
      </w:r>
      <w:r w:rsidR="005E5972">
        <w:rPr>
          <w:rFonts w:ascii="Cambria" w:eastAsia="Times New Roman" w:hAnsi="Cambria"/>
          <w:sz w:val="20"/>
          <w:szCs w:val="20"/>
          <w:lang w:val="es-AR"/>
        </w:rPr>
        <w:t xml:space="preserve"> por estar privada de libertad</w:t>
      </w:r>
      <w:r w:rsidR="00FB0FCF">
        <w:rPr>
          <w:rFonts w:ascii="Cambria" w:eastAsia="Times New Roman" w:hAnsi="Cambria"/>
          <w:sz w:val="20"/>
          <w:szCs w:val="20"/>
          <w:lang w:val="es-AR"/>
        </w:rPr>
        <w:t>. Al respecto, en el a</w:t>
      </w:r>
      <w:r>
        <w:rPr>
          <w:rFonts w:ascii="Cambria" w:eastAsia="Times New Roman" w:hAnsi="Cambria"/>
          <w:sz w:val="20"/>
          <w:szCs w:val="20"/>
          <w:lang w:val="es-AR"/>
        </w:rPr>
        <w:t xml:space="preserve">cta se indica que </w:t>
      </w:r>
      <w:r w:rsidRPr="008F18E7">
        <w:rPr>
          <w:rFonts w:ascii="Cambria" w:hAnsi="Cambria"/>
          <w:sz w:val="20"/>
          <w:szCs w:val="20"/>
          <w:lang w:val="es-AR"/>
        </w:rPr>
        <w:t>“el Consejo puede pronunciarse sobre la Situación Administrativa de dicho Oficial, aún en ausencia de éste, por qué</w:t>
      </w:r>
      <w:r>
        <w:rPr>
          <w:rFonts w:ascii="Cambria" w:hAnsi="Cambria"/>
          <w:sz w:val="20"/>
          <w:szCs w:val="20"/>
          <w:lang w:val="es-AR"/>
        </w:rPr>
        <w:t xml:space="preserve"> (sic)</w:t>
      </w:r>
      <w:r w:rsidRPr="008F18E7">
        <w:rPr>
          <w:rFonts w:ascii="Cambria" w:hAnsi="Cambria"/>
          <w:sz w:val="20"/>
          <w:szCs w:val="20"/>
          <w:lang w:val="es-AR"/>
        </w:rPr>
        <w:t xml:space="preserve"> existen disposiciones legales vigentes, en la cual si un Oficial citado se encuentra con Orden de Detención, no es necesaria su presencia”</w:t>
      </w:r>
      <w:r w:rsidRPr="008F18E7">
        <w:rPr>
          <w:rStyle w:val="FootnoteReference"/>
          <w:rFonts w:ascii="Cambria" w:hAnsi="Cambria"/>
          <w:sz w:val="20"/>
          <w:szCs w:val="20"/>
          <w:lang w:val="es-AR"/>
        </w:rPr>
        <w:footnoteReference w:id="27"/>
      </w:r>
      <w:r w:rsidRPr="008F18E7">
        <w:rPr>
          <w:rFonts w:ascii="Cambria" w:hAnsi="Cambria"/>
          <w:sz w:val="20"/>
          <w:szCs w:val="20"/>
          <w:lang w:val="es-AR"/>
        </w:rPr>
        <w:t>.</w:t>
      </w:r>
    </w:p>
    <w:p w:rsidR="00F039D8" w:rsidRPr="002F35FC"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Pr>
          <w:rFonts w:ascii="Cambria" w:hAnsi="Cambria"/>
          <w:sz w:val="20"/>
          <w:szCs w:val="20"/>
          <w:lang w:val="es-ES_tradnl"/>
        </w:rPr>
        <w:t>La Comisión observa que el Decreto Supremo No. 9 de 22 de octubre de 1985, promulgado por el Presidente de la República</w:t>
      </w:r>
      <w:r w:rsidRPr="005E6D2A">
        <w:rPr>
          <w:rFonts w:ascii="Cambria" w:hAnsi="Cambria"/>
          <w:sz w:val="20"/>
          <w:szCs w:val="20"/>
          <w:lang w:val="es-ES_tradnl"/>
        </w:rPr>
        <w:t>, el cual fue invocado por el Estado</w:t>
      </w:r>
      <w:r>
        <w:rPr>
          <w:rFonts w:ascii="Cambria" w:hAnsi="Cambria"/>
          <w:sz w:val="20"/>
          <w:szCs w:val="20"/>
          <w:lang w:val="es-ES_tradnl"/>
        </w:rPr>
        <w:t xml:space="preserve"> y que regula lo relativo a los Consejos de Investigación, establecía en su artículo 14 que:</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Pr>
          <w:rFonts w:ascii="Cambria" w:hAnsi="Cambria"/>
          <w:sz w:val="20"/>
          <w:szCs w:val="20"/>
          <w:lang w:val="es-ES_tradnl"/>
        </w:rPr>
        <w:t xml:space="preserve">El personal investigado por Medida Disciplinaria y/o Insuficiencia profesional, será necesariamente oído y examinadas sus pruebas de descargo, debiendo exponer oralmente su situación y absolver las interrogaciones que le formulen los miembros del Consejo, pudiendo al retirarse de la sala confirmarla por escrito. En caso de encontrarse fuera de Lima, será necesario concederle permisos para que se constituya ante el Consejo por sus propios medios. Esta disposición no rige para el personal que hubiese cometido Abandono de Destino, en caso que no fuera habido. Asimismo, no rige la disposición anterior, en el caso de que el Oficial se encuentre involucrado en la comisión de un delito común, que no tenga relación con el servicio y en cuya investigación o proceso judicial penal se </w:t>
      </w:r>
      <w:r>
        <w:rPr>
          <w:rFonts w:ascii="Cambria" w:hAnsi="Cambria"/>
          <w:sz w:val="20"/>
          <w:szCs w:val="20"/>
          <w:lang w:val="es-ES_tradnl"/>
        </w:rPr>
        <w:lastRenderedPageBreak/>
        <w:t>haya dictado orden de detención definitiva o sentencia condenatoria a pena privativa de la libertad, que lo imposibilite para concurrir por sus propios medios</w:t>
      </w:r>
      <w:r w:rsidRPr="00D46D5C">
        <w:rPr>
          <w:rStyle w:val="FootnoteReference"/>
          <w:rFonts w:asciiTheme="majorHAnsi" w:hAnsiTheme="majorHAnsi"/>
          <w:sz w:val="20"/>
          <w:szCs w:val="20"/>
          <w:lang w:val="es-ES_tradnl"/>
        </w:rPr>
        <w:footnoteReference w:id="28"/>
      </w:r>
      <w:r>
        <w:rPr>
          <w:rFonts w:ascii="Cambria" w:hAnsi="Cambria"/>
          <w:sz w:val="20"/>
          <w:szCs w:val="20"/>
          <w:lang w:val="es-ES_tradnl"/>
        </w:rPr>
        <w:t xml:space="preserve">. </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Pr>
          <w:rFonts w:ascii="Cambria" w:hAnsi="Cambria"/>
          <w:sz w:val="20"/>
          <w:szCs w:val="20"/>
          <w:lang w:val="es-ES_tradnl"/>
        </w:rPr>
        <w:t xml:space="preserve">Según alegó el peticionario, dicho decreto nunca fue publicado en el diario oficial “El Peruano”, </w:t>
      </w:r>
      <w:r w:rsidR="007537C5">
        <w:rPr>
          <w:rFonts w:ascii="Cambria" w:hAnsi="Cambria"/>
          <w:sz w:val="20"/>
          <w:szCs w:val="20"/>
          <w:lang w:val="es-ES_tradnl"/>
        </w:rPr>
        <w:t xml:space="preserve">no obstante </w:t>
      </w:r>
      <w:r>
        <w:rPr>
          <w:rFonts w:ascii="Cambria" w:hAnsi="Cambria"/>
          <w:sz w:val="20"/>
          <w:szCs w:val="20"/>
          <w:lang w:val="es-ES_tradnl"/>
        </w:rPr>
        <w:t xml:space="preserve">dicha publicación </w:t>
      </w:r>
      <w:r w:rsidR="007537C5">
        <w:rPr>
          <w:rFonts w:ascii="Cambria" w:hAnsi="Cambria"/>
          <w:sz w:val="20"/>
          <w:szCs w:val="20"/>
          <w:lang w:val="es-ES_tradnl"/>
        </w:rPr>
        <w:t xml:space="preserve">era necesaria </w:t>
      </w:r>
      <w:r>
        <w:rPr>
          <w:rFonts w:ascii="Cambria" w:hAnsi="Cambria"/>
          <w:sz w:val="20"/>
          <w:szCs w:val="20"/>
          <w:lang w:val="es-ES_tradnl"/>
        </w:rPr>
        <w:t>para que la ley resulte obligatoria. Además, indicó que el artículo 61 del Decreto Legislativo No. 752-Ley de Situación Militar de los Oficiales del Ejército, Marina de Guerra y Fuerza Aérea- que s</w:t>
      </w:r>
      <w:r w:rsidR="00F10FDC">
        <w:rPr>
          <w:rFonts w:ascii="Cambria" w:hAnsi="Cambria"/>
          <w:sz w:val="20"/>
          <w:szCs w:val="20"/>
          <w:lang w:val="es-ES_tradnl"/>
        </w:rPr>
        <w:t>í</w:t>
      </w:r>
      <w:r>
        <w:rPr>
          <w:rFonts w:ascii="Cambria" w:hAnsi="Cambria"/>
          <w:sz w:val="20"/>
          <w:szCs w:val="20"/>
          <w:lang w:val="es-ES_tradnl"/>
        </w:rPr>
        <w:t xml:space="preserve"> fue publicado en el diario oficial, establecía</w:t>
      </w:r>
      <w:r w:rsidR="00F904FB">
        <w:rPr>
          <w:rFonts w:ascii="Cambria" w:hAnsi="Cambria"/>
          <w:sz w:val="20"/>
          <w:szCs w:val="20"/>
          <w:lang w:val="es-ES_tradnl"/>
        </w:rPr>
        <w:t>:</w:t>
      </w:r>
      <w:r>
        <w:rPr>
          <w:rFonts w:ascii="Cambria" w:hAnsi="Cambria"/>
          <w:sz w:val="20"/>
          <w:szCs w:val="20"/>
          <w:lang w:val="es-ES_tradnl"/>
        </w:rPr>
        <w:t xml:space="preserve"> </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F039D8" w:rsidRPr="002C62AA"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r>
        <w:rPr>
          <w:rFonts w:ascii="Cambria" w:hAnsi="Cambria"/>
          <w:sz w:val="20"/>
          <w:szCs w:val="20"/>
          <w:lang w:val="es-ES_tradnl"/>
        </w:rPr>
        <w:t>El pase a la Situación de retiro por Medida Disciplinaria se producirá por faltas graves contra el servicio y/o cuando la mala conducta del oficial afecta gravemente el honor, decoro y deberes militares, independientemente de la sanción penal que pudiera corresponderle, si el hecho o hechos que se le imputan están previstos como delito por la Ley; previa recomendación del Consejo de Investigación. El Oficial deberá previamente ser citado, oído y examinadas las pruebas de descargo por el Consejo de Investigación, el que luego de estos trámites emitirá su pronunciamiento respectivo</w:t>
      </w:r>
      <w:r w:rsidRPr="009074C8">
        <w:rPr>
          <w:rStyle w:val="FootnoteReference"/>
          <w:rFonts w:asciiTheme="majorHAnsi" w:hAnsiTheme="majorHAnsi"/>
          <w:sz w:val="20"/>
          <w:szCs w:val="20"/>
          <w:lang w:val="es-ES_tradnl"/>
        </w:rPr>
        <w:footnoteReference w:id="29"/>
      </w:r>
      <w:r>
        <w:rPr>
          <w:rFonts w:ascii="Cambria" w:hAnsi="Cambria"/>
          <w:sz w:val="20"/>
          <w:szCs w:val="20"/>
          <w:lang w:val="es-ES_tradnl"/>
        </w:rPr>
        <w:t xml:space="preserve">. </w:t>
      </w:r>
    </w:p>
    <w:p w:rsidR="00F039D8" w:rsidRPr="00856075"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Pr>
          <w:rFonts w:ascii="Cambria" w:hAnsi="Cambria"/>
          <w:sz w:val="20"/>
          <w:szCs w:val="20"/>
          <w:lang w:val="es-ES_tradnl"/>
        </w:rPr>
        <w:t>La Comisión hace notar adicionalmente, que otro oficial del ejército que se encontraba privado de libertad</w:t>
      </w:r>
      <w:r w:rsidRPr="003D3CFD">
        <w:rPr>
          <w:rStyle w:val="FootnoteReference"/>
          <w:rFonts w:asciiTheme="majorHAnsi" w:hAnsiTheme="majorHAnsi"/>
          <w:sz w:val="20"/>
          <w:szCs w:val="20"/>
          <w:lang w:val="es-ES_tradnl"/>
        </w:rPr>
        <w:footnoteReference w:id="30"/>
      </w:r>
      <w:r w:rsidRPr="003D3CFD">
        <w:rPr>
          <w:rFonts w:asciiTheme="majorHAnsi" w:hAnsiTheme="majorHAnsi"/>
          <w:sz w:val="20"/>
          <w:szCs w:val="20"/>
          <w:lang w:val="es-ES_tradnl"/>
        </w:rPr>
        <w:t xml:space="preserve"> </w:t>
      </w:r>
      <w:r>
        <w:rPr>
          <w:rFonts w:ascii="Cambria" w:hAnsi="Cambria"/>
          <w:sz w:val="20"/>
          <w:szCs w:val="20"/>
          <w:lang w:val="es-ES_tradnl"/>
        </w:rPr>
        <w:t xml:space="preserve">y sometido a </w:t>
      </w:r>
      <w:r w:rsidR="002146C5">
        <w:rPr>
          <w:rFonts w:ascii="Cambria" w:hAnsi="Cambria"/>
          <w:sz w:val="20"/>
          <w:szCs w:val="20"/>
          <w:lang w:val="es-ES_tradnl"/>
        </w:rPr>
        <w:t>un procedimiento disciplinario</w:t>
      </w:r>
      <w:r>
        <w:rPr>
          <w:rFonts w:ascii="Cambria" w:hAnsi="Cambria"/>
          <w:sz w:val="20"/>
          <w:szCs w:val="20"/>
          <w:lang w:val="es-ES_tradnl"/>
        </w:rPr>
        <w:t>, s</w:t>
      </w:r>
      <w:r w:rsidR="00F904FB">
        <w:rPr>
          <w:rFonts w:ascii="Cambria" w:hAnsi="Cambria"/>
          <w:sz w:val="20"/>
          <w:szCs w:val="20"/>
          <w:lang w:val="es-ES_tradnl"/>
        </w:rPr>
        <w:t>í</w:t>
      </w:r>
      <w:r>
        <w:rPr>
          <w:rFonts w:ascii="Cambria" w:hAnsi="Cambria"/>
          <w:sz w:val="20"/>
          <w:szCs w:val="20"/>
          <w:lang w:val="es-ES_tradnl"/>
        </w:rPr>
        <w:t xml:space="preserve"> compareció ante el Consejo, en donde leyó personalmente los cargos que se le imputaban y presentó oralmente sus alegatos ante dicho Consejo</w:t>
      </w:r>
      <w:r w:rsidRPr="00B605C9">
        <w:rPr>
          <w:rStyle w:val="FootnoteReference"/>
          <w:rFonts w:asciiTheme="majorHAnsi" w:hAnsiTheme="majorHAnsi"/>
          <w:sz w:val="20"/>
          <w:szCs w:val="20"/>
          <w:lang w:val="es-ES_tradnl"/>
        </w:rPr>
        <w:footnoteReference w:id="31"/>
      </w:r>
      <w:r>
        <w:rPr>
          <w:rFonts w:ascii="Cambria" w:hAnsi="Cambria"/>
          <w:sz w:val="20"/>
          <w:szCs w:val="20"/>
          <w:lang w:val="es-ES_tradnl"/>
        </w:rPr>
        <w:t xml:space="preserve">. </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Pr>
          <w:rFonts w:ascii="Cambria" w:hAnsi="Cambria"/>
          <w:sz w:val="20"/>
          <w:szCs w:val="20"/>
          <w:lang w:val="es-ES_tradnl"/>
        </w:rPr>
        <w:t>El 3 de marzo de 1995, la Comandancia General del Ejército, determinó pasar a situación de retiro a la presunta víctima. El contenido principal de dicha resolución indica lo siguiente</w:t>
      </w:r>
      <w:r w:rsidR="00F904FB">
        <w:rPr>
          <w:rFonts w:ascii="Cambria" w:hAnsi="Cambria"/>
          <w:sz w:val="20"/>
          <w:szCs w:val="20"/>
          <w:lang w:val="es-ES_tradnl"/>
        </w:rPr>
        <w:t>:</w:t>
      </w:r>
    </w:p>
    <w:p w:rsidR="00F039D8" w:rsidRDefault="00F039D8" w:rsidP="00F039D8">
      <w:pPr>
        <w:pStyle w:val="ListParagraph"/>
        <w:rPr>
          <w:sz w:val="20"/>
          <w:szCs w:val="20"/>
          <w:lang w:val="es-ES_tradnl"/>
        </w:rPr>
      </w:pP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_tradnl"/>
        </w:rPr>
      </w:pPr>
      <w:r>
        <w:rPr>
          <w:rFonts w:ascii="Cambria" w:hAnsi="Cambria"/>
          <w:sz w:val="20"/>
          <w:szCs w:val="20"/>
          <w:lang w:val="es-ES_tradnl"/>
        </w:rPr>
        <w:t>CONSIDERANDO:</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_tradnl"/>
        </w:rPr>
      </w:pPr>
      <w:r>
        <w:rPr>
          <w:rFonts w:ascii="Cambria" w:hAnsi="Cambria"/>
          <w:sz w:val="20"/>
          <w:szCs w:val="20"/>
          <w:lang w:val="es-ES_tradnl"/>
        </w:rPr>
        <w:t>Que el Decreto Legislativo No. 752 (Ley de Situación Militar de los Oficiales del Ejército, Marina y Fuerza Aérea) en el inciso f. del Artículo 55 y Artículo 61, norma el pase a la situación de Retiro por Medida Disciplinaria, establecido el Artículo 66 del acotado dispositivo legal que el Oficial que pasa a la situación de Retiro (sic) permanecerá en la Reserva hasta por dos años después de sobrepasado el límite de edad correspondiente a su grado:</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9360"/>
        </w:tabs>
        <w:ind w:left="720" w:right="720"/>
        <w:jc w:val="both"/>
        <w:rPr>
          <w:rFonts w:ascii="Cambria" w:hAnsi="Cambria"/>
          <w:sz w:val="20"/>
          <w:szCs w:val="20"/>
          <w:lang w:val="es-ES_tradnl"/>
        </w:rPr>
      </w:pPr>
      <w:r>
        <w:rPr>
          <w:rFonts w:ascii="Cambria" w:hAnsi="Cambria"/>
          <w:sz w:val="20"/>
          <w:szCs w:val="20"/>
          <w:lang w:val="es-ES_tradnl"/>
        </w:rPr>
        <w:t xml:space="preserve">Que el Decreto Supremo No. 041 DE/SG del 15 Dic 89, faculta en su artículo segundo al Señor General del Ejército Comandante General del Ejército apruebe acciones de Personal de Oficiales Subalternos del Instituto: </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_tradnl"/>
        </w:rPr>
      </w:pPr>
      <w:r>
        <w:rPr>
          <w:rFonts w:ascii="Cambria" w:hAnsi="Cambria"/>
          <w:sz w:val="20"/>
          <w:szCs w:val="20"/>
          <w:lang w:val="es-ES_tradnl"/>
        </w:rPr>
        <w:t xml:space="preserve">Estando a lo propuesto por el Señor General de División Comandante General del Comando Personal del Ejército: </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_tradnl"/>
        </w:rPr>
      </w:pPr>
      <w:r>
        <w:rPr>
          <w:rFonts w:ascii="Cambria" w:hAnsi="Cambria"/>
          <w:sz w:val="20"/>
          <w:szCs w:val="20"/>
          <w:lang w:val="es-ES_tradnl"/>
        </w:rPr>
        <w:t>Se RESUELVE:</w:t>
      </w:r>
    </w:p>
    <w:p w:rsidR="00F039D8" w:rsidRDefault="00F039D8" w:rsidP="00E774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_tradnl"/>
        </w:rPr>
      </w:pPr>
      <w:r>
        <w:rPr>
          <w:rFonts w:ascii="Cambria" w:hAnsi="Cambria"/>
          <w:sz w:val="20"/>
          <w:szCs w:val="20"/>
          <w:lang w:val="es-ES_tradnl"/>
        </w:rPr>
        <w:t xml:space="preserve">Artículo 1ro. –En vías de regularización pasar a la situación de Retiro por Medida Disciplinaria, con fecha 24 de febrero de 1995, al </w:t>
      </w:r>
      <w:proofErr w:type="spellStart"/>
      <w:r w:rsidRPr="00E83E9D">
        <w:rPr>
          <w:rFonts w:ascii="Cambria" w:hAnsi="Cambria"/>
          <w:b/>
          <w:sz w:val="20"/>
          <w:szCs w:val="20"/>
          <w:lang w:val="es-ES_tradnl"/>
        </w:rPr>
        <w:t>Tte</w:t>
      </w:r>
      <w:proofErr w:type="spellEnd"/>
      <w:r w:rsidRPr="00E83E9D">
        <w:rPr>
          <w:rFonts w:ascii="Cambria" w:hAnsi="Cambria"/>
          <w:b/>
          <w:sz w:val="20"/>
          <w:szCs w:val="20"/>
          <w:lang w:val="es-ES_tradnl"/>
        </w:rPr>
        <w:t xml:space="preserve"> </w:t>
      </w:r>
      <w:proofErr w:type="spellStart"/>
      <w:r w:rsidRPr="00E83E9D">
        <w:rPr>
          <w:rFonts w:ascii="Cambria" w:hAnsi="Cambria"/>
          <w:b/>
          <w:sz w:val="20"/>
          <w:szCs w:val="20"/>
          <w:lang w:val="es-ES_tradnl"/>
        </w:rPr>
        <w:t>INtg</w:t>
      </w:r>
      <w:proofErr w:type="spellEnd"/>
      <w:r w:rsidRPr="00E83E9D">
        <w:rPr>
          <w:rFonts w:ascii="Cambria" w:hAnsi="Cambria"/>
          <w:b/>
          <w:sz w:val="20"/>
          <w:szCs w:val="20"/>
          <w:lang w:val="es-ES_tradnl"/>
        </w:rPr>
        <w:t xml:space="preserve"> ROSADIO VILLAVICENCIO Jorge</w:t>
      </w:r>
      <w:r>
        <w:rPr>
          <w:rFonts w:ascii="Cambria" w:hAnsi="Cambria"/>
          <w:sz w:val="20"/>
          <w:szCs w:val="20"/>
          <w:lang w:val="es-ES_tradnl"/>
        </w:rPr>
        <w:t xml:space="preserve"> (…)</w:t>
      </w:r>
      <w:r w:rsidRPr="008F18E7">
        <w:rPr>
          <w:rStyle w:val="FootnoteReference"/>
          <w:rFonts w:ascii="Cambria" w:hAnsi="Cambria"/>
          <w:sz w:val="20"/>
          <w:szCs w:val="20"/>
          <w:lang w:val="es-ES_tradnl"/>
        </w:rPr>
        <w:footnoteReference w:id="32"/>
      </w:r>
      <w:r w:rsidRPr="00D03CA4">
        <w:rPr>
          <w:rFonts w:ascii="Cambria" w:hAnsi="Cambria"/>
          <w:sz w:val="20"/>
          <w:szCs w:val="20"/>
          <w:lang w:val="es-ES_tradnl"/>
        </w:rPr>
        <w:t xml:space="preserve">. </w:t>
      </w:r>
    </w:p>
    <w:p w:rsidR="00623885" w:rsidRDefault="00623885" w:rsidP="00E774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_tradnl"/>
        </w:rPr>
      </w:pPr>
    </w:p>
    <w:p w:rsidR="00623885" w:rsidRDefault="00623885" w:rsidP="00E774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_tradnl"/>
        </w:rPr>
      </w:pPr>
    </w:p>
    <w:p w:rsidR="00623885" w:rsidRPr="00E774A7" w:rsidRDefault="00623885" w:rsidP="00E774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pPr>
    </w:p>
    <w:p w:rsidR="00F039D8" w:rsidRPr="00244EB9" w:rsidRDefault="00F039D8" w:rsidP="00F039D8">
      <w:pPr>
        <w:pStyle w:val="Heading2"/>
        <w:numPr>
          <w:ilvl w:val="0"/>
          <w:numId w:val="60"/>
        </w:numPr>
        <w:rPr>
          <w:lang w:val="es-VE"/>
        </w:rPr>
      </w:pPr>
      <w:bookmarkStart w:id="38" w:name="_Toc485394054"/>
      <w:r w:rsidRPr="00244EB9">
        <w:lastRenderedPageBreak/>
        <w:t>Proceso en la jurisdicción penal militar</w:t>
      </w:r>
      <w:bookmarkEnd w:id="38"/>
      <w:r w:rsidRPr="00244EB9">
        <w:rPr>
          <w:lang w:val="es-VE"/>
        </w:rPr>
        <w:t xml:space="preserve"> </w:t>
      </w:r>
    </w:p>
    <w:p w:rsidR="00F039D8" w:rsidRPr="00512496" w:rsidRDefault="00F039D8" w:rsidP="00F039D8">
      <w:pPr>
        <w:pStyle w:val="ListParagraph"/>
        <w:tabs>
          <w:tab w:val="left" w:pos="1440"/>
        </w:tabs>
        <w:jc w:val="both"/>
        <w:rPr>
          <w:b/>
          <w:sz w:val="20"/>
          <w:szCs w:val="20"/>
          <w:lang w:val="es-VE"/>
        </w:rPr>
      </w:pPr>
    </w:p>
    <w:p w:rsidR="00F039D8" w:rsidRPr="00871A9E"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libri" w:hAnsi="Calibri"/>
          <w:sz w:val="22"/>
          <w:szCs w:val="22"/>
          <w:lang w:val="es-VE"/>
        </w:rPr>
      </w:pPr>
      <w:r>
        <w:rPr>
          <w:rFonts w:ascii="Cambria" w:hAnsi="Cambria"/>
          <w:sz w:val="20"/>
          <w:szCs w:val="20"/>
          <w:lang w:val="es-VE"/>
        </w:rPr>
        <w:t>El</w:t>
      </w:r>
      <w:r w:rsidRPr="00871A9E">
        <w:rPr>
          <w:rFonts w:ascii="Cambria" w:hAnsi="Cambria"/>
          <w:sz w:val="20"/>
          <w:szCs w:val="20"/>
          <w:lang w:val="es-AR"/>
        </w:rPr>
        <w:t xml:space="preserve"> 7 de noviembre de 1994</w:t>
      </w:r>
      <w:r>
        <w:rPr>
          <w:rFonts w:ascii="Cambria" w:hAnsi="Cambria"/>
          <w:sz w:val="20"/>
          <w:szCs w:val="20"/>
          <w:lang w:val="es-AR"/>
        </w:rPr>
        <w:t xml:space="preserve"> un Juez Militar</w:t>
      </w:r>
      <w:r w:rsidRPr="00871A9E">
        <w:rPr>
          <w:rFonts w:ascii="Cambria" w:hAnsi="Cambria"/>
          <w:sz w:val="20"/>
          <w:szCs w:val="20"/>
          <w:lang w:val="es-AR"/>
        </w:rPr>
        <w:t xml:space="preserve"> resolvió abrir instrucción contra la presunta víctima “por el delito contra el Deber y Dignidad de la Función, con las agravantes de Falsedad, Negligencia y Abuso de Autoridad en agravio del personal bajo su mando, contemplado en los art</w:t>
      </w:r>
      <w:r>
        <w:rPr>
          <w:rFonts w:ascii="Cambria" w:hAnsi="Cambria"/>
          <w:sz w:val="20"/>
          <w:szCs w:val="20"/>
          <w:lang w:val="es-AR"/>
        </w:rPr>
        <w:t xml:space="preserve">ículos doscientos, doscientos </w:t>
      </w:r>
      <w:proofErr w:type="spellStart"/>
      <w:r>
        <w:rPr>
          <w:rFonts w:ascii="Cambria" w:hAnsi="Cambria"/>
          <w:sz w:val="20"/>
          <w:szCs w:val="20"/>
          <w:lang w:val="es-AR"/>
        </w:rPr>
        <w:t>noventinueve</w:t>
      </w:r>
      <w:proofErr w:type="spellEnd"/>
      <w:r>
        <w:rPr>
          <w:rFonts w:ascii="Cambria" w:hAnsi="Cambria"/>
          <w:sz w:val="20"/>
          <w:szCs w:val="20"/>
          <w:lang w:val="es-AR"/>
        </w:rPr>
        <w:t xml:space="preserve">, doscientos </w:t>
      </w:r>
      <w:proofErr w:type="spellStart"/>
      <w:r>
        <w:rPr>
          <w:rFonts w:ascii="Cambria" w:hAnsi="Cambria"/>
          <w:sz w:val="20"/>
          <w:szCs w:val="20"/>
          <w:lang w:val="es-AR"/>
        </w:rPr>
        <w:t>treintiocho</w:t>
      </w:r>
      <w:proofErr w:type="spellEnd"/>
      <w:r w:rsidRPr="00871A9E">
        <w:rPr>
          <w:rFonts w:ascii="Cambria" w:hAnsi="Cambria"/>
          <w:sz w:val="20"/>
          <w:szCs w:val="20"/>
          <w:lang w:val="es-AR"/>
        </w:rPr>
        <w:t xml:space="preserve"> y ciento ochenta Inciso a) del Código de Justicia Militar”</w:t>
      </w:r>
      <w:r w:rsidRPr="00353786">
        <w:rPr>
          <w:rFonts w:ascii="Cambria" w:hAnsi="Cambria"/>
          <w:sz w:val="20"/>
          <w:szCs w:val="20"/>
          <w:vertAlign w:val="superscript"/>
          <w:lang w:val="es-AR"/>
        </w:rPr>
        <w:footnoteReference w:id="33"/>
      </w:r>
      <w:r>
        <w:rPr>
          <w:rFonts w:ascii="Cambria" w:hAnsi="Cambria"/>
          <w:sz w:val="20"/>
          <w:szCs w:val="20"/>
          <w:lang w:val="es-AR"/>
        </w:rPr>
        <w:t>.</w:t>
      </w:r>
    </w:p>
    <w:p w:rsidR="00F039D8" w:rsidRDefault="00F039D8" w:rsidP="00F039D8">
      <w:pPr>
        <w:pStyle w:val="ListParagraph"/>
        <w:rPr>
          <w:sz w:val="20"/>
          <w:szCs w:val="20"/>
          <w:lang w:val="es-AR"/>
        </w:rPr>
      </w:pPr>
    </w:p>
    <w:p w:rsidR="00F039D8" w:rsidRPr="00871A9E"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libri" w:hAnsi="Calibri"/>
          <w:sz w:val="22"/>
          <w:szCs w:val="22"/>
          <w:lang w:val="es-VE"/>
        </w:rPr>
      </w:pPr>
      <w:r w:rsidRPr="00AB2ED9">
        <w:rPr>
          <w:rFonts w:ascii="Cambria" w:hAnsi="Cambria"/>
          <w:sz w:val="20"/>
          <w:szCs w:val="20"/>
          <w:lang w:val="es-VE"/>
        </w:rPr>
        <w:t>El 12 de marzo de 1995 el Juez Militar Permanente</w:t>
      </w:r>
      <w:r>
        <w:rPr>
          <w:rFonts w:ascii="Cambria" w:hAnsi="Cambria"/>
          <w:sz w:val="20"/>
          <w:szCs w:val="20"/>
          <w:lang w:val="es-VE"/>
        </w:rPr>
        <w:t xml:space="preserve"> de Tarapoto</w:t>
      </w:r>
      <w:r w:rsidRPr="00AB2ED9">
        <w:rPr>
          <w:rFonts w:ascii="Cambria" w:hAnsi="Cambria"/>
          <w:sz w:val="20"/>
          <w:szCs w:val="20"/>
          <w:lang w:val="es-VE"/>
        </w:rPr>
        <w:t xml:space="preserve"> Jorge Ramirez Huerta</w:t>
      </w:r>
      <w:r>
        <w:rPr>
          <w:rFonts w:ascii="Cambria" w:hAnsi="Cambria"/>
          <w:sz w:val="20"/>
          <w:szCs w:val="20"/>
          <w:lang w:val="es-VE"/>
        </w:rPr>
        <w:t xml:space="preserve">, y quien actuó como asesor legal de la presunta víctima al rendir su declaración en la etapa de investigación de la Inspectoría del Destacamento Leoncio Prado y asistió también en dicho proceso al superior jerárquico del señor Rosadio Villavicencio, </w:t>
      </w:r>
      <w:r w:rsidRPr="00AB2ED9">
        <w:rPr>
          <w:rFonts w:ascii="Cambria" w:hAnsi="Cambria"/>
          <w:sz w:val="20"/>
          <w:szCs w:val="20"/>
          <w:lang w:val="es-VE"/>
        </w:rPr>
        <w:t>ordenó investigar a la presunta víctima y otras personas, conforme se indica en la decisión anterior</w:t>
      </w:r>
      <w:r>
        <w:rPr>
          <w:rFonts w:ascii="Cambria" w:hAnsi="Cambria"/>
          <w:sz w:val="20"/>
          <w:szCs w:val="20"/>
          <w:lang w:val="es-VE"/>
        </w:rPr>
        <w:t xml:space="preserve"> y mandó a recibir sus declaraciones instructivas</w:t>
      </w:r>
      <w:r w:rsidRPr="00A8444D">
        <w:rPr>
          <w:rFonts w:ascii="Cambria" w:hAnsi="Cambria"/>
          <w:sz w:val="20"/>
          <w:szCs w:val="20"/>
          <w:vertAlign w:val="superscript"/>
          <w:lang w:val="es-AR"/>
        </w:rPr>
        <w:footnoteReference w:id="34"/>
      </w:r>
      <w:r w:rsidRPr="00871A9E">
        <w:rPr>
          <w:rFonts w:ascii="Cambria" w:hAnsi="Cambria"/>
          <w:sz w:val="20"/>
          <w:szCs w:val="20"/>
          <w:lang w:val="es-AR"/>
        </w:rPr>
        <w:t xml:space="preserve">. </w:t>
      </w:r>
    </w:p>
    <w:p w:rsidR="00F039D8" w:rsidRDefault="00F039D8" w:rsidP="00F039D8">
      <w:pPr>
        <w:pStyle w:val="ListParagraph"/>
        <w:ind w:left="0"/>
        <w:rPr>
          <w:sz w:val="20"/>
          <w:szCs w:val="20"/>
          <w:lang w:val="es-VE"/>
        </w:rPr>
      </w:pPr>
    </w:p>
    <w:p w:rsidR="00F039D8" w:rsidRPr="00F9741B"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Pr>
          <w:rFonts w:ascii="Cambria" w:hAnsi="Cambria"/>
          <w:sz w:val="20"/>
          <w:szCs w:val="20"/>
          <w:lang w:val="es-AR"/>
        </w:rPr>
        <w:t xml:space="preserve">El 20 de junio de 1995 la presunta víctima compareció ante el Juez Militar Permanente de Tarapoto, Jorge Ramirez Huerta, con el objeto de rendir su declaración instructiva, y fue asistido por el Defensor de Oficio del Juzgado Militar de Tarapoto, </w:t>
      </w:r>
      <w:proofErr w:type="spellStart"/>
      <w:r>
        <w:rPr>
          <w:rFonts w:ascii="Cambria" w:hAnsi="Cambria"/>
          <w:sz w:val="20"/>
          <w:szCs w:val="20"/>
          <w:lang w:val="es-AR"/>
        </w:rPr>
        <w:t>Davizo</w:t>
      </w:r>
      <w:proofErr w:type="spellEnd"/>
      <w:r>
        <w:rPr>
          <w:rFonts w:ascii="Cambria" w:hAnsi="Cambria"/>
          <w:sz w:val="20"/>
          <w:szCs w:val="20"/>
          <w:lang w:val="es-AR"/>
        </w:rPr>
        <w:t xml:space="preserve"> </w:t>
      </w:r>
      <w:proofErr w:type="spellStart"/>
      <w:r>
        <w:rPr>
          <w:rFonts w:ascii="Cambria" w:hAnsi="Cambria"/>
          <w:sz w:val="20"/>
          <w:szCs w:val="20"/>
          <w:lang w:val="es-AR"/>
        </w:rPr>
        <w:t>Tupac</w:t>
      </w:r>
      <w:proofErr w:type="spellEnd"/>
      <w:r>
        <w:rPr>
          <w:rFonts w:ascii="Cambria" w:hAnsi="Cambria"/>
          <w:sz w:val="20"/>
          <w:szCs w:val="20"/>
          <w:lang w:val="es-AR"/>
        </w:rPr>
        <w:t xml:space="preserve"> Yupanqui Ochoa</w:t>
      </w:r>
      <w:r w:rsidRPr="00F9741B">
        <w:rPr>
          <w:rFonts w:ascii="Cambria" w:hAnsi="Cambria"/>
          <w:sz w:val="20"/>
          <w:szCs w:val="20"/>
          <w:lang w:val="es-AR"/>
        </w:rPr>
        <w:t>, sin embargo en vista que la presunta víctima manifestó que “s</w:t>
      </w:r>
      <w:r w:rsidR="002146C5">
        <w:rPr>
          <w:rFonts w:ascii="Cambria" w:hAnsi="Cambria"/>
          <w:sz w:val="20"/>
          <w:szCs w:val="20"/>
          <w:lang w:val="es-AR"/>
        </w:rPr>
        <w:t>u defensor se encontraba en la C</w:t>
      </w:r>
      <w:r w:rsidRPr="00F9741B">
        <w:rPr>
          <w:rFonts w:ascii="Cambria" w:hAnsi="Cambria"/>
          <w:sz w:val="20"/>
          <w:szCs w:val="20"/>
          <w:lang w:val="es-AR"/>
        </w:rPr>
        <w:t>iudad de Lima y que no iba a responder ninguna pregunta” se dio por concluida la diligencia</w:t>
      </w:r>
      <w:r w:rsidRPr="004F0EB9">
        <w:rPr>
          <w:rStyle w:val="FootnoteReference"/>
          <w:rFonts w:asciiTheme="majorHAnsi" w:hAnsiTheme="majorHAnsi"/>
          <w:sz w:val="20"/>
          <w:szCs w:val="20"/>
          <w:lang w:val="es-AR"/>
        </w:rPr>
        <w:footnoteReference w:id="35"/>
      </w:r>
      <w:r w:rsidRPr="00F9741B">
        <w:rPr>
          <w:rFonts w:ascii="Cambria" w:hAnsi="Cambria"/>
          <w:sz w:val="20"/>
          <w:szCs w:val="20"/>
          <w:lang w:val="es-AR"/>
        </w:rPr>
        <w:t xml:space="preserve">. </w:t>
      </w:r>
    </w:p>
    <w:p w:rsidR="00F039D8" w:rsidRPr="004F0EB9" w:rsidRDefault="00F039D8" w:rsidP="00F039D8">
      <w:pPr>
        <w:rPr>
          <w:sz w:val="20"/>
          <w:szCs w:val="20"/>
          <w:lang w:val="es-AR"/>
        </w:rPr>
      </w:pPr>
    </w:p>
    <w:p w:rsidR="00F039D8" w:rsidRPr="008F18E7"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sidRPr="00D2750C">
        <w:rPr>
          <w:rFonts w:ascii="Cambria" w:hAnsi="Cambria"/>
          <w:sz w:val="20"/>
          <w:szCs w:val="20"/>
          <w:lang w:val="es-VE"/>
        </w:rPr>
        <w:t>El 27 de julio de 1995 la presunta víctima rindió su declaración instructiva ante un juez</w:t>
      </w:r>
      <w:r>
        <w:rPr>
          <w:rFonts w:ascii="Cambria" w:hAnsi="Cambria"/>
          <w:sz w:val="20"/>
          <w:szCs w:val="20"/>
          <w:lang w:val="es-VE"/>
        </w:rPr>
        <w:t>.</w:t>
      </w:r>
      <w:r w:rsidRPr="00D2750C">
        <w:rPr>
          <w:rFonts w:ascii="Cambria" w:hAnsi="Cambria"/>
          <w:sz w:val="20"/>
          <w:szCs w:val="20"/>
          <w:lang w:val="es-VE"/>
        </w:rPr>
        <w:t xml:space="preserve"> Indicó que fue designado para cumplir una misión especial de inteligencia en</w:t>
      </w:r>
      <w:r w:rsidR="0016331B">
        <w:rPr>
          <w:rFonts w:ascii="Cambria" w:hAnsi="Cambria"/>
          <w:sz w:val="20"/>
          <w:szCs w:val="20"/>
          <w:lang w:val="es-VE"/>
        </w:rPr>
        <w:t xml:space="preserve"> la Base Contrasubversiva de Sio</w:t>
      </w:r>
      <w:r w:rsidRPr="00D2750C">
        <w:rPr>
          <w:rFonts w:ascii="Cambria" w:hAnsi="Cambria"/>
          <w:sz w:val="20"/>
          <w:szCs w:val="20"/>
          <w:lang w:val="es-VE"/>
        </w:rPr>
        <w:t>n</w:t>
      </w:r>
      <w:r>
        <w:rPr>
          <w:rFonts w:ascii="Cambria" w:hAnsi="Cambria"/>
          <w:sz w:val="20"/>
          <w:szCs w:val="20"/>
          <w:lang w:val="es-VE"/>
        </w:rPr>
        <w:t>,</w:t>
      </w:r>
      <w:r w:rsidRPr="00D2750C">
        <w:rPr>
          <w:rFonts w:ascii="Cambria" w:hAnsi="Cambria"/>
          <w:sz w:val="20"/>
          <w:szCs w:val="20"/>
          <w:lang w:val="es-VE"/>
        </w:rPr>
        <w:t xml:space="preserve"> que consistía en </w:t>
      </w:r>
      <w:r w:rsidRPr="008F18E7">
        <w:rPr>
          <w:rFonts w:ascii="Cambria" w:hAnsi="Cambria"/>
          <w:sz w:val="20"/>
          <w:szCs w:val="20"/>
          <w:lang w:val="es-VE"/>
        </w:rPr>
        <w:t xml:space="preserve">“infiltrarse y presentarse como un Oficial Corrupto ante </w:t>
      </w:r>
      <w:r>
        <w:rPr>
          <w:rFonts w:ascii="Cambria" w:hAnsi="Cambria"/>
          <w:sz w:val="20"/>
          <w:szCs w:val="20"/>
          <w:lang w:val="es-VE"/>
        </w:rPr>
        <w:t xml:space="preserve">los Narcotraficante (sic) </w:t>
      </w:r>
      <w:r w:rsidRPr="00D2750C">
        <w:rPr>
          <w:rFonts w:ascii="Cambria" w:hAnsi="Cambria"/>
          <w:sz w:val="20"/>
          <w:szCs w:val="20"/>
          <w:lang w:val="es-VE"/>
        </w:rPr>
        <w:t>con el fin de ganarse su confianza</w:t>
      </w:r>
      <w:r>
        <w:rPr>
          <w:rFonts w:ascii="Cambria" w:hAnsi="Cambria"/>
          <w:sz w:val="20"/>
          <w:szCs w:val="20"/>
          <w:lang w:val="es-VE"/>
        </w:rPr>
        <w:t>”</w:t>
      </w:r>
      <w:r w:rsidRPr="00D2750C">
        <w:rPr>
          <w:rFonts w:ascii="Cambria" w:hAnsi="Cambria"/>
          <w:sz w:val="20"/>
          <w:szCs w:val="20"/>
          <w:lang w:val="es-VE"/>
        </w:rPr>
        <w:t>. Indicó que</w:t>
      </w:r>
      <w:r>
        <w:rPr>
          <w:rFonts w:ascii="Cambria" w:hAnsi="Cambria"/>
          <w:sz w:val="20"/>
          <w:szCs w:val="20"/>
          <w:lang w:val="es-VE"/>
        </w:rPr>
        <w:t>,</w:t>
      </w:r>
      <w:r w:rsidR="0016331B">
        <w:rPr>
          <w:rFonts w:ascii="Cambria" w:hAnsi="Cambria"/>
          <w:sz w:val="20"/>
          <w:szCs w:val="20"/>
          <w:lang w:val="es-VE"/>
        </w:rPr>
        <w:t xml:space="preserve"> durante su permanencia en Sio</w:t>
      </w:r>
      <w:r w:rsidRPr="00D2750C">
        <w:rPr>
          <w:rFonts w:ascii="Cambria" w:hAnsi="Cambria"/>
          <w:sz w:val="20"/>
          <w:szCs w:val="20"/>
          <w:lang w:val="es-VE"/>
        </w:rPr>
        <w:t>n</w:t>
      </w:r>
      <w:r>
        <w:rPr>
          <w:rFonts w:ascii="Cambria" w:hAnsi="Cambria"/>
          <w:sz w:val="20"/>
          <w:szCs w:val="20"/>
          <w:lang w:val="es-VE"/>
        </w:rPr>
        <w:t>,</w:t>
      </w:r>
      <w:r w:rsidRPr="00D2750C">
        <w:rPr>
          <w:rFonts w:ascii="Cambria" w:hAnsi="Cambria"/>
          <w:sz w:val="20"/>
          <w:szCs w:val="20"/>
          <w:lang w:val="es-VE"/>
        </w:rPr>
        <w:t xml:space="preserve"> autorizó tres vuelos de narcotraficantes, y el dinero recibido en virtud de dichas operaciones lo distribuyó de la siguiente manera: </w:t>
      </w:r>
      <w:r w:rsidRPr="008F18E7">
        <w:rPr>
          <w:rFonts w:ascii="Cambria" w:hAnsi="Cambria"/>
          <w:sz w:val="20"/>
          <w:szCs w:val="20"/>
          <w:lang w:val="es-VE"/>
        </w:rPr>
        <w:t>“el deponente, la suma de dos mil dólares, Técnico Dávila Gonzalez, mil quinientos dólares, Sub Oficial Ramos Aranda la suma de mil dólares, Sargento Julio Jarama la suma de ciento diez dólares, Sargento Pinche García, la suma de ciento diez dólares y la suma de cuarenta dólares a cada personal de tr</w:t>
      </w:r>
      <w:r>
        <w:rPr>
          <w:rFonts w:ascii="Cambria" w:hAnsi="Cambria"/>
          <w:sz w:val="20"/>
          <w:szCs w:val="20"/>
          <w:lang w:val="es-VE"/>
        </w:rPr>
        <w:t xml:space="preserve">opa entre </w:t>
      </w:r>
      <w:proofErr w:type="spellStart"/>
      <w:r>
        <w:rPr>
          <w:rFonts w:ascii="Cambria" w:hAnsi="Cambria"/>
          <w:sz w:val="20"/>
          <w:szCs w:val="20"/>
          <w:lang w:val="es-VE"/>
        </w:rPr>
        <w:t>cincuenticuatro</w:t>
      </w:r>
      <w:proofErr w:type="spellEnd"/>
      <w:r>
        <w:rPr>
          <w:rFonts w:ascii="Cambria" w:hAnsi="Cambria"/>
          <w:sz w:val="20"/>
          <w:szCs w:val="20"/>
          <w:lang w:val="es-VE"/>
        </w:rPr>
        <w:t xml:space="preserve"> y al n</w:t>
      </w:r>
      <w:r w:rsidRPr="008F18E7">
        <w:rPr>
          <w:rFonts w:ascii="Cambria" w:hAnsi="Cambria"/>
          <w:sz w:val="20"/>
          <w:szCs w:val="20"/>
          <w:lang w:val="es-VE"/>
        </w:rPr>
        <w:t>arcotraficante conocido como “cincuenta” la suma de mil dólares</w:t>
      </w:r>
      <w:r w:rsidR="002146C5">
        <w:rPr>
          <w:rFonts w:ascii="Cambria" w:hAnsi="Cambria"/>
          <w:sz w:val="20"/>
          <w:szCs w:val="20"/>
          <w:lang w:val="es-VE"/>
        </w:rPr>
        <w:t>”</w:t>
      </w:r>
      <w:r w:rsidRPr="008F18E7">
        <w:rPr>
          <w:rStyle w:val="FootnoteReference"/>
          <w:rFonts w:ascii="Cambria" w:hAnsi="Cambria"/>
          <w:sz w:val="20"/>
          <w:szCs w:val="20"/>
          <w:lang w:val="es-VE"/>
        </w:rPr>
        <w:footnoteReference w:id="36"/>
      </w:r>
      <w:r w:rsidRPr="008F18E7">
        <w:rPr>
          <w:rFonts w:ascii="Cambria" w:hAnsi="Cambria"/>
          <w:sz w:val="20"/>
          <w:szCs w:val="20"/>
          <w:lang w:val="es-VE"/>
        </w:rPr>
        <w:t xml:space="preserve">. </w:t>
      </w:r>
    </w:p>
    <w:p w:rsidR="00F039D8" w:rsidRPr="00962A16"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F039D8" w:rsidRPr="008F18E7"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sidRPr="00353786">
        <w:rPr>
          <w:rFonts w:ascii="Cambria" w:hAnsi="Cambria"/>
          <w:sz w:val="20"/>
          <w:szCs w:val="20"/>
          <w:lang w:val="es-VE"/>
        </w:rPr>
        <w:t xml:space="preserve">Agregó que las ordenes le fueron dadas por el Coronel </w:t>
      </w:r>
      <w:r>
        <w:rPr>
          <w:rFonts w:ascii="Cambria" w:eastAsia="Times New Roman" w:hAnsi="Cambria"/>
          <w:sz w:val="20"/>
          <w:szCs w:val="20"/>
          <w:lang w:val="es-AR"/>
        </w:rPr>
        <w:t xml:space="preserve">Murgueytio </w:t>
      </w:r>
      <w:r w:rsidRPr="00353786">
        <w:rPr>
          <w:rFonts w:ascii="Cambria" w:hAnsi="Cambria"/>
          <w:sz w:val="20"/>
          <w:szCs w:val="20"/>
          <w:lang w:val="es-VE"/>
        </w:rPr>
        <w:t>en forma verbal</w:t>
      </w:r>
      <w:r>
        <w:rPr>
          <w:rFonts w:ascii="Cambria" w:hAnsi="Cambria"/>
          <w:sz w:val="20"/>
          <w:szCs w:val="20"/>
          <w:lang w:val="es-VE"/>
        </w:rPr>
        <w:t>,</w:t>
      </w:r>
      <w:r w:rsidRPr="00353786">
        <w:rPr>
          <w:rFonts w:ascii="Cambria" w:hAnsi="Cambria"/>
          <w:sz w:val="20"/>
          <w:szCs w:val="20"/>
          <w:lang w:val="es-VE"/>
        </w:rPr>
        <w:t xml:space="preserve"> </w:t>
      </w:r>
      <w:r w:rsidRPr="008F18E7">
        <w:rPr>
          <w:rFonts w:ascii="Cambria" w:hAnsi="Cambria"/>
          <w:sz w:val="20"/>
          <w:szCs w:val="20"/>
          <w:lang w:val="es-VE"/>
        </w:rPr>
        <w:t>“al no existir un plan de operaciones escrito ya que las operaciones de inteligencia normalmente son dadas en forma verbal para evitar infidencias”</w:t>
      </w:r>
      <w:r w:rsidRPr="00353786">
        <w:rPr>
          <w:rFonts w:ascii="Cambria" w:hAnsi="Cambria"/>
          <w:sz w:val="20"/>
          <w:szCs w:val="20"/>
          <w:lang w:val="es-VE"/>
        </w:rPr>
        <w:t xml:space="preserve"> y añadió que el plan consistía en </w:t>
      </w:r>
      <w:r w:rsidRPr="008F18E7">
        <w:rPr>
          <w:rFonts w:ascii="Cambria" w:hAnsi="Cambria"/>
          <w:sz w:val="20"/>
          <w:szCs w:val="20"/>
          <w:lang w:val="es-VE"/>
        </w:rPr>
        <w:t>ganarse la confianza de los narcotraficantes para posteriormente “proceder a capturar avionetas, droga, narcotraficantes, armamento, equipos de radio, material y otros”</w:t>
      </w:r>
      <w:r w:rsidRPr="008F18E7">
        <w:rPr>
          <w:rStyle w:val="FootnoteReference"/>
          <w:rFonts w:ascii="Cambria" w:hAnsi="Cambria"/>
          <w:sz w:val="20"/>
          <w:szCs w:val="20"/>
          <w:lang w:val="es-VE"/>
        </w:rPr>
        <w:t xml:space="preserve"> </w:t>
      </w:r>
      <w:r w:rsidRPr="008F18E7">
        <w:rPr>
          <w:rStyle w:val="FootnoteReference"/>
          <w:rFonts w:ascii="Cambria" w:hAnsi="Cambria"/>
          <w:sz w:val="20"/>
          <w:szCs w:val="20"/>
          <w:lang w:val="es-VE"/>
        </w:rPr>
        <w:footnoteReference w:id="37"/>
      </w:r>
      <w:r>
        <w:rPr>
          <w:rFonts w:ascii="Cambria" w:hAnsi="Cambria"/>
          <w:sz w:val="20"/>
          <w:szCs w:val="20"/>
          <w:lang w:val="es-VE"/>
        </w:rPr>
        <w:t>.</w:t>
      </w:r>
    </w:p>
    <w:p w:rsidR="00F039D8" w:rsidRDefault="00F039D8" w:rsidP="00F039D8">
      <w:pPr>
        <w:pStyle w:val="ListParagraph"/>
        <w:rPr>
          <w:sz w:val="20"/>
          <w:szCs w:val="20"/>
          <w:lang w:val="es-VE"/>
        </w:rPr>
      </w:pPr>
    </w:p>
    <w:p w:rsidR="00F039D8" w:rsidRPr="002146C5"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sidRPr="00353786">
        <w:rPr>
          <w:rFonts w:ascii="Cambria" w:hAnsi="Cambria"/>
          <w:sz w:val="20"/>
          <w:szCs w:val="20"/>
          <w:lang w:val="es-VE"/>
        </w:rPr>
        <w:t xml:space="preserve">El 14 de octubre de 1995 </w:t>
      </w:r>
      <w:r>
        <w:rPr>
          <w:rFonts w:ascii="Cambria" w:hAnsi="Cambria"/>
          <w:sz w:val="20"/>
          <w:szCs w:val="20"/>
          <w:lang w:val="es-VE"/>
        </w:rPr>
        <w:t xml:space="preserve">el Juez Militar </w:t>
      </w:r>
      <w:r w:rsidRPr="00353786">
        <w:rPr>
          <w:rFonts w:ascii="Cambria" w:hAnsi="Cambria"/>
          <w:sz w:val="20"/>
          <w:szCs w:val="20"/>
          <w:lang w:val="es-VE"/>
        </w:rPr>
        <w:t>presentó informe final al Presidente del Consejo de Guerra Permanente de la Quinta Zona Judi</w:t>
      </w:r>
      <w:r>
        <w:rPr>
          <w:rFonts w:ascii="Cambria" w:hAnsi="Cambria"/>
          <w:sz w:val="20"/>
          <w:szCs w:val="20"/>
          <w:lang w:val="es-VE"/>
        </w:rPr>
        <w:t xml:space="preserve">cial del Ejército opinando que </w:t>
      </w:r>
      <w:r w:rsidRPr="00E55180">
        <w:rPr>
          <w:rFonts w:ascii="Cambria" w:hAnsi="Cambria"/>
          <w:sz w:val="20"/>
          <w:szCs w:val="20"/>
          <w:lang w:val="es-VE"/>
        </w:rPr>
        <w:t xml:space="preserve">“de las declaraciones instructivas, el Acta de fs.124, 179 y 208, así como del </w:t>
      </w:r>
      <w:proofErr w:type="spellStart"/>
      <w:r w:rsidRPr="00E55180">
        <w:rPr>
          <w:rFonts w:ascii="Cambria" w:hAnsi="Cambria"/>
          <w:sz w:val="20"/>
          <w:szCs w:val="20"/>
          <w:lang w:val="es-VE"/>
        </w:rPr>
        <w:t>Inf</w:t>
      </w:r>
      <w:proofErr w:type="spellEnd"/>
      <w:r w:rsidRPr="00E55180">
        <w:rPr>
          <w:rFonts w:ascii="Cambria" w:hAnsi="Cambria"/>
          <w:sz w:val="20"/>
          <w:szCs w:val="20"/>
          <w:lang w:val="es-VE"/>
        </w:rPr>
        <w:t>/</w:t>
      </w:r>
      <w:proofErr w:type="spellStart"/>
      <w:r w:rsidRPr="00E55180">
        <w:rPr>
          <w:rFonts w:ascii="Cambria" w:hAnsi="Cambria"/>
          <w:sz w:val="20"/>
          <w:szCs w:val="20"/>
          <w:lang w:val="es-VE"/>
        </w:rPr>
        <w:t>Inv</w:t>
      </w:r>
      <w:proofErr w:type="spellEnd"/>
      <w:r w:rsidRPr="00E55180">
        <w:rPr>
          <w:rFonts w:ascii="Cambria" w:hAnsi="Cambria"/>
          <w:sz w:val="20"/>
          <w:szCs w:val="20"/>
          <w:lang w:val="es-VE"/>
        </w:rPr>
        <w:t xml:space="preserve"> de fs. 01 al 10, este Juzgado es de opinión que existe responsabilidad en el </w:t>
      </w:r>
      <w:proofErr w:type="spellStart"/>
      <w:r w:rsidRPr="00E55180">
        <w:rPr>
          <w:rFonts w:ascii="Cambria" w:hAnsi="Cambria"/>
          <w:sz w:val="20"/>
          <w:szCs w:val="20"/>
          <w:lang w:val="es-VE"/>
        </w:rPr>
        <w:t>Tte</w:t>
      </w:r>
      <w:proofErr w:type="spellEnd"/>
      <w:r w:rsidRPr="00E55180">
        <w:rPr>
          <w:rFonts w:ascii="Cambria" w:hAnsi="Cambria"/>
          <w:sz w:val="20"/>
          <w:szCs w:val="20"/>
          <w:lang w:val="es-VE"/>
        </w:rPr>
        <w:t xml:space="preserve"> </w:t>
      </w:r>
      <w:proofErr w:type="spellStart"/>
      <w:r w:rsidRPr="00E55180">
        <w:rPr>
          <w:rFonts w:ascii="Cambria" w:hAnsi="Cambria"/>
          <w:sz w:val="20"/>
          <w:szCs w:val="20"/>
          <w:lang w:val="es-VE"/>
        </w:rPr>
        <w:t>Intg</w:t>
      </w:r>
      <w:proofErr w:type="spellEnd"/>
      <w:r w:rsidRPr="00E55180">
        <w:rPr>
          <w:rFonts w:ascii="Cambria" w:hAnsi="Cambria"/>
          <w:sz w:val="20"/>
          <w:szCs w:val="20"/>
          <w:lang w:val="es-VE"/>
        </w:rPr>
        <w:t xml:space="preserve"> (R) Jorge ROSADIO VILLAVICENCIO, en los delitos Contra el Deber y Dignidad de la Función con las agravantes de Falsedad, Negligencia y Abuso de Autoridad en agravio del personal bajo su mando (…)”</w:t>
      </w:r>
      <w:r w:rsidRPr="00E55180">
        <w:rPr>
          <w:rStyle w:val="FootnoteReference"/>
          <w:rFonts w:ascii="Cambria" w:hAnsi="Cambria"/>
          <w:sz w:val="20"/>
          <w:szCs w:val="20"/>
          <w:lang w:val="es-VE"/>
        </w:rPr>
        <w:footnoteReference w:id="38"/>
      </w:r>
      <w:r w:rsidRPr="00E55180">
        <w:rPr>
          <w:rFonts w:ascii="Cambria" w:hAnsi="Cambria"/>
          <w:sz w:val="20"/>
          <w:szCs w:val="20"/>
          <w:lang w:val="es-VE"/>
        </w:rPr>
        <w:t>.</w:t>
      </w:r>
      <w:r w:rsidRPr="00353786">
        <w:rPr>
          <w:rFonts w:ascii="Cambria" w:hAnsi="Cambria"/>
          <w:sz w:val="20"/>
          <w:szCs w:val="20"/>
          <w:lang w:val="es-VE"/>
        </w:rPr>
        <w:t xml:space="preserve"> </w:t>
      </w:r>
    </w:p>
    <w:p w:rsidR="002146C5" w:rsidRPr="00AA2B05" w:rsidRDefault="002146C5" w:rsidP="002146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F039D8" w:rsidRPr="0082311E"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sidRPr="00353786">
        <w:rPr>
          <w:rFonts w:ascii="Cambria" w:hAnsi="Cambria"/>
          <w:sz w:val="20"/>
          <w:szCs w:val="20"/>
          <w:lang w:val="es-VE"/>
        </w:rPr>
        <w:lastRenderedPageBreak/>
        <w:t xml:space="preserve">El 17 de octubre de 1995 la Fiscalía Militar formuló acusación en contra de la presunta víctima por los delitos contra el deber y dignidad de </w:t>
      </w:r>
      <w:r>
        <w:rPr>
          <w:rFonts w:ascii="Cambria" w:hAnsi="Cambria"/>
          <w:sz w:val="20"/>
          <w:szCs w:val="20"/>
          <w:lang w:val="es-VE"/>
        </w:rPr>
        <w:t xml:space="preserve">la función, abuso de autoridad </w:t>
      </w:r>
      <w:r w:rsidRPr="00353786">
        <w:rPr>
          <w:rFonts w:ascii="Cambria" w:hAnsi="Cambria"/>
          <w:sz w:val="20"/>
          <w:szCs w:val="20"/>
          <w:lang w:val="es-VE"/>
        </w:rPr>
        <w:t>y negligencia, previstos respectivamente en los artículos 200 inciso 2, 180 inciso 8 y 238 del Código de Justicia Militar</w:t>
      </w:r>
      <w:r w:rsidRPr="00A8444D">
        <w:rPr>
          <w:rStyle w:val="FootnoteReference"/>
          <w:rFonts w:ascii="Cambria" w:hAnsi="Cambria"/>
          <w:sz w:val="20"/>
          <w:szCs w:val="20"/>
          <w:lang w:val="es-VE"/>
        </w:rPr>
        <w:footnoteReference w:id="39"/>
      </w:r>
      <w:r w:rsidRPr="00353786">
        <w:rPr>
          <w:rFonts w:ascii="Cambria" w:hAnsi="Cambria"/>
          <w:sz w:val="20"/>
          <w:szCs w:val="20"/>
          <w:lang w:val="es-VE"/>
        </w:rPr>
        <w:t xml:space="preserve">. </w:t>
      </w:r>
    </w:p>
    <w:p w:rsidR="00F039D8" w:rsidRDefault="00F039D8" w:rsidP="00F039D8">
      <w:pPr>
        <w:pStyle w:val="ListParagraph"/>
        <w:rPr>
          <w:sz w:val="20"/>
          <w:szCs w:val="20"/>
          <w:lang w:val="es-AR"/>
        </w:rPr>
      </w:pPr>
    </w:p>
    <w:p w:rsidR="00F039D8" w:rsidRDefault="00185EF1"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Pr>
          <w:rFonts w:ascii="Cambria" w:hAnsi="Cambria"/>
          <w:sz w:val="20"/>
          <w:szCs w:val="20"/>
          <w:lang w:val="es-AR"/>
        </w:rPr>
        <w:t xml:space="preserve">Según argumentaron </w:t>
      </w:r>
      <w:r w:rsidR="00F039D8" w:rsidRPr="00782D8B">
        <w:rPr>
          <w:rFonts w:ascii="Cambria" w:hAnsi="Cambria"/>
          <w:sz w:val="20"/>
          <w:szCs w:val="20"/>
          <w:lang w:val="es-AR"/>
        </w:rPr>
        <w:t>l</w:t>
      </w:r>
      <w:r>
        <w:rPr>
          <w:rFonts w:ascii="Cambria" w:hAnsi="Cambria"/>
          <w:sz w:val="20"/>
          <w:szCs w:val="20"/>
          <w:lang w:val="es-AR"/>
        </w:rPr>
        <w:t>os</w:t>
      </w:r>
      <w:r w:rsidR="00F039D8" w:rsidRPr="00782D8B">
        <w:rPr>
          <w:rFonts w:ascii="Cambria" w:hAnsi="Cambria"/>
          <w:sz w:val="20"/>
          <w:szCs w:val="20"/>
          <w:lang w:val="es-AR"/>
        </w:rPr>
        <w:t xml:space="preserve"> peticionario</w:t>
      </w:r>
      <w:r>
        <w:rPr>
          <w:rFonts w:ascii="Cambria" w:hAnsi="Cambria"/>
          <w:sz w:val="20"/>
          <w:szCs w:val="20"/>
          <w:lang w:val="es-AR"/>
        </w:rPr>
        <w:t>s</w:t>
      </w:r>
      <w:r w:rsidR="00F039D8" w:rsidRPr="00782D8B">
        <w:rPr>
          <w:rFonts w:ascii="Cambria" w:hAnsi="Cambria"/>
          <w:sz w:val="20"/>
          <w:szCs w:val="20"/>
          <w:lang w:val="es-AR"/>
        </w:rPr>
        <w:t>, la presunta víctima nunca fue notificada de dicha acusación</w:t>
      </w:r>
      <w:r w:rsidR="00F039D8" w:rsidRPr="00592E4F">
        <w:rPr>
          <w:rStyle w:val="FootnoteReference"/>
          <w:rFonts w:ascii="Cambria" w:hAnsi="Cambria"/>
          <w:sz w:val="20"/>
          <w:szCs w:val="20"/>
          <w:lang w:val="es-AR"/>
        </w:rPr>
        <w:footnoteReference w:id="40"/>
      </w:r>
      <w:r w:rsidR="00F039D8" w:rsidRPr="00782D8B">
        <w:rPr>
          <w:rFonts w:ascii="Cambria" w:hAnsi="Cambria"/>
          <w:sz w:val="20"/>
          <w:szCs w:val="20"/>
          <w:lang w:val="es-AR"/>
        </w:rPr>
        <w:t>. Por su parte</w:t>
      </w:r>
      <w:r w:rsidR="00F039D8">
        <w:rPr>
          <w:rFonts w:ascii="Cambria" w:hAnsi="Cambria"/>
          <w:sz w:val="20"/>
          <w:szCs w:val="20"/>
          <w:lang w:val="es-AR"/>
        </w:rPr>
        <w:t>,</w:t>
      </w:r>
      <w:r w:rsidR="00F039D8" w:rsidRPr="00782D8B">
        <w:rPr>
          <w:rFonts w:ascii="Cambria" w:hAnsi="Cambria"/>
          <w:sz w:val="20"/>
          <w:szCs w:val="20"/>
          <w:lang w:val="es-AR"/>
        </w:rPr>
        <w:t xml:space="preserve"> el Estado indicó que no tenía ningún acuse de recibo o cargo de notificación para comprobar la entrega de la notificación a la presunta víctima</w:t>
      </w:r>
      <w:r w:rsidR="00F039D8">
        <w:rPr>
          <w:rFonts w:ascii="Cambria" w:hAnsi="Cambria"/>
          <w:sz w:val="20"/>
          <w:szCs w:val="20"/>
          <w:lang w:val="es-AR"/>
        </w:rPr>
        <w:t>,</w:t>
      </w:r>
      <w:r>
        <w:rPr>
          <w:rFonts w:ascii="Cambria" w:hAnsi="Cambria"/>
          <w:sz w:val="20"/>
          <w:szCs w:val="20"/>
          <w:lang w:val="es-AR"/>
        </w:rPr>
        <w:t xml:space="preserve"> pero sí</w:t>
      </w:r>
      <w:r w:rsidR="00F039D8" w:rsidRPr="00782D8B">
        <w:rPr>
          <w:rFonts w:ascii="Cambria" w:hAnsi="Cambria"/>
          <w:sz w:val="20"/>
          <w:szCs w:val="20"/>
          <w:lang w:val="es-AR"/>
        </w:rPr>
        <w:t xml:space="preserve"> una resolución que ordena notificar a las partes dicha decisión</w:t>
      </w:r>
      <w:r w:rsidR="00F039D8" w:rsidRPr="00592E4F">
        <w:rPr>
          <w:rStyle w:val="FootnoteReference"/>
          <w:rFonts w:ascii="Cambria" w:hAnsi="Cambria"/>
          <w:sz w:val="20"/>
          <w:szCs w:val="20"/>
          <w:lang w:val="es-AR"/>
        </w:rPr>
        <w:footnoteReference w:id="41"/>
      </w:r>
      <w:r w:rsidR="00F039D8" w:rsidRPr="00782D8B">
        <w:rPr>
          <w:rFonts w:ascii="Cambria" w:hAnsi="Cambria"/>
          <w:sz w:val="20"/>
          <w:szCs w:val="20"/>
          <w:lang w:val="es-AR"/>
        </w:rPr>
        <w:t xml:space="preserve">. </w:t>
      </w:r>
    </w:p>
    <w:p w:rsidR="00F039D8" w:rsidRPr="004F0EB9"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sidRPr="00D173A1">
        <w:rPr>
          <w:rFonts w:ascii="Cambria" w:hAnsi="Cambria"/>
          <w:sz w:val="20"/>
          <w:szCs w:val="20"/>
          <w:lang w:val="es-AR"/>
        </w:rPr>
        <w:t>El 4 de diciembre de 1995 el Presidente del Consejo de Guerra Permanente de la 5ta Zona Judicial del Ejército designó a un defensor de oficio para asumir la defensa de la presunta víctima</w:t>
      </w:r>
      <w:r w:rsidRPr="001A1424">
        <w:rPr>
          <w:rStyle w:val="FootnoteReference"/>
          <w:rFonts w:ascii="Cambria" w:hAnsi="Cambria"/>
          <w:sz w:val="20"/>
          <w:szCs w:val="20"/>
          <w:lang w:val="es-AR"/>
        </w:rPr>
        <w:footnoteReference w:id="42"/>
      </w:r>
      <w:r w:rsidRPr="00D173A1">
        <w:rPr>
          <w:rFonts w:ascii="Cambria" w:hAnsi="Cambria"/>
          <w:sz w:val="20"/>
          <w:szCs w:val="20"/>
          <w:lang w:val="es-AR"/>
        </w:rPr>
        <w:t xml:space="preserve">. </w:t>
      </w:r>
    </w:p>
    <w:p w:rsidR="00F039D8" w:rsidRPr="00FC0005"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F039D8" w:rsidRPr="0005691F" w:rsidRDefault="001F34D2"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Pr>
          <w:rFonts w:ascii="Cambria" w:hAnsi="Cambria"/>
          <w:sz w:val="20"/>
          <w:szCs w:val="20"/>
          <w:lang w:val="es-VE"/>
        </w:rPr>
        <w:t>Dicha</w:t>
      </w:r>
      <w:r w:rsidR="00F039D8" w:rsidRPr="00353786">
        <w:rPr>
          <w:rFonts w:ascii="Cambria" w:hAnsi="Cambria"/>
          <w:sz w:val="20"/>
          <w:szCs w:val="20"/>
          <w:lang w:val="es-VE"/>
        </w:rPr>
        <w:t xml:space="preserve"> defensa presentó su </w:t>
      </w:r>
      <w:r w:rsidR="00F039D8">
        <w:rPr>
          <w:rFonts w:ascii="Cambria" w:hAnsi="Cambria"/>
          <w:sz w:val="20"/>
          <w:szCs w:val="20"/>
          <w:lang w:val="es-VE"/>
        </w:rPr>
        <w:t>alegato escrito</w:t>
      </w:r>
      <w:r>
        <w:rPr>
          <w:rFonts w:ascii="Cambria" w:hAnsi="Cambria"/>
          <w:sz w:val="20"/>
          <w:szCs w:val="20"/>
          <w:lang w:val="es-VE"/>
        </w:rPr>
        <w:t xml:space="preserve"> el 18 de diciembre de 1995</w:t>
      </w:r>
      <w:r w:rsidR="00F039D8">
        <w:rPr>
          <w:rFonts w:ascii="Cambria" w:hAnsi="Cambria"/>
          <w:sz w:val="20"/>
          <w:szCs w:val="20"/>
          <w:lang w:val="es-VE"/>
        </w:rPr>
        <w:t xml:space="preserve">, solicitando la absolución </w:t>
      </w:r>
      <w:r w:rsidR="00F039D8" w:rsidRPr="00353786">
        <w:rPr>
          <w:rFonts w:ascii="Cambria" w:hAnsi="Cambria"/>
          <w:sz w:val="20"/>
          <w:szCs w:val="20"/>
          <w:lang w:val="es-VE"/>
        </w:rPr>
        <w:t xml:space="preserve">de </w:t>
      </w:r>
      <w:r w:rsidR="00F039D8">
        <w:rPr>
          <w:rFonts w:ascii="Cambria" w:hAnsi="Cambria"/>
          <w:sz w:val="20"/>
          <w:szCs w:val="20"/>
          <w:lang w:val="es-VE"/>
        </w:rPr>
        <w:t xml:space="preserve">la presunta víctima. Alegó que </w:t>
      </w:r>
      <w:r w:rsidR="00F039D8" w:rsidRPr="00353786">
        <w:rPr>
          <w:rFonts w:ascii="Cambria" w:hAnsi="Cambria"/>
          <w:sz w:val="20"/>
          <w:szCs w:val="20"/>
          <w:lang w:val="es-VE"/>
        </w:rPr>
        <w:t>su patrocinado reconoce haber autorizado tres vuelos de narcotraficantes y repartido el dinero recibido de dichos vuelos de acuerdo con lo dispuesto por el Coronel Murg</w:t>
      </w:r>
      <w:r>
        <w:rPr>
          <w:rFonts w:ascii="Cambria" w:hAnsi="Cambria"/>
          <w:sz w:val="20"/>
          <w:szCs w:val="20"/>
          <w:lang w:val="es-VE"/>
        </w:rPr>
        <w:t>u</w:t>
      </w:r>
      <w:r w:rsidR="00F039D8" w:rsidRPr="00353786">
        <w:rPr>
          <w:rFonts w:ascii="Cambria" w:hAnsi="Cambria"/>
          <w:sz w:val="20"/>
          <w:szCs w:val="20"/>
          <w:lang w:val="es-VE"/>
        </w:rPr>
        <w:t>eyti</w:t>
      </w:r>
      <w:r w:rsidR="00F039D8">
        <w:rPr>
          <w:rFonts w:ascii="Cambria" w:hAnsi="Cambria"/>
          <w:sz w:val="20"/>
          <w:szCs w:val="20"/>
          <w:lang w:val="es-VE"/>
        </w:rPr>
        <w:t>o</w:t>
      </w:r>
      <w:r w:rsidR="00F039D8" w:rsidRPr="00353786">
        <w:rPr>
          <w:rFonts w:ascii="Cambria" w:hAnsi="Cambria"/>
          <w:sz w:val="20"/>
          <w:szCs w:val="20"/>
          <w:lang w:val="es-VE"/>
        </w:rPr>
        <w:t xml:space="preserve"> y que hizo constar la entrega en un acta</w:t>
      </w:r>
      <w:r w:rsidR="00F039D8" w:rsidRPr="00E55180">
        <w:rPr>
          <w:rFonts w:ascii="Cambria" w:hAnsi="Cambria"/>
          <w:sz w:val="20"/>
          <w:szCs w:val="20"/>
          <w:lang w:val="es-VE"/>
        </w:rPr>
        <w:t>. Indicó que “se le está juzgando porque supuestamente se haya apropiado con más dinero de lo declarado en el Acta, sin existir p</w:t>
      </w:r>
      <w:r w:rsidR="00F039D8">
        <w:rPr>
          <w:rFonts w:ascii="Cambria" w:hAnsi="Cambria"/>
          <w:sz w:val="20"/>
          <w:szCs w:val="20"/>
          <w:lang w:val="es-VE"/>
        </w:rPr>
        <w:t>rueba</w:t>
      </w:r>
      <w:r w:rsidR="00F039D8" w:rsidRPr="00E55180">
        <w:rPr>
          <w:rFonts w:ascii="Cambria" w:hAnsi="Cambria"/>
          <w:sz w:val="20"/>
          <w:szCs w:val="20"/>
          <w:lang w:val="es-VE"/>
        </w:rPr>
        <w:t xml:space="preserve"> alguna</w:t>
      </w:r>
      <w:r w:rsidR="00F039D8">
        <w:rPr>
          <w:rFonts w:ascii="Cambria" w:hAnsi="Cambria"/>
          <w:sz w:val="20"/>
          <w:szCs w:val="20"/>
          <w:lang w:val="es-VE"/>
        </w:rPr>
        <w:t>”</w:t>
      </w:r>
      <w:r w:rsidR="00F039D8" w:rsidRPr="00E55180">
        <w:rPr>
          <w:rStyle w:val="FootnoteReference"/>
          <w:rFonts w:ascii="Cambria" w:hAnsi="Cambria"/>
          <w:sz w:val="20"/>
          <w:szCs w:val="20"/>
          <w:lang w:val="es-VE"/>
        </w:rPr>
        <w:footnoteReference w:id="43"/>
      </w:r>
      <w:r w:rsidR="00F039D8" w:rsidRPr="00E55180">
        <w:rPr>
          <w:sz w:val="20"/>
          <w:szCs w:val="20"/>
          <w:lang w:val="es-VE"/>
        </w:rPr>
        <w:t>.</w:t>
      </w:r>
    </w:p>
    <w:p w:rsidR="00F039D8" w:rsidRPr="00337E15" w:rsidRDefault="00F039D8" w:rsidP="00F039D8">
      <w:pPr>
        <w:tabs>
          <w:tab w:val="left" w:pos="1440"/>
        </w:tabs>
        <w:jc w:val="both"/>
        <w:rPr>
          <w:rFonts w:ascii="Cambria" w:hAnsi="Cambria"/>
          <w:b/>
          <w:sz w:val="20"/>
          <w:szCs w:val="20"/>
          <w:lang w:val="es-AR"/>
        </w:rPr>
      </w:pPr>
    </w:p>
    <w:p w:rsidR="00F039D8" w:rsidRPr="00337E15" w:rsidRDefault="00F039D8" w:rsidP="00F039D8">
      <w:pPr>
        <w:pStyle w:val="ListParagraph"/>
        <w:numPr>
          <w:ilvl w:val="1"/>
          <w:numId w:val="55"/>
        </w:numPr>
        <w:tabs>
          <w:tab w:val="clear" w:pos="1800"/>
          <w:tab w:val="num" w:pos="720"/>
          <w:tab w:val="left" w:pos="1440"/>
        </w:tabs>
        <w:ind w:left="720" w:firstLine="0"/>
        <w:jc w:val="both"/>
        <w:rPr>
          <w:b/>
          <w:sz w:val="20"/>
          <w:szCs w:val="20"/>
          <w:lang w:val="es-AR"/>
        </w:rPr>
      </w:pPr>
      <w:r w:rsidRPr="00337E15">
        <w:rPr>
          <w:b/>
          <w:sz w:val="20"/>
          <w:szCs w:val="20"/>
          <w:lang w:val="es-AR"/>
        </w:rPr>
        <w:t xml:space="preserve">Sentencia condenatoria </w:t>
      </w:r>
    </w:p>
    <w:p w:rsidR="00F039D8" w:rsidRPr="0005691F" w:rsidRDefault="00F039D8" w:rsidP="00F039D8">
      <w:pPr>
        <w:tabs>
          <w:tab w:val="left" w:pos="1440"/>
        </w:tabs>
        <w:jc w:val="both"/>
        <w:rPr>
          <w:rFonts w:ascii="Cambria" w:hAnsi="Cambria"/>
          <w:sz w:val="20"/>
          <w:szCs w:val="20"/>
          <w:lang w:val="es-AR"/>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Pr>
          <w:rFonts w:ascii="Cambria" w:hAnsi="Cambria"/>
          <w:sz w:val="20"/>
          <w:szCs w:val="20"/>
          <w:lang w:val="es-AR"/>
        </w:rPr>
        <w:t xml:space="preserve">El 29 de noviembre de 1996 se llevó a cabo la audiencia pública del caso ante el Consejo de Guerra Permanente de la Sexta Zona Judicial del Ejército por el delito “Contra el Deber y Dignidad de la Función, con las agravantes de Falsedad, Negligencia y Abuso de Autoridad”. Dicha audiencia se llevó a cabo en relación con la presunta víctima y otras dos personas, pero únicamente consta que compareció una persona como defensor de oficio, </w:t>
      </w:r>
      <w:r w:rsidRPr="00693F9B">
        <w:rPr>
          <w:rFonts w:ascii="Cambria" w:hAnsi="Cambria"/>
          <w:sz w:val="20"/>
          <w:szCs w:val="20"/>
          <w:lang w:val="es-AR"/>
        </w:rPr>
        <w:t>el Capitán del Servicio Jurídico del Ejército Fernando Morales Cabala</w:t>
      </w:r>
      <w:r>
        <w:rPr>
          <w:rFonts w:ascii="Cambria" w:hAnsi="Cambria"/>
          <w:sz w:val="20"/>
          <w:szCs w:val="20"/>
          <w:lang w:val="es-AR"/>
        </w:rPr>
        <w:t>, sin que se identifique a quien o quienes representó dicha persona</w:t>
      </w:r>
      <w:r w:rsidRPr="00B26EA8">
        <w:rPr>
          <w:rStyle w:val="FootnoteReference"/>
          <w:rFonts w:asciiTheme="majorHAnsi" w:hAnsiTheme="majorHAnsi"/>
          <w:sz w:val="20"/>
          <w:szCs w:val="20"/>
          <w:lang w:val="es-AR"/>
        </w:rPr>
        <w:footnoteReference w:id="44"/>
      </w:r>
      <w:r>
        <w:rPr>
          <w:rFonts w:ascii="Cambria" w:hAnsi="Cambria"/>
          <w:sz w:val="20"/>
          <w:szCs w:val="20"/>
          <w:lang w:val="es-AR"/>
        </w:rPr>
        <w:t xml:space="preserve">. </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rsidR="00F039D8" w:rsidRPr="00693F9B"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Pr>
          <w:rFonts w:ascii="Cambria" w:hAnsi="Cambria"/>
          <w:sz w:val="20"/>
          <w:szCs w:val="20"/>
          <w:lang w:val="es-AR"/>
        </w:rPr>
        <w:t>Consta al final del acta de audiencia, que el defensor de oficio indicó que “estaba conforme con la sentencia por encontrarse arreglada a ley, por lo que no presentó recurso de apelación”</w:t>
      </w:r>
      <w:r w:rsidRPr="00B26EA8">
        <w:rPr>
          <w:rStyle w:val="FootnoteReference"/>
          <w:rFonts w:asciiTheme="majorHAnsi" w:hAnsiTheme="majorHAnsi"/>
          <w:sz w:val="20"/>
          <w:szCs w:val="20"/>
          <w:lang w:val="es-AR"/>
        </w:rPr>
        <w:footnoteReference w:id="45"/>
      </w:r>
      <w:r>
        <w:rPr>
          <w:rFonts w:ascii="Cambria" w:hAnsi="Cambria"/>
          <w:sz w:val="20"/>
          <w:szCs w:val="20"/>
          <w:lang w:val="es-AR"/>
        </w:rPr>
        <w:t xml:space="preserve">. </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rsidR="00F039D8" w:rsidRPr="001F34D2" w:rsidRDefault="00F039D8" w:rsidP="001F34D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Pr>
          <w:rFonts w:ascii="Cambria" w:hAnsi="Cambria"/>
          <w:sz w:val="20"/>
          <w:szCs w:val="20"/>
          <w:lang w:val="es-AR"/>
        </w:rPr>
        <w:t>En la misma fecha</w:t>
      </w:r>
      <w:r w:rsidRPr="00E67768">
        <w:rPr>
          <w:rFonts w:ascii="Cambria" w:hAnsi="Cambria"/>
          <w:sz w:val="20"/>
          <w:szCs w:val="20"/>
          <w:lang w:val="es-VE"/>
        </w:rPr>
        <w:t xml:space="preserve"> el Consejo de Guerra Permanente de la Sexta Zona Judicial del Ejército condenó a la presunta víctima a la pena de 16 meses de prisión por la comisión del delito de negligencia. </w:t>
      </w:r>
      <w:r w:rsidRPr="001F34D2">
        <w:rPr>
          <w:rFonts w:ascii="Cambria" w:hAnsi="Cambria"/>
          <w:sz w:val="20"/>
          <w:szCs w:val="20"/>
          <w:lang w:val="es-VE"/>
        </w:rPr>
        <w:t>Al respecto, consideró que la presunta víctima “actuó de manera negligente, incumpliendo la misión para la que fue designado, descuidando el control sobre su personal, particularmente de tropa, no dando cuenta oportunamente a su Comando de las actividades que realizaba (…)”</w:t>
      </w:r>
      <w:r w:rsidRPr="00E55180">
        <w:rPr>
          <w:rStyle w:val="FootnoteReference"/>
          <w:rFonts w:ascii="Cambria" w:hAnsi="Cambria"/>
          <w:sz w:val="20"/>
          <w:szCs w:val="20"/>
          <w:lang w:val="es-VE"/>
        </w:rPr>
        <w:footnoteReference w:id="46"/>
      </w:r>
      <w:r w:rsidRPr="001F34D2">
        <w:rPr>
          <w:rFonts w:ascii="Cambria" w:hAnsi="Cambria"/>
          <w:sz w:val="20"/>
          <w:szCs w:val="20"/>
          <w:lang w:val="es-VE"/>
        </w:rPr>
        <w:t xml:space="preserve">. </w:t>
      </w:r>
    </w:p>
    <w:p w:rsidR="00F039D8" w:rsidRDefault="00F039D8" w:rsidP="00F039D8">
      <w:pPr>
        <w:pStyle w:val="ListParagraph"/>
        <w:rPr>
          <w:sz w:val="20"/>
          <w:szCs w:val="20"/>
          <w:lang w:val="es-VE"/>
        </w:rPr>
      </w:pPr>
    </w:p>
    <w:p w:rsidR="00F039D8" w:rsidRPr="00337E15"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sidRPr="00353786">
        <w:rPr>
          <w:rFonts w:ascii="Cambria" w:hAnsi="Cambria"/>
          <w:sz w:val="20"/>
          <w:szCs w:val="20"/>
          <w:lang w:val="es-VE"/>
        </w:rPr>
        <w:t>Con posterioridad el Fiscal del Consejo de Justicia Militar interpuso un recurso de apelación en contra de dicha sentencia</w:t>
      </w:r>
      <w:r w:rsidRPr="00E93074">
        <w:rPr>
          <w:rStyle w:val="FootnoteReference"/>
          <w:rFonts w:ascii="Cambria" w:hAnsi="Cambria"/>
          <w:sz w:val="20"/>
          <w:szCs w:val="20"/>
          <w:lang w:val="es-VE"/>
        </w:rPr>
        <w:footnoteReference w:id="47"/>
      </w:r>
      <w:r w:rsidRPr="00353786">
        <w:rPr>
          <w:rFonts w:ascii="Cambria" w:hAnsi="Cambria"/>
          <w:sz w:val="20"/>
          <w:szCs w:val="20"/>
          <w:lang w:val="es-VE"/>
        </w:rPr>
        <w:t xml:space="preserve">. </w:t>
      </w:r>
    </w:p>
    <w:p w:rsidR="00F039D8" w:rsidRPr="00E55180"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F039D8" w:rsidRPr="00337E15" w:rsidRDefault="00F039D8" w:rsidP="00F039D8">
      <w:pPr>
        <w:pStyle w:val="ListParagraph"/>
        <w:numPr>
          <w:ilvl w:val="1"/>
          <w:numId w:val="55"/>
        </w:numPr>
        <w:tabs>
          <w:tab w:val="clear" w:pos="1800"/>
          <w:tab w:val="num" w:pos="720"/>
          <w:tab w:val="left" w:pos="1440"/>
        </w:tabs>
        <w:ind w:left="720" w:firstLine="0"/>
        <w:jc w:val="both"/>
        <w:rPr>
          <w:b/>
          <w:sz w:val="20"/>
          <w:szCs w:val="20"/>
          <w:lang w:val="es-AR"/>
        </w:rPr>
      </w:pPr>
      <w:r w:rsidRPr="00337E15">
        <w:rPr>
          <w:b/>
          <w:sz w:val="20"/>
          <w:szCs w:val="20"/>
          <w:lang w:val="es-AR"/>
        </w:rPr>
        <w:t xml:space="preserve">Nulidad y nueva sentencia condenatoria </w:t>
      </w:r>
    </w:p>
    <w:p w:rsidR="00F039D8" w:rsidRPr="00962A16"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AR"/>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sidRPr="00353786">
        <w:rPr>
          <w:rFonts w:ascii="Cambria" w:hAnsi="Cambria"/>
          <w:sz w:val="20"/>
          <w:szCs w:val="20"/>
          <w:lang w:val="es-VE"/>
        </w:rPr>
        <w:t xml:space="preserve">El 16 de septiembre de 1997 el Consejo Supremo de Justicia Militar declaró nula la sentencia referida con anterioridad y recomendó al órgano correspondiente tener presente al emitir la nueva sentencia que </w:t>
      </w:r>
      <w:r w:rsidRPr="00E55180">
        <w:rPr>
          <w:rFonts w:ascii="Cambria" w:hAnsi="Cambria"/>
          <w:sz w:val="20"/>
          <w:szCs w:val="20"/>
          <w:lang w:val="es-VE"/>
        </w:rPr>
        <w:t>“(…) ROSADIO VILLAVICENCIO habría incurrido en la comisión del delito de Desobediencia” y llamaron la atención de los miembros del Tribunal Inferior “(…) por no cumplir con sus atribuciones conforme ordena la ley”</w:t>
      </w:r>
      <w:r w:rsidRPr="00E55180">
        <w:rPr>
          <w:rStyle w:val="FootnoteReference"/>
          <w:rFonts w:ascii="Cambria" w:hAnsi="Cambria"/>
          <w:sz w:val="20"/>
          <w:szCs w:val="20"/>
          <w:lang w:val="es-VE"/>
        </w:rPr>
        <w:footnoteReference w:id="48"/>
      </w:r>
      <w:r w:rsidRPr="00E55180">
        <w:rPr>
          <w:rFonts w:ascii="Cambria" w:hAnsi="Cambria"/>
          <w:sz w:val="20"/>
          <w:szCs w:val="20"/>
          <w:lang w:val="es-VE"/>
        </w:rPr>
        <w:t>.</w:t>
      </w:r>
    </w:p>
    <w:p w:rsidR="00F039D8" w:rsidRPr="00A46D04"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AR"/>
        </w:rPr>
      </w:pPr>
    </w:p>
    <w:p w:rsidR="00F039D8" w:rsidRPr="001F34D2" w:rsidRDefault="00F039D8" w:rsidP="001F34D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Pr>
          <w:rFonts w:ascii="Cambria" w:hAnsi="Cambria"/>
          <w:sz w:val="20"/>
          <w:szCs w:val="20"/>
          <w:lang w:val="es-AR"/>
        </w:rPr>
        <w:t xml:space="preserve">El 15 de diciembre de 1997 se celebró una nueva audiencia pública de juzgamiento de la presunta víctima y otras dos personas, en la que únicamente compareció la presunta víctima. Consta que compareció como defensor de oficio, Fernando Morales </w:t>
      </w:r>
      <w:proofErr w:type="spellStart"/>
      <w:r>
        <w:rPr>
          <w:rFonts w:ascii="Cambria" w:hAnsi="Cambria"/>
          <w:sz w:val="20"/>
          <w:szCs w:val="20"/>
          <w:lang w:val="es-AR"/>
        </w:rPr>
        <w:t>Cabala</w:t>
      </w:r>
      <w:proofErr w:type="spellEnd"/>
      <w:r w:rsidRPr="00FD54AD">
        <w:rPr>
          <w:rStyle w:val="FootnoteReference"/>
          <w:rFonts w:asciiTheme="majorHAnsi" w:hAnsiTheme="majorHAnsi"/>
          <w:sz w:val="20"/>
          <w:szCs w:val="20"/>
          <w:lang w:val="es-AR"/>
        </w:rPr>
        <w:footnoteReference w:id="49"/>
      </w:r>
      <w:r>
        <w:rPr>
          <w:rFonts w:ascii="Cambria" w:hAnsi="Cambria"/>
          <w:sz w:val="20"/>
          <w:szCs w:val="20"/>
          <w:lang w:val="es-AR"/>
        </w:rPr>
        <w:t>.</w:t>
      </w:r>
      <w:r w:rsidR="001F34D2">
        <w:rPr>
          <w:rFonts w:ascii="Cambria" w:hAnsi="Cambria"/>
          <w:sz w:val="20"/>
          <w:szCs w:val="20"/>
          <w:lang w:val="es-AR"/>
        </w:rPr>
        <w:t xml:space="preserve"> </w:t>
      </w:r>
      <w:r w:rsidRPr="001F34D2">
        <w:rPr>
          <w:rFonts w:ascii="Cambria" w:hAnsi="Cambria"/>
          <w:sz w:val="20"/>
          <w:szCs w:val="20"/>
          <w:lang w:val="es-VE"/>
        </w:rPr>
        <w:t xml:space="preserve">En la misma fecha, el Consejo de Guerra Permanente de la Sexta Zona Judicial del Ejército condenó a la presunta víctima a la pena de 28 meses de prisión por el delito de desobediencia. </w:t>
      </w:r>
    </w:p>
    <w:p w:rsidR="00F039D8" w:rsidRDefault="00F039D8" w:rsidP="00F039D8">
      <w:pPr>
        <w:pStyle w:val="ListParagraph"/>
        <w:rPr>
          <w:sz w:val="20"/>
          <w:szCs w:val="20"/>
          <w:lang w:val="es-VE"/>
        </w:rPr>
      </w:pPr>
    </w:p>
    <w:p w:rsidR="00F039D8" w:rsidRPr="00E55180"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sidRPr="00353786">
        <w:rPr>
          <w:rFonts w:ascii="Cambria" w:hAnsi="Cambria"/>
          <w:sz w:val="20"/>
          <w:szCs w:val="20"/>
          <w:lang w:val="es-VE"/>
        </w:rPr>
        <w:t>En dicha decisión</w:t>
      </w:r>
      <w:r w:rsidR="00064FBC">
        <w:rPr>
          <w:rFonts w:ascii="Cambria" w:hAnsi="Cambria"/>
          <w:sz w:val="20"/>
          <w:szCs w:val="20"/>
          <w:lang w:val="es-VE"/>
        </w:rPr>
        <w:t>,</w:t>
      </w:r>
      <w:r w:rsidRPr="00353786">
        <w:rPr>
          <w:rFonts w:ascii="Cambria" w:hAnsi="Cambria"/>
          <w:sz w:val="20"/>
          <w:szCs w:val="20"/>
          <w:lang w:val="es-VE"/>
        </w:rPr>
        <w:t xml:space="preserve"> refirió que los hechos cometidos por la presunta víctima </w:t>
      </w:r>
      <w:r w:rsidRPr="00E55180">
        <w:rPr>
          <w:rFonts w:ascii="Cambria" w:hAnsi="Cambria"/>
          <w:sz w:val="20"/>
          <w:szCs w:val="20"/>
          <w:lang w:val="es-VE"/>
        </w:rPr>
        <w:t xml:space="preserve">“están encuadrados dentro del delito de tráfico ilícito de drogas, causa que se ventila en el Juzgado Especializado Penal de </w:t>
      </w:r>
      <w:proofErr w:type="spellStart"/>
      <w:r w:rsidRPr="00E55180">
        <w:rPr>
          <w:rFonts w:ascii="Cambria" w:hAnsi="Cambria"/>
          <w:sz w:val="20"/>
          <w:szCs w:val="20"/>
          <w:lang w:val="es-VE"/>
        </w:rPr>
        <w:t>Juanjui</w:t>
      </w:r>
      <w:proofErr w:type="spellEnd"/>
      <w:r w:rsidRPr="00E55180">
        <w:rPr>
          <w:rFonts w:ascii="Cambria" w:hAnsi="Cambria"/>
          <w:sz w:val="20"/>
          <w:szCs w:val="20"/>
          <w:lang w:val="es-VE"/>
        </w:rPr>
        <w:t xml:space="preserve">, especialmente lo que se refiere a los vuelos de avionetas que transportaban droga, y estos hechos fueron impropiamente tipificadas (sic) en el Auto </w:t>
      </w:r>
      <w:proofErr w:type="spellStart"/>
      <w:r w:rsidRPr="00E55180">
        <w:rPr>
          <w:rFonts w:ascii="Cambria" w:hAnsi="Cambria"/>
          <w:sz w:val="20"/>
          <w:szCs w:val="20"/>
          <w:lang w:val="es-VE"/>
        </w:rPr>
        <w:t>Apertorio</w:t>
      </w:r>
      <w:proofErr w:type="spellEnd"/>
      <w:r w:rsidRPr="00E55180">
        <w:rPr>
          <w:rFonts w:ascii="Cambria" w:hAnsi="Cambria"/>
          <w:sz w:val="20"/>
          <w:szCs w:val="20"/>
          <w:lang w:val="es-VE"/>
        </w:rPr>
        <w:t xml:space="preserve"> de fojas dieciséis como delito contra el</w:t>
      </w:r>
      <w:r>
        <w:rPr>
          <w:rFonts w:ascii="Cambria" w:hAnsi="Cambria"/>
          <w:sz w:val="20"/>
          <w:szCs w:val="20"/>
          <w:lang w:val="es-VE"/>
        </w:rPr>
        <w:t xml:space="preserve"> Deber y Dignidad de la Función, con las agravantes de Falsedad, Negligencia, Abuso de Autoridad </w:t>
      </w:r>
      <w:r w:rsidRPr="00E55180">
        <w:rPr>
          <w:rFonts w:ascii="Cambria" w:hAnsi="Cambria"/>
          <w:sz w:val="20"/>
          <w:szCs w:val="20"/>
          <w:lang w:val="es-VE"/>
        </w:rPr>
        <w:t xml:space="preserve">por lo que de conformidad a los dispuesto en el inciso e) del Artículo seiscientos dieciséis del Código de Justicia Militar, y haciendo la debida calificación de los hechos, estos constituyen la comisión del delito de Desobediencia, previsto y penado en el Artículo ciento </w:t>
      </w:r>
      <w:proofErr w:type="spellStart"/>
      <w:r w:rsidRPr="00E55180">
        <w:rPr>
          <w:rFonts w:ascii="Cambria" w:hAnsi="Cambria"/>
          <w:sz w:val="20"/>
          <w:szCs w:val="20"/>
          <w:lang w:val="es-VE"/>
        </w:rPr>
        <w:t>cincuentinueve</w:t>
      </w:r>
      <w:proofErr w:type="spellEnd"/>
      <w:r w:rsidRPr="00E55180">
        <w:rPr>
          <w:rFonts w:ascii="Cambria" w:hAnsi="Cambria"/>
          <w:sz w:val="20"/>
          <w:szCs w:val="20"/>
          <w:lang w:val="es-VE"/>
        </w:rPr>
        <w:t xml:space="preserve"> del Código de Justicia Militar, por no dar cumplimiento a disposiciones emanadas del Comando para el personal militar</w:t>
      </w:r>
      <w:r>
        <w:rPr>
          <w:rFonts w:ascii="Cambria" w:hAnsi="Cambria"/>
          <w:sz w:val="20"/>
          <w:szCs w:val="20"/>
          <w:lang w:val="es-VE"/>
        </w:rPr>
        <w:t xml:space="preserve"> que prestaron servicios en estas zonas de Emergencia</w:t>
      </w:r>
      <w:r w:rsidRPr="00E55180">
        <w:rPr>
          <w:rFonts w:ascii="Cambria" w:hAnsi="Cambria"/>
          <w:sz w:val="20"/>
          <w:szCs w:val="20"/>
          <w:lang w:val="es-VE"/>
        </w:rPr>
        <w:t>”</w:t>
      </w:r>
      <w:r w:rsidRPr="00E55180">
        <w:rPr>
          <w:rStyle w:val="FootnoteReference"/>
          <w:rFonts w:ascii="Cambria" w:hAnsi="Cambria"/>
          <w:sz w:val="20"/>
          <w:szCs w:val="20"/>
          <w:lang w:val="es-VE"/>
        </w:rPr>
        <w:footnoteReference w:id="50"/>
      </w:r>
      <w:r w:rsidRPr="00E55180">
        <w:rPr>
          <w:rFonts w:ascii="Cambria" w:hAnsi="Cambria"/>
          <w:sz w:val="20"/>
          <w:szCs w:val="20"/>
          <w:lang w:val="es-VE"/>
        </w:rPr>
        <w:t>.</w:t>
      </w:r>
    </w:p>
    <w:p w:rsidR="00F039D8" w:rsidRDefault="00F039D8" w:rsidP="00F039D8">
      <w:pPr>
        <w:pStyle w:val="ListParagraph"/>
        <w:rPr>
          <w:sz w:val="20"/>
          <w:szCs w:val="20"/>
          <w:lang w:val="es-VE"/>
        </w:rPr>
      </w:pPr>
    </w:p>
    <w:p w:rsidR="00F039D8" w:rsidRPr="00F42A0E"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sidRPr="00512496">
        <w:rPr>
          <w:rFonts w:ascii="Cambria" w:hAnsi="Cambria"/>
          <w:sz w:val="20"/>
          <w:szCs w:val="20"/>
          <w:lang w:val="es-VE"/>
        </w:rPr>
        <w:t xml:space="preserve">Consideró que la presunta víctima </w:t>
      </w:r>
      <w:r w:rsidRPr="00E55180">
        <w:rPr>
          <w:rFonts w:ascii="Cambria" w:hAnsi="Cambria"/>
          <w:sz w:val="20"/>
          <w:szCs w:val="20"/>
          <w:lang w:val="es-VE"/>
        </w:rPr>
        <w:t>“actuó de manera negligente, incumpliendo la misión para la que fue designado, descuidando el control sobre su personal, particularmente de tropa, no dando cuenta oportunamente a su Comando de las actividades que realizaba (…)”</w:t>
      </w:r>
      <w:r w:rsidRPr="00E55180">
        <w:rPr>
          <w:rStyle w:val="FootnoteReference"/>
          <w:szCs w:val="20"/>
          <w:lang w:val="es-VE"/>
        </w:rPr>
        <w:t xml:space="preserve"> </w:t>
      </w:r>
      <w:r w:rsidRPr="00E55180">
        <w:rPr>
          <w:rStyle w:val="FootnoteReference"/>
          <w:rFonts w:ascii="Cambria" w:hAnsi="Cambria"/>
          <w:sz w:val="20"/>
          <w:szCs w:val="20"/>
          <w:lang w:val="es-VE"/>
        </w:rPr>
        <w:footnoteReference w:id="51"/>
      </w:r>
      <w:r w:rsidRPr="00E55180">
        <w:rPr>
          <w:rFonts w:ascii="Cambria" w:hAnsi="Cambria"/>
          <w:sz w:val="20"/>
          <w:szCs w:val="20"/>
          <w:lang w:val="es-VE"/>
        </w:rPr>
        <w:t>.</w:t>
      </w:r>
      <w:r w:rsidRPr="00512496">
        <w:rPr>
          <w:rFonts w:ascii="Cambria" w:hAnsi="Cambria"/>
          <w:sz w:val="20"/>
          <w:szCs w:val="20"/>
          <w:lang w:val="es-VE"/>
        </w:rPr>
        <w:t xml:space="preserve"> </w:t>
      </w:r>
    </w:p>
    <w:p w:rsidR="00F039D8" w:rsidRDefault="00F039D8" w:rsidP="00F039D8">
      <w:pPr>
        <w:pStyle w:val="ListParagraph"/>
        <w:rPr>
          <w:sz w:val="20"/>
          <w:szCs w:val="20"/>
          <w:lang w:val="es-AR"/>
        </w:rPr>
      </w:pPr>
    </w:p>
    <w:p w:rsidR="00F039D8" w:rsidRPr="00F42A0E" w:rsidRDefault="00F039D8" w:rsidP="00F039D8">
      <w:pPr>
        <w:pStyle w:val="ListParagraph"/>
        <w:numPr>
          <w:ilvl w:val="1"/>
          <w:numId w:val="55"/>
        </w:numPr>
        <w:tabs>
          <w:tab w:val="clear" w:pos="1800"/>
          <w:tab w:val="num" w:pos="720"/>
          <w:tab w:val="left" w:pos="1440"/>
        </w:tabs>
        <w:ind w:left="720" w:firstLine="0"/>
        <w:jc w:val="both"/>
        <w:rPr>
          <w:b/>
          <w:sz w:val="20"/>
          <w:szCs w:val="20"/>
          <w:lang w:val="es-AR"/>
        </w:rPr>
      </w:pPr>
      <w:r w:rsidRPr="00F42A0E">
        <w:rPr>
          <w:b/>
          <w:sz w:val="20"/>
          <w:szCs w:val="20"/>
          <w:lang w:val="es-AR"/>
        </w:rPr>
        <w:t xml:space="preserve">Recurso de revisión </w:t>
      </w:r>
    </w:p>
    <w:p w:rsidR="00F039D8" w:rsidRPr="00F42A0E" w:rsidRDefault="00F039D8" w:rsidP="00F039D8">
      <w:pPr>
        <w:rPr>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sidRPr="00512496">
        <w:rPr>
          <w:rFonts w:ascii="Cambria" w:hAnsi="Cambria"/>
          <w:sz w:val="20"/>
          <w:szCs w:val="20"/>
          <w:lang w:val="es-VE"/>
        </w:rPr>
        <w:t xml:space="preserve">Con posterioridad se interpuso un recurso de revisión en contra de dicha decisión. </w:t>
      </w:r>
    </w:p>
    <w:p w:rsidR="00F039D8" w:rsidRPr="001673AD" w:rsidRDefault="00F039D8" w:rsidP="00F039D8">
      <w:pPr>
        <w:tabs>
          <w:tab w:val="left" w:pos="1440"/>
        </w:tabs>
        <w:jc w:val="both"/>
        <w:rPr>
          <w:rFonts w:ascii="Cambria" w:hAnsi="Cambria"/>
          <w:sz w:val="20"/>
          <w:szCs w:val="20"/>
          <w:lang w:val="es-AR"/>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673AD">
        <w:rPr>
          <w:rFonts w:ascii="Cambria" w:hAnsi="Cambria"/>
          <w:sz w:val="20"/>
          <w:szCs w:val="20"/>
          <w:lang w:val="es-VE"/>
        </w:rPr>
        <w:t xml:space="preserve">El 30 de junio de 1998 el Consejo Supremo de Justicia Militar confirmó la sentencia del Consejo de Guerra Permanente de la Sexta Zona Judicial del Ejército y condenó a la presunta víctima </w:t>
      </w:r>
      <w:r w:rsidRPr="00E55180">
        <w:rPr>
          <w:rFonts w:ascii="Cambria" w:hAnsi="Cambria"/>
          <w:sz w:val="20"/>
          <w:szCs w:val="20"/>
          <w:lang w:val="es-VE"/>
        </w:rPr>
        <w:t>a “la pena de VEINTIOCHO MESES DE PRISIÓN EFECTIVA, que con descuento de la detención sufrida venció el ocho de diciembre de mil novecientos noventa y siete”</w:t>
      </w:r>
      <w:r>
        <w:rPr>
          <w:rFonts w:ascii="Cambria" w:hAnsi="Cambria"/>
          <w:sz w:val="20"/>
          <w:szCs w:val="20"/>
          <w:lang w:val="es-VE"/>
        </w:rPr>
        <w:t xml:space="preserve">. </w:t>
      </w:r>
      <w:r w:rsidRPr="00E55180">
        <w:rPr>
          <w:rFonts w:ascii="Cambria" w:hAnsi="Cambria"/>
          <w:sz w:val="20"/>
          <w:szCs w:val="20"/>
          <w:lang w:val="es-VE"/>
        </w:rPr>
        <w:t>Agregó que “la condena impuesta al procesado ROSADIO VILLAVICENCIO, por el delito de Desobediencia, es por una adecuada calificación de los hechos; AMPLIANDOLA ABSOLVIERON al Teniente de Inteligencia Ejército del Perú Jorge ROSADIO VILLAVICENCIO, de los delitos Contra el Deber y Dignidad de la Función, Falsedad, Negligencia y Abuso de Autoridad”</w:t>
      </w:r>
      <w:r w:rsidRPr="00E55180">
        <w:rPr>
          <w:rFonts w:ascii="Cambria" w:hAnsi="Cambria"/>
          <w:sz w:val="20"/>
          <w:vertAlign w:val="superscript"/>
          <w:lang w:val="es-VE"/>
        </w:rPr>
        <w:footnoteReference w:id="52"/>
      </w:r>
      <w:r w:rsidRPr="00E55180">
        <w:rPr>
          <w:rFonts w:ascii="Cambria" w:hAnsi="Cambria"/>
          <w:sz w:val="20"/>
          <w:szCs w:val="20"/>
          <w:lang w:val="es-VE"/>
        </w:rPr>
        <w:t xml:space="preserve"> </w:t>
      </w:r>
      <w:r w:rsidR="001F34D2">
        <w:rPr>
          <w:rFonts w:ascii="Cambria" w:hAnsi="Cambria"/>
          <w:sz w:val="20"/>
          <w:szCs w:val="20"/>
          <w:lang w:val="es-VE"/>
        </w:rPr>
        <w:t>.</w:t>
      </w:r>
    </w:p>
    <w:p w:rsidR="00F039D8" w:rsidRPr="00FC0005" w:rsidRDefault="00F039D8" w:rsidP="00F039D8">
      <w:pPr>
        <w:tabs>
          <w:tab w:val="left" w:pos="1440"/>
        </w:tabs>
        <w:jc w:val="both"/>
        <w:rPr>
          <w:rFonts w:ascii="Cambria" w:hAnsi="Cambria"/>
          <w:sz w:val="20"/>
          <w:szCs w:val="20"/>
          <w:lang w:val="es-VE"/>
        </w:rPr>
      </w:pPr>
    </w:p>
    <w:p w:rsidR="00F039D8" w:rsidRPr="00244EB9" w:rsidRDefault="00F039D8" w:rsidP="00F039D8">
      <w:pPr>
        <w:pStyle w:val="Heading2"/>
        <w:numPr>
          <w:ilvl w:val="0"/>
          <w:numId w:val="60"/>
        </w:numPr>
      </w:pPr>
      <w:bookmarkStart w:id="39" w:name="_Toc485394055"/>
      <w:r w:rsidRPr="00244EB9">
        <w:t>Proceso en la jurisdicción penal ordinaria</w:t>
      </w:r>
      <w:bookmarkEnd w:id="39"/>
    </w:p>
    <w:p w:rsidR="00F039D8" w:rsidRPr="00E93074" w:rsidRDefault="00F039D8" w:rsidP="00F039D8">
      <w:pPr>
        <w:tabs>
          <w:tab w:val="left" w:pos="1440"/>
        </w:tabs>
        <w:jc w:val="both"/>
        <w:rPr>
          <w:rFonts w:ascii="Cambria" w:hAnsi="Cambria"/>
          <w:sz w:val="20"/>
          <w:szCs w:val="20"/>
          <w:lang w:val="es-ES_tradnl"/>
        </w:rPr>
      </w:pPr>
    </w:p>
    <w:p w:rsidR="00F039D8" w:rsidRPr="001F34D2" w:rsidRDefault="001F34D2" w:rsidP="001F34D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Pr>
          <w:rFonts w:ascii="Cambria" w:hAnsi="Cambria"/>
          <w:sz w:val="20"/>
          <w:szCs w:val="20"/>
          <w:lang w:val="es-VE"/>
        </w:rPr>
        <w:lastRenderedPageBreak/>
        <w:t xml:space="preserve">Paralelamente </w:t>
      </w:r>
      <w:r w:rsidR="00F039D8">
        <w:rPr>
          <w:rFonts w:ascii="Cambria" w:hAnsi="Cambria"/>
          <w:sz w:val="20"/>
          <w:szCs w:val="20"/>
          <w:lang w:val="es-VE"/>
        </w:rPr>
        <w:t xml:space="preserve">al proceso en la jurisdicción militar, también se inició un proceso en la jurisdicción penal ordinaria. </w:t>
      </w:r>
      <w:r w:rsidR="00F039D8" w:rsidRPr="001F34D2">
        <w:rPr>
          <w:rFonts w:ascii="Cambria" w:hAnsi="Cambria"/>
          <w:sz w:val="20"/>
          <w:szCs w:val="20"/>
          <w:lang w:val="es-VE"/>
        </w:rPr>
        <w:t>El 23 de septiembre de 1994 la Fiscalía Nacional del Perú presentó una denuncia en contra de la presunta víctima y otras personas por el delito de tráfico ilícito de drogas</w:t>
      </w:r>
      <w:r w:rsidR="00F039D8" w:rsidRPr="00414AF6">
        <w:rPr>
          <w:rFonts w:asciiTheme="majorHAnsi" w:hAnsiTheme="majorHAnsi"/>
          <w:sz w:val="20"/>
          <w:szCs w:val="20"/>
          <w:vertAlign w:val="superscript"/>
          <w:lang w:val="es-VE"/>
        </w:rPr>
        <w:footnoteReference w:id="53"/>
      </w:r>
      <w:r w:rsidR="00F039D8" w:rsidRPr="001F34D2">
        <w:rPr>
          <w:rFonts w:asciiTheme="majorHAnsi" w:hAnsiTheme="majorHAnsi"/>
          <w:sz w:val="20"/>
          <w:szCs w:val="20"/>
          <w:lang w:val="es-VE"/>
        </w:rPr>
        <w:t xml:space="preserve"> </w:t>
      </w:r>
      <w:r w:rsidR="00F039D8" w:rsidRPr="001F34D2">
        <w:rPr>
          <w:rFonts w:ascii="Cambria" w:hAnsi="Cambria"/>
          <w:sz w:val="20"/>
          <w:szCs w:val="20"/>
          <w:lang w:val="es-VE"/>
        </w:rPr>
        <w:t>.</w:t>
      </w:r>
    </w:p>
    <w:p w:rsidR="00F039D8" w:rsidRPr="00414AF6"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F039D8" w:rsidRPr="00562D4E"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lang w:val="es-VE"/>
        </w:rPr>
      </w:pPr>
      <w:r>
        <w:rPr>
          <w:rFonts w:ascii="Cambria" w:hAnsi="Cambria"/>
          <w:sz w:val="20"/>
          <w:szCs w:val="20"/>
          <w:lang w:val="es-VE"/>
        </w:rPr>
        <w:t xml:space="preserve">Según consta en la denuncia, la Fiscalía consideró que existían los siguientes indicios de la comisión de dicho delito por parte de la presunta víctima: i) se incautó una </w:t>
      </w:r>
      <w:r w:rsidRPr="005544EA">
        <w:rPr>
          <w:rFonts w:ascii="Cambria" w:hAnsi="Cambria"/>
          <w:sz w:val="20"/>
          <w:szCs w:val="20"/>
          <w:lang w:val="es-ES_tradnl"/>
        </w:rPr>
        <w:t>boleta</w:t>
      </w:r>
      <w:r>
        <w:rPr>
          <w:rFonts w:ascii="Cambria" w:hAnsi="Cambria"/>
          <w:sz w:val="20"/>
          <w:szCs w:val="20"/>
          <w:lang w:val="es-ES_tradnl"/>
        </w:rPr>
        <w:t xml:space="preserve"> de $2000 dólares destinada a la</w:t>
      </w:r>
      <w:r w:rsidRPr="005544EA">
        <w:rPr>
          <w:rFonts w:ascii="Cambria" w:hAnsi="Cambria"/>
          <w:sz w:val="20"/>
          <w:szCs w:val="20"/>
          <w:lang w:val="es-ES_tradnl"/>
        </w:rPr>
        <w:t xml:space="preserve"> madre</w:t>
      </w:r>
      <w:r>
        <w:rPr>
          <w:rFonts w:ascii="Cambria" w:hAnsi="Cambria"/>
          <w:sz w:val="20"/>
          <w:szCs w:val="20"/>
          <w:lang w:val="es-ES_tradnl"/>
        </w:rPr>
        <w:t xml:space="preserve"> del acusado,</w:t>
      </w:r>
      <w:r w:rsidRPr="005544EA">
        <w:rPr>
          <w:rFonts w:ascii="Cambria" w:hAnsi="Cambria"/>
          <w:sz w:val="20"/>
          <w:szCs w:val="20"/>
          <w:lang w:val="es-ES_tradnl"/>
        </w:rPr>
        <w:t xml:space="preserve"> producto del narcotráfico</w:t>
      </w:r>
      <w:r>
        <w:rPr>
          <w:rFonts w:ascii="Cambria" w:hAnsi="Cambria"/>
          <w:sz w:val="20"/>
          <w:szCs w:val="20"/>
          <w:lang w:val="es-ES_tradnl"/>
        </w:rPr>
        <w:t xml:space="preserve">; ii) autorizó </w:t>
      </w:r>
      <w:r w:rsidRPr="005544EA">
        <w:rPr>
          <w:rFonts w:ascii="Cambria" w:hAnsi="Cambria"/>
          <w:sz w:val="20"/>
          <w:szCs w:val="20"/>
          <w:lang w:val="es-ES_tradnl"/>
        </w:rPr>
        <w:t>la salida de aeronaves con cargamento de dr</w:t>
      </w:r>
      <w:r>
        <w:rPr>
          <w:rFonts w:ascii="Cambria" w:hAnsi="Cambria"/>
          <w:sz w:val="20"/>
          <w:szCs w:val="20"/>
          <w:lang w:val="es-ES_tradnl"/>
        </w:rPr>
        <w:t>oga en 3 oportunidades y recibió</w:t>
      </w:r>
      <w:r w:rsidRPr="005544EA">
        <w:rPr>
          <w:rFonts w:ascii="Cambria" w:hAnsi="Cambria"/>
          <w:sz w:val="20"/>
          <w:szCs w:val="20"/>
          <w:lang w:val="es-ES_tradnl"/>
        </w:rPr>
        <w:t xml:space="preserve"> la suma de $13000 dólares de parte de Adler Oswaldo Zambrano</w:t>
      </w:r>
      <w:r>
        <w:rPr>
          <w:rFonts w:ascii="Cambria" w:hAnsi="Cambria"/>
          <w:sz w:val="20"/>
          <w:szCs w:val="20"/>
          <w:lang w:val="es-ES_tradnl"/>
        </w:rPr>
        <w:t xml:space="preserve"> Hidalgo por dicha autorización; iii) distribuyó entre su personal y el mismo, el dinero recibido; iv) permitió que varios narcotraficantes fijaran su centro de operaciones ilícitas dentro del área de su responsabilidad</w:t>
      </w:r>
      <w:r w:rsidRPr="00E93074">
        <w:rPr>
          <w:rStyle w:val="FootnoteReference"/>
          <w:rFonts w:ascii="Cambria" w:hAnsi="Cambria"/>
          <w:sz w:val="20"/>
          <w:szCs w:val="20"/>
          <w:lang w:val="es-ES_tradnl"/>
        </w:rPr>
        <w:footnoteReference w:id="54"/>
      </w:r>
      <w:r w:rsidRPr="005544EA">
        <w:rPr>
          <w:rFonts w:ascii="Cambria" w:hAnsi="Cambria"/>
          <w:sz w:val="20"/>
          <w:szCs w:val="20"/>
          <w:lang w:val="es-ES_tradnl"/>
        </w:rPr>
        <w:t>.</w:t>
      </w:r>
    </w:p>
    <w:p w:rsidR="00F039D8" w:rsidRDefault="00F039D8" w:rsidP="00F039D8">
      <w:pPr>
        <w:tabs>
          <w:tab w:val="left" w:pos="1440"/>
        </w:tabs>
        <w:jc w:val="both"/>
        <w:rPr>
          <w:lang w:val="es-VE"/>
        </w:rPr>
      </w:pPr>
    </w:p>
    <w:p w:rsidR="00F039D8" w:rsidRPr="001F34D2" w:rsidRDefault="00F039D8" w:rsidP="001F34D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562D4E">
        <w:rPr>
          <w:rFonts w:ascii="Cambria" w:hAnsi="Cambria"/>
          <w:sz w:val="20"/>
          <w:szCs w:val="20"/>
          <w:lang w:val="es-VE"/>
        </w:rPr>
        <w:t>El 28 de septiembre de 1994 el Juez de Primera Instancia Mixto determinó abrir instrucción en contra de la presunta víctima y otras personas por el delito de tráfico ilícito de drogas</w:t>
      </w:r>
      <w:r w:rsidRPr="00562D4E">
        <w:rPr>
          <w:rFonts w:ascii="Cambria" w:hAnsi="Cambria"/>
          <w:sz w:val="20"/>
          <w:szCs w:val="20"/>
          <w:vertAlign w:val="superscript"/>
          <w:lang w:val="es-VE"/>
        </w:rPr>
        <w:footnoteReference w:id="55"/>
      </w:r>
      <w:r>
        <w:rPr>
          <w:rFonts w:ascii="Cambria" w:hAnsi="Cambria"/>
          <w:sz w:val="20"/>
          <w:szCs w:val="20"/>
          <w:lang w:val="es-VE"/>
        </w:rPr>
        <w:t xml:space="preserve">. </w:t>
      </w:r>
      <w:r w:rsidRPr="001F34D2">
        <w:rPr>
          <w:rFonts w:ascii="Cambria" w:hAnsi="Cambria"/>
          <w:sz w:val="20"/>
          <w:szCs w:val="20"/>
          <w:lang w:val="es-ES_tradnl"/>
        </w:rPr>
        <w:t>En dicha decisión estimó que la presunta víctima, conjuntamente con otras personas, “tuvieron activa participación como encubridores en la comisión del ilícito penal denunciado, recibiendo cupos en dólares americanos a través del precitado Adler Oswaldo Zambrano Hidalgo, intermediario y coordinador de la banda organizada de narcotraficantes Colombianos y Peruanos, a razón de diez mil dólares por cada vuelo de avioneta transportadora de pasta básica de cocaína en aeródromo de Sion repartiéndose porcentualmente entre ellos dicho dinero para su beneficio personal (…)”</w:t>
      </w:r>
      <w:r w:rsidRPr="00E55180">
        <w:rPr>
          <w:rStyle w:val="FootnoteReference"/>
          <w:rFonts w:ascii="Cambria" w:hAnsi="Cambria"/>
          <w:sz w:val="20"/>
          <w:szCs w:val="20"/>
          <w:lang w:val="es-ES_tradnl"/>
        </w:rPr>
        <w:footnoteReference w:id="56"/>
      </w:r>
      <w:r w:rsidRPr="001F34D2">
        <w:rPr>
          <w:rFonts w:ascii="Cambria" w:hAnsi="Cambria"/>
          <w:sz w:val="20"/>
          <w:szCs w:val="20"/>
          <w:lang w:val="es-ES_tradnl"/>
        </w:rPr>
        <w:t>.</w:t>
      </w:r>
    </w:p>
    <w:p w:rsidR="00F039D8" w:rsidRPr="00C02F23" w:rsidRDefault="00F039D8" w:rsidP="00F039D8">
      <w:pPr>
        <w:tabs>
          <w:tab w:val="left" w:pos="1440"/>
        </w:tabs>
        <w:jc w:val="both"/>
        <w:rPr>
          <w:lang w:val="es-VE"/>
        </w:rPr>
      </w:pPr>
    </w:p>
    <w:p w:rsidR="00F039D8" w:rsidRPr="00E55180"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sidRPr="00FE3BDF">
        <w:rPr>
          <w:rFonts w:ascii="Cambria" w:hAnsi="Cambria"/>
          <w:sz w:val="20"/>
          <w:szCs w:val="20"/>
          <w:lang w:val="es-ES_tradnl"/>
        </w:rPr>
        <w:t xml:space="preserve">El 14 de diciembre de 1994 la presunta víctima rindió declaración ante el Juez de Primera Instancia Mixto. En dicha declaración fue preguntado si </w:t>
      </w:r>
      <w:r w:rsidRPr="00E55180">
        <w:rPr>
          <w:rFonts w:ascii="Cambria" w:hAnsi="Cambria"/>
          <w:sz w:val="20"/>
          <w:szCs w:val="20"/>
          <w:lang w:val="es-ES_tradnl"/>
        </w:rPr>
        <w:t>“durante su gestión realizó tres vuelos recibiendo dinero, para facilitar el transporte de drogas en la que intervenían sus subalternos lo cual no dio cuenta a su superior ni tampoco remitió el dinero en moneda extranjera</w:t>
      </w:r>
      <w:r w:rsidR="00DE1989">
        <w:rPr>
          <w:rFonts w:ascii="Cambria" w:hAnsi="Cambria"/>
          <w:sz w:val="20"/>
          <w:szCs w:val="20"/>
          <w:lang w:val="es-ES_tradnl"/>
        </w:rPr>
        <w:t>"</w:t>
      </w:r>
      <w:r w:rsidRPr="00E55180">
        <w:rPr>
          <w:rFonts w:ascii="Cambria" w:hAnsi="Cambria"/>
          <w:sz w:val="20"/>
          <w:szCs w:val="20"/>
          <w:lang w:val="es-ES_tradnl"/>
        </w:rPr>
        <w:t>. La presunta víctima contestó que “no ha realizado tal hecho ya que solo ha permitido la salida de vuelos de avionetas con pasajeros, y que no ha recibido dinero alguno, y que no había de que dar cuenta a sus Superiores”</w:t>
      </w:r>
      <w:r w:rsidRPr="00E55180">
        <w:rPr>
          <w:rStyle w:val="FootnoteReference"/>
          <w:rFonts w:ascii="Cambria" w:hAnsi="Cambria"/>
          <w:sz w:val="20"/>
          <w:szCs w:val="20"/>
          <w:lang w:val="es-ES_tradnl"/>
        </w:rPr>
        <w:footnoteReference w:id="57"/>
      </w:r>
      <w:r w:rsidRPr="00E55180">
        <w:rPr>
          <w:rFonts w:ascii="Cambria" w:hAnsi="Cambria"/>
          <w:sz w:val="20"/>
          <w:szCs w:val="20"/>
          <w:lang w:val="es-ES_tradnl"/>
        </w:rPr>
        <w:t xml:space="preserve">. </w:t>
      </w:r>
    </w:p>
    <w:p w:rsidR="00F039D8" w:rsidRPr="00C02F23" w:rsidRDefault="00F039D8" w:rsidP="00F039D8">
      <w:pPr>
        <w:tabs>
          <w:tab w:val="left" w:pos="1440"/>
        </w:tabs>
        <w:ind w:left="720"/>
        <w:jc w:val="both"/>
        <w:rPr>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sidRPr="00197DEE">
        <w:rPr>
          <w:rFonts w:ascii="Cambria" w:eastAsia="Times New Roman" w:hAnsi="Cambria"/>
          <w:sz w:val="20"/>
          <w:szCs w:val="20"/>
          <w:lang w:val="es-AR"/>
        </w:rPr>
        <w:t>El 26 de abril de 1995</w:t>
      </w:r>
      <w:r>
        <w:rPr>
          <w:rFonts w:ascii="Cambria" w:eastAsia="Times New Roman" w:hAnsi="Cambria"/>
          <w:sz w:val="20"/>
          <w:szCs w:val="20"/>
          <w:lang w:val="es-AR"/>
        </w:rPr>
        <w:t xml:space="preserve"> el Ministerio Público emitió dictamen opinando </w:t>
      </w:r>
      <w:r w:rsidRPr="00E55180">
        <w:rPr>
          <w:rFonts w:ascii="Cambria" w:eastAsia="Times New Roman" w:hAnsi="Cambria"/>
          <w:sz w:val="20"/>
          <w:szCs w:val="20"/>
          <w:lang w:val="es-AR"/>
        </w:rPr>
        <w:t>“por la existencia del delito contra la salud pública en la figura de tráfico ilícito de drogas en agravio del Estado” cometido por la presunta víctima y otras personas</w:t>
      </w:r>
      <w:r w:rsidRPr="00E55180">
        <w:rPr>
          <w:rStyle w:val="FootnoteReference"/>
          <w:rFonts w:ascii="Cambria" w:eastAsia="Times New Roman" w:hAnsi="Cambria"/>
          <w:sz w:val="20"/>
          <w:szCs w:val="20"/>
          <w:lang w:val="es-AR"/>
        </w:rPr>
        <w:footnoteReference w:id="58"/>
      </w:r>
      <w:r w:rsidRPr="00E55180">
        <w:rPr>
          <w:rFonts w:ascii="Cambria" w:eastAsia="Times New Roman" w:hAnsi="Cambria"/>
          <w:sz w:val="20"/>
          <w:szCs w:val="20"/>
          <w:lang w:val="es-AR"/>
        </w:rPr>
        <w:t xml:space="preserve">. </w:t>
      </w:r>
    </w:p>
    <w:p w:rsidR="00F039D8" w:rsidRDefault="00F039D8" w:rsidP="00F039D8">
      <w:pPr>
        <w:pStyle w:val="ListParagraph"/>
        <w:rPr>
          <w:rFonts w:eastAsia="Times New Roman"/>
          <w:sz w:val="20"/>
          <w:szCs w:val="20"/>
          <w:lang w:val="es-AR"/>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Pr>
          <w:rFonts w:ascii="Cambria" w:eastAsia="Times New Roman" w:hAnsi="Cambria"/>
          <w:sz w:val="20"/>
          <w:szCs w:val="20"/>
          <w:lang w:val="es-AR"/>
        </w:rPr>
        <w:t xml:space="preserve">El </w:t>
      </w:r>
      <w:r w:rsidRPr="004104C2">
        <w:rPr>
          <w:rFonts w:ascii="Cambria" w:eastAsia="Times New Roman" w:hAnsi="Cambria"/>
          <w:sz w:val="20"/>
          <w:szCs w:val="20"/>
          <w:lang w:val="es-AR"/>
        </w:rPr>
        <w:t>5 de mayo de 1995 el Juez de Primera Instancia Mixto emitió su dictamen opinando tambi</w:t>
      </w:r>
      <w:r>
        <w:rPr>
          <w:rFonts w:ascii="Cambria" w:eastAsia="Times New Roman" w:hAnsi="Cambria"/>
          <w:sz w:val="20"/>
          <w:szCs w:val="20"/>
          <w:lang w:val="es-AR"/>
        </w:rPr>
        <w:t>én por la existencia del delito de tráfico ilícito de drogas cometido por la presunta víctima y otras personas</w:t>
      </w:r>
      <w:r w:rsidRPr="00FE3BDF">
        <w:rPr>
          <w:rStyle w:val="FootnoteReference"/>
          <w:rFonts w:asciiTheme="majorHAnsi" w:eastAsia="Times New Roman" w:hAnsiTheme="majorHAnsi"/>
          <w:sz w:val="20"/>
          <w:szCs w:val="20"/>
          <w:lang w:val="es-AR"/>
        </w:rPr>
        <w:footnoteReference w:id="59"/>
      </w:r>
      <w:r>
        <w:rPr>
          <w:rFonts w:ascii="Cambria" w:eastAsia="Times New Roman" w:hAnsi="Cambria"/>
          <w:sz w:val="20"/>
          <w:szCs w:val="20"/>
          <w:lang w:val="es-AR"/>
        </w:rPr>
        <w:t xml:space="preserve">. </w:t>
      </w:r>
    </w:p>
    <w:p w:rsidR="00F039D8" w:rsidRPr="00E55180"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lang w:val="es-AR"/>
        </w:rPr>
      </w:pPr>
    </w:p>
    <w:p w:rsidR="00F039D8" w:rsidRPr="00562D4E"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lang w:val="es-VE"/>
        </w:rPr>
      </w:pPr>
      <w:r>
        <w:rPr>
          <w:rFonts w:ascii="Cambria" w:eastAsia="Times New Roman" w:hAnsi="Cambria"/>
          <w:sz w:val="20"/>
          <w:szCs w:val="20"/>
          <w:lang w:val="es-AR"/>
        </w:rPr>
        <w:t>El 15 de septiembre de 1995 el</w:t>
      </w:r>
      <w:r w:rsidRPr="00225DE1">
        <w:rPr>
          <w:rFonts w:ascii="Cambria" w:eastAsia="Times New Roman" w:hAnsi="Cambria"/>
          <w:sz w:val="20"/>
          <w:szCs w:val="20"/>
          <w:lang w:val="es-AR"/>
        </w:rPr>
        <w:t xml:space="preserve"> </w:t>
      </w:r>
      <w:r w:rsidRPr="00225DE1">
        <w:rPr>
          <w:rFonts w:asciiTheme="majorHAnsi" w:hAnsiTheme="majorHAnsi"/>
          <w:sz w:val="20"/>
          <w:szCs w:val="20"/>
          <w:lang w:val="es-CO"/>
        </w:rPr>
        <w:t>Juez Especializado en lo Civil</w:t>
      </w:r>
      <w:r>
        <w:rPr>
          <w:rFonts w:ascii="Cambria" w:eastAsia="Times New Roman" w:hAnsi="Cambria"/>
          <w:sz w:val="20"/>
          <w:szCs w:val="20"/>
          <w:lang w:val="es-AR"/>
        </w:rPr>
        <w:t xml:space="preserve"> e</w:t>
      </w:r>
      <w:r w:rsidRPr="00562D4E">
        <w:rPr>
          <w:rFonts w:ascii="Cambria" w:eastAsia="Times New Roman" w:hAnsi="Cambria"/>
          <w:sz w:val="20"/>
          <w:szCs w:val="20"/>
          <w:lang w:val="es-AR"/>
        </w:rPr>
        <w:t>mitió su informe final sobre la instrucción en la fase ordinaria. En dicho informe opinó que</w:t>
      </w:r>
      <w:r w:rsidRPr="00E55180">
        <w:rPr>
          <w:rFonts w:ascii="Cambria" w:eastAsia="Times New Roman" w:hAnsi="Cambria"/>
          <w:sz w:val="20"/>
          <w:szCs w:val="20"/>
          <w:lang w:val="es-AR"/>
        </w:rPr>
        <w:t xml:space="preserve"> “se encuentra acreditada la responsabilidad penal por la comisión del delito de tráfico ilícito de drogas en agravio del Estado”</w:t>
      </w:r>
      <w:r w:rsidRPr="00E55180">
        <w:rPr>
          <w:rStyle w:val="FootnoteReference"/>
          <w:rFonts w:eastAsia="Times New Roman"/>
          <w:szCs w:val="20"/>
          <w:lang w:val="es-AR"/>
        </w:rPr>
        <w:t xml:space="preserve"> </w:t>
      </w:r>
      <w:r w:rsidRPr="00E55180">
        <w:rPr>
          <w:rFonts w:ascii="Cambria" w:eastAsia="Times New Roman" w:hAnsi="Cambria"/>
          <w:sz w:val="20"/>
          <w:szCs w:val="20"/>
          <w:lang w:val="es-AR"/>
        </w:rPr>
        <w:t xml:space="preserve">por parte de la presunta víctima y </w:t>
      </w:r>
      <w:r w:rsidRPr="00E55180">
        <w:rPr>
          <w:rFonts w:ascii="Cambria" w:eastAsia="Times New Roman" w:hAnsi="Cambria"/>
          <w:sz w:val="20"/>
          <w:szCs w:val="20"/>
          <w:lang w:val="es-AR"/>
        </w:rPr>
        <w:lastRenderedPageBreak/>
        <w:t xml:space="preserve">otros </w:t>
      </w:r>
      <w:proofErr w:type="spellStart"/>
      <w:r w:rsidRPr="00E55180">
        <w:rPr>
          <w:rFonts w:ascii="Cambria" w:eastAsia="Times New Roman" w:hAnsi="Cambria"/>
          <w:sz w:val="20"/>
          <w:szCs w:val="20"/>
          <w:lang w:val="es-AR"/>
        </w:rPr>
        <w:t>co</w:t>
      </w:r>
      <w:proofErr w:type="spellEnd"/>
      <w:r w:rsidRPr="00E55180">
        <w:rPr>
          <w:rFonts w:ascii="Cambria" w:eastAsia="Times New Roman" w:hAnsi="Cambria"/>
          <w:sz w:val="20"/>
          <w:szCs w:val="20"/>
          <w:lang w:val="es-AR"/>
        </w:rPr>
        <w:t>-procesados</w:t>
      </w:r>
      <w:r w:rsidRPr="00E55180">
        <w:rPr>
          <w:rStyle w:val="FootnoteReference"/>
          <w:rFonts w:ascii="Cambria" w:eastAsia="Times New Roman" w:hAnsi="Cambria"/>
          <w:sz w:val="20"/>
          <w:szCs w:val="20"/>
          <w:lang w:val="es-AR"/>
        </w:rPr>
        <w:footnoteReference w:id="60"/>
      </w:r>
      <w:r w:rsidRPr="00E55180">
        <w:rPr>
          <w:rFonts w:ascii="Cambria" w:eastAsia="Times New Roman" w:hAnsi="Cambria"/>
          <w:sz w:val="20"/>
          <w:szCs w:val="20"/>
          <w:lang w:val="es-AR"/>
        </w:rPr>
        <w:t>.</w:t>
      </w:r>
      <w:r>
        <w:rPr>
          <w:rFonts w:ascii="Cambria" w:eastAsia="Times New Roman" w:hAnsi="Cambria"/>
          <w:sz w:val="20"/>
          <w:szCs w:val="20"/>
          <w:lang w:val="es-AR"/>
        </w:rPr>
        <w:t xml:space="preserve"> </w:t>
      </w:r>
      <w:r w:rsidRPr="00E55180">
        <w:rPr>
          <w:rFonts w:ascii="Cambria" w:eastAsia="Times New Roman" w:hAnsi="Cambria"/>
          <w:sz w:val="20"/>
          <w:szCs w:val="20"/>
          <w:lang w:val="es-AR"/>
        </w:rPr>
        <w:t xml:space="preserve">En dicho informe consideró que la presunta víctima “podría estar en los alcances del inciso 8 del Art. 20 del C.P. vigente en la presunción </w:t>
      </w:r>
      <w:proofErr w:type="spellStart"/>
      <w:r w:rsidRPr="00E55180">
        <w:rPr>
          <w:rFonts w:ascii="Cambria" w:eastAsia="Times New Roman" w:hAnsi="Cambria"/>
          <w:sz w:val="20"/>
          <w:szCs w:val="20"/>
          <w:lang w:val="es-AR"/>
        </w:rPr>
        <w:t>juris</w:t>
      </w:r>
      <w:proofErr w:type="spellEnd"/>
      <w:r w:rsidRPr="00E55180">
        <w:rPr>
          <w:rFonts w:ascii="Cambria" w:eastAsia="Times New Roman" w:hAnsi="Cambria"/>
          <w:sz w:val="20"/>
          <w:szCs w:val="20"/>
          <w:lang w:val="es-AR"/>
        </w:rPr>
        <w:t>-tantum que obraba en cumplimiento de un deber”</w:t>
      </w:r>
      <w:r w:rsidRPr="00E55180">
        <w:rPr>
          <w:rStyle w:val="FootnoteReference"/>
          <w:rFonts w:ascii="Cambria" w:eastAsia="Times New Roman" w:hAnsi="Cambria"/>
          <w:sz w:val="20"/>
          <w:szCs w:val="20"/>
          <w:lang w:val="es-AR"/>
        </w:rPr>
        <w:t xml:space="preserve"> </w:t>
      </w:r>
      <w:r w:rsidRPr="00E55180">
        <w:rPr>
          <w:rStyle w:val="FootnoteReference"/>
          <w:rFonts w:ascii="Cambria" w:eastAsia="Times New Roman" w:hAnsi="Cambria"/>
          <w:sz w:val="20"/>
          <w:szCs w:val="20"/>
          <w:lang w:val="es-AR"/>
        </w:rPr>
        <w:footnoteReference w:id="61"/>
      </w:r>
      <w:r w:rsidRPr="00E55180">
        <w:rPr>
          <w:rFonts w:ascii="Cambria" w:eastAsia="Times New Roman" w:hAnsi="Cambria"/>
          <w:sz w:val="20"/>
          <w:szCs w:val="20"/>
          <w:lang w:val="es-AR"/>
        </w:rPr>
        <w:t>.</w:t>
      </w:r>
    </w:p>
    <w:p w:rsidR="00F039D8" w:rsidRDefault="00F039D8" w:rsidP="00F039D8">
      <w:pPr>
        <w:tabs>
          <w:tab w:val="left" w:pos="1440"/>
        </w:tabs>
        <w:jc w:val="both"/>
        <w:rPr>
          <w:rFonts w:ascii="Cambria" w:eastAsia="Times New Roman" w:hAnsi="Cambria"/>
          <w:sz w:val="20"/>
          <w:szCs w:val="20"/>
          <w:lang w:val="es-AR"/>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sidRPr="00E93074">
        <w:rPr>
          <w:rFonts w:ascii="Cambria" w:eastAsia="Times New Roman" w:hAnsi="Cambria"/>
          <w:sz w:val="20"/>
          <w:szCs w:val="20"/>
          <w:lang w:val="es-AR"/>
        </w:rPr>
        <w:t xml:space="preserve">El 23 de octubre de 1995 la defensa de la presunta víctima interpuso excepción de naturaleza de la acción contra la acción penal iniciada en su contra. Argumentó que su patrocinado no incurrió en delito y que no existe </w:t>
      </w:r>
      <w:r>
        <w:rPr>
          <w:rFonts w:ascii="Cambria" w:eastAsia="Times New Roman" w:hAnsi="Cambria"/>
          <w:sz w:val="20"/>
          <w:szCs w:val="20"/>
          <w:lang w:val="es-AR"/>
        </w:rPr>
        <w:t>ninguna prueba objetiva de ello más allá de</w:t>
      </w:r>
      <w:r w:rsidRPr="00E93074">
        <w:rPr>
          <w:rFonts w:ascii="Cambria" w:eastAsia="Times New Roman" w:hAnsi="Cambria"/>
          <w:sz w:val="20"/>
          <w:szCs w:val="20"/>
          <w:lang w:val="es-AR"/>
        </w:rPr>
        <w:t xml:space="preserve"> apreciaciones subjetivas</w:t>
      </w:r>
      <w:r w:rsidRPr="001673AD">
        <w:rPr>
          <w:rFonts w:ascii="Cambria" w:hAnsi="Cambria"/>
          <w:sz w:val="20"/>
          <w:vertAlign w:val="superscript"/>
        </w:rPr>
        <w:footnoteReference w:id="62"/>
      </w:r>
      <w:r w:rsidRPr="00E93074">
        <w:rPr>
          <w:rFonts w:ascii="Cambria" w:eastAsia="Times New Roman" w:hAnsi="Cambria"/>
          <w:sz w:val="20"/>
          <w:szCs w:val="20"/>
          <w:lang w:val="es-AR"/>
        </w:rPr>
        <w:t xml:space="preserve">. </w:t>
      </w:r>
    </w:p>
    <w:p w:rsidR="00F039D8" w:rsidRDefault="00F039D8" w:rsidP="00F039D8">
      <w:pPr>
        <w:pStyle w:val="ListParagraph"/>
        <w:rPr>
          <w:sz w:val="20"/>
          <w:szCs w:val="20"/>
          <w:lang w:val="es-VE"/>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Pr>
          <w:rFonts w:ascii="Cambria" w:eastAsia="Times New Roman" w:hAnsi="Cambria"/>
          <w:sz w:val="20"/>
          <w:szCs w:val="20"/>
          <w:lang w:val="es-AR"/>
        </w:rPr>
        <w:t>El 25 de enero, 4, 7, 11, 12, 14, 19, 20 y 21 de marzo,  12 y 17 abril de 1996 se llevaron a cabo las audiencias en el marco del juicio oral en contra de la presunta víctima y otras personas</w:t>
      </w:r>
      <w:r w:rsidRPr="003940B2">
        <w:rPr>
          <w:rStyle w:val="FootnoteReference"/>
          <w:rFonts w:asciiTheme="majorHAnsi" w:eastAsia="Times New Roman" w:hAnsiTheme="majorHAnsi"/>
          <w:sz w:val="20"/>
          <w:szCs w:val="20"/>
          <w:lang w:val="es-AR"/>
        </w:rPr>
        <w:footnoteReference w:id="63"/>
      </w:r>
      <w:r>
        <w:rPr>
          <w:rFonts w:ascii="Cambria" w:eastAsia="Times New Roman" w:hAnsi="Cambria"/>
          <w:sz w:val="20"/>
          <w:szCs w:val="20"/>
          <w:lang w:val="es-AR"/>
        </w:rPr>
        <w:t xml:space="preserve">. </w:t>
      </w:r>
    </w:p>
    <w:p w:rsidR="00F039D8" w:rsidRDefault="00F039D8" w:rsidP="00F039D8">
      <w:pPr>
        <w:pStyle w:val="ListParagraph"/>
        <w:rPr>
          <w:rFonts w:eastAsia="Times New Roman"/>
          <w:sz w:val="20"/>
          <w:szCs w:val="20"/>
          <w:lang w:val="es-AR"/>
        </w:rPr>
      </w:pPr>
    </w:p>
    <w:p w:rsidR="00F039D8" w:rsidRPr="00975D3B"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sidRPr="00975D3B">
        <w:rPr>
          <w:rFonts w:ascii="Cambria" w:eastAsia="Times New Roman" w:hAnsi="Cambria"/>
          <w:sz w:val="20"/>
          <w:szCs w:val="20"/>
          <w:lang w:val="es-AR"/>
        </w:rPr>
        <w:t xml:space="preserve">La Comisión hace constar que conforme el expediente judicial, el Tribunal nombró a tres personas para la defensa de </w:t>
      </w:r>
      <w:r w:rsidR="006E7DB5">
        <w:rPr>
          <w:rFonts w:ascii="Cambria" w:eastAsia="Times New Roman" w:hAnsi="Cambria"/>
          <w:sz w:val="20"/>
          <w:szCs w:val="20"/>
          <w:lang w:val="es-AR"/>
        </w:rPr>
        <w:t>más de treinta</w:t>
      </w:r>
      <w:r w:rsidRPr="00975D3B">
        <w:rPr>
          <w:rFonts w:ascii="Cambria" w:eastAsia="Times New Roman" w:hAnsi="Cambria"/>
          <w:sz w:val="20"/>
          <w:szCs w:val="20"/>
          <w:lang w:val="es-AR"/>
        </w:rPr>
        <w:t xml:space="preserve"> acusados durante las audiencias. Un abogado para los acusados “en cárcel”</w:t>
      </w:r>
      <w:r w:rsidRPr="00975D3B">
        <w:rPr>
          <w:rStyle w:val="FootnoteReference"/>
          <w:rFonts w:asciiTheme="majorHAnsi" w:eastAsia="Times New Roman" w:hAnsiTheme="majorHAnsi"/>
          <w:sz w:val="20"/>
          <w:szCs w:val="20"/>
          <w:lang w:val="es-AR"/>
        </w:rPr>
        <w:footnoteReference w:id="64"/>
      </w:r>
      <w:r w:rsidRPr="00975D3B">
        <w:rPr>
          <w:rFonts w:ascii="Cambria" w:eastAsia="Times New Roman" w:hAnsi="Cambria"/>
          <w:sz w:val="20"/>
          <w:szCs w:val="20"/>
          <w:lang w:val="es-AR"/>
        </w:rPr>
        <w:t xml:space="preserve"> entre ellos la presunta víctima, otro abogado para los “acusados libres</w:t>
      </w:r>
      <w:r w:rsidRPr="00975D3B">
        <w:rPr>
          <w:rStyle w:val="FootnoteReference"/>
          <w:rFonts w:asciiTheme="majorHAnsi" w:eastAsia="Times New Roman" w:hAnsiTheme="majorHAnsi"/>
          <w:sz w:val="20"/>
          <w:szCs w:val="20"/>
          <w:lang w:val="es-AR"/>
        </w:rPr>
        <w:footnoteReference w:id="65"/>
      </w:r>
      <w:r w:rsidRPr="00975D3B">
        <w:rPr>
          <w:rFonts w:ascii="Cambria" w:eastAsia="Times New Roman" w:hAnsi="Cambria"/>
          <w:sz w:val="20"/>
          <w:szCs w:val="20"/>
          <w:lang w:val="es-AR"/>
        </w:rPr>
        <w:t>” y un último para los acusados contumaces y ausentes</w:t>
      </w:r>
      <w:r w:rsidRPr="00975D3B">
        <w:rPr>
          <w:rStyle w:val="FootnoteReference"/>
          <w:rFonts w:asciiTheme="majorHAnsi" w:eastAsia="Times New Roman" w:hAnsiTheme="majorHAnsi"/>
          <w:sz w:val="20"/>
          <w:szCs w:val="20"/>
          <w:lang w:val="es-AR"/>
        </w:rPr>
        <w:footnoteReference w:id="66"/>
      </w:r>
      <w:r w:rsidRPr="00975D3B">
        <w:rPr>
          <w:rFonts w:ascii="Cambria" w:eastAsia="Times New Roman" w:hAnsi="Cambria"/>
          <w:sz w:val="20"/>
          <w:szCs w:val="20"/>
          <w:lang w:val="es-AR"/>
        </w:rPr>
        <w:t xml:space="preserve">. En las actas de dichas audiencias consta que también habrían intervenido otros abogados defensores. La Comisión no tiene información sobre la persona que ejerció efectivamente la representación de la presunta víctima durante el desarrollo de dichas audiencias. </w:t>
      </w:r>
    </w:p>
    <w:p w:rsidR="00F039D8" w:rsidRPr="005168B6" w:rsidRDefault="00F039D8" w:rsidP="00F039D8">
      <w:pPr>
        <w:rPr>
          <w:rFonts w:eastAsia="Times New Roman"/>
          <w:sz w:val="20"/>
          <w:szCs w:val="20"/>
          <w:lang w:val="es-AR"/>
        </w:rPr>
      </w:pPr>
    </w:p>
    <w:p w:rsidR="00F039D8" w:rsidRPr="001E4B65"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Pr>
          <w:rFonts w:ascii="Cambria" w:eastAsia="Times New Roman" w:hAnsi="Cambria"/>
          <w:sz w:val="20"/>
          <w:szCs w:val="20"/>
          <w:lang w:val="es-AR"/>
        </w:rPr>
        <w:t>En la audiencia del 4 de marzo de 1996 la presunta víctima presentó una serie de medios de prueba, entre los que se encontraba el plan de operaciones “Ángel”</w:t>
      </w:r>
      <w:r w:rsidRPr="003940B2">
        <w:rPr>
          <w:rStyle w:val="FootnoteReference"/>
          <w:rFonts w:asciiTheme="majorHAnsi" w:eastAsia="Times New Roman" w:hAnsiTheme="majorHAnsi"/>
          <w:sz w:val="20"/>
          <w:szCs w:val="20"/>
          <w:lang w:val="es-AR"/>
        </w:rPr>
        <w:footnoteReference w:id="67"/>
      </w:r>
      <w:r>
        <w:rPr>
          <w:rFonts w:ascii="Cambria" w:eastAsia="Times New Roman" w:hAnsi="Cambria"/>
          <w:sz w:val="20"/>
          <w:szCs w:val="20"/>
          <w:lang w:val="es-AR"/>
        </w:rPr>
        <w:t>.</w:t>
      </w:r>
      <w:r w:rsidRPr="00156EA4">
        <w:rPr>
          <w:rStyle w:val="FootnoteReference"/>
          <w:rFonts w:asciiTheme="majorHAnsi" w:eastAsia="Times New Roman" w:hAnsiTheme="majorHAnsi"/>
          <w:sz w:val="20"/>
          <w:szCs w:val="20"/>
          <w:lang w:val="es-AR"/>
        </w:rPr>
        <w:t xml:space="preserve"> </w:t>
      </w:r>
    </w:p>
    <w:p w:rsidR="00F039D8" w:rsidRDefault="00F039D8" w:rsidP="00F039D8">
      <w:pPr>
        <w:pStyle w:val="ListParagraph"/>
        <w:rPr>
          <w:rFonts w:eastAsia="Times New Roman"/>
          <w:sz w:val="20"/>
          <w:szCs w:val="20"/>
          <w:lang w:val="es-AR"/>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Pr>
          <w:rFonts w:ascii="Cambria" w:eastAsia="Times New Roman" w:hAnsi="Cambria"/>
          <w:sz w:val="20"/>
          <w:szCs w:val="20"/>
          <w:lang w:val="es-AR"/>
        </w:rPr>
        <w:t xml:space="preserve">En la audiencia de 12 de marzo de 1996, la presunta víctima rindió su declaración siendo interrogado por el Fiscal Superior así como por otros abogados defensores. </w:t>
      </w:r>
    </w:p>
    <w:p w:rsidR="00F039D8" w:rsidRDefault="00F039D8" w:rsidP="00F039D8">
      <w:pPr>
        <w:pStyle w:val="ListParagraph"/>
        <w:rPr>
          <w:rFonts w:eastAsia="Times New Roman"/>
          <w:sz w:val="20"/>
          <w:szCs w:val="20"/>
          <w:lang w:val="es-AR"/>
        </w:rPr>
      </w:pPr>
    </w:p>
    <w:p w:rsidR="00F039D8" w:rsidRPr="00C16647"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Pr>
          <w:rFonts w:ascii="Cambria" w:eastAsia="Times New Roman" w:hAnsi="Cambria"/>
          <w:sz w:val="20"/>
          <w:szCs w:val="20"/>
          <w:lang w:val="es-AR"/>
        </w:rPr>
        <w:t xml:space="preserve">En su declaración refirió </w:t>
      </w:r>
      <w:r w:rsidRPr="00C16647">
        <w:rPr>
          <w:rFonts w:ascii="Cambria" w:eastAsia="Times New Roman" w:hAnsi="Cambria"/>
          <w:sz w:val="20"/>
          <w:szCs w:val="20"/>
          <w:lang w:val="es-AR"/>
        </w:rPr>
        <w:t>que participó en una actividad de inteligencia que le fue ordenada por el Coronel “Jano” en su despacho el 4 de agosto de 1994, y que consistía en infiltrarse en operaciones de narcotráfico en la zona de Sion. Agregó que el dinero recibido producto de la autorización de los vuelos de narcotráfico tenía que ser repartido entre todo el personal en dicha base y que si no lo hacía “podían pensar de que se estaba haciéndose del dinero o bien se levantaban en arma contra su persona”</w:t>
      </w:r>
      <w:r w:rsidRPr="00C16647">
        <w:rPr>
          <w:rStyle w:val="FootnoteReference"/>
          <w:rFonts w:asciiTheme="majorHAnsi" w:eastAsia="Times New Roman" w:hAnsiTheme="majorHAnsi"/>
          <w:sz w:val="20"/>
          <w:szCs w:val="20"/>
          <w:lang w:val="es-AR"/>
        </w:rPr>
        <w:t xml:space="preserve"> </w:t>
      </w:r>
      <w:r w:rsidRPr="00E55180">
        <w:rPr>
          <w:rStyle w:val="FootnoteReference"/>
          <w:rFonts w:asciiTheme="majorHAnsi" w:eastAsia="Times New Roman" w:hAnsiTheme="majorHAnsi"/>
          <w:sz w:val="20"/>
          <w:szCs w:val="20"/>
          <w:lang w:val="es-AR"/>
        </w:rPr>
        <w:footnoteReference w:id="68"/>
      </w:r>
      <w:r>
        <w:rPr>
          <w:rFonts w:ascii="Cambria" w:eastAsia="Times New Roman" w:hAnsi="Cambria"/>
          <w:sz w:val="20"/>
          <w:szCs w:val="20"/>
          <w:lang w:val="es-AR"/>
        </w:rPr>
        <w:t>.</w:t>
      </w:r>
      <w:r w:rsidRPr="00C16647">
        <w:rPr>
          <w:rFonts w:ascii="Cambria" w:eastAsia="Times New Roman" w:hAnsi="Cambria"/>
          <w:sz w:val="20"/>
          <w:szCs w:val="20"/>
          <w:lang w:val="es-AR"/>
        </w:rPr>
        <w:t xml:space="preserve"> Indicó que “para hacer operaciones de inteligencia, las órdenes son verbales, luego se hace el planteamiento, es por ello que figura el plan de operaciones “Ángel”, el mismo que lo tiene presentado en autos (…)”</w:t>
      </w:r>
      <w:r w:rsidRPr="00E55180">
        <w:rPr>
          <w:rStyle w:val="FootnoteReference"/>
          <w:rFonts w:asciiTheme="majorHAnsi" w:eastAsia="Times New Roman" w:hAnsiTheme="majorHAnsi"/>
          <w:sz w:val="20"/>
          <w:szCs w:val="20"/>
          <w:lang w:val="es-AR"/>
        </w:rPr>
        <w:footnoteReference w:id="69"/>
      </w:r>
      <w:r w:rsidRPr="00C16647">
        <w:rPr>
          <w:rFonts w:ascii="Cambria" w:eastAsia="Times New Roman" w:hAnsi="Cambria"/>
          <w:sz w:val="20"/>
          <w:szCs w:val="20"/>
          <w:lang w:val="es-AR"/>
        </w:rPr>
        <w:t xml:space="preserve">. Indicó que no es cierto que existió el plan de operaciones “limpieza </w:t>
      </w:r>
      <w:proofErr w:type="spellStart"/>
      <w:r w:rsidRPr="00C16647">
        <w:rPr>
          <w:rFonts w:ascii="Cambria" w:eastAsia="Times New Roman" w:hAnsi="Cambria"/>
          <w:sz w:val="20"/>
          <w:szCs w:val="20"/>
          <w:lang w:val="es-AR"/>
        </w:rPr>
        <w:t>noventicuatro</w:t>
      </w:r>
      <w:proofErr w:type="spellEnd"/>
      <w:r w:rsidRPr="00C16647">
        <w:rPr>
          <w:rFonts w:ascii="Cambria" w:eastAsia="Times New Roman" w:hAnsi="Cambria"/>
          <w:sz w:val="20"/>
          <w:szCs w:val="20"/>
          <w:lang w:val="es-AR"/>
        </w:rPr>
        <w:t>”</w:t>
      </w:r>
      <w:r w:rsidRPr="00E55180">
        <w:rPr>
          <w:rStyle w:val="FootnoteReference"/>
          <w:rFonts w:asciiTheme="majorHAnsi" w:eastAsia="Times New Roman" w:hAnsiTheme="majorHAnsi"/>
          <w:sz w:val="20"/>
          <w:szCs w:val="20"/>
          <w:lang w:val="es-AR"/>
        </w:rPr>
        <w:footnoteReference w:id="70"/>
      </w:r>
      <w:r w:rsidRPr="00C16647">
        <w:rPr>
          <w:rFonts w:ascii="Cambria" w:eastAsia="Times New Roman" w:hAnsi="Cambria"/>
          <w:sz w:val="20"/>
          <w:szCs w:val="20"/>
          <w:lang w:val="es-AR"/>
        </w:rPr>
        <w:t>.</w:t>
      </w:r>
    </w:p>
    <w:p w:rsidR="00F039D8" w:rsidRDefault="00F039D8" w:rsidP="00F039D8">
      <w:pPr>
        <w:pStyle w:val="ListParagraph"/>
        <w:rPr>
          <w:rFonts w:eastAsia="Times New Roman"/>
          <w:sz w:val="20"/>
          <w:szCs w:val="20"/>
          <w:lang w:val="es-AR"/>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Pr>
          <w:rFonts w:ascii="Cambria" w:eastAsia="Times New Roman" w:hAnsi="Cambria"/>
          <w:sz w:val="20"/>
          <w:szCs w:val="20"/>
          <w:lang w:val="es-AR"/>
        </w:rPr>
        <w:t xml:space="preserve">Agregó que al hacerse cargo de la base de </w:t>
      </w:r>
      <w:proofErr w:type="spellStart"/>
      <w:r>
        <w:rPr>
          <w:rFonts w:ascii="Cambria" w:eastAsia="Times New Roman" w:hAnsi="Cambria"/>
          <w:sz w:val="20"/>
          <w:szCs w:val="20"/>
          <w:lang w:val="es-AR"/>
        </w:rPr>
        <w:t>Sión</w:t>
      </w:r>
      <w:proofErr w:type="spellEnd"/>
      <w:r>
        <w:rPr>
          <w:rFonts w:ascii="Cambria" w:eastAsia="Times New Roman" w:hAnsi="Cambria"/>
          <w:sz w:val="20"/>
          <w:szCs w:val="20"/>
          <w:lang w:val="es-AR"/>
        </w:rPr>
        <w:t xml:space="preserve"> le dio cuenta de sus actividades al Coronel Jano, e indicó que</w:t>
      </w:r>
      <w:r w:rsidRPr="00E55180">
        <w:rPr>
          <w:rFonts w:ascii="Cambria" w:eastAsia="Times New Roman" w:hAnsi="Cambria"/>
          <w:sz w:val="20"/>
          <w:szCs w:val="20"/>
          <w:lang w:val="es-AR"/>
        </w:rPr>
        <w:t xml:space="preserve"> “de los tres vuelos que se realizaron, así como también de los trece mil dólares que habían recibido por estos vuelos, y que se habían repartido entre los sub-oficiales y los soldados de acuerdo al grado que ostentaban, es decir como anteriormente en un operativo en Saposoa que fue un éxito en la cual se había perdido doscientos treinta mil dólares que por este </w:t>
      </w:r>
      <w:r w:rsidR="003E3174">
        <w:rPr>
          <w:rFonts w:ascii="Cambria" w:eastAsia="Times New Roman" w:hAnsi="Cambria"/>
          <w:sz w:val="20"/>
          <w:szCs w:val="20"/>
          <w:lang w:val="es-AR"/>
        </w:rPr>
        <w:t>motivo (sic) había sido cambiado a Sio</w:t>
      </w:r>
      <w:r w:rsidRPr="00E55180">
        <w:rPr>
          <w:rFonts w:ascii="Cambria" w:eastAsia="Times New Roman" w:hAnsi="Cambria"/>
          <w:sz w:val="20"/>
          <w:szCs w:val="20"/>
          <w:lang w:val="es-AR"/>
        </w:rPr>
        <w:t xml:space="preserve">n hizo su plan de </w:t>
      </w:r>
      <w:r w:rsidRPr="00E55180">
        <w:rPr>
          <w:rFonts w:ascii="Cambria" w:eastAsia="Times New Roman" w:hAnsi="Cambria"/>
          <w:sz w:val="20"/>
          <w:szCs w:val="20"/>
          <w:lang w:val="es-AR"/>
        </w:rPr>
        <w:lastRenderedPageBreak/>
        <w:t>operaciones denominado “Ángel” inmediatamente para salvar su responsabilidad, ya que lo estaban pidiendo un acta de tales intervenciones, y que por este motivo fue que le cambiaron”</w:t>
      </w:r>
      <w:r w:rsidRPr="00E55180">
        <w:rPr>
          <w:rStyle w:val="FootnoteReference"/>
          <w:rFonts w:asciiTheme="majorHAnsi" w:eastAsia="Times New Roman" w:hAnsiTheme="majorHAnsi"/>
          <w:sz w:val="20"/>
          <w:szCs w:val="20"/>
          <w:lang w:val="es-AR"/>
        </w:rPr>
        <w:t xml:space="preserve"> </w:t>
      </w:r>
      <w:r w:rsidRPr="00E55180">
        <w:rPr>
          <w:rStyle w:val="FootnoteReference"/>
          <w:rFonts w:asciiTheme="majorHAnsi" w:eastAsia="Times New Roman" w:hAnsiTheme="majorHAnsi"/>
          <w:sz w:val="20"/>
          <w:szCs w:val="20"/>
          <w:lang w:val="es-AR"/>
        </w:rPr>
        <w:footnoteReference w:id="71"/>
      </w:r>
      <w:r w:rsidRPr="00E55180">
        <w:rPr>
          <w:rFonts w:ascii="Cambria" w:eastAsia="Times New Roman" w:hAnsi="Cambria"/>
          <w:sz w:val="20"/>
          <w:szCs w:val="20"/>
          <w:lang w:val="es-AR"/>
        </w:rPr>
        <w:t>.</w:t>
      </w:r>
    </w:p>
    <w:p w:rsidR="00F039D8" w:rsidRPr="0034491C"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lang w:val="es-AR"/>
        </w:rPr>
      </w:pPr>
    </w:p>
    <w:p w:rsidR="00F039D8" w:rsidRPr="00B10BDE"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sidRPr="008610E5">
        <w:rPr>
          <w:rFonts w:ascii="Cambria" w:hAnsi="Cambria"/>
          <w:sz w:val="20"/>
          <w:szCs w:val="20"/>
          <w:lang w:val="es-VE"/>
        </w:rPr>
        <w:t>El 17 de abril de 1996 la Sala Mixta de la Corte Superior de San Martín</w:t>
      </w:r>
      <w:r>
        <w:rPr>
          <w:rFonts w:ascii="Cambria" w:hAnsi="Cambria"/>
          <w:sz w:val="20"/>
          <w:szCs w:val="20"/>
          <w:lang w:val="es-VE"/>
        </w:rPr>
        <w:t xml:space="preserve"> declaró infundada la excepción</w:t>
      </w:r>
      <w:r w:rsidRPr="008610E5">
        <w:rPr>
          <w:rFonts w:ascii="Cambria" w:hAnsi="Cambria"/>
          <w:sz w:val="20"/>
          <w:szCs w:val="20"/>
          <w:lang w:val="es-VE"/>
        </w:rPr>
        <w:t xml:space="preserve"> de naturaleza de la acción planteada por la presunta víctima y lo condenó a seis años de prisión por el delito de tráfico ilícito de drogas “en su figura de favorecimiento del tráfico ilícito de drogas”. </w:t>
      </w:r>
    </w:p>
    <w:p w:rsidR="00B10BDE" w:rsidRPr="006E7DB5" w:rsidRDefault="00B10BDE" w:rsidP="00B10BD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lang w:val="es-AR"/>
        </w:rPr>
      </w:pPr>
    </w:p>
    <w:p w:rsidR="00F039D8" w:rsidRPr="00872C7C"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sidRPr="008610E5">
        <w:rPr>
          <w:rFonts w:ascii="Cambria" w:hAnsi="Cambria"/>
          <w:sz w:val="20"/>
          <w:szCs w:val="20"/>
          <w:lang w:val="es-VE"/>
        </w:rPr>
        <w:t>En dicha decisión consideró</w:t>
      </w:r>
      <w:r>
        <w:rPr>
          <w:rFonts w:ascii="Cambria" w:hAnsi="Cambria"/>
          <w:sz w:val="20"/>
          <w:szCs w:val="20"/>
          <w:lang w:val="es-VE"/>
        </w:rPr>
        <w:t xml:space="preserve"> </w:t>
      </w:r>
      <w:r w:rsidRPr="008610E5">
        <w:rPr>
          <w:rFonts w:ascii="Cambria" w:hAnsi="Cambria"/>
          <w:sz w:val="20"/>
          <w:szCs w:val="20"/>
          <w:lang w:val="es-VE"/>
        </w:rPr>
        <w:t xml:space="preserve">que la presunta víctima en contra de lo autorizado por sus superiores </w:t>
      </w:r>
      <w:r w:rsidRPr="00872C7C">
        <w:rPr>
          <w:rFonts w:ascii="Cambria" w:hAnsi="Cambria"/>
          <w:sz w:val="20"/>
          <w:szCs w:val="20"/>
          <w:lang w:val="es-VE"/>
        </w:rPr>
        <w:t xml:space="preserve">“autorizó un segundo y un tercer vuelo de droga hacia el exterior que, el Coronel </w:t>
      </w:r>
      <w:r>
        <w:rPr>
          <w:rFonts w:ascii="Cambria" w:eastAsia="Times New Roman" w:hAnsi="Cambria"/>
          <w:sz w:val="20"/>
          <w:szCs w:val="20"/>
          <w:lang w:val="es-AR"/>
        </w:rPr>
        <w:t>Murgueytio</w:t>
      </w:r>
      <w:r w:rsidRPr="00872C7C">
        <w:rPr>
          <w:rFonts w:ascii="Cambria" w:hAnsi="Cambria"/>
          <w:sz w:val="20"/>
          <w:szCs w:val="20"/>
          <w:lang w:val="es-VE"/>
        </w:rPr>
        <w:t xml:space="preserve">, conocido como “Jano” se enteró de esta situación, y se consideró engañado por el Teniente Rosadio, procediendo a su relevo el cinco de setiembre de mil novecientos </w:t>
      </w:r>
      <w:proofErr w:type="spellStart"/>
      <w:r w:rsidRPr="00872C7C">
        <w:rPr>
          <w:rFonts w:ascii="Cambria" w:hAnsi="Cambria"/>
          <w:sz w:val="20"/>
          <w:szCs w:val="20"/>
          <w:lang w:val="es-VE"/>
        </w:rPr>
        <w:t>noventicuatro</w:t>
      </w:r>
      <w:proofErr w:type="spellEnd"/>
      <w:r w:rsidRPr="00872C7C">
        <w:rPr>
          <w:rFonts w:ascii="Cambria" w:hAnsi="Cambria"/>
          <w:sz w:val="20"/>
          <w:szCs w:val="20"/>
          <w:lang w:val="es-VE"/>
        </w:rPr>
        <w:t>; que está acreditado que se iba a realizar un cuarto vuelto (sic), donde se iba a cumplir las disposiciones del Comando de intervención de la avioneta incautación de droga y dinero y detención de sus ocupantes, pero que en el re</w:t>
      </w:r>
      <w:r>
        <w:rPr>
          <w:rFonts w:ascii="Cambria" w:hAnsi="Cambria"/>
          <w:sz w:val="20"/>
          <w:szCs w:val="20"/>
          <w:lang w:val="es-VE"/>
        </w:rPr>
        <w:t xml:space="preserve">porte a la superioridad iba a  </w:t>
      </w:r>
      <w:r w:rsidRPr="00872C7C">
        <w:rPr>
          <w:rFonts w:ascii="Cambria" w:hAnsi="Cambria"/>
          <w:sz w:val="20"/>
          <w:szCs w:val="20"/>
          <w:lang w:val="es-VE"/>
        </w:rPr>
        <w:t>ser el segundo vuelo; que, el Teniente Rosadio Villavicencio en vez de remitir el dinero de dichos vuelos a su comando en calidad de dinero incautado con acta, lo repartió entre su personal (…)”</w:t>
      </w:r>
    </w:p>
    <w:p w:rsidR="00F039D8" w:rsidRDefault="00F039D8" w:rsidP="00F039D8">
      <w:pPr>
        <w:pStyle w:val="ListParagraph"/>
        <w:ind w:left="0"/>
        <w:rPr>
          <w:sz w:val="20"/>
          <w:szCs w:val="20"/>
          <w:lang w:val="es-VE"/>
        </w:rPr>
      </w:pPr>
    </w:p>
    <w:p w:rsidR="00F039D8" w:rsidRPr="00B23283"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sidRPr="008610E5">
        <w:rPr>
          <w:rFonts w:ascii="Cambria" w:hAnsi="Cambria"/>
          <w:sz w:val="20"/>
          <w:szCs w:val="20"/>
          <w:lang w:val="es-VE"/>
        </w:rPr>
        <w:t xml:space="preserve">Asimismo, la Sala Mixta concedió recurso de nulidad de oficio por lo que las actuaciones fueron elevadas al Supremo Tribunal. </w:t>
      </w:r>
    </w:p>
    <w:p w:rsidR="00F039D8" w:rsidRDefault="00F039D8" w:rsidP="00F039D8">
      <w:pPr>
        <w:pStyle w:val="ListParagraph"/>
        <w:rPr>
          <w:sz w:val="20"/>
          <w:szCs w:val="20"/>
          <w:lang w:val="es-VE"/>
        </w:rPr>
      </w:pPr>
    </w:p>
    <w:p w:rsidR="00F039D8" w:rsidRPr="008610E5"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sidRPr="008610E5">
        <w:rPr>
          <w:rFonts w:ascii="Cambria" w:hAnsi="Cambria"/>
          <w:sz w:val="20"/>
          <w:szCs w:val="20"/>
          <w:lang w:val="es-VE"/>
        </w:rPr>
        <w:t xml:space="preserve">El 24 de abril de 1996 la Sala complementó dicha resolución indicando que respecto de la excepción de naturaleza de acción </w:t>
      </w:r>
      <w:r w:rsidRPr="00872C7C">
        <w:rPr>
          <w:rFonts w:ascii="Cambria" w:hAnsi="Cambria"/>
          <w:sz w:val="20"/>
          <w:szCs w:val="20"/>
          <w:lang w:val="es-VE"/>
        </w:rPr>
        <w:t>“se omitió hacer la fundamentación correspondiente, por descuido involuntario”</w:t>
      </w:r>
      <w:r w:rsidRPr="008610E5">
        <w:rPr>
          <w:rFonts w:ascii="Cambria" w:hAnsi="Cambria"/>
          <w:sz w:val="20"/>
          <w:szCs w:val="20"/>
          <w:lang w:val="es-VE"/>
        </w:rPr>
        <w:t xml:space="preserve"> por lo que indicó que la excepción no procede porque la determinación de inocencia o culpabilidad del procesado debía ventilarse en el transcurso de la instrucción y juicio oral y no a través de una excepción</w:t>
      </w:r>
      <w:r w:rsidRPr="00EF742D">
        <w:rPr>
          <w:rStyle w:val="FootnoteReference"/>
          <w:rFonts w:asciiTheme="majorHAnsi" w:hAnsiTheme="majorHAnsi"/>
          <w:sz w:val="20"/>
          <w:szCs w:val="20"/>
          <w:lang w:val="es-VE"/>
        </w:rPr>
        <w:footnoteReference w:id="72"/>
      </w:r>
      <w:r w:rsidRPr="008610E5">
        <w:rPr>
          <w:rFonts w:ascii="Cambria" w:hAnsi="Cambria"/>
          <w:sz w:val="20"/>
          <w:szCs w:val="20"/>
          <w:lang w:val="es-VE"/>
        </w:rPr>
        <w:t xml:space="preserve">. </w:t>
      </w:r>
    </w:p>
    <w:p w:rsidR="00F039D8" w:rsidRDefault="00F039D8" w:rsidP="00F039D8">
      <w:pPr>
        <w:pStyle w:val="ListParagraph"/>
        <w:rPr>
          <w:rFonts w:eastAsia="Times New Roman"/>
          <w:sz w:val="20"/>
          <w:szCs w:val="20"/>
          <w:lang w:val="es-AR"/>
        </w:rPr>
      </w:pPr>
    </w:p>
    <w:p w:rsidR="00F039D8" w:rsidRPr="00550E5A"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sidRPr="008610E5">
        <w:rPr>
          <w:rFonts w:ascii="Cambria" w:hAnsi="Cambria"/>
          <w:sz w:val="20"/>
          <w:szCs w:val="20"/>
          <w:lang w:val="es-VE"/>
        </w:rPr>
        <w:t xml:space="preserve">El 6 de enero de 1997 el Fiscal Adjunto Supremo rindió dictamen en el marco del recurso de nulidad y estimó que la pena impuesta a la presunta víctima y los otros </w:t>
      </w:r>
      <w:proofErr w:type="spellStart"/>
      <w:r w:rsidRPr="008610E5">
        <w:rPr>
          <w:rFonts w:ascii="Cambria" w:hAnsi="Cambria"/>
          <w:sz w:val="20"/>
          <w:szCs w:val="20"/>
          <w:lang w:val="es-VE"/>
        </w:rPr>
        <w:t>co</w:t>
      </w:r>
      <w:proofErr w:type="spellEnd"/>
      <w:r w:rsidRPr="008610E5">
        <w:rPr>
          <w:rFonts w:ascii="Cambria" w:hAnsi="Cambria"/>
          <w:sz w:val="20"/>
          <w:szCs w:val="20"/>
          <w:lang w:val="es-VE"/>
        </w:rPr>
        <w:t xml:space="preserve">-procesados no se ajusta a la ley y resulta </w:t>
      </w:r>
      <w:r w:rsidRPr="00872C7C">
        <w:rPr>
          <w:rFonts w:ascii="Cambria" w:hAnsi="Cambria"/>
          <w:sz w:val="20"/>
          <w:szCs w:val="20"/>
          <w:lang w:val="es-VE"/>
        </w:rPr>
        <w:t>“en extremo benigna</w:t>
      </w:r>
      <w:r w:rsidRPr="008610E5">
        <w:rPr>
          <w:rFonts w:ascii="Cambria" w:hAnsi="Cambria"/>
          <w:sz w:val="20"/>
          <w:szCs w:val="20"/>
          <w:lang w:val="es-VE"/>
        </w:rPr>
        <w:t>” por lo cual deberá ser aumentada p</w:t>
      </w:r>
      <w:r>
        <w:rPr>
          <w:rFonts w:ascii="Cambria" w:hAnsi="Cambria"/>
          <w:sz w:val="20"/>
          <w:szCs w:val="20"/>
          <w:lang w:val="es-VE"/>
        </w:rPr>
        <w:t xml:space="preserve">roporcionalmente al tipo penal, </w:t>
      </w:r>
      <w:r w:rsidRPr="008610E5">
        <w:rPr>
          <w:rFonts w:ascii="Cambria" w:hAnsi="Cambria"/>
          <w:sz w:val="20"/>
          <w:szCs w:val="20"/>
          <w:lang w:val="es-VE"/>
        </w:rPr>
        <w:t xml:space="preserve">considerando que el delito de tráfico ilícito de drogas es </w:t>
      </w:r>
      <w:proofErr w:type="spellStart"/>
      <w:r w:rsidRPr="008610E5">
        <w:rPr>
          <w:rFonts w:ascii="Cambria" w:hAnsi="Cambria"/>
          <w:sz w:val="20"/>
          <w:szCs w:val="20"/>
          <w:lang w:val="es-VE"/>
        </w:rPr>
        <w:t>pluri</w:t>
      </w:r>
      <w:proofErr w:type="spellEnd"/>
      <w:r w:rsidRPr="008610E5">
        <w:rPr>
          <w:rFonts w:ascii="Cambria" w:hAnsi="Cambria"/>
          <w:sz w:val="20"/>
          <w:szCs w:val="20"/>
          <w:lang w:val="es-VE"/>
        </w:rPr>
        <w:t>-ofensivo (…). Por ello pidió que se declare con lugar la nulidad en cuanto a la pena impuesta y se imponga a la presunta víctima una pena de 10 años de prisión</w:t>
      </w:r>
      <w:r w:rsidRPr="00E93074">
        <w:rPr>
          <w:rStyle w:val="FootnoteReference"/>
          <w:rFonts w:ascii="Cambria" w:hAnsi="Cambria"/>
          <w:sz w:val="20"/>
          <w:szCs w:val="20"/>
          <w:lang w:val="es-VE"/>
        </w:rPr>
        <w:footnoteReference w:id="73"/>
      </w:r>
      <w:r w:rsidRPr="008610E5">
        <w:rPr>
          <w:rFonts w:ascii="Cambria" w:hAnsi="Cambria"/>
          <w:sz w:val="20"/>
          <w:szCs w:val="20"/>
          <w:lang w:val="es-VE"/>
        </w:rPr>
        <w:t xml:space="preserve">. </w:t>
      </w:r>
    </w:p>
    <w:p w:rsidR="00F039D8" w:rsidRDefault="00F039D8" w:rsidP="00F039D8">
      <w:pPr>
        <w:pStyle w:val="ListParagraph"/>
        <w:rPr>
          <w:rFonts w:eastAsia="Times New Roman"/>
          <w:sz w:val="20"/>
          <w:szCs w:val="20"/>
          <w:lang w:val="es-AR"/>
        </w:rPr>
      </w:pPr>
    </w:p>
    <w:p w:rsidR="00F039D8" w:rsidRPr="00D3633F"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lang w:val="es-VE"/>
        </w:rPr>
      </w:pPr>
      <w:r>
        <w:rPr>
          <w:rFonts w:ascii="Cambria" w:eastAsia="Times New Roman" w:hAnsi="Cambria"/>
          <w:sz w:val="20"/>
          <w:szCs w:val="20"/>
          <w:lang w:val="es-AR"/>
        </w:rPr>
        <w:t xml:space="preserve">El 13 de marzo de 1997 la defensa de la presunta víctima presentó un alegato escrito, indicando que su patrocinado actuó bajo el amparo de una causa de justificación y que conforme el Código Penal </w:t>
      </w:r>
      <w:r w:rsidRPr="00550E5A">
        <w:rPr>
          <w:rFonts w:ascii="Cambria" w:eastAsia="Times New Roman" w:hAnsi="Cambria"/>
          <w:sz w:val="20"/>
          <w:szCs w:val="20"/>
          <w:lang w:val="es-AR"/>
        </w:rPr>
        <w:t xml:space="preserve">está exento de responsabilidad </w:t>
      </w:r>
      <w:r w:rsidRPr="00872C7C">
        <w:rPr>
          <w:rFonts w:ascii="Cambria" w:eastAsia="Times New Roman" w:hAnsi="Cambria"/>
          <w:sz w:val="20"/>
          <w:szCs w:val="20"/>
          <w:lang w:val="es-AR"/>
        </w:rPr>
        <w:t>“el que obra por orden obligatoria de autoridad competente, expedida en ejercicio de sus func</w:t>
      </w:r>
      <w:r>
        <w:rPr>
          <w:rFonts w:ascii="Cambria" w:eastAsia="Times New Roman" w:hAnsi="Cambria"/>
          <w:sz w:val="20"/>
          <w:szCs w:val="20"/>
          <w:lang w:val="es-AR"/>
        </w:rPr>
        <w:t>iones” y alegó que la sentencia condenatoria se basó únicamente en la sindicación del Coronel Emilio Murgueytio Yañez realizada durante la etapa policial</w:t>
      </w:r>
      <w:r w:rsidRPr="00841507">
        <w:rPr>
          <w:rStyle w:val="FootnoteReference"/>
          <w:rFonts w:asciiTheme="majorHAnsi" w:eastAsia="Times New Roman" w:hAnsiTheme="majorHAnsi"/>
          <w:sz w:val="20"/>
          <w:szCs w:val="20"/>
          <w:lang w:val="es-AR"/>
        </w:rPr>
        <w:footnoteReference w:id="74"/>
      </w:r>
      <w:r w:rsidRPr="00D3633F">
        <w:rPr>
          <w:rFonts w:ascii="Cambria" w:eastAsia="Times New Roman" w:hAnsi="Cambria"/>
          <w:sz w:val="20"/>
          <w:szCs w:val="20"/>
          <w:lang w:val="es-AR"/>
        </w:rPr>
        <w:t>.</w:t>
      </w:r>
    </w:p>
    <w:p w:rsidR="00F039D8" w:rsidRPr="00E87451" w:rsidRDefault="00F039D8" w:rsidP="00E87451">
      <w:pPr>
        <w:rPr>
          <w:sz w:val="20"/>
          <w:szCs w:val="20"/>
          <w:lang w:val="es-AR"/>
        </w:rPr>
      </w:pPr>
    </w:p>
    <w:p w:rsidR="00F039D8" w:rsidRPr="008610E5"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sidRPr="008610E5">
        <w:rPr>
          <w:rFonts w:ascii="Cambria" w:hAnsi="Cambria"/>
          <w:sz w:val="20"/>
          <w:szCs w:val="20"/>
          <w:lang w:val="es-VE"/>
        </w:rPr>
        <w:t>El 19 de junio de 1997 la Segunda Sala Penal de la Corte Suprema de Justicia declaró con lugar la nulidad en cuanto a la pena impuesta a la presunta víctima y la aumentó de 6 a 15 años de prisión. También aumentó el monto de la reparación civil que le corresponde pagar a la presunta víctima</w:t>
      </w:r>
      <w:r w:rsidRPr="00E93074">
        <w:rPr>
          <w:rStyle w:val="FootnoteReference"/>
          <w:rFonts w:ascii="Cambria" w:hAnsi="Cambria"/>
          <w:sz w:val="20"/>
          <w:szCs w:val="20"/>
          <w:lang w:val="es-VE"/>
        </w:rPr>
        <w:footnoteReference w:id="75"/>
      </w:r>
      <w:r w:rsidRPr="008610E5">
        <w:rPr>
          <w:rFonts w:ascii="Cambria" w:hAnsi="Cambria"/>
          <w:sz w:val="20"/>
          <w:szCs w:val="20"/>
          <w:lang w:val="es-VE"/>
        </w:rPr>
        <w:t xml:space="preserve">. </w:t>
      </w:r>
    </w:p>
    <w:p w:rsidR="00F039D8" w:rsidRDefault="00F039D8" w:rsidP="00F039D8">
      <w:pPr>
        <w:pStyle w:val="ListParagraph"/>
        <w:rPr>
          <w:rFonts w:eastAsia="Times New Roman"/>
          <w:sz w:val="20"/>
          <w:szCs w:val="20"/>
          <w:lang w:val="es-AR"/>
        </w:rPr>
      </w:pPr>
    </w:p>
    <w:p w:rsidR="00F039D8" w:rsidRPr="008610E5"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sidRPr="008610E5">
        <w:rPr>
          <w:rFonts w:ascii="Cambria" w:hAnsi="Cambria"/>
          <w:sz w:val="20"/>
          <w:szCs w:val="20"/>
          <w:lang w:val="es-VE"/>
        </w:rPr>
        <w:t xml:space="preserve">Al respecto consideró </w:t>
      </w:r>
      <w:r w:rsidRPr="00F96333">
        <w:rPr>
          <w:rFonts w:ascii="Cambria" w:hAnsi="Cambria"/>
          <w:sz w:val="20"/>
          <w:szCs w:val="20"/>
          <w:lang w:val="es-VE"/>
        </w:rPr>
        <w:t>que “la pena debe imponerse en atención a las condiciones personales de los encausados (…)</w:t>
      </w:r>
      <w:r w:rsidR="00F87F8D">
        <w:rPr>
          <w:rFonts w:ascii="Cambria" w:hAnsi="Cambria"/>
          <w:sz w:val="20"/>
          <w:szCs w:val="20"/>
          <w:lang w:val="es-VE"/>
        </w:rPr>
        <w:t xml:space="preserve"> y Jorge Enrique Rosadio Villavicencio,</w:t>
      </w:r>
      <w:r w:rsidRPr="00F96333">
        <w:rPr>
          <w:rFonts w:ascii="Cambria" w:hAnsi="Cambria"/>
          <w:sz w:val="20"/>
          <w:szCs w:val="20"/>
          <w:lang w:val="es-VE"/>
        </w:rPr>
        <w:t xml:space="preserve"> así como la forma y circunstancias en que cometieron el delito materia de juzgamiento, por lo que es del caso modificar la impuesta por el Colegiado en atención a lo preceptuado por el artículo </w:t>
      </w:r>
      <w:proofErr w:type="spellStart"/>
      <w:r w:rsidRPr="00F96333">
        <w:rPr>
          <w:rFonts w:ascii="Cambria" w:hAnsi="Cambria"/>
          <w:sz w:val="20"/>
          <w:szCs w:val="20"/>
          <w:lang w:val="es-VE"/>
        </w:rPr>
        <w:t>cuarentiséis</w:t>
      </w:r>
      <w:proofErr w:type="spellEnd"/>
      <w:r w:rsidRPr="00F96333">
        <w:rPr>
          <w:rFonts w:ascii="Cambria" w:hAnsi="Cambria"/>
          <w:sz w:val="20"/>
          <w:szCs w:val="20"/>
          <w:lang w:val="es-VE"/>
        </w:rPr>
        <w:t xml:space="preserve"> del Código Penal” y agregó que (…)”la reparación civil fijada por la Sala Penal Superior, no guarda proporción con el daño irrogado, por lo que es procedente </w:t>
      </w:r>
      <w:r w:rsidRPr="00F96333">
        <w:rPr>
          <w:rFonts w:ascii="Cambria" w:hAnsi="Cambria"/>
          <w:sz w:val="20"/>
          <w:szCs w:val="20"/>
          <w:lang w:val="es-VE"/>
        </w:rPr>
        <w:lastRenderedPageBreak/>
        <w:t>aumentarla prudencialmente”</w:t>
      </w:r>
      <w:r w:rsidRPr="00F96333">
        <w:rPr>
          <w:rStyle w:val="FootnoteReference"/>
          <w:rFonts w:ascii="Cambria" w:hAnsi="Cambria"/>
          <w:sz w:val="20"/>
          <w:szCs w:val="20"/>
          <w:lang w:val="es-VE"/>
        </w:rPr>
        <w:t xml:space="preserve"> </w:t>
      </w:r>
      <w:r w:rsidRPr="00F96333">
        <w:rPr>
          <w:rStyle w:val="FootnoteReference"/>
          <w:rFonts w:ascii="Cambria" w:hAnsi="Cambria"/>
          <w:sz w:val="20"/>
          <w:szCs w:val="20"/>
          <w:lang w:val="es-VE"/>
        </w:rPr>
        <w:footnoteReference w:id="76"/>
      </w:r>
      <w:r w:rsidRPr="00F96333">
        <w:rPr>
          <w:rFonts w:ascii="Cambria" w:hAnsi="Cambria"/>
          <w:sz w:val="20"/>
          <w:szCs w:val="20"/>
          <w:lang w:val="es-VE"/>
        </w:rPr>
        <w:t>.</w:t>
      </w:r>
      <w:r w:rsidRPr="008610E5">
        <w:rPr>
          <w:rFonts w:ascii="Cambria" w:hAnsi="Cambria"/>
          <w:i/>
          <w:sz w:val="20"/>
          <w:szCs w:val="20"/>
          <w:lang w:val="es-VE"/>
        </w:rPr>
        <w:t xml:space="preserve"> </w:t>
      </w:r>
      <w:r w:rsidR="004C647A" w:rsidRPr="00B36B2F">
        <w:rPr>
          <w:rFonts w:ascii="Cambria" w:hAnsi="Cambria"/>
          <w:sz w:val="20"/>
          <w:szCs w:val="20"/>
          <w:lang w:val="es-VE"/>
        </w:rPr>
        <w:t xml:space="preserve">Por lo anterior el tribunal declaró “HABER NULIDAD en la propia sentencia en la parte que impone a (…) Jorge Enrique Rosadio Villavicencio seis años de pena privativa de libertad; reformándola en estos extremos: a Carlos Alfredo </w:t>
      </w:r>
      <w:proofErr w:type="spellStart"/>
      <w:r w:rsidR="004C647A" w:rsidRPr="00B36B2F">
        <w:rPr>
          <w:rFonts w:ascii="Cambria" w:hAnsi="Cambria"/>
          <w:sz w:val="20"/>
          <w:szCs w:val="20"/>
          <w:lang w:val="es-VE"/>
        </w:rPr>
        <w:t>Cusicanqui</w:t>
      </w:r>
      <w:proofErr w:type="spellEnd"/>
      <w:r w:rsidR="004C647A" w:rsidRPr="00B36B2F">
        <w:rPr>
          <w:rFonts w:ascii="Cambria" w:hAnsi="Cambria"/>
          <w:sz w:val="20"/>
          <w:szCs w:val="20"/>
          <w:lang w:val="es-VE"/>
        </w:rPr>
        <w:t xml:space="preserve"> Aliaga, Adler Oswaldo Zambrano Hidalgo y Jorge Enrique Rosadio Villavicencio quince años de pena privativa de libertad para cada uno (…)</w:t>
      </w:r>
      <w:r w:rsidR="00DE1989">
        <w:rPr>
          <w:rFonts w:ascii="Cambria" w:hAnsi="Cambria"/>
          <w:sz w:val="20"/>
          <w:szCs w:val="20"/>
          <w:lang w:val="es-VE"/>
        </w:rPr>
        <w:t>”</w:t>
      </w:r>
      <w:r w:rsidR="004C647A" w:rsidRPr="00B36B2F">
        <w:rPr>
          <w:rStyle w:val="FootnoteReference"/>
          <w:rFonts w:ascii="Cambria" w:hAnsi="Cambria"/>
          <w:sz w:val="20"/>
          <w:szCs w:val="20"/>
          <w:lang w:val="es-VE"/>
        </w:rPr>
        <w:footnoteReference w:id="77"/>
      </w:r>
      <w:r w:rsidR="004C647A" w:rsidRPr="00B36B2F">
        <w:rPr>
          <w:rFonts w:ascii="Cambria" w:hAnsi="Cambria"/>
          <w:sz w:val="20"/>
          <w:szCs w:val="20"/>
          <w:lang w:val="es-VE"/>
        </w:rPr>
        <w:t>.</w:t>
      </w:r>
    </w:p>
    <w:p w:rsidR="00F87F8D" w:rsidRPr="00377A59" w:rsidRDefault="00F87F8D" w:rsidP="00377A59">
      <w:pPr>
        <w:rPr>
          <w:rFonts w:eastAsia="Times New Roman"/>
          <w:sz w:val="20"/>
          <w:szCs w:val="20"/>
          <w:lang w:val="es-AR"/>
        </w:rPr>
      </w:pPr>
    </w:p>
    <w:p w:rsidR="00F039D8" w:rsidRPr="003E3174" w:rsidRDefault="00F039D8" w:rsidP="003E317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sidRPr="008610E5">
        <w:rPr>
          <w:rFonts w:ascii="Cambria" w:hAnsi="Cambria"/>
          <w:sz w:val="20"/>
          <w:szCs w:val="20"/>
          <w:lang w:val="es-VE"/>
        </w:rPr>
        <w:t>E</w:t>
      </w:r>
      <w:r>
        <w:rPr>
          <w:rFonts w:ascii="Cambria" w:hAnsi="Cambria"/>
          <w:sz w:val="20"/>
          <w:szCs w:val="20"/>
          <w:lang w:val="es-VE"/>
        </w:rPr>
        <w:t xml:space="preserve">n la misma fecha, </w:t>
      </w:r>
      <w:r w:rsidRPr="008610E5">
        <w:rPr>
          <w:rFonts w:ascii="Cambria" w:hAnsi="Cambria"/>
          <w:sz w:val="20"/>
          <w:szCs w:val="20"/>
          <w:lang w:val="es-VE"/>
        </w:rPr>
        <w:t>la defensa de la presunta víctima presentó un recurso de nulidad en contra de la sentencia de la Segunda Sala Penal en el que solicitó la absolución de su patrocinado</w:t>
      </w:r>
      <w:r w:rsidRPr="00E93074">
        <w:rPr>
          <w:rStyle w:val="FootnoteReference"/>
          <w:rFonts w:ascii="Cambria" w:hAnsi="Cambria"/>
          <w:sz w:val="20"/>
          <w:szCs w:val="20"/>
          <w:lang w:val="es-VE"/>
        </w:rPr>
        <w:footnoteReference w:id="78"/>
      </w:r>
      <w:r w:rsidRPr="008610E5">
        <w:rPr>
          <w:rFonts w:ascii="Cambria" w:hAnsi="Cambria"/>
          <w:sz w:val="20"/>
          <w:szCs w:val="20"/>
          <w:lang w:val="es-VE"/>
        </w:rPr>
        <w:t xml:space="preserve">. </w:t>
      </w:r>
      <w:r w:rsidRPr="00D3633F">
        <w:rPr>
          <w:rFonts w:ascii="Cambria" w:hAnsi="Cambria"/>
          <w:sz w:val="20"/>
          <w:szCs w:val="20"/>
          <w:lang w:val="es-VE"/>
        </w:rPr>
        <w:t xml:space="preserve">Alegó que la condena en contra de la presunta víctima se fundó únicamente en el testimonio del Coronel Emilio </w:t>
      </w:r>
      <w:proofErr w:type="spellStart"/>
      <w:r w:rsidRPr="00D3633F">
        <w:rPr>
          <w:rFonts w:ascii="Cambria" w:hAnsi="Cambria"/>
          <w:sz w:val="20"/>
          <w:szCs w:val="20"/>
          <w:lang w:val="es-VE"/>
        </w:rPr>
        <w:t>Murgueytio</w:t>
      </w:r>
      <w:proofErr w:type="spellEnd"/>
      <w:r w:rsidRPr="00D3633F">
        <w:rPr>
          <w:rFonts w:ascii="Cambria" w:hAnsi="Cambria"/>
          <w:sz w:val="20"/>
          <w:szCs w:val="20"/>
          <w:lang w:val="es-VE"/>
        </w:rPr>
        <w:t xml:space="preserve"> </w:t>
      </w:r>
      <w:proofErr w:type="spellStart"/>
      <w:r w:rsidRPr="00D3633F">
        <w:rPr>
          <w:rFonts w:ascii="Cambria" w:hAnsi="Cambria"/>
          <w:sz w:val="20"/>
          <w:szCs w:val="20"/>
          <w:lang w:val="es-VE"/>
        </w:rPr>
        <w:t>Yañez</w:t>
      </w:r>
      <w:proofErr w:type="spellEnd"/>
      <w:r w:rsidRPr="00D3633F">
        <w:rPr>
          <w:rFonts w:ascii="Cambria" w:hAnsi="Cambria"/>
          <w:sz w:val="20"/>
          <w:szCs w:val="20"/>
          <w:lang w:val="es-VE"/>
        </w:rPr>
        <w:t xml:space="preserve"> y no existen otros medios probatorios que corroboren esta versión</w:t>
      </w:r>
      <w:r w:rsidRPr="00E93074">
        <w:rPr>
          <w:rStyle w:val="FootnoteReference"/>
          <w:rFonts w:ascii="Cambria" w:hAnsi="Cambria"/>
          <w:sz w:val="20"/>
          <w:szCs w:val="20"/>
          <w:lang w:val="es-VE"/>
        </w:rPr>
        <w:footnoteReference w:id="79"/>
      </w:r>
      <w:r w:rsidRPr="00D3633F">
        <w:rPr>
          <w:rFonts w:ascii="Cambria" w:hAnsi="Cambria"/>
          <w:sz w:val="20"/>
          <w:szCs w:val="20"/>
          <w:lang w:val="es-VE"/>
        </w:rPr>
        <w:t xml:space="preserve">. </w:t>
      </w:r>
      <w:r w:rsidRPr="003E3174">
        <w:rPr>
          <w:rFonts w:ascii="Cambria" w:hAnsi="Cambria"/>
          <w:sz w:val="20"/>
          <w:szCs w:val="20"/>
          <w:lang w:val="es-VE"/>
        </w:rPr>
        <w:t>Indicó que en efecto la presunta víctima permitió la realización de tres vuelos, a efecto de hacerse pasar como oficial corrupto y pretendía capturar a los narcotraficantes en el cuarto vuelo. No obstante indicó que realizó sus actuaciones en cumplimiento de una orden emanada de un superior, por lo que en su caso concurre la eximente de responsabilidad denominada obediencia debida o jerárquica contenida en el artículo 20 numeral 9 del Código Penal</w:t>
      </w:r>
      <w:r w:rsidRPr="00E93074">
        <w:rPr>
          <w:rStyle w:val="FootnoteReference"/>
          <w:rFonts w:ascii="Cambria" w:hAnsi="Cambria"/>
          <w:sz w:val="20"/>
          <w:szCs w:val="20"/>
          <w:lang w:val="es-VE"/>
        </w:rPr>
        <w:footnoteReference w:id="80"/>
      </w:r>
      <w:r w:rsidRPr="003E3174">
        <w:rPr>
          <w:rFonts w:ascii="Cambria" w:hAnsi="Cambria"/>
          <w:sz w:val="20"/>
          <w:szCs w:val="20"/>
          <w:lang w:val="es-VE"/>
        </w:rPr>
        <w:t xml:space="preserve">. </w:t>
      </w:r>
    </w:p>
    <w:p w:rsidR="00F039D8" w:rsidRDefault="00F039D8" w:rsidP="00B21A8E">
      <w:pPr>
        <w:pStyle w:val="ListParagraph"/>
        <w:rPr>
          <w:rFonts w:eastAsia="Times New Roman"/>
          <w:sz w:val="20"/>
          <w:szCs w:val="20"/>
          <w:lang w:val="es-AR"/>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Pr>
          <w:rFonts w:ascii="Cambria" w:eastAsia="Times New Roman" w:hAnsi="Cambria"/>
          <w:sz w:val="20"/>
          <w:szCs w:val="20"/>
          <w:lang w:val="es-AR"/>
        </w:rPr>
        <w:t xml:space="preserve">La Comisión no cuenta con información respecto del resultado de dicho recurso. </w:t>
      </w:r>
    </w:p>
    <w:p w:rsidR="00F039D8" w:rsidRPr="0031062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lang w:val="es-AR"/>
        </w:rPr>
      </w:pPr>
    </w:p>
    <w:p w:rsidR="00F039D8" w:rsidRPr="0015141B" w:rsidRDefault="00F039D8" w:rsidP="00F039D8">
      <w:pPr>
        <w:pStyle w:val="Heading2"/>
        <w:numPr>
          <w:ilvl w:val="0"/>
          <w:numId w:val="60"/>
        </w:numPr>
      </w:pPr>
      <w:bookmarkStart w:id="40" w:name="_Toc485394056"/>
      <w:r w:rsidRPr="00244EB9">
        <w:t>Detención</w:t>
      </w:r>
      <w:bookmarkEnd w:id="40"/>
    </w:p>
    <w:p w:rsidR="00F039D8" w:rsidRPr="008610E5" w:rsidRDefault="00F039D8" w:rsidP="00F039D8">
      <w:pPr>
        <w:tabs>
          <w:tab w:val="left" w:pos="1440"/>
          <w:tab w:val="num" w:pos="2040"/>
        </w:tabs>
        <w:jc w:val="both"/>
        <w:rPr>
          <w:rFonts w:ascii="Cambria" w:eastAsia="Times New Roman" w:hAnsi="Cambria"/>
          <w:sz w:val="20"/>
          <w:szCs w:val="20"/>
          <w:lang w:val="es-AR"/>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sz w:val="20"/>
          <w:szCs w:val="20"/>
          <w:lang w:val="es-AR"/>
        </w:rPr>
      </w:pPr>
      <w:r>
        <w:rPr>
          <w:rFonts w:ascii="Cambria" w:eastAsia="Times New Roman" w:hAnsi="Cambria"/>
          <w:sz w:val="20"/>
          <w:szCs w:val="20"/>
          <w:lang w:val="es-AR"/>
        </w:rPr>
        <w:t>Según consta en el expediente del caso y fue informado por las partes, la presunta víctima permaneció detenida por órdenes giradas por la</w:t>
      </w:r>
      <w:r w:rsidR="004B3672">
        <w:rPr>
          <w:rFonts w:ascii="Cambria" w:eastAsia="Times New Roman" w:hAnsi="Cambria"/>
          <w:sz w:val="20"/>
          <w:szCs w:val="20"/>
          <w:lang w:val="es-AR"/>
        </w:rPr>
        <w:t>s jurisdiccio</w:t>
      </w:r>
      <w:r>
        <w:rPr>
          <w:rFonts w:ascii="Cambria" w:eastAsia="Times New Roman" w:hAnsi="Cambria"/>
          <w:sz w:val="20"/>
          <w:szCs w:val="20"/>
          <w:lang w:val="es-AR"/>
        </w:rPr>
        <w:t>n</w:t>
      </w:r>
      <w:r w:rsidR="004B3672">
        <w:rPr>
          <w:rFonts w:ascii="Cambria" w:eastAsia="Times New Roman" w:hAnsi="Cambria"/>
          <w:sz w:val="20"/>
          <w:szCs w:val="20"/>
          <w:lang w:val="es-AR"/>
        </w:rPr>
        <w:t>es</w:t>
      </w:r>
      <w:r>
        <w:rPr>
          <w:rFonts w:ascii="Cambria" w:eastAsia="Times New Roman" w:hAnsi="Cambria"/>
          <w:sz w:val="20"/>
          <w:szCs w:val="20"/>
          <w:lang w:val="es-AR"/>
        </w:rPr>
        <w:t xml:space="preserve"> militar y penal desde </w:t>
      </w:r>
      <w:r>
        <w:rPr>
          <w:rFonts w:ascii="Cambria" w:hAnsi="Cambria"/>
          <w:sz w:val="20"/>
          <w:szCs w:val="20"/>
          <w:lang w:val="es-VE"/>
        </w:rPr>
        <w:t>el 14 de septiembre de 1994</w:t>
      </w:r>
      <w:r w:rsidRPr="00A92F9B">
        <w:rPr>
          <w:rStyle w:val="FootnoteReference"/>
          <w:rFonts w:asciiTheme="majorHAnsi" w:hAnsiTheme="majorHAnsi"/>
          <w:sz w:val="20"/>
          <w:szCs w:val="20"/>
          <w:lang w:val="es-VE"/>
        </w:rPr>
        <w:footnoteReference w:id="81"/>
      </w:r>
      <w:r>
        <w:rPr>
          <w:rFonts w:ascii="Cambria" w:hAnsi="Cambria"/>
          <w:sz w:val="20"/>
          <w:szCs w:val="20"/>
          <w:lang w:val="es-VE"/>
        </w:rPr>
        <w:t xml:space="preserve"> hasta el 4 de marzo de 1999 cuando obtuvo el beneficio penitenciario de </w:t>
      </w:r>
      <w:proofErr w:type="spellStart"/>
      <w:r>
        <w:rPr>
          <w:rFonts w:ascii="Cambria" w:hAnsi="Cambria"/>
          <w:sz w:val="20"/>
          <w:szCs w:val="20"/>
          <w:lang w:val="es-VE"/>
        </w:rPr>
        <w:t>semi</w:t>
      </w:r>
      <w:proofErr w:type="spellEnd"/>
      <w:r>
        <w:rPr>
          <w:rFonts w:ascii="Cambria" w:hAnsi="Cambria"/>
          <w:sz w:val="20"/>
          <w:szCs w:val="20"/>
          <w:lang w:val="es-VE"/>
        </w:rPr>
        <w:t>-libertad</w:t>
      </w:r>
      <w:r w:rsidRPr="00592E4F">
        <w:rPr>
          <w:rStyle w:val="FootnoteReference"/>
          <w:rFonts w:ascii="Cambria" w:hAnsi="Cambria"/>
          <w:sz w:val="20"/>
          <w:szCs w:val="20"/>
          <w:lang w:val="es-VE"/>
        </w:rPr>
        <w:footnoteReference w:id="82"/>
      </w:r>
      <w:r>
        <w:rPr>
          <w:rFonts w:ascii="Cambria" w:hAnsi="Cambria"/>
          <w:sz w:val="20"/>
          <w:szCs w:val="20"/>
          <w:lang w:val="es-VE"/>
        </w:rPr>
        <w:t>.</w:t>
      </w:r>
    </w:p>
    <w:p w:rsidR="00F039D8" w:rsidRPr="00A92F9B" w:rsidRDefault="00F039D8" w:rsidP="00F039D8">
      <w:pPr>
        <w:tabs>
          <w:tab w:val="left" w:pos="1440"/>
        </w:tabs>
        <w:ind w:left="720"/>
        <w:jc w:val="both"/>
        <w:rPr>
          <w:rFonts w:ascii="Cambria" w:eastAsia="Times New Roman" w:hAnsi="Cambria"/>
          <w:sz w:val="20"/>
          <w:szCs w:val="20"/>
          <w:lang w:val="es-AR"/>
        </w:rPr>
      </w:pPr>
    </w:p>
    <w:p w:rsidR="00F039D8" w:rsidRPr="00FF2672" w:rsidRDefault="00F039D8" w:rsidP="00F039D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00" w:line="276" w:lineRule="auto"/>
        <w:ind w:hanging="1080"/>
        <w:rPr>
          <w:rFonts w:ascii="Cambria" w:hAnsi="Cambria"/>
          <w:sz w:val="20"/>
          <w:szCs w:val="20"/>
          <w:lang w:val="es-VE"/>
        </w:rPr>
      </w:pPr>
      <w:r w:rsidRPr="00FF2672">
        <w:rPr>
          <w:rFonts w:ascii="Cambria" w:hAnsi="Cambria"/>
          <w:b/>
          <w:sz w:val="20"/>
          <w:szCs w:val="20"/>
          <w:lang w:val="es-ES_tradnl"/>
        </w:rPr>
        <w:t>Jurisdicción penal ordinaria</w:t>
      </w:r>
      <w:r w:rsidRPr="00FF2672">
        <w:rPr>
          <w:rFonts w:ascii="Cambria" w:hAnsi="Cambria"/>
          <w:sz w:val="20"/>
          <w:szCs w:val="20"/>
          <w:lang w:val="es-VE"/>
        </w:rPr>
        <w:t xml:space="preserve"> </w:t>
      </w: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Pr>
          <w:rFonts w:ascii="Cambria" w:hAnsi="Cambria"/>
          <w:sz w:val="20"/>
          <w:szCs w:val="20"/>
          <w:lang w:val="es-VE"/>
        </w:rPr>
        <w:t>En la jurisdicción penal ordinaria, el 6</w:t>
      </w:r>
      <w:r w:rsidRPr="00A96A95">
        <w:rPr>
          <w:rFonts w:ascii="Cambria" w:hAnsi="Cambria"/>
          <w:sz w:val="20"/>
          <w:szCs w:val="20"/>
          <w:lang w:val="es-VE"/>
        </w:rPr>
        <w:t xml:space="preserve"> de febrero de 1995 la presunta vícti</w:t>
      </w:r>
      <w:r>
        <w:rPr>
          <w:rFonts w:ascii="Cambria" w:hAnsi="Cambria"/>
          <w:sz w:val="20"/>
          <w:szCs w:val="20"/>
          <w:lang w:val="es-VE"/>
        </w:rPr>
        <w:t>ma</w:t>
      </w:r>
      <w:r w:rsidRPr="00A96A95">
        <w:rPr>
          <w:rFonts w:ascii="Cambria" w:hAnsi="Cambria"/>
          <w:sz w:val="20"/>
          <w:szCs w:val="20"/>
          <w:lang w:val="es-VE"/>
        </w:rPr>
        <w:t xml:space="preserve"> y otros </w:t>
      </w:r>
      <w:proofErr w:type="spellStart"/>
      <w:r w:rsidRPr="00A96A95">
        <w:rPr>
          <w:rFonts w:ascii="Cambria" w:hAnsi="Cambria"/>
          <w:sz w:val="20"/>
          <w:szCs w:val="20"/>
          <w:lang w:val="es-VE"/>
        </w:rPr>
        <w:t>co</w:t>
      </w:r>
      <w:proofErr w:type="spellEnd"/>
      <w:r w:rsidRPr="00A96A95">
        <w:rPr>
          <w:rFonts w:ascii="Cambria" w:hAnsi="Cambria"/>
          <w:sz w:val="20"/>
          <w:szCs w:val="20"/>
          <w:lang w:val="es-VE"/>
        </w:rPr>
        <w:t xml:space="preserve">-procesados solicitaron su libertad </w:t>
      </w:r>
      <w:r w:rsidR="000E15C3">
        <w:rPr>
          <w:rFonts w:ascii="Cambria" w:hAnsi="Cambria"/>
          <w:sz w:val="20"/>
          <w:szCs w:val="20"/>
          <w:lang w:val="es-VE"/>
        </w:rPr>
        <w:t>in</w:t>
      </w:r>
      <w:r w:rsidRPr="00A96A95">
        <w:rPr>
          <w:rFonts w:ascii="Cambria" w:hAnsi="Cambria"/>
          <w:sz w:val="20"/>
          <w:szCs w:val="20"/>
          <w:lang w:val="es-VE"/>
        </w:rPr>
        <w:t xml:space="preserve">condicional </w:t>
      </w:r>
      <w:r>
        <w:rPr>
          <w:rFonts w:ascii="Cambria" w:hAnsi="Cambria"/>
          <w:sz w:val="20"/>
          <w:szCs w:val="20"/>
          <w:lang w:val="es-VE"/>
        </w:rPr>
        <w:t xml:space="preserve">argumentando que no existía peligro procesal de que </w:t>
      </w:r>
      <w:r w:rsidRPr="00FF2672">
        <w:rPr>
          <w:rFonts w:ascii="Cambria" w:hAnsi="Cambria"/>
          <w:sz w:val="20"/>
          <w:szCs w:val="20"/>
          <w:lang w:val="es-VE"/>
        </w:rPr>
        <w:t>“rehuyamos la acción de la justicia ni menos</w:t>
      </w:r>
      <w:r>
        <w:rPr>
          <w:rFonts w:ascii="Cambria" w:hAnsi="Cambria"/>
          <w:sz w:val="20"/>
          <w:szCs w:val="20"/>
          <w:lang w:val="es-VE"/>
        </w:rPr>
        <w:t xml:space="preserve"> perturbar la acción probatoria; por cuanto somos activos del Ejército Peruano con domicilio en nuestra base” y citaron el </w:t>
      </w:r>
      <w:r w:rsidRPr="00FF2672">
        <w:rPr>
          <w:rFonts w:ascii="Cambria" w:hAnsi="Cambria"/>
          <w:sz w:val="20"/>
          <w:szCs w:val="20"/>
          <w:lang w:val="es-VE"/>
        </w:rPr>
        <w:t>artículo 201 del Código de Procedimientos Penales, modificado por la Ley de Despenalización</w:t>
      </w:r>
      <w:r w:rsidRPr="009F35F0">
        <w:rPr>
          <w:rFonts w:ascii="Cambria" w:hAnsi="Cambria"/>
          <w:sz w:val="20"/>
          <w:szCs w:val="20"/>
          <w:vertAlign w:val="superscript"/>
          <w:lang w:val="es-VE"/>
        </w:rPr>
        <w:footnoteReference w:id="83"/>
      </w:r>
      <w:r w:rsidRPr="00FF2672">
        <w:rPr>
          <w:rFonts w:ascii="Cambria" w:hAnsi="Cambria"/>
          <w:sz w:val="20"/>
          <w:szCs w:val="20"/>
          <w:lang w:val="es-VE"/>
        </w:rPr>
        <w:t xml:space="preserve">. </w:t>
      </w:r>
    </w:p>
    <w:p w:rsidR="00F039D8" w:rsidRPr="00FF2672"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F039D8" w:rsidRPr="00414AF6"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Arial"/>
          <w:b/>
          <w:bCs/>
          <w:sz w:val="20"/>
          <w:szCs w:val="20"/>
          <w:bdr w:val="none" w:sz="0" w:space="0" w:color="auto"/>
          <w:lang w:val="es-VE"/>
        </w:rPr>
      </w:pPr>
      <w:r w:rsidRPr="00414AF6">
        <w:rPr>
          <w:rFonts w:ascii="Cambria" w:hAnsi="Cambria"/>
          <w:sz w:val="20"/>
          <w:szCs w:val="20"/>
          <w:lang w:val="es-VE"/>
        </w:rPr>
        <w:t>Según información de público conocimiento</w:t>
      </w:r>
      <w:r w:rsidR="001A068E">
        <w:rPr>
          <w:rFonts w:ascii="Cambria" w:hAnsi="Cambria"/>
          <w:sz w:val="20"/>
          <w:szCs w:val="20"/>
          <w:lang w:val="es-VE"/>
        </w:rPr>
        <w:t>,</w:t>
      </w:r>
      <w:r w:rsidRPr="00414AF6">
        <w:rPr>
          <w:rFonts w:ascii="Cambria" w:hAnsi="Cambria"/>
          <w:sz w:val="20"/>
          <w:szCs w:val="20"/>
          <w:lang w:val="es-VE"/>
        </w:rPr>
        <w:t xml:space="preserve"> dicho artículo estab</w:t>
      </w:r>
      <w:r w:rsidRPr="00414AF6">
        <w:rPr>
          <w:rFonts w:asciiTheme="majorHAnsi" w:hAnsiTheme="majorHAnsi"/>
          <w:sz w:val="20"/>
          <w:szCs w:val="20"/>
          <w:lang w:val="es-VE"/>
        </w:rPr>
        <w:t>lecía que “</w:t>
      </w:r>
      <w:r w:rsidRPr="00414AF6">
        <w:rPr>
          <w:rFonts w:asciiTheme="majorHAnsi" w:eastAsia="Times New Roman" w:hAnsiTheme="majorHAnsi" w:cs="Arial"/>
          <w:sz w:val="20"/>
          <w:szCs w:val="20"/>
          <w:bdr w:val="none" w:sz="0" w:space="0" w:color="auto"/>
          <w:lang w:val="es-VE"/>
        </w:rPr>
        <w:t>si en cualquier estado de la instrucción se demuestra plenamente la inculpabilidad del encausado, el Juez de oficio o a pedido del inculpado deberá ordenar su libertad incondicional y el auto que lo disponga se ejecutará inmediatamente, debiendo elevar al Tribunal Correccional el cuaderno respectivo cuando hayan otros procesados que deben continuar detenidos. Si la causa se sigue sólo contra el que es objeto de la libertad, se elevará el expediente principal. En este caso, si el Tribunal aprueba, el consultado ordenará el archivamiento del proceso. Si desaprueba el auto dispondrá la recaptura del indebidamente liberado pudiendo imponer las sanciones o disponer las acciones que correspondan si la libertad ha sido maliciosa”</w:t>
      </w:r>
      <w:r w:rsidRPr="00414AF6">
        <w:rPr>
          <w:rStyle w:val="FootnoteReference"/>
          <w:rFonts w:asciiTheme="majorHAnsi" w:eastAsia="Times New Roman" w:hAnsiTheme="majorHAnsi" w:cs="Arial"/>
          <w:sz w:val="20"/>
          <w:szCs w:val="20"/>
          <w:bdr w:val="none" w:sz="0" w:space="0" w:color="auto"/>
          <w:lang w:val="es-VE"/>
        </w:rPr>
        <w:footnoteReference w:id="84"/>
      </w:r>
      <w:r w:rsidRPr="00414AF6">
        <w:rPr>
          <w:rFonts w:asciiTheme="majorHAnsi" w:eastAsia="Times New Roman" w:hAnsiTheme="majorHAnsi" w:cs="Arial"/>
          <w:sz w:val="20"/>
          <w:szCs w:val="20"/>
          <w:bdr w:val="none" w:sz="0" w:space="0" w:color="auto"/>
          <w:lang w:val="es-VE"/>
        </w:rPr>
        <w:t>.</w:t>
      </w:r>
    </w:p>
    <w:p w:rsidR="00F039D8" w:rsidRPr="00B910C5"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Arial"/>
          <w:b/>
          <w:bCs/>
          <w:color w:val="000000"/>
          <w:sz w:val="20"/>
          <w:szCs w:val="20"/>
          <w:highlight w:val="yellow"/>
          <w:bdr w:val="none" w:sz="0" w:space="0" w:color="auto"/>
          <w:lang w:val="es-VE"/>
        </w:rPr>
      </w:pPr>
    </w:p>
    <w:p w:rsidR="00F039D8" w:rsidRPr="00F96333"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244EB9">
        <w:rPr>
          <w:rFonts w:ascii="Cambria" w:hAnsi="Cambria"/>
          <w:sz w:val="20"/>
          <w:szCs w:val="20"/>
          <w:lang w:val="es-ES_tradnl"/>
        </w:rPr>
        <w:t xml:space="preserve">El 9 de febrero de 1995 el Juez de Primera Instancia Mixto declaró improcedente la solicitud bajo el argumento de que </w:t>
      </w:r>
      <w:r w:rsidRPr="00F96333">
        <w:rPr>
          <w:rFonts w:ascii="Cambria" w:hAnsi="Cambria"/>
          <w:sz w:val="20"/>
          <w:szCs w:val="20"/>
          <w:lang w:val="es-ES_tradnl"/>
        </w:rPr>
        <w:t xml:space="preserve">“a nivel de investigación judicial estos inculpados niegan los cargos imputados y </w:t>
      </w:r>
      <w:r w:rsidRPr="00F96333">
        <w:rPr>
          <w:rFonts w:ascii="Cambria" w:hAnsi="Cambria"/>
          <w:sz w:val="20"/>
          <w:szCs w:val="20"/>
          <w:lang w:val="es-ES_tradnl"/>
        </w:rPr>
        <w:lastRenderedPageBreak/>
        <w:t>devienen en contradicciones, lo que hace ver la conducta ilícita de los recurrentes; por lo que resulta inaplicable lo que estipula el numeral doscientos uno del Código de Procedimientos Penales, por estos fundamentos DECLARESE IMPROCEDENTE la Libertad Incondicional solicitada por los inculpados”</w:t>
      </w:r>
      <w:r w:rsidRPr="00F96333">
        <w:rPr>
          <w:rStyle w:val="FootnoteReference"/>
          <w:rFonts w:ascii="Cambria" w:hAnsi="Cambria"/>
          <w:sz w:val="20"/>
          <w:szCs w:val="20"/>
          <w:lang w:val="es-ES_tradnl"/>
        </w:rPr>
        <w:footnoteReference w:id="85"/>
      </w:r>
      <w:r w:rsidRPr="00F96333">
        <w:rPr>
          <w:rFonts w:ascii="Cambria" w:hAnsi="Cambria"/>
          <w:sz w:val="20"/>
          <w:szCs w:val="20"/>
          <w:lang w:val="es-ES_tradnl"/>
        </w:rPr>
        <w:t xml:space="preserve">. </w:t>
      </w:r>
    </w:p>
    <w:p w:rsidR="00F039D8" w:rsidRPr="00E27B5E" w:rsidRDefault="00F039D8" w:rsidP="00F039D8">
      <w:pPr>
        <w:rPr>
          <w:sz w:val="20"/>
          <w:szCs w:val="20"/>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244EB9">
        <w:rPr>
          <w:rFonts w:ascii="Cambria" w:hAnsi="Cambria"/>
          <w:sz w:val="20"/>
          <w:szCs w:val="20"/>
          <w:lang w:val="es-ES_tradnl"/>
        </w:rPr>
        <w:t xml:space="preserve">El 13 de febrero de 1995 la presunta víctima y los demás </w:t>
      </w:r>
      <w:proofErr w:type="spellStart"/>
      <w:r w:rsidRPr="00244EB9">
        <w:rPr>
          <w:rFonts w:ascii="Cambria" w:hAnsi="Cambria"/>
          <w:sz w:val="20"/>
          <w:szCs w:val="20"/>
          <w:lang w:val="es-ES_tradnl"/>
        </w:rPr>
        <w:t>co</w:t>
      </w:r>
      <w:proofErr w:type="spellEnd"/>
      <w:r w:rsidRPr="00244EB9">
        <w:rPr>
          <w:rFonts w:ascii="Cambria" w:hAnsi="Cambria"/>
          <w:sz w:val="20"/>
          <w:szCs w:val="20"/>
          <w:lang w:val="es-ES_tradnl"/>
        </w:rPr>
        <w:t>-procesados interpusieron recurso de apelación por considerar que la resolución no se encuentra apegada a derecho</w:t>
      </w:r>
      <w:r>
        <w:rPr>
          <w:rFonts w:ascii="Cambria" w:hAnsi="Cambria"/>
          <w:sz w:val="20"/>
          <w:szCs w:val="20"/>
          <w:lang w:val="es-ES_tradnl"/>
        </w:rPr>
        <w:t>, ya que en la instrucción no se ha probado el delito imputado</w:t>
      </w:r>
      <w:r w:rsidRPr="00E93074">
        <w:rPr>
          <w:rStyle w:val="FootnoteReference"/>
          <w:rFonts w:ascii="Cambria" w:hAnsi="Cambria"/>
          <w:sz w:val="20"/>
          <w:szCs w:val="20"/>
          <w:lang w:val="es-ES_tradnl"/>
        </w:rPr>
        <w:footnoteReference w:id="86"/>
      </w:r>
      <w:r w:rsidR="001A068E">
        <w:rPr>
          <w:rFonts w:ascii="Cambria" w:hAnsi="Cambria"/>
          <w:sz w:val="20"/>
          <w:szCs w:val="20"/>
          <w:lang w:val="es-ES_tradnl"/>
        </w:rPr>
        <w:t>.</w:t>
      </w:r>
      <w:r>
        <w:rPr>
          <w:rFonts w:ascii="Cambria" w:hAnsi="Cambria"/>
          <w:sz w:val="20"/>
          <w:szCs w:val="20"/>
          <w:lang w:val="es-ES_tradnl"/>
        </w:rPr>
        <w:t xml:space="preserve"> </w:t>
      </w:r>
    </w:p>
    <w:p w:rsidR="00F039D8" w:rsidRDefault="00F039D8" w:rsidP="00F039D8">
      <w:pPr>
        <w:pStyle w:val="ListParagraph"/>
        <w:ind w:left="0"/>
        <w:rPr>
          <w:sz w:val="20"/>
          <w:szCs w:val="20"/>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244EB9">
        <w:rPr>
          <w:rFonts w:ascii="Cambria" w:hAnsi="Cambria"/>
          <w:sz w:val="20"/>
          <w:szCs w:val="20"/>
          <w:lang w:val="es-ES_tradnl"/>
        </w:rPr>
        <w:t xml:space="preserve">El 10 de marzo de 1995 el Fiscal Superior de San Martin opinó por declarar sin lugar la apelación porque </w:t>
      </w:r>
      <w:r w:rsidRPr="00F96333">
        <w:rPr>
          <w:rFonts w:ascii="Cambria" w:hAnsi="Cambria"/>
          <w:sz w:val="20"/>
          <w:szCs w:val="20"/>
          <w:lang w:val="es-ES_tradnl"/>
        </w:rPr>
        <w:t xml:space="preserve">“es el propio Capitán E.P. Carlos Alfredo CUSICANQUI ALIAGA, quien a fs. 120 refiere haber repartido parte del dinero, procedente del narcotráfico a sus </w:t>
      </w:r>
      <w:proofErr w:type="spellStart"/>
      <w:r w:rsidRPr="00F96333">
        <w:rPr>
          <w:rFonts w:ascii="Cambria" w:hAnsi="Cambria"/>
          <w:sz w:val="20"/>
          <w:szCs w:val="20"/>
          <w:lang w:val="es-ES_tradnl"/>
        </w:rPr>
        <w:t>co</w:t>
      </w:r>
      <w:proofErr w:type="spellEnd"/>
      <w:r w:rsidRPr="00F96333">
        <w:rPr>
          <w:rFonts w:ascii="Cambria" w:hAnsi="Cambria"/>
          <w:sz w:val="20"/>
          <w:szCs w:val="20"/>
          <w:lang w:val="es-ES_tradnl"/>
        </w:rPr>
        <w:t>-procesados” (…)</w:t>
      </w:r>
      <w:r w:rsidRPr="00F96333">
        <w:rPr>
          <w:rStyle w:val="FootnoteReference"/>
          <w:rFonts w:ascii="Cambria" w:hAnsi="Cambria"/>
          <w:sz w:val="20"/>
          <w:szCs w:val="20"/>
          <w:lang w:val="es-ES_tradnl"/>
        </w:rPr>
        <w:footnoteReference w:id="87"/>
      </w:r>
      <w:r w:rsidRPr="00F96333">
        <w:rPr>
          <w:rFonts w:ascii="Cambria" w:hAnsi="Cambria"/>
          <w:sz w:val="20"/>
          <w:szCs w:val="20"/>
          <w:lang w:val="es-ES_tradnl"/>
        </w:rPr>
        <w:t>.</w:t>
      </w:r>
    </w:p>
    <w:p w:rsidR="00F039D8" w:rsidRDefault="00F039D8" w:rsidP="00F039D8">
      <w:pPr>
        <w:pStyle w:val="ListParagraph"/>
        <w:rPr>
          <w:sz w:val="20"/>
          <w:szCs w:val="20"/>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sidRPr="00244EB9">
        <w:rPr>
          <w:rFonts w:ascii="Cambria" w:hAnsi="Cambria"/>
          <w:sz w:val="20"/>
          <w:szCs w:val="20"/>
          <w:lang w:val="es-ES_tradnl"/>
        </w:rPr>
        <w:t>El 24 de abril de 1995 la Corte Suprema de Justicia de San Martín declaró sin lugar el recurso de apelación con respecto a la presunta víctima, y procedente con respecto a otras personas</w:t>
      </w:r>
      <w:r>
        <w:rPr>
          <w:rFonts w:ascii="Cambria" w:hAnsi="Cambria"/>
          <w:sz w:val="20"/>
          <w:szCs w:val="20"/>
          <w:lang w:val="es-ES_tradnl"/>
        </w:rPr>
        <w:t>, por lo que revocó el auto que deniega la libertad incondicional de estas</w:t>
      </w:r>
      <w:r w:rsidRPr="00244EB9">
        <w:rPr>
          <w:rFonts w:ascii="Cambria" w:hAnsi="Cambria"/>
          <w:sz w:val="20"/>
          <w:szCs w:val="20"/>
          <w:lang w:val="es-ES_tradnl"/>
        </w:rPr>
        <w:t>. Indicó que la actuación de la pres</w:t>
      </w:r>
      <w:r>
        <w:rPr>
          <w:rFonts w:ascii="Cambria" w:hAnsi="Cambria"/>
          <w:sz w:val="20"/>
          <w:szCs w:val="20"/>
          <w:lang w:val="es-ES_tradnl"/>
        </w:rPr>
        <w:t xml:space="preserve">unta víctima reviste “gravedad” al </w:t>
      </w:r>
      <w:r w:rsidRPr="00F96333">
        <w:rPr>
          <w:rFonts w:ascii="Cambria" w:hAnsi="Cambria"/>
          <w:sz w:val="20"/>
          <w:szCs w:val="20"/>
          <w:lang w:val="es-ES_tradnl"/>
        </w:rPr>
        <w:t>“haber procedido de manera distinta a las instrucciones impartidas por su comando, destinando los dólares recibidos a su arbitrio, a sabiendas que debía entregar a su comando, aprovechándose en beneficio propio, lo que precisamente dio motivo para su separación del cargo que se le había confiado, por lo que su actuación reviste también gravedad”</w:t>
      </w:r>
      <w:r w:rsidRPr="00F96333">
        <w:rPr>
          <w:rStyle w:val="FootnoteReference"/>
          <w:rFonts w:ascii="Cambria" w:hAnsi="Cambria"/>
          <w:sz w:val="20"/>
          <w:szCs w:val="20"/>
          <w:lang w:val="es-ES_tradnl"/>
        </w:rPr>
        <w:t xml:space="preserve"> </w:t>
      </w:r>
      <w:r w:rsidRPr="00F96333">
        <w:rPr>
          <w:rStyle w:val="FootnoteReference"/>
          <w:rFonts w:ascii="Cambria" w:hAnsi="Cambria"/>
          <w:sz w:val="20"/>
          <w:szCs w:val="20"/>
          <w:lang w:val="es-ES_tradnl"/>
        </w:rPr>
        <w:footnoteReference w:id="88"/>
      </w:r>
      <w:r w:rsidRPr="00F96333">
        <w:rPr>
          <w:rFonts w:ascii="Cambria" w:hAnsi="Cambria"/>
          <w:sz w:val="20"/>
          <w:szCs w:val="20"/>
          <w:lang w:val="es-ES_tradnl"/>
        </w:rPr>
        <w:t>.</w:t>
      </w:r>
    </w:p>
    <w:p w:rsidR="00F039D8" w:rsidRPr="00204493" w:rsidRDefault="00F039D8" w:rsidP="00F039D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right="720"/>
        <w:jc w:val="both"/>
        <w:rPr>
          <w:rFonts w:asciiTheme="majorHAnsi" w:hAnsiTheme="majorHAnsi"/>
          <w:sz w:val="20"/>
          <w:szCs w:val="20"/>
          <w:lang w:val="es-CO"/>
        </w:rPr>
      </w:pPr>
    </w:p>
    <w:p w:rsidR="00F039D8" w:rsidRPr="00204493"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sidRPr="00204493">
        <w:rPr>
          <w:rFonts w:ascii="Cambria" w:hAnsi="Cambria"/>
          <w:sz w:val="20"/>
          <w:szCs w:val="20"/>
          <w:lang w:val="es-ES_tradnl"/>
        </w:rPr>
        <w:t xml:space="preserve"> Agregó en relación con otros </w:t>
      </w:r>
      <w:proofErr w:type="spellStart"/>
      <w:r w:rsidRPr="00204493">
        <w:rPr>
          <w:rFonts w:ascii="Cambria" w:hAnsi="Cambria"/>
          <w:sz w:val="20"/>
          <w:szCs w:val="20"/>
          <w:lang w:val="es-ES_tradnl"/>
        </w:rPr>
        <w:t>co</w:t>
      </w:r>
      <w:proofErr w:type="spellEnd"/>
      <w:r w:rsidRPr="00204493">
        <w:rPr>
          <w:rFonts w:ascii="Cambria" w:hAnsi="Cambria"/>
          <w:sz w:val="20"/>
          <w:szCs w:val="20"/>
          <w:lang w:val="es-ES_tradnl"/>
        </w:rPr>
        <w:t>-procesados, que</w:t>
      </w:r>
    </w:p>
    <w:p w:rsidR="00F039D8" w:rsidRPr="00204493" w:rsidRDefault="00F039D8" w:rsidP="00F039D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right="720"/>
        <w:jc w:val="both"/>
        <w:rPr>
          <w:rFonts w:asciiTheme="majorHAnsi" w:hAnsiTheme="majorHAnsi"/>
          <w:sz w:val="20"/>
          <w:szCs w:val="20"/>
          <w:lang w:val="es-CO"/>
        </w:rPr>
      </w:pPr>
    </w:p>
    <w:p w:rsidR="00F039D8" w:rsidRPr="00204493" w:rsidRDefault="00F039D8" w:rsidP="00F039D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Theme="majorHAnsi" w:hAnsiTheme="majorHAnsi"/>
          <w:sz w:val="20"/>
          <w:szCs w:val="20"/>
          <w:lang w:val="es-CO"/>
        </w:rPr>
      </w:pPr>
      <w:r w:rsidRPr="00204493">
        <w:rPr>
          <w:rFonts w:asciiTheme="majorHAnsi" w:hAnsiTheme="majorHAnsi"/>
          <w:sz w:val="20"/>
          <w:szCs w:val="20"/>
          <w:lang w:val="es-CO"/>
        </w:rPr>
        <w:t xml:space="preserve">(…)pese a sus manifestaciones respecto a la comisión de los hechos materia del proceso, por haber obrado dentro de la obediencia jerárquica, no serán merecedores de más de cuatro años de pena privativa de libertad, y aún, en la eventualidad de ser lo contrario, por su condición de militares en actividad y subalternos, sin tener el grado de preparación y cultura de los oficiales implicados en el caso, y que normalmente están en sus cuarteles, no eludirán el proceso de la investigación judicial a efectos del mejor esclarecimiento de los hechos; a que por lo tanto, no dándose copulativamente los presupuestos señalados en el artículo ciento treinta y cinco del Código Procesal Penal vigente parcialmente, es procedente variar su situación jurídica de detención a comparecencia, en armonía con el artículo ciento </w:t>
      </w:r>
      <w:proofErr w:type="spellStart"/>
      <w:r w:rsidRPr="00204493">
        <w:rPr>
          <w:rFonts w:asciiTheme="majorHAnsi" w:hAnsiTheme="majorHAnsi"/>
          <w:sz w:val="20"/>
          <w:szCs w:val="20"/>
          <w:lang w:val="es-CO"/>
        </w:rPr>
        <w:t>cuarentitrés</w:t>
      </w:r>
      <w:proofErr w:type="spellEnd"/>
      <w:r w:rsidRPr="00204493">
        <w:rPr>
          <w:rFonts w:asciiTheme="majorHAnsi" w:hAnsiTheme="majorHAnsi"/>
          <w:sz w:val="20"/>
          <w:szCs w:val="20"/>
          <w:lang w:val="es-CO"/>
        </w:rPr>
        <w:t xml:space="preserve"> del mismo Código Procesal Penal</w:t>
      </w:r>
      <w:r>
        <w:rPr>
          <w:rFonts w:asciiTheme="majorHAnsi" w:hAnsiTheme="majorHAnsi"/>
          <w:sz w:val="20"/>
          <w:szCs w:val="20"/>
          <w:lang w:val="es-CO"/>
        </w:rPr>
        <w:t xml:space="preserve"> (…)</w:t>
      </w:r>
      <w:r w:rsidR="00AB4BDD">
        <w:rPr>
          <w:rFonts w:asciiTheme="majorHAnsi" w:hAnsiTheme="majorHAnsi"/>
          <w:sz w:val="20"/>
          <w:szCs w:val="20"/>
          <w:lang w:val="es-CO"/>
        </w:rPr>
        <w:t>.</w:t>
      </w:r>
    </w:p>
    <w:p w:rsidR="00F039D8" w:rsidRPr="00204493" w:rsidRDefault="00F039D8" w:rsidP="00F039D8">
      <w:pPr>
        <w:rPr>
          <w:sz w:val="20"/>
          <w:szCs w:val="20"/>
          <w:lang w:val="es-ES_tradnl"/>
        </w:rPr>
      </w:pPr>
    </w:p>
    <w:p w:rsidR="00F039D8" w:rsidRPr="00E90E1F"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Pr>
          <w:rFonts w:ascii="Cambria" w:hAnsi="Cambria"/>
          <w:sz w:val="20"/>
          <w:szCs w:val="20"/>
          <w:lang w:val="es-ES_tradnl"/>
        </w:rPr>
        <w:t xml:space="preserve">La Comisión hace notar que el artículo 135 del Código Procesal Penal establecía que </w:t>
      </w:r>
      <w:r w:rsidRPr="00E90E1F">
        <w:rPr>
          <w:rFonts w:ascii="Cambria" w:hAnsi="Cambria"/>
          <w:sz w:val="20"/>
          <w:szCs w:val="20"/>
          <w:lang w:val="es-ES_tradnl"/>
        </w:rPr>
        <w:t>“el juez podrá dictar mandato de detención sí, atendiendo a los primero</w:t>
      </w:r>
      <w:r>
        <w:rPr>
          <w:rFonts w:ascii="Cambria" w:hAnsi="Cambria"/>
          <w:sz w:val="20"/>
          <w:szCs w:val="20"/>
          <w:lang w:val="es-ES_tradnl"/>
        </w:rPr>
        <w:t xml:space="preserve">s </w:t>
      </w:r>
      <w:r w:rsidRPr="00E90E1F">
        <w:rPr>
          <w:rFonts w:ascii="Cambria" w:hAnsi="Cambria"/>
          <w:sz w:val="20"/>
          <w:szCs w:val="20"/>
          <w:lang w:val="es-ES_tradnl"/>
        </w:rPr>
        <w:t>recaudos acompañados por el fiscal provincial, es posible determinar: 1. Que existen suficientes elementos probatorios de la comisión de un delito que vincule al imputado como autor o partícipe del mismo. No constituye elemento probatorio suficiente la condición de miembro de directorio, gerente, socio accionista, directivo o asociado cuando el delito imputado se haya cometido en el ejercicio de una actividad realizada por una persona jurídica de derecho privado. 2. Que la sanción a imponerse sea superior a los cuatro años de pena privativa de libertad. 3. Que existen suficientes elementos probatorios para concluir que el imputado intenta eludir la acción de la justicia o perturbar la acción probatoria. En todo caso, el juez penal podrá revocar de oficio el mandato de detención previamente ordenado cuando nuevos actos de investigación pongan en cuestión la suficiencia las pruebas que dieron lugar a la medida”</w:t>
      </w:r>
      <w:r w:rsidRPr="00F815A6">
        <w:rPr>
          <w:rStyle w:val="FootnoteReference"/>
          <w:rFonts w:asciiTheme="majorHAnsi" w:hAnsiTheme="majorHAnsi"/>
          <w:sz w:val="20"/>
          <w:szCs w:val="20"/>
          <w:lang w:val="es-ES_tradnl"/>
        </w:rPr>
        <w:footnoteReference w:id="89"/>
      </w:r>
      <w:r w:rsidRPr="00E90E1F">
        <w:rPr>
          <w:rFonts w:ascii="Cambria" w:hAnsi="Cambria"/>
          <w:sz w:val="20"/>
          <w:szCs w:val="20"/>
          <w:lang w:val="es-ES_tradnl"/>
        </w:rPr>
        <w:t xml:space="preserve">. </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F039D8" w:rsidRDefault="00F039D8"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Pr>
          <w:rFonts w:ascii="Cambria" w:hAnsi="Cambria"/>
          <w:sz w:val="20"/>
          <w:szCs w:val="20"/>
          <w:lang w:val="es-ES_tradnl"/>
        </w:rPr>
        <w:lastRenderedPageBreak/>
        <w:t xml:space="preserve">La Comisión resalta que en dicha decisión, uno de los jueces en su voto se pronunció en igual sentido, indicando que “la libertad incondicional solo es procedente, cuando ha quedado plenamente probado la inculpabilidad de los encausados, conforme expresamente lo tiene señalado en el artículo doscientos uno del Código de Procedimientos Penales modificado por la Ley veinticuatro mil trescientos </w:t>
      </w:r>
      <w:proofErr w:type="spellStart"/>
      <w:r>
        <w:rPr>
          <w:rFonts w:ascii="Cambria" w:hAnsi="Cambria"/>
          <w:sz w:val="20"/>
          <w:szCs w:val="20"/>
          <w:lang w:val="es-ES_tradnl"/>
        </w:rPr>
        <w:t>ochentiocho</w:t>
      </w:r>
      <w:proofErr w:type="spellEnd"/>
      <w:r>
        <w:rPr>
          <w:rFonts w:ascii="Cambria" w:hAnsi="Cambria"/>
          <w:sz w:val="20"/>
          <w:szCs w:val="20"/>
          <w:lang w:val="es-ES_tradnl"/>
        </w:rPr>
        <w:t xml:space="preserve">, lo cual no ocurre en autos, pues los extremos detallados durante la estación </w:t>
      </w:r>
      <w:proofErr w:type="spellStart"/>
      <w:r>
        <w:rPr>
          <w:rFonts w:ascii="Cambria" w:hAnsi="Cambria"/>
          <w:sz w:val="20"/>
          <w:szCs w:val="20"/>
          <w:lang w:val="es-ES_tradnl"/>
        </w:rPr>
        <w:t>investigatoria</w:t>
      </w:r>
      <w:proofErr w:type="spellEnd"/>
      <w:r>
        <w:rPr>
          <w:rFonts w:ascii="Cambria" w:hAnsi="Cambria"/>
          <w:sz w:val="20"/>
          <w:szCs w:val="20"/>
          <w:lang w:val="es-ES_tradnl"/>
        </w:rPr>
        <w:t xml:space="preserve"> policial, no se han desvirtuado con la simple negativa de los inculpados durante la instrucción; consecuentemente, por los propios fundamentos del recurrido: MI VOTO es porque se CONFIRME el auto de fojas setecientos </w:t>
      </w:r>
      <w:proofErr w:type="spellStart"/>
      <w:r>
        <w:rPr>
          <w:rFonts w:ascii="Cambria" w:hAnsi="Cambria"/>
          <w:sz w:val="20"/>
          <w:szCs w:val="20"/>
          <w:lang w:val="es-ES_tradnl"/>
        </w:rPr>
        <w:t>ochentitrés</w:t>
      </w:r>
      <w:proofErr w:type="spellEnd"/>
      <w:r>
        <w:rPr>
          <w:rFonts w:ascii="Cambria" w:hAnsi="Cambria"/>
          <w:sz w:val="20"/>
          <w:szCs w:val="20"/>
          <w:lang w:val="es-ES_tradnl"/>
        </w:rPr>
        <w:t xml:space="preserve"> (…)</w:t>
      </w:r>
      <w:r w:rsidRPr="00F96333">
        <w:rPr>
          <w:rStyle w:val="FootnoteReference"/>
          <w:rFonts w:ascii="Cambria" w:hAnsi="Cambria"/>
          <w:sz w:val="20"/>
          <w:szCs w:val="20"/>
          <w:lang w:val="es-ES_tradnl"/>
        </w:rPr>
        <w:footnoteReference w:id="90"/>
      </w:r>
      <w:r>
        <w:rPr>
          <w:rFonts w:ascii="Cambria" w:hAnsi="Cambria"/>
          <w:sz w:val="20"/>
          <w:szCs w:val="20"/>
          <w:lang w:val="es-ES_tradnl"/>
        </w:rPr>
        <w:t>”.</w:t>
      </w:r>
    </w:p>
    <w:p w:rsidR="00F039D8" w:rsidRPr="00753EC4" w:rsidRDefault="00F039D8" w:rsidP="00F039D8">
      <w:pPr>
        <w:tabs>
          <w:tab w:val="left" w:pos="1440"/>
        </w:tabs>
        <w:jc w:val="both"/>
        <w:rPr>
          <w:rFonts w:ascii="Cambria" w:hAnsi="Cambria"/>
          <w:sz w:val="20"/>
          <w:szCs w:val="20"/>
          <w:lang w:val="es-ES_tradnl"/>
        </w:rPr>
      </w:pPr>
    </w:p>
    <w:p w:rsidR="00F039D8" w:rsidRPr="0062533A" w:rsidRDefault="00F039D8" w:rsidP="00F039D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00" w:line="276" w:lineRule="auto"/>
        <w:ind w:hanging="1080"/>
        <w:rPr>
          <w:rFonts w:ascii="Cambria" w:hAnsi="Cambria"/>
          <w:b/>
          <w:sz w:val="20"/>
          <w:szCs w:val="20"/>
          <w:lang w:val="es-ES_tradnl"/>
        </w:rPr>
      </w:pPr>
      <w:r w:rsidRPr="0062533A">
        <w:rPr>
          <w:rFonts w:ascii="Cambria" w:hAnsi="Cambria"/>
          <w:b/>
          <w:sz w:val="20"/>
          <w:szCs w:val="20"/>
          <w:lang w:val="es-ES_tradnl"/>
        </w:rPr>
        <w:t xml:space="preserve">Jurisdicción penal militar </w:t>
      </w:r>
    </w:p>
    <w:p w:rsidR="00F039D8" w:rsidRPr="00F96333" w:rsidRDefault="001A068E" w:rsidP="00F039D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Pr>
          <w:rFonts w:ascii="Cambria" w:hAnsi="Cambria"/>
          <w:sz w:val="20"/>
          <w:szCs w:val="20"/>
          <w:lang w:val="es-ES_tradnl"/>
        </w:rPr>
        <w:t>Según</w:t>
      </w:r>
      <w:r w:rsidR="00F039D8" w:rsidRPr="00F96333">
        <w:rPr>
          <w:rFonts w:ascii="Cambria" w:hAnsi="Cambria"/>
          <w:sz w:val="20"/>
          <w:szCs w:val="20"/>
          <w:lang w:val="es-VE"/>
        </w:rPr>
        <w:t xml:space="preserve"> consta en el expediente, la presunta víctima y otras personas fueron “</w:t>
      </w:r>
      <w:r w:rsidR="00F039D8" w:rsidRPr="0062533A">
        <w:rPr>
          <w:rFonts w:ascii="Cambria" w:hAnsi="Cambria"/>
          <w:sz w:val="20"/>
          <w:szCs w:val="20"/>
          <w:lang w:val="es-VE"/>
        </w:rPr>
        <w:t>puestos a disposición de la 2FPMT en calidad de detenidos”</w:t>
      </w:r>
      <w:r w:rsidR="00F039D8" w:rsidRPr="00F96333">
        <w:rPr>
          <w:rFonts w:ascii="Cambria" w:hAnsi="Cambria"/>
          <w:sz w:val="20"/>
          <w:szCs w:val="20"/>
          <w:lang w:val="es-VE"/>
        </w:rPr>
        <w:t>, internados en el Destacamen</w:t>
      </w:r>
      <w:r w:rsidR="00F039D8">
        <w:rPr>
          <w:rFonts w:ascii="Cambria" w:hAnsi="Cambria"/>
          <w:sz w:val="20"/>
          <w:szCs w:val="20"/>
          <w:lang w:val="es-VE"/>
        </w:rPr>
        <w:t xml:space="preserve">to Militar EP “Leoncio Prado”, </w:t>
      </w:r>
      <w:r w:rsidR="00F039D8" w:rsidRPr="00F96333">
        <w:rPr>
          <w:rFonts w:ascii="Cambria" w:hAnsi="Cambria"/>
          <w:sz w:val="20"/>
          <w:szCs w:val="20"/>
          <w:lang w:val="es-VE"/>
        </w:rPr>
        <w:t>el 23 de septiembre de 1994</w:t>
      </w:r>
      <w:r w:rsidR="00F039D8" w:rsidRPr="00F96333">
        <w:rPr>
          <w:rStyle w:val="FootnoteReference"/>
          <w:rFonts w:asciiTheme="majorHAnsi" w:hAnsiTheme="majorHAnsi"/>
          <w:sz w:val="20"/>
          <w:szCs w:val="20"/>
          <w:lang w:val="es-VE"/>
        </w:rPr>
        <w:footnoteReference w:id="91"/>
      </w:r>
      <w:r w:rsidR="00F039D8" w:rsidRPr="00F96333">
        <w:rPr>
          <w:rFonts w:ascii="Cambria" w:hAnsi="Cambria"/>
          <w:sz w:val="20"/>
          <w:szCs w:val="20"/>
          <w:lang w:val="es-VE"/>
        </w:rPr>
        <w:t>.</w:t>
      </w:r>
    </w:p>
    <w:p w:rsidR="00F039D8" w:rsidRDefault="00F039D8" w:rsidP="00F039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rsidR="00F039D8" w:rsidRDefault="00F039D8" w:rsidP="000F02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Pr>
          <w:rFonts w:ascii="Cambria" w:hAnsi="Cambria"/>
          <w:sz w:val="20"/>
          <w:szCs w:val="20"/>
          <w:lang w:val="es-ES_tradnl"/>
        </w:rPr>
        <w:t xml:space="preserve">El 9 de agosto de 1995 </w:t>
      </w:r>
      <w:r w:rsidRPr="00F96333">
        <w:rPr>
          <w:rFonts w:ascii="Cambria" w:hAnsi="Cambria"/>
          <w:sz w:val="20"/>
          <w:szCs w:val="20"/>
          <w:lang w:val="es-ES_tradnl"/>
        </w:rPr>
        <w:t>el Juez Militar Permanente de Tarapoto</w:t>
      </w:r>
      <w:r>
        <w:rPr>
          <w:rFonts w:ascii="Cambria" w:hAnsi="Cambria"/>
          <w:sz w:val="20"/>
          <w:szCs w:val="20"/>
          <w:lang w:val="es-ES_tradnl"/>
        </w:rPr>
        <w:t xml:space="preserve">, Jorge Ramírez Huerta, </w:t>
      </w:r>
      <w:r w:rsidRPr="00F96333">
        <w:rPr>
          <w:rFonts w:ascii="Cambria" w:hAnsi="Cambria"/>
          <w:sz w:val="20"/>
          <w:szCs w:val="20"/>
          <w:lang w:val="es-ES_tradnl"/>
        </w:rPr>
        <w:t>resolvió dictar orden de detención definitiva contra la presunta víctima, considerando que “</w:t>
      </w:r>
      <w:r w:rsidRPr="00CA6B05">
        <w:rPr>
          <w:rFonts w:ascii="Cambria" w:hAnsi="Cambria"/>
          <w:sz w:val="20"/>
          <w:szCs w:val="20"/>
          <w:lang w:val="es-ES_tradnl"/>
        </w:rPr>
        <w:t>el inculpado reconoce haber recibido dinero de narcotraficantes y haber realizado la distribución del mismo entre sus coencausados”</w:t>
      </w:r>
      <w:r w:rsidRPr="00F96333">
        <w:rPr>
          <w:rFonts w:ascii="Cambria" w:hAnsi="Cambria"/>
          <w:sz w:val="20"/>
          <w:szCs w:val="20"/>
          <w:lang w:val="es-ES_tradnl"/>
        </w:rPr>
        <w:t xml:space="preserve"> y que dicho encausado se encuentra cumpliendo la medida de detención impuesta por el fuero común, por ser procesado por el delito de tráfico ilícito de drogas</w:t>
      </w:r>
      <w:r w:rsidRPr="00244EB9">
        <w:rPr>
          <w:rFonts w:ascii="Cambria" w:hAnsi="Cambria"/>
          <w:sz w:val="20"/>
          <w:szCs w:val="20"/>
          <w:vertAlign w:val="superscript"/>
          <w:lang w:val="es-ES_tradnl"/>
        </w:rPr>
        <w:footnoteReference w:id="92"/>
      </w:r>
      <w:r w:rsidRPr="00F96333">
        <w:rPr>
          <w:rFonts w:ascii="Cambria" w:hAnsi="Cambria"/>
          <w:sz w:val="20"/>
          <w:szCs w:val="20"/>
          <w:lang w:val="es-ES_tradnl"/>
        </w:rPr>
        <w:t>.</w:t>
      </w:r>
    </w:p>
    <w:p w:rsidR="009F0011" w:rsidRPr="009F0011" w:rsidRDefault="009F0011" w:rsidP="009F001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rsidR="00915FF9" w:rsidRPr="00151E4A" w:rsidRDefault="00915FF9" w:rsidP="00915FF9">
      <w:pPr>
        <w:pStyle w:val="Heading1"/>
        <w:numPr>
          <w:ilvl w:val="0"/>
          <w:numId w:val="55"/>
        </w:numPr>
        <w:tabs>
          <w:tab w:val="clear" w:pos="1440"/>
        </w:tabs>
      </w:pPr>
      <w:bookmarkStart w:id="42" w:name="_Toc423514424"/>
      <w:bookmarkStart w:id="43" w:name="_Toc441166736"/>
      <w:bookmarkStart w:id="44" w:name="_Toc485394057"/>
      <w:r w:rsidRPr="00151E4A">
        <w:t>ANALISIS DE DERECHO</w:t>
      </w:r>
      <w:bookmarkEnd w:id="42"/>
      <w:bookmarkEnd w:id="43"/>
      <w:bookmarkEnd w:id="44"/>
      <w:r w:rsidRPr="00151E4A">
        <w:t xml:space="preserve"> </w:t>
      </w:r>
    </w:p>
    <w:p w:rsidR="00ED4406" w:rsidRDefault="00ED4406" w:rsidP="003005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80808"/>
          <w:sz w:val="20"/>
          <w:szCs w:val="20"/>
          <w:shd w:val="clear" w:color="auto" w:fill="FFFFFF"/>
          <w:lang w:val="es-ES"/>
        </w:rPr>
      </w:pPr>
    </w:p>
    <w:p w:rsidR="001F6C8A" w:rsidRPr="00AD54A2" w:rsidRDefault="003A43FF" w:rsidP="00AD5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sidRPr="00AD54A2">
        <w:rPr>
          <w:rFonts w:ascii="Cambria" w:hAnsi="Cambria"/>
          <w:sz w:val="20"/>
          <w:szCs w:val="20"/>
          <w:lang w:val="es-ES_tradnl"/>
        </w:rPr>
        <w:t>Tomando en cuenta los hechos establecidos y los alegatos de las partes, la Comisión formulará su análisis de derecho en el siguiente orden: A</w:t>
      </w:r>
      <w:r w:rsidR="00185EF1">
        <w:rPr>
          <w:rFonts w:ascii="Cambria" w:hAnsi="Cambria"/>
          <w:sz w:val="20"/>
          <w:szCs w:val="20"/>
          <w:lang w:val="es-ES_tradnl"/>
        </w:rPr>
        <w:t>.</w:t>
      </w:r>
      <w:r w:rsidR="00F670EC" w:rsidRPr="00AD54A2">
        <w:rPr>
          <w:rFonts w:ascii="Cambria" w:hAnsi="Cambria"/>
          <w:sz w:val="20"/>
          <w:szCs w:val="20"/>
          <w:lang w:val="es-ES_tradnl"/>
        </w:rPr>
        <w:t xml:space="preserve"> El derecho a las garantías judiciales en relación con el proceso administrativo disciplinario; B. El derecho a las garantías judiciales en relación con el proceso ante la jurisdicción penal militar y ordinaria; </w:t>
      </w:r>
      <w:r w:rsidR="00474F50" w:rsidRPr="00AD54A2">
        <w:rPr>
          <w:rFonts w:ascii="Cambria" w:hAnsi="Cambria"/>
          <w:sz w:val="20"/>
          <w:szCs w:val="20"/>
          <w:lang w:val="es-ES_tradnl"/>
        </w:rPr>
        <w:t>C. El principio de n</w:t>
      </w:r>
      <w:r w:rsidR="00C37E26">
        <w:rPr>
          <w:rFonts w:ascii="Cambria" w:hAnsi="Cambria"/>
          <w:sz w:val="20"/>
          <w:szCs w:val="20"/>
          <w:lang w:val="es-ES_tradnl"/>
        </w:rPr>
        <w:t>on</w:t>
      </w:r>
      <w:r w:rsidR="00474F50" w:rsidRPr="00AD54A2">
        <w:rPr>
          <w:rFonts w:ascii="Cambria" w:hAnsi="Cambria"/>
          <w:sz w:val="20"/>
          <w:szCs w:val="20"/>
          <w:lang w:val="es-ES_tradnl"/>
        </w:rPr>
        <w:t xml:space="preserve"> bis in ídem respecto de los procesos adelantados contra la presunta víctima</w:t>
      </w:r>
      <w:r w:rsidR="007F043D" w:rsidRPr="00AD54A2">
        <w:rPr>
          <w:rFonts w:ascii="Cambria" w:hAnsi="Cambria"/>
          <w:sz w:val="20"/>
          <w:szCs w:val="20"/>
          <w:lang w:val="es-ES_tradnl"/>
        </w:rPr>
        <w:t>; y D. El derecho a la libertad personal, a las garantías judiciales y a la protección judicial respecto de la detención preventiva</w:t>
      </w:r>
      <w:r w:rsidR="00215A30" w:rsidRPr="00AD54A2">
        <w:rPr>
          <w:rFonts w:ascii="Cambria" w:hAnsi="Cambria"/>
          <w:sz w:val="20"/>
          <w:szCs w:val="20"/>
          <w:lang w:val="es-ES_tradnl"/>
        </w:rPr>
        <w:t>.</w:t>
      </w:r>
    </w:p>
    <w:p w:rsidR="006A1587" w:rsidRDefault="006A1587" w:rsidP="003005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eastAsia="es-ES"/>
        </w:rPr>
      </w:pPr>
    </w:p>
    <w:p w:rsidR="00731C2E" w:rsidRDefault="003E196A" w:rsidP="006B6817">
      <w:pPr>
        <w:pStyle w:val="Heading2"/>
        <w:numPr>
          <w:ilvl w:val="0"/>
          <w:numId w:val="61"/>
        </w:numPr>
        <w:rPr>
          <w:lang w:val="es-ES" w:eastAsia="es-ES"/>
        </w:rPr>
      </w:pPr>
      <w:bookmarkStart w:id="45" w:name="_Toc485394058"/>
      <w:bookmarkStart w:id="46" w:name="_Toc469409097"/>
      <w:r>
        <w:rPr>
          <w:lang w:val="es-ES" w:eastAsia="es-ES"/>
        </w:rPr>
        <w:t>El derecho a las garantías judiciales</w:t>
      </w:r>
      <w:r w:rsidR="00185EF1">
        <w:rPr>
          <w:lang w:val="es-ES" w:eastAsia="es-ES"/>
        </w:rPr>
        <w:t xml:space="preserve"> </w:t>
      </w:r>
      <w:r w:rsidR="003B41BC">
        <w:rPr>
          <w:lang w:val="es-ES" w:eastAsia="es-ES"/>
        </w:rPr>
        <w:t xml:space="preserve">en relación con el proceso administrativo disciplinario (Artículos </w:t>
      </w:r>
      <w:r w:rsidR="0008336C">
        <w:rPr>
          <w:lang w:val="es-ES" w:eastAsia="es-ES"/>
        </w:rPr>
        <w:t>8.</w:t>
      </w:r>
      <w:r w:rsidR="00D61BBF">
        <w:rPr>
          <w:lang w:val="es-ES" w:eastAsia="es-ES"/>
        </w:rPr>
        <w:t>1,</w:t>
      </w:r>
      <w:r w:rsidR="0008336C">
        <w:rPr>
          <w:lang w:val="es-ES" w:eastAsia="es-ES"/>
        </w:rPr>
        <w:t xml:space="preserve"> </w:t>
      </w:r>
      <w:r w:rsidR="003B41BC">
        <w:rPr>
          <w:lang w:val="es-ES" w:eastAsia="es-ES"/>
        </w:rPr>
        <w:t>8</w:t>
      </w:r>
      <w:r w:rsidR="001523BB">
        <w:rPr>
          <w:lang w:val="es-ES" w:eastAsia="es-ES"/>
        </w:rPr>
        <w:t xml:space="preserve">.2 b, c, e </w:t>
      </w:r>
      <w:r w:rsidR="003B41BC">
        <w:rPr>
          <w:lang w:val="es-ES" w:eastAsia="es-ES"/>
        </w:rPr>
        <w:t xml:space="preserve">de la Convención Americana en relación con </w:t>
      </w:r>
      <w:r w:rsidR="00862518">
        <w:rPr>
          <w:lang w:val="es-ES" w:eastAsia="es-ES"/>
        </w:rPr>
        <w:t>el</w:t>
      </w:r>
      <w:r w:rsidR="003B41BC">
        <w:rPr>
          <w:lang w:val="es-ES" w:eastAsia="es-ES"/>
        </w:rPr>
        <w:t xml:space="preserve"> artículo 1.1</w:t>
      </w:r>
      <w:r w:rsidR="00447F82">
        <w:rPr>
          <w:lang w:val="es-ES" w:eastAsia="es-ES"/>
        </w:rPr>
        <w:t xml:space="preserve"> </w:t>
      </w:r>
      <w:r w:rsidR="003B41BC">
        <w:rPr>
          <w:lang w:val="es-ES" w:eastAsia="es-ES"/>
        </w:rPr>
        <w:t>de la Convención Americana)</w:t>
      </w:r>
      <w:bookmarkEnd w:id="45"/>
    </w:p>
    <w:p w:rsidR="00310628" w:rsidRPr="00310628" w:rsidRDefault="00310628" w:rsidP="00310628">
      <w:pPr>
        <w:rPr>
          <w:lang w:val="es-ES" w:eastAsia="es-ES"/>
        </w:rPr>
      </w:pPr>
    </w:p>
    <w:p w:rsidR="003B41BC" w:rsidRDefault="003B41BC" w:rsidP="002E420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eastAsia="es-ES"/>
        </w:rPr>
      </w:pPr>
      <w:r>
        <w:rPr>
          <w:rFonts w:asciiTheme="majorHAnsi" w:hAnsiTheme="majorHAnsi"/>
          <w:sz w:val="20"/>
          <w:szCs w:val="20"/>
          <w:lang w:val="es-ES" w:eastAsia="es-ES"/>
        </w:rPr>
        <w:t>El artículo 8 de la Co</w:t>
      </w:r>
      <w:r w:rsidR="00DF66C9">
        <w:rPr>
          <w:rFonts w:asciiTheme="majorHAnsi" w:hAnsiTheme="majorHAnsi"/>
          <w:sz w:val="20"/>
          <w:szCs w:val="20"/>
          <w:lang w:val="es-ES" w:eastAsia="es-ES"/>
        </w:rPr>
        <w:t>nvención Americana establece en lo pertinente que</w:t>
      </w:r>
      <w:r>
        <w:rPr>
          <w:rFonts w:asciiTheme="majorHAnsi" w:hAnsiTheme="majorHAnsi"/>
          <w:sz w:val="20"/>
          <w:szCs w:val="20"/>
          <w:lang w:val="es-ES" w:eastAsia="es-ES"/>
        </w:rPr>
        <w:t>:</w:t>
      </w:r>
    </w:p>
    <w:p w:rsidR="003B41BC" w:rsidRDefault="003B41BC" w:rsidP="003B41BC">
      <w:pPr>
        <w:jc w:val="both"/>
        <w:rPr>
          <w:rFonts w:ascii="Cambria" w:hAnsi="Cambria"/>
          <w:sz w:val="20"/>
          <w:szCs w:val="20"/>
          <w:lang w:val="es-ES"/>
        </w:rPr>
      </w:pPr>
    </w:p>
    <w:p w:rsidR="00F74AEA" w:rsidRPr="00191F54" w:rsidRDefault="00F74AEA" w:rsidP="003F520C">
      <w:pPr>
        <w:pStyle w:val="ListParagraph"/>
        <w:numPr>
          <w:ilvl w:val="0"/>
          <w:numId w:val="64"/>
        </w:numPr>
        <w:tabs>
          <w:tab w:val="left" w:pos="1080"/>
        </w:tabs>
        <w:autoSpaceDE w:val="0"/>
        <w:autoSpaceDN w:val="0"/>
        <w:adjustRightInd w:val="0"/>
        <w:ind w:left="720" w:right="720" w:firstLine="0"/>
        <w:jc w:val="both"/>
        <w:rPr>
          <w:rFonts w:cs="Verdana"/>
          <w:sz w:val="20"/>
          <w:szCs w:val="20"/>
          <w:lang w:val="es-ES" w:bidi="en-US"/>
        </w:rPr>
      </w:pPr>
      <w:r w:rsidRPr="00191F54">
        <w:rPr>
          <w:rFonts w:cs="Verdana"/>
          <w:sz w:val="20"/>
          <w:szCs w:val="20"/>
          <w:lang w:val="es-ES" w:bidi="en-U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F74AEA" w:rsidRPr="008752B9" w:rsidRDefault="00F74AEA" w:rsidP="004310CD">
      <w:pPr>
        <w:jc w:val="both"/>
        <w:rPr>
          <w:rFonts w:ascii="Cambria" w:hAnsi="Cambria"/>
          <w:sz w:val="20"/>
          <w:szCs w:val="20"/>
          <w:lang w:val="es-ES"/>
        </w:rPr>
      </w:pPr>
    </w:p>
    <w:p w:rsidR="003B41BC" w:rsidRPr="008752B9" w:rsidRDefault="003B41BC" w:rsidP="003B41BC">
      <w:pPr>
        <w:autoSpaceDE w:val="0"/>
        <w:autoSpaceDN w:val="0"/>
        <w:adjustRightInd w:val="0"/>
        <w:ind w:left="720" w:right="720"/>
        <w:jc w:val="both"/>
        <w:rPr>
          <w:rFonts w:ascii="Cambria" w:hAnsi="Cambria" w:cs="Times-Roman"/>
          <w:sz w:val="20"/>
          <w:szCs w:val="20"/>
          <w:lang w:val="es-ES" w:bidi="en-US"/>
        </w:rPr>
      </w:pPr>
      <w:r w:rsidRPr="008752B9">
        <w:rPr>
          <w:rFonts w:ascii="Cambria" w:hAnsi="Cambria" w:cs="Verdana"/>
          <w:sz w:val="20"/>
          <w:szCs w:val="20"/>
          <w:lang w:val="es-ES" w:bidi="en-US"/>
        </w:rPr>
        <w:t>2.  Toda persona inculpada de delito tiene derecho a que se presuma su inocencia mientras no se establezca legalmente su culpabilidad.  Durante el proceso, toda persona tiene derecho, en plena igualdad, a las siguientes garantías mínimas:</w:t>
      </w:r>
    </w:p>
    <w:p w:rsidR="003B41BC" w:rsidRPr="008752B9" w:rsidRDefault="003B41BC" w:rsidP="003B41BC">
      <w:pPr>
        <w:autoSpaceDE w:val="0"/>
        <w:autoSpaceDN w:val="0"/>
        <w:adjustRightInd w:val="0"/>
        <w:ind w:left="720" w:right="720"/>
        <w:jc w:val="both"/>
        <w:rPr>
          <w:rFonts w:ascii="Cambria" w:hAnsi="Cambria" w:cs="Verdana"/>
          <w:sz w:val="20"/>
          <w:szCs w:val="20"/>
          <w:lang w:val="es-ES" w:bidi="en-US"/>
        </w:rPr>
      </w:pPr>
      <w:r w:rsidRPr="008752B9">
        <w:rPr>
          <w:rFonts w:ascii="Cambria" w:hAnsi="Cambria" w:cs="Verdana"/>
          <w:sz w:val="20"/>
          <w:szCs w:val="20"/>
          <w:lang w:val="es-ES" w:bidi="en-US"/>
        </w:rPr>
        <w:t>(…)</w:t>
      </w:r>
    </w:p>
    <w:p w:rsidR="003B41BC" w:rsidRPr="008752B9" w:rsidRDefault="003B41BC" w:rsidP="003B41BC">
      <w:pPr>
        <w:autoSpaceDE w:val="0"/>
        <w:autoSpaceDN w:val="0"/>
        <w:adjustRightInd w:val="0"/>
        <w:ind w:left="720" w:right="720"/>
        <w:jc w:val="both"/>
        <w:rPr>
          <w:rFonts w:ascii="Cambria" w:hAnsi="Cambria" w:cs="Times-Roman"/>
          <w:sz w:val="20"/>
          <w:szCs w:val="20"/>
          <w:lang w:val="es-ES" w:bidi="en-US"/>
        </w:rPr>
      </w:pPr>
      <w:r w:rsidRPr="008752B9">
        <w:rPr>
          <w:rFonts w:ascii="Cambria" w:hAnsi="Cambria" w:cs="Verdana"/>
          <w:sz w:val="20"/>
          <w:szCs w:val="20"/>
          <w:lang w:val="es-ES" w:bidi="en-US"/>
        </w:rPr>
        <w:t>b.    comunicación previa y detallada al inculpado de la acusación formulada;</w:t>
      </w:r>
    </w:p>
    <w:p w:rsidR="003B41BC" w:rsidRDefault="003B41BC" w:rsidP="003B41BC">
      <w:pPr>
        <w:autoSpaceDE w:val="0"/>
        <w:autoSpaceDN w:val="0"/>
        <w:adjustRightInd w:val="0"/>
        <w:ind w:left="720" w:right="720"/>
        <w:jc w:val="both"/>
        <w:rPr>
          <w:rFonts w:ascii="Cambria" w:hAnsi="Cambria" w:cs="Verdana"/>
          <w:sz w:val="20"/>
          <w:szCs w:val="20"/>
          <w:lang w:val="es-ES" w:bidi="en-US"/>
        </w:rPr>
      </w:pPr>
      <w:r w:rsidRPr="008752B9">
        <w:rPr>
          <w:rFonts w:ascii="Cambria" w:hAnsi="Cambria" w:cs="Verdana"/>
          <w:sz w:val="20"/>
          <w:szCs w:val="20"/>
          <w:lang w:val="es-ES" w:bidi="en-US"/>
        </w:rPr>
        <w:t xml:space="preserve">c.    concesión al inculpado del tiempo y de los medios adecuados para la preparación de su defensa; </w:t>
      </w:r>
    </w:p>
    <w:p w:rsidR="00DF66C9" w:rsidRPr="008752B9" w:rsidRDefault="00DF66C9" w:rsidP="003B41BC">
      <w:pPr>
        <w:autoSpaceDE w:val="0"/>
        <w:autoSpaceDN w:val="0"/>
        <w:adjustRightInd w:val="0"/>
        <w:ind w:left="720" w:right="720"/>
        <w:jc w:val="both"/>
        <w:rPr>
          <w:rFonts w:ascii="Cambria" w:hAnsi="Cambria"/>
          <w:sz w:val="20"/>
          <w:szCs w:val="20"/>
          <w:lang w:val="es-ES"/>
        </w:rPr>
      </w:pPr>
      <w:r>
        <w:rPr>
          <w:rFonts w:ascii="Cambria" w:hAnsi="Cambria" w:cs="Verdana"/>
          <w:sz w:val="20"/>
          <w:szCs w:val="20"/>
          <w:lang w:val="es-ES" w:bidi="en-US"/>
        </w:rPr>
        <w:lastRenderedPageBreak/>
        <w:t>e.   derecho irrenunciable de ser asistido por un defensor proporcionado por el Estado, remunerado o no según la legislación interna, si el inculpado no se defendiere por sí mismo ni nombrare defensor dentro del plazo establecido por la ley;</w:t>
      </w:r>
    </w:p>
    <w:p w:rsidR="003B41BC" w:rsidRPr="008752B9" w:rsidRDefault="003B41BC" w:rsidP="003B41BC">
      <w:pPr>
        <w:ind w:left="720" w:right="720"/>
        <w:jc w:val="both"/>
        <w:rPr>
          <w:rFonts w:ascii="Cambria" w:hAnsi="Cambria"/>
          <w:sz w:val="20"/>
          <w:szCs w:val="20"/>
          <w:lang w:val="es-ES"/>
        </w:rPr>
      </w:pPr>
      <w:r w:rsidRPr="008752B9">
        <w:rPr>
          <w:rFonts w:ascii="Cambria" w:hAnsi="Cambria"/>
          <w:sz w:val="20"/>
          <w:szCs w:val="20"/>
          <w:lang w:val="es-ES"/>
        </w:rPr>
        <w:t>(…)</w:t>
      </w:r>
    </w:p>
    <w:p w:rsidR="00E751B9" w:rsidRDefault="00E751B9" w:rsidP="003E317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eastAsia="es-ES"/>
        </w:rPr>
      </w:pPr>
    </w:p>
    <w:p w:rsidR="00E751B9" w:rsidRDefault="00E751B9" w:rsidP="00E751B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eastAsia="es-ES"/>
        </w:rPr>
      </w:pPr>
      <w:r>
        <w:rPr>
          <w:rFonts w:asciiTheme="majorHAnsi" w:hAnsiTheme="majorHAnsi"/>
          <w:sz w:val="20"/>
          <w:szCs w:val="20"/>
          <w:lang w:val="es-ES" w:eastAsia="es-ES"/>
        </w:rPr>
        <w:t xml:space="preserve">El artículo 1.1 de la Convención Americana establece, </w:t>
      </w:r>
    </w:p>
    <w:p w:rsidR="00E751B9" w:rsidRPr="00E751B9" w:rsidRDefault="00E751B9" w:rsidP="00E751B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eastAsia="es-ES"/>
        </w:rPr>
      </w:pPr>
    </w:p>
    <w:p w:rsidR="00E751B9" w:rsidRPr="00E751B9" w:rsidRDefault="00E751B9" w:rsidP="00E751B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eastAsia="es-ES"/>
        </w:rPr>
      </w:pPr>
      <w:r w:rsidRPr="00E751B9">
        <w:rPr>
          <w:rFonts w:asciiTheme="majorHAnsi" w:hAnsiTheme="majorHAnsi" w:cs="Tahoma"/>
          <w:color w:val="000000"/>
          <w:sz w:val="20"/>
          <w:szCs w:val="20"/>
          <w:lang w:val="es-VE"/>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E751B9" w:rsidRPr="003B41BC" w:rsidRDefault="00E751B9" w:rsidP="0067059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eastAsia="es-ES"/>
        </w:rPr>
      </w:pPr>
    </w:p>
    <w:p w:rsidR="002D7EC8" w:rsidRPr="00E062A0" w:rsidRDefault="002D7EC8" w:rsidP="00E062A0">
      <w:pPr>
        <w:pStyle w:val="Heading3"/>
        <w:numPr>
          <w:ilvl w:val="1"/>
          <w:numId w:val="55"/>
        </w:numPr>
        <w:tabs>
          <w:tab w:val="clear" w:pos="1800"/>
          <w:tab w:val="num" w:pos="1440"/>
        </w:tabs>
        <w:ind w:hanging="1080"/>
        <w:rPr>
          <w:sz w:val="20"/>
          <w:szCs w:val="20"/>
          <w:lang w:val="es-ES_tradnl"/>
        </w:rPr>
      </w:pPr>
      <w:bookmarkStart w:id="47" w:name="_Toc485394059"/>
      <w:r w:rsidRPr="00E062A0">
        <w:rPr>
          <w:color w:val="auto"/>
          <w:sz w:val="20"/>
          <w:szCs w:val="20"/>
          <w:lang w:val="es-ES_tradnl"/>
        </w:rPr>
        <w:t>Consideraciones generales</w:t>
      </w:r>
      <w:bookmarkEnd w:id="47"/>
      <w:r w:rsidRPr="00E062A0">
        <w:rPr>
          <w:color w:val="auto"/>
          <w:sz w:val="20"/>
          <w:szCs w:val="20"/>
          <w:lang w:val="es-ES_tradnl"/>
        </w:rPr>
        <w:t xml:space="preserve"> </w:t>
      </w:r>
    </w:p>
    <w:p w:rsidR="003B41BC" w:rsidRDefault="003B41BC" w:rsidP="002D7EC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eastAsia="es-ES"/>
        </w:rPr>
      </w:pPr>
    </w:p>
    <w:p w:rsidR="00084116" w:rsidRDefault="002D7EC8" w:rsidP="0099357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eastAsia="es-ES"/>
        </w:rPr>
      </w:pPr>
      <w:r w:rsidRPr="002D7EC8">
        <w:rPr>
          <w:rFonts w:asciiTheme="majorHAnsi" w:hAnsiTheme="majorHAnsi"/>
          <w:sz w:val="20"/>
          <w:szCs w:val="20"/>
          <w:lang w:val="es-ES" w:eastAsia="es-ES"/>
        </w:rPr>
        <w:t>El derecho a las garantías judiciales engloba al conjunto de requisitos que deben observarse en las instancias procesales a efectos de que las personas estén en condiciones de defender adecuadamente sus derechos ante cualquier acto del Estado</w:t>
      </w:r>
      <w:r w:rsidRPr="002D7EC8">
        <w:rPr>
          <w:rFonts w:asciiTheme="majorHAnsi" w:hAnsiTheme="majorHAnsi"/>
          <w:sz w:val="20"/>
          <w:szCs w:val="20"/>
          <w:vertAlign w:val="superscript"/>
          <w:lang w:val="es-ES" w:eastAsia="es-ES"/>
        </w:rPr>
        <w:footnoteReference w:id="93"/>
      </w:r>
      <w:r w:rsidRPr="002D7EC8">
        <w:rPr>
          <w:rFonts w:asciiTheme="majorHAnsi" w:hAnsiTheme="majorHAnsi"/>
          <w:sz w:val="20"/>
          <w:szCs w:val="20"/>
          <w:lang w:val="es-ES" w:eastAsia="es-ES"/>
        </w:rPr>
        <w:t xml:space="preserve">. </w:t>
      </w:r>
    </w:p>
    <w:p w:rsidR="00084116" w:rsidRPr="00084116" w:rsidRDefault="00084116" w:rsidP="00786F41">
      <w:pPr>
        <w:rPr>
          <w:lang w:val="es-ES"/>
        </w:rPr>
      </w:pPr>
    </w:p>
    <w:p w:rsidR="007F5661" w:rsidRDefault="00786F41" w:rsidP="007F566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eastAsia="es-ES"/>
        </w:rPr>
      </w:pPr>
      <w:r>
        <w:rPr>
          <w:rFonts w:asciiTheme="majorHAnsi" w:hAnsiTheme="majorHAnsi"/>
          <w:sz w:val="20"/>
          <w:szCs w:val="20"/>
          <w:lang w:val="es-ES" w:eastAsia="es-ES"/>
        </w:rPr>
        <w:t>T</w:t>
      </w:r>
      <w:r w:rsidR="007F5661" w:rsidRPr="007F5661">
        <w:rPr>
          <w:rFonts w:asciiTheme="majorHAnsi" w:hAnsiTheme="majorHAnsi"/>
          <w:sz w:val="20"/>
          <w:szCs w:val="20"/>
          <w:lang w:val="es-ES" w:eastAsia="es-ES"/>
        </w:rPr>
        <w:t>anto la Comisión como la Corte Interamericana han señalado reiteradamente que, en general, las garantías establecidas en el artículo 8 de la Convención Americana, no se limitan a procesos penales, sino que aplican a procesos de otra naturaleza</w:t>
      </w:r>
      <w:r w:rsidR="007F5661" w:rsidRPr="007F5661">
        <w:rPr>
          <w:rFonts w:asciiTheme="majorHAnsi" w:hAnsiTheme="majorHAnsi"/>
          <w:sz w:val="20"/>
          <w:szCs w:val="20"/>
          <w:vertAlign w:val="superscript"/>
          <w:lang w:eastAsia="es-ES"/>
        </w:rPr>
        <w:footnoteReference w:id="94"/>
      </w:r>
      <w:r w:rsidR="007F5661" w:rsidRPr="007F5661">
        <w:rPr>
          <w:rFonts w:asciiTheme="majorHAnsi" w:hAnsiTheme="majorHAnsi"/>
          <w:sz w:val="20"/>
          <w:szCs w:val="20"/>
          <w:lang w:val="es-ES" w:eastAsia="es-ES"/>
        </w:rPr>
        <w:t>. Específicamente, cuando se trata de procesos sancionatorios, ambos órganos del sistema han indicado que aplican, análogamente, las garantías establecidas en el artículo 8.2 de la Convención Americana</w:t>
      </w:r>
      <w:r w:rsidR="007F5661" w:rsidRPr="007F5661">
        <w:rPr>
          <w:rFonts w:asciiTheme="majorHAnsi" w:hAnsiTheme="majorHAnsi"/>
          <w:sz w:val="20"/>
          <w:szCs w:val="20"/>
          <w:vertAlign w:val="superscript"/>
          <w:lang w:eastAsia="es-ES"/>
        </w:rPr>
        <w:footnoteReference w:id="95"/>
      </w:r>
      <w:r w:rsidR="007F5661" w:rsidRPr="007F5661">
        <w:rPr>
          <w:rFonts w:asciiTheme="majorHAnsi" w:hAnsiTheme="majorHAnsi"/>
          <w:sz w:val="20"/>
          <w:szCs w:val="20"/>
          <w:lang w:val="es-ES" w:eastAsia="es-ES"/>
        </w:rPr>
        <w:t>. En cuanto a otros procesos en los cuales se ventilen derechos o intereses, resultan aplicables las “debidas garantías” establecidas en el artículo 8.1 de la Convención Americana, incluyendo el derecho a una motivación suficiente</w:t>
      </w:r>
      <w:r w:rsidR="007F5661" w:rsidRPr="007F5661">
        <w:rPr>
          <w:rFonts w:asciiTheme="majorHAnsi" w:hAnsiTheme="majorHAnsi"/>
          <w:sz w:val="20"/>
          <w:szCs w:val="20"/>
          <w:vertAlign w:val="superscript"/>
          <w:lang w:eastAsia="es-ES"/>
        </w:rPr>
        <w:footnoteReference w:id="96"/>
      </w:r>
      <w:r w:rsidR="007F5661" w:rsidRPr="007F5661">
        <w:rPr>
          <w:rFonts w:asciiTheme="majorHAnsi" w:hAnsiTheme="majorHAnsi"/>
          <w:sz w:val="20"/>
          <w:szCs w:val="20"/>
          <w:lang w:val="es-ES" w:eastAsia="es-ES"/>
        </w:rPr>
        <w:t>. La determinación de cuáles son las debida</w:t>
      </w:r>
      <w:r w:rsidR="003E3174">
        <w:rPr>
          <w:rFonts w:asciiTheme="majorHAnsi" w:hAnsiTheme="majorHAnsi"/>
          <w:sz w:val="20"/>
          <w:szCs w:val="20"/>
          <w:lang w:val="es-ES" w:eastAsia="es-ES"/>
        </w:rPr>
        <w:t>s garantías</w:t>
      </w:r>
      <w:r w:rsidR="007F5661" w:rsidRPr="007F5661">
        <w:rPr>
          <w:rFonts w:asciiTheme="majorHAnsi" w:hAnsiTheme="majorHAnsi"/>
          <w:sz w:val="20"/>
          <w:szCs w:val="20"/>
          <w:lang w:val="es-ES" w:eastAsia="es-ES"/>
        </w:rPr>
        <w:t xml:space="preserve"> en un proceso específico de determinación de derechos, deberá efectuarse según la naturaleza del proceso y los bienes jurídicos en juego</w:t>
      </w:r>
      <w:r w:rsidR="007F5661" w:rsidRPr="007F5661">
        <w:rPr>
          <w:rFonts w:asciiTheme="majorHAnsi" w:hAnsiTheme="majorHAnsi"/>
          <w:sz w:val="20"/>
          <w:szCs w:val="20"/>
          <w:vertAlign w:val="superscript"/>
          <w:lang w:val="es-ES" w:eastAsia="es-ES"/>
        </w:rPr>
        <w:footnoteReference w:id="97"/>
      </w:r>
      <w:r w:rsidR="007F5661" w:rsidRPr="007F5661">
        <w:rPr>
          <w:rFonts w:asciiTheme="majorHAnsi" w:hAnsiTheme="majorHAnsi"/>
          <w:sz w:val="20"/>
          <w:szCs w:val="20"/>
          <w:lang w:val="es-ES" w:eastAsia="es-ES"/>
        </w:rPr>
        <w:t>.</w:t>
      </w:r>
    </w:p>
    <w:p w:rsidR="00993574" w:rsidRPr="00786F41" w:rsidRDefault="00993574" w:rsidP="00786F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eastAsia="es-ES"/>
        </w:rPr>
      </w:pPr>
    </w:p>
    <w:p w:rsidR="00FE5044" w:rsidRDefault="00613EF7" w:rsidP="007F566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eastAsia="es-ES"/>
        </w:rPr>
      </w:pPr>
      <w:r>
        <w:rPr>
          <w:rFonts w:asciiTheme="majorHAnsi" w:hAnsiTheme="majorHAnsi"/>
          <w:sz w:val="20"/>
          <w:szCs w:val="20"/>
          <w:lang w:val="es-ES" w:eastAsia="es-ES"/>
        </w:rPr>
        <w:t xml:space="preserve">Conforme a lo anterior, </w:t>
      </w:r>
      <w:r w:rsidR="00FE5044">
        <w:rPr>
          <w:rFonts w:asciiTheme="majorHAnsi" w:hAnsiTheme="majorHAnsi"/>
          <w:sz w:val="20"/>
          <w:szCs w:val="20"/>
          <w:lang w:val="es-ES" w:eastAsia="es-ES"/>
        </w:rPr>
        <w:t xml:space="preserve">para la determinación de cuáles son las garantías que el Estado tenía la obligación de otorgar en el caso concreto, resulta necesario hacer referencia al carácter del proceso en cuestión. </w:t>
      </w:r>
    </w:p>
    <w:p w:rsidR="00FE5044" w:rsidRDefault="00FE5044" w:rsidP="00FE5044">
      <w:pPr>
        <w:pStyle w:val="ListParagraph"/>
        <w:rPr>
          <w:rFonts w:asciiTheme="majorHAnsi" w:hAnsiTheme="majorHAnsi"/>
          <w:sz w:val="20"/>
          <w:szCs w:val="20"/>
          <w:lang w:val="es-ES"/>
        </w:rPr>
      </w:pPr>
    </w:p>
    <w:p w:rsidR="00AC118D" w:rsidRDefault="007C1242" w:rsidP="00FE504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rPr>
      </w:pPr>
      <w:r>
        <w:rPr>
          <w:rFonts w:asciiTheme="majorHAnsi" w:hAnsiTheme="majorHAnsi"/>
          <w:sz w:val="20"/>
          <w:szCs w:val="20"/>
          <w:lang w:val="es-ES" w:eastAsia="es-ES"/>
        </w:rPr>
        <w:lastRenderedPageBreak/>
        <w:t>En lo relevante para esta sección, e</w:t>
      </w:r>
      <w:r w:rsidR="007F5661">
        <w:rPr>
          <w:rFonts w:asciiTheme="majorHAnsi" w:hAnsiTheme="majorHAnsi"/>
          <w:sz w:val="20"/>
          <w:szCs w:val="20"/>
          <w:lang w:val="es-ES" w:eastAsia="es-ES"/>
        </w:rPr>
        <w:t>l presente caso involucra un</w:t>
      </w:r>
      <w:r>
        <w:rPr>
          <w:rFonts w:asciiTheme="majorHAnsi" w:hAnsiTheme="majorHAnsi"/>
          <w:sz w:val="20"/>
          <w:szCs w:val="20"/>
          <w:lang w:val="es-ES" w:eastAsia="es-ES"/>
        </w:rPr>
        <w:t>a</w:t>
      </w:r>
      <w:r w:rsidR="007F5661">
        <w:rPr>
          <w:rFonts w:asciiTheme="majorHAnsi" w:hAnsiTheme="majorHAnsi"/>
          <w:sz w:val="20"/>
          <w:szCs w:val="20"/>
          <w:lang w:val="es-ES" w:eastAsia="es-ES"/>
        </w:rPr>
        <w:t xml:space="preserve"> </w:t>
      </w:r>
      <w:r w:rsidR="00052998">
        <w:rPr>
          <w:rFonts w:asciiTheme="majorHAnsi" w:hAnsiTheme="majorHAnsi"/>
          <w:sz w:val="20"/>
          <w:szCs w:val="20"/>
          <w:lang w:val="es-ES" w:eastAsia="es-ES"/>
        </w:rPr>
        <w:t>investigaci</w:t>
      </w:r>
      <w:r w:rsidR="009959A1">
        <w:rPr>
          <w:rFonts w:asciiTheme="majorHAnsi" w:hAnsiTheme="majorHAnsi"/>
          <w:sz w:val="20"/>
          <w:szCs w:val="20"/>
          <w:lang w:val="es-ES" w:eastAsia="es-ES"/>
        </w:rPr>
        <w:t xml:space="preserve">ón preliminar </w:t>
      </w:r>
      <w:r>
        <w:rPr>
          <w:rFonts w:asciiTheme="majorHAnsi" w:hAnsiTheme="majorHAnsi"/>
          <w:sz w:val="20"/>
          <w:szCs w:val="20"/>
          <w:lang w:val="es-ES" w:eastAsia="es-ES"/>
        </w:rPr>
        <w:t>ante la Inspectoría del destacamento Leoncio Prado</w:t>
      </w:r>
      <w:r w:rsidR="002A6D6B">
        <w:rPr>
          <w:rFonts w:asciiTheme="majorHAnsi" w:hAnsiTheme="majorHAnsi"/>
          <w:sz w:val="20"/>
          <w:szCs w:val="20"/>
          <w:lang w:val="es-ES" w:eastAsia="es-ES"/>
        </w:rPr>
        <w:t xml:space="preserve">, la cual dio lugar a </w:t>
      </w:r>
      <w:r w:rsidR="009959A1">
        <w:rPr>
          <w:rFonts w:asciiTheme="majorHAnsi" w:hAnsiTheme="majorHAnsi"/>
          <w:sz w:val="20"/>
          <w:szCs w:val="20"/>
          <w:lang w:val="es-ES" w:eastAsia="es-ES"/>
        </w:rPr>
        <w:t>un procedimiento administrativo disciplinario</w:t>
      </w:r>
      <w:r w:rsidR="00935A2B">
        <w:rPr>
          <w:rFonts w:asciiTheme="majorHAnsi" w:hAnsiTheme="majorHAnsi"/>
          <w:sz w:val="20"/>
          <w:szCs w:val="20"/>
          <w:lang w:val="es-ES" w:eastAsia="es-ES"/>
        </w:rPr>
        <w:t xml:space="preserve"> </w:t>
      </w:r>
      <w:r w:rsidR="002A6D6B">
        <w:rPr>
          <w:rFonts w:asciiTheme="majorHAnsi" w:hAnsiTheme="majorHAnsi"/>
          <w:sz w:val="20"/>
          <w:szCs w:val="20"/>
          <w:lang w:val="es-ES" w:eastAsia="es-ES"/>
        </w:rPr>
        <w:t xml:space="preserve">que </w:t>
      </w:r>
      <w:r w:rsidR="009959A1">
        <w:rPr>
          <w:rFonts w:asciiTheme="majorHAnsi" w:hAnsiTheme="majorHAnsi"/>
          <w:sz w:val="20"/>
          <w:szCs w:val="20"/>
          <w:lang w:val="es-ES" w:eastAsia="es-ES"/>
        </w:rPr>
        <w:t>c</w:t>
      </w:r>
      <w:r w:rsidR="00935A2B">
        <w:rPr>
          <w:rFonts w:asciiTheme="majorHAnsi" w:hAnsiTheme="majorHAnsi"/>
          <w:sz w:val="20"/>
          <w:szCs w:val="20"/>
          <w:lang w:val="es-ES" w:eastAsia="es-ES"/>
        </w:rPr>
        <w:t>ulminó</w:t>
      </w:r>
      <w:r w:rsidR="002A6D6B">
        <w:rPr>
          <w:rFonts w:asciiTheme="majorHAnsi" w:hAnsiTheme="majorHAnsi"/>
          <w:sz w:val="20"/>
          <w:szCs w:val="20"/>
          <w:lang w:val="es-ES" w:eastAsia="es-ES"/>
        </w:rPr>
        <w:t xml:space="preserve"> con</w:t>
      </w:r>
      <w:r w:rsidR="009959A1">
        <w:rPr>
          <w:rFonts w:asciiTheme="majorHAnsi" w:hAnsiTheme="majorHAnsi"/>
          <w:sz w:val="20"/>
          <w:szCs w:val="20"/>
          <w:lang w:val="es-ES" w:eastAsia="es-ES"/>
        </w:rPr>
        <w:t xml:space="preserve"> la decisión de pasar a retiro por medida </w:t>
      </w:r>
      <w:r w:rsidR="00AC118D">
        <w:rPr>
          <w:rFonts w:asciiTheme="majorHAnsi" w:hAnsiTheme="majorHAnsi"/>
          <w:sz w:val="20"/>
          <w:szCs w:val="20"/>
          <w:lang w:val="es-ES" w:eastAsia="es-ES"/>
        </w:rPr>
        <w:t>disciplinaria</w:t>
      </w:r>
      <w:r w:rsidR="009959A1">
        <w:rPr>
          <w:rFonts w:asciiTheme="majorHAnsi" w:hAnsiTheme="majorHAnsi"/>
          <w:sz w:val="20"/>
          <w:szCs w:val="20"/>
          <w:lang w:val="es-ES" w:eastAsia="es-ES"/>
        </w:rPr>
        <w:t xml:space="preserve"> a la presunta víctima. </w:t>
      </w:r>
    </w:p>
    <w:p w:rsidR="00FE5044" w:rsidRDefault="00FE5044" w:rsidP="00FE504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rsidR="00F5742D" w:rsidRPr="00F5742D" w:rsidRDefault="009959A1" w:rsidP="00F5742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b/>
          <w:sz w:val="20"/>
          <w:szCs w:val="20"/>
          <w:lang w:val="es-ES" w:eastAsia="es-ES"/>
        </w:rPr>
      </w:pPr>
      <w:r w:rsidRPr="00904F36">
        <w:rPr>
          <w:rFonts w:asciiTheme="majorHAnsi" w:hAnsiTheme="majorHAnsi"/>
          <w:sz w:val="20"/>
          <w:szCs w:val="20"/>
          <w:lang w:val="es-ES" w:eastAsia="es-ES"/>
        </w:rPr>
        <w:t xml:space="preserve"> En este sentido,</w:t>
      </w:r>
      <w:r w:rsidR="00455960">
        <w:rPr>
          <w:rFonts w:asciiTheme="majorHAnsi" w:hAnsiTheme="majorHAnsi"/>
          <w:sz w:val="20"/>
          <w:szCs w:val="20"/>
          <w:lang w:val="es-ES" w:eastAsia="es-ES"/>
        </w:rPr>
        <w:t xml:space="preserve"> para la Comisión</w:t>
      </w:r>
      <w:r w:rsidRPr="00904F36">
        <w:rPr>
          <w:rFonts w:asciiTheme="majorHAnsi" w:hAnsiTheme="majorHAnsi"/>
          <w:sz w:val="20"/>
          <w:szCs w:val="20"/>
          <w:lang w:val="es-ES" w:eastAsia="es-ES"/>
        </w:rPr>
        <w:t xml:space="preserve"> resulta evidente que</w:t>
      </w:r>
      <w:r w:rsidR="00AC118D" w:rsidRPr="00904F36">
        <w:rPr>
          <w:rFonts w:asciiTheme="majorHAnsi" w:hAnsiTheme="majorHAnsi"/>
          <w:sz w:val="20"/>
          <w:szCs w:val="20"/>
          <w:lang w:val="es-ES" w:eastAsia="es-ES"/>
        </w:rPr>
        <w:t xml:space="preserve"> se trataba de un procedimiento de carácter </w:t>
      </w:r>
      <w:r w:rsidR="001055D3" w:rsidRPr="00904F36">
        <w:rPr>
          <w:rFonts w:asciiTheme="majorHAnsi" w:hAnsiTheme="majorHAnsi"/>
          <w:sz w:val="20"/>
          <w:szCs w:val="20"/>
          <w:lang w:val="es-ES" w:eastAsia="es-ES"/>
        </w:rPr>
        <w:t xml:space="preserve">sancionatorio </w:t>
      </w:r>
      <w:r w:rsidR="00455960">
        <w:rPr>
          <w:rFonts w:asciiTheme="majorHAnsi" w:hAnsiTheme="majorHAnsi"/>
          <w:sz w:val="20"/>
          <w:szCs w:val="20"/>
          <w:lang w:val="es-ES" w:eastAsia="es-ES"/>
        </w:rPr>
        <w:t>que constituyó una expresión d</w:t>
      </w:r>
      <w:r w:rsidR="00AC118D" w:rsidRPr="00904F36">
        <w:rPr>
          <w:rFonts w:asciiTheme="majorHAnsi" w:hAnsiTheme="majorHAnsi"/>
          <w:sz w:val="20"/>
          <w:szCs w:val="20"/>
          <w:lang w:val="es-ES" w:eastAsia="es-ES"/>
        </w:rPr>
        <w:t>el poder punitivo del Estado y, por lo tanto, las garantías aplicables se amplían de manera análoga a las garantías del debido proceso penal establecidas en el artículo 8.2 de la Convención</w:t>
      </w:r>
      <w:r w:rsidR="00904F36">
        <w:rPr>
          <w:rFonts w:asciiTheme="majorHAnsi" w:hAnsiTheme="majorHAnsi"/>
          <w:sz w:val="20"/>
          <w:szCs w:val="20"/>
          <w:lang w:val="es-ES" w:eastAsia="es-ES"/>
        </w:rPr>
        <w:t>.</w:t>
      </w:r>
      <w:r w:rsidR="00904F36" w:rsidRPr="00904F36">
        <w:rPr>
          <w:rFonts w:ascii="Cambria" w:hAnsi="Cambria"/>
          <w:sz w:val="20"/>
          <w:szCs w:val="20"/>
          <w:lang w:val="es-ES"/>
        </w:rPr>
        <w:t xml:space="preserve"> </w:t>
      </w:r>
      <w:r w:rsidR="00904F36" w:rsidRPr="008752B9">
        <w:rPr>
          <w:rFonts w:ascii="Cambria" w:hAnsi="Cambria"/>
          <w:sz w:val="20"/>
          <w:szCs w:val="20"/>
          <w:lang w:val="es-ES"/>
        </w:rPr>
        <w:t>De especial relevanc</w:t>
      </w:r>
      <w:r w:rsidR="00B152B3">
        <w:rPr>
          <w:rFonts w:ascii="Cambria" w:hAnsi="Cambria"/>
          <w:sz w:val="20"/>
          <w:szCs w:val="20"/>
          <w:lang w:val="es-ES"/>
        </w:rPr>
        <w:t>ia resulta el derecho a ser oído</w:t>
      </w:r>
      <w:r w:rsidR="00904F36" w:rsidRPr="008752B9">
        <w:rPr>
          <w:rFonts w:ascii="Cambria" w:hAnsi="Cambria"/>
          <w:sz w:val="20"/>
          <w:szCs w:val="20"/>
          <w:lang w:val="es-ES"/>
        </w:rPr>
        <w:t xml:space="preserve">, a conocer las razones de la acusación, a contar con los medios adecuados para la defensa, </w:t>
      </w:r>
      <w:r w:rsidR="00FB5AF0">
        <w:rPr>
          <w:rFonts w:ascii="Cambria" w:hAnsi="Cambria"/>
          <w:sz w:val="20"/>
          <w:szCs w:val="20"/>
          <w:lang w:val="es-ES"/>
        </w:rPr>
        <w:t>con una defensa adecuada</w:t>
      </w:r>
      <w:r w:rsidR="00B152B3">
        <w:rPr>
          <w:rFonts w:ascii="Cambria" w:hAnsi="Cambria"/>
          <w:sz w:val="20"/>
          <w:szCs w:val="20"/>
          <w:lang w:val="es-ES"/>
        </w:rPr>
        <w:t>, a la presunción de inocencia</w:t>
      </w:r>
      <w:r w:rsidR="00FB5AF0">
        <w:rPr>
          <w:rFonts w:ascii="Cambria" w:hAnsi="Cambria"/>
          <w:sz w:val="20"/>
          <w:szCs w:val="20"/>
          <w:lang w:val="es-ES"/>
        </w:rPr>
        <w:t xml:space="preserve"> </w:t>
      </w:r>
      <w:r w:rsidR="00904F36" w:rsidRPr="008752B9">
        <w:rPr>
          <w:rFonts w:ascii="Cambria" w:hAnsi="Cambria"/>
          <w:sz w:val="20"/>
          <w:szCs w:val="20"/>
          <w:lang w:val="es-ES"/>
        </w:rPr>
        <w:t>y a contar</w:t>
      </w:r>
      <w:r w:rsidR="00185EF1">
        <w:rPr>
          <w:rFonts w:ascii="Cambria" w:hAnsi="Cambria"/>
          <w:sz w:val="20"/>
          <w:szCs w:val="20"/>
          <w:lang w:val="es-ES"/>
        </w:rPr>
        <w:t xml:space="preserve"> con la posibilidad de recurrir</w:t>
      </w:r>
      <w:r w:rsidR="00904F36" w:rsidRPr="008752B9">
        <w:rPr>
          <w:rFonts w:ascii="Cambria" w:hAnsi="Cambria"/>
          <w:sz w:val="20"/>
          <w:szCs w:val="20"/>
          <w:lang w:val="es-ES"/>
        </w:rPr>
        <w:t xml:space="preserve">. </w:t>
      </w:r>
      <w:r w:rsidR="00256F1A">
        <w:rPr>
          <w:rFonts w:ascii="Cambria" w:hAnsi="Cambria"/>
          <w:sz w:val="20"/>
          <w:szCs w:val="20"/>
          <w:lang w:val="es-ES"/>
        </w:rPr>
        <w:t xml:space="preserve">A continuación la Comisión efectuará algunas consideraciones generales sobre el contenido de las garantías que conforme a los hechos probados resultan relevantes </w:t>
      </w:r>
      <w:r w:rsidR="00171449">
        <w:rPr>
          <w:rFonts w:ascii="Cambria" w:hAnsi="Cambria"/>
          <w:sz w:val="20"/>
          <w:szCs w:val="20"/>
          <w:lang w:val="es-ES"/>
        </w:rPr>
        <w:t xml:space="preserve">en el análisis del procedimiento sancionatorio realizado en el presente caso. </w:t>
      </w:r>
    </w:p>
    <w:p w:rsidR="00F5742D" w:rsidRPr="00F5742D" w:rsidRDefault="00F5742D" w:rsidP="00F5742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b/>
          <w:sz w:val="20"/>
          <w:szCs w:val="20"/>
          <w:lang w:val="es-ES" w:eastAsia="es-ES"/>
        </w:rPr>
      </w:pPr>
    </w:p>
    <w:p w:rsidR="00073DD4" w:rsidRDefault="00073DD4" w:rsidP="00073D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eastAsia="es-ES"/>
        </w:rPr>
      </w:pPr>
      <w:r>
        <w:rPr>
          <w:rFonts w:asciiTheme="majorHAnsi" w:hAnsiTheme="majorHAnsi"/>
          <w:sz w:val="20"/>
          <w:szCs w:val="20"/>
          <w:lang w:val="es-ES" w:eastAsia="es-ES"/>
        </w:rPr>
        <w:t>E</w:t>
      </w:r>
      <w:r w:rsidRPr="00FB5AF0">
        <w:rPr>
          <w:rFonts w:asciiTheme="majorHAnsi" w:hAnsiTheme="majorHAnsi"/>
          <w:sz w:val="20"/>
          <w:szCs w:val="20"/>
          <w:lang w:val="es-ES" w:eastAsia="es-ES"/>
        </w:rPr>
        <w:t>n relación con la garantía de conocer previa y detalladamente la acusación</w:t>
      </w:r>
      <w:r>
        <w:rPr>
          <w:rFonts w:asciiTheme="majorHAnsi" w:hAnsiTheme="majorHAnsi"/>
          <w:sz w:val="20"/>
          <w:szCs w:val="20"/>
          <w:lang w:val="es-ES" w:eastAsia="es-ES"/>
        </w:rPr>
        <w:t>, la Comisión recuerda que el artículo 8.2 b</w:t>
      </w:r>
      <w:r w:rsidR="007D1B38">
        <w:rPr>
          <w:rFonts w:asciiTheme="majorHAnsi" w:hAnsiTheme="majorHAnsi"/>
          <w:sz w:val="20"/>
          <w:szCs w:val="20"/>
          <w:lang w:val="es-ES" w:eastAsia="es-ES"/>
        </w:rPr>
        <w:t>)</w:t>
      </w:r>
      <w:r>
        <w:rPr>
          <w:rFonts w:asciiTheme="majorHAnsi" w:hAnsiTheme="majorHAnsi"/>
          <w:sz w:val="20"/>
          <w:szCs w:val="20"/>
          <w:lang w:val="es-ES" w:eastAsia="es-ES"/>
        </w:rPr>
        <w:t xml:space="preserve"> de la Convención Americana “ordena a las autoridades judiciales competentes a notificar al inculpado la acusación formulada en su contra, sus razones y los delitos o faltas por los cuales se le atribuye responsabilidad”</w:t>
      </w:r>
      <w:r w:rsidRPr="00683715">
        <w:rPr>
          <w:rStyle w:val="FootnoteReference"/>
          <w:rFonts w:asciiTheme="majorHAnsi" w:hAnsiTheme="majorHAnsi"/>
          <w:sz w:val="20"/>
          <w:szCs w:val="20"/>
          <w:lang w:val="es-ES" w:eastAsia="es-ES"/>
        </w:rPr>
        <w:footnoteReference w:id="98"/>
      </w:r>
      <w:r>
        <w:rPr>
          <w:rFonts w:asciiTheme="majorHAnsi" w:hAnsiTheme="majorHAnsi"/>
          <w:sz w:val="20"/>
          <w:szCs w:val="20"/>
          <w:lang w:val="es-ES" w:eastAsia="es-ES"/>
        </w:rPr>
        <w:t>.</w:t>
      </w:r>
    </w:p>
    <w:p w:rsidR="00A671A3" w:rsidRPr="00F5742D" w:rsidRDefault="00A671A3" w:rsidP="00A671A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eastAsia="es-ES"/>
        </w:rPr>
      </w:pPr>
    </w:p>
    <w:p w:rsidR="00FB5AF0" w:rsidRDefault="00A13596" w:rsidP="00731C2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eastAsia="es-ES"/>
        </w:rPr>
      </w:pPr>
      <w:r>
        <w:rPr>
          <w:rFonts w:asciiTheme="majorHAnsi" w:hAnsiTheme="majorHAnsi"/>
          <w:sz w:val="20"/>
          <w:szCs w:val="20"/>
          <w:lang w:val="es-ES" w:eastAsia="es-ES"/>
        </w:rPr>
        <w:t>Al respecto, e</w:t>
      </w:r>
      <w:r w:rsidR="00FB5AF0" w:rsidRPr="00FB5AF0">
        <w:rPr>
          <w:rFonts w:asciiTheme="majorHAnsi" w:hAnsiTheme="majorHAnsi"/>
          <w:sz w:val="20"/>
          <w:szCs w:val="20"/>
          <w:lang w:val="es-ES" w:eastAsia="es-ES"/>
        </w:rPr>
        <w:t>n el caso Ba</w:t>
      </w:r>
      <w:r>
        <w:rPr>
          <w:rFonts w:asciiTheme="majorHAnsi" w:hAnsiTheme="majorHAnsi"/>
          <w:sz w:val="20"/>
          <w:szCs w:val="20"/>
          <w:lang w:val="es-ES" w:eastAsia="es-ES"/>
        </w:rPr>
        <w:t>rreto Leiva</w:t>
      </w:r>
      <w:r w:rsidR="00FB5AF0" w:rsidRPr="00FB5AF0">
        <w:rPr>
          <w:rFonts w:asciiTheme="majorHAnsi" w:hAnsiTheme="majorHAnsi"/>
          <w:sz w:val="20"/>
          <w:szCs w:val="20"/>
          <w:lang w:val="es-ES" w:eastAsia="es-ES"/>
        </w:rPr>
        <w:t xml:space="preserve">, la Corte Interamericana indicó que </w:t>
      </w:r>
      <w:r w:rsidR="005C5638">
        <w:rPr>
          <w:rFonts w:asciiTheme="majorHAnsi" w:hAnsiTheme="majorHAnsi"/>
          <w:sz w:val="20"/>
          <w:szCs w:val="20"/>
          <w:lang w:val="es-ES" w:eastAsia="es-ES"/>
        </w:rPr>
        <w:t>“para satisfacer el artículo 8.2</w:t>
      </w:r>
      <w:r w:rsidR="00FB40FF">
        <w:rPr>
          <w:rFonts w:asciiTheme="majorHAnsi" w:hAnsiTheme="majorHAnsi"/>
          <w:sz w:val="20"/>
          <w:szCs w:val="20"/>
          <w:lang w:val="es-ES" w:eastAsia="es-ES"/>
        </w:rPr>
        <w:t xml:space="preserve"> </w:t>
      </w:r>
      <w:r w:rsidR="005C5638">
        <w:rPr>
          <w:rFonts w:asciiTheme="majorHAnsi" w:hAnsiTheme="majorHAnsi"/>
          <w:sz w:val="20"/>
          <w:szCs w:val="20"/>
          <w:lang w:val="es-ES" w:eastAsia="es-ES"/>
        </w:rPr>
        <w:t>b</w:t>
      </w:r>
      <w:r w:rsidR="00FB40FF">
        <w:rPr>
          <w:rFonts w:asciiTheme="majorHAnsi" w:hAnsiTheme="majorHAnsi"/>
          <w:sz w:val="20"/>
          <w:szCs w:val="20"/>
          <w:lang w:val="es-ES" w:eastAsia="es-ES"/>
        </w:rPr>
        <w:t>)</w:t>
      </w:r>
      <w:r w:rsidR="005C5638">
        <w:rPr>
          <w:rFonts w:asciiTheme="majorHAnsi" w:hAnsiTheme="majorHAnsi"/>
          <w:sz w:val="20"/>
          <w:szCs w:val="20"/>
          <w:lang w:val="es-ES" w:eastAsia="es-ES"/>
        </w:rPr>
        <w:t xml:space="preserve"> </w:t>
      </w:r>
      <w:r w:rsidR="003E0F30">
        <w:rPr>
          <w:rFonts w:asciiTheme="majorHAnsi" w:hAnsiTheme="majorHAnsi"/>
          <w:sz w:val="20"/>
          <w:szCs w:val="20"/>
          <w:lang w:val="es-ES" w:eastAsia="es-ES"/>
        </w:rPr>
        <w:t xml:space="preserve">de la Convención, </w:t>
      </w:r>
      <w:r w:rsidR="005C5638">
        <w:rPr>
          <w:rFonts w:asciiTheme="majorHAnsi" w:hAnsiTheme="majorHAnsi"/>
          <w:sz w:val="20"/>
          <w:szCs w:val="20"/>
          <w:lang w:val="es-ES" w:eastAsia="es-ES"/>
        </w:rPr>
        <w:t>el Estado debe informar al interesado no solamente de la causa de la acusación, esto es, las acciones u omisiones que se le imputan, sino también las razones que llevan al Estado a formular la acusación, los fundamentos probatorios de ésta y la caracterización legal que se da a esos hechos. Toda esta información debe ser expresa clara, integral y suficientemente detallada para permitir al acusado que ejerza plenamente su dere</w:t>
      </w:r>
      <w:r w:rsidR="00935A2B">
        <w:rPr>
          <w:rFonts w:asciiTheme="majorHAnsi" w:hAnsiTheme="majorHAnsi"/>
          <w:sz w:val="20"/>
          <w:szCs w:val="20"/>
          <w:lang w:val="es-ES" w:eastAsia="es-ES"/>
        </w:rPr>
        <w:t>cho a la defensa y muestr</w:t>
      </w:r>
      <w:r w:rsidR="005C5638">
        <w:rPr>
          <w:rFonts w:asciiTheme="majorHAnsi" w:hAnsiTheme="majorHAnsi"/>
          <w:sz w:val="20"/>
          <w:szCs w:val="20"/>
          <w:lang w:val="es-ES" w:eastAsia="es-ES"/>
        </w:rPr>
        <w:t>e al juez su versión de los hechos. La Corte ha considerado que la puntual observancia del artículo 8.2</w:t>
      </w:r>
      <w:r w:rsidR="00FB40FF">
        <w:rPr>
          <w:rFonts w:asciiTheme="majorHAnsi" w:hAnsiTheme="majorHAnsi"/>
          <w:sz w:val="20"/>
          <w:szCs w:val="20"/>
          <w:lang w:val="es-ES" w:eastAsia="es-ES"/>
        </w:rPr>
        <w:t xml:space="preserve"> </w:t>
      </w:r>
      <w:r w:rsidR="005C5638">
        <w:rPr>
          <w:rFonts w:asciiTheme="majorHAnsi" w:hAnsiTheme="majorHAnsi"/>
          <w:sz w:val="20"/>
          <w:szCs w:val="20"/>
          <w:lang w:val="es-ES" w:eastAsia="es-ES"/>
        </w:rPr>
        <w:t>b</w:t>
      </w:r>
      <w:r w:rsidR="00FB40FF">
        <w:rPr>
          <w:rFonts w:asciiTheme="majorHAnsi" w:hAnsiTheme="majorHAnsi"/>
          <w:sz w:val="20"/>
          <w:szCs w:val="20"/>
          <w:lang w:val="es-ES" w:eastAsia="es-ES"/>
        </w:rPr>
        <w:t>)</w:t>
      </w:r>
      <w:r w:rsidR="005C5638">
        <w:rPr>
          <w:rFonts w:asciiTheme="majorHAnsi" w:hAnsiTheme="majorHAnsi"/>
          <w:sz w:val="20"/>
          <w:szCs w:val="20"/>
          <w:lang w:val="es-ES" w:eastAsia="es-ES"/>
        </w:rPr>
        <w:t xml:space="preserve"> es esencial para el ejercicio efectivo del derecho a la defensa”</w:t>
      </w:r>
      <w:r w:rsidR="005C5638" w:rsidRPr="005C5638">
        <w:rPr>
          <w:rStyle w:val="FootnoteReference"/>
          <w:rFonts w:ascii="Cambria" w:hAnsi="Cambria"/>
          <w:sz w:val="20"/>
          <w:szCs w:val="20"/>
          <w:lang w:val="es-ES"/>
        </w:rPr>
        <w:t xml:space="preserve"> </w:t>
      </w:r>
      <w:r w:rsidR="005C5638" w:rsidRPr="008752B9">
        <w:rPr>
          <w:rStyle w:val="FootnoteReference"/>
          <w:rFonts w:ascii="Cambria" w:hAnsi="Cambria"/>
          <w:sz w:val="20"/>
          <w:szCs w:val="20"/>
          <w:lang w:val="es-ES"/>
        </w:rPr>
        <w:footnoteReference w:id="99"/>
      </w:r>
      <w:r w:rsidR="005C5638">
        <w:rPr>
          <w:rFonts w:asciiTheme="majorHAnsi" w:hAnsiTheme="majorHAnsi"/>
          <w:sz w:val="20"/>
          <w:szCs w:val="20"/>
          <w:lang w:val="es-ES" w:eastAsia="es-ES"/>
        </w:rPr>
        <w:t>.</w:t>
      </w:r>
      <w:r w:rsidR="009D6B77">
        <w:rPr>
          <w:rFonts w:asciiTheme="majorHAnsi" w:hAnsiTheme="majorHAnsi"/>
          <w:sz w:val="20"/>
          <w:szCs w:val="20"/>
          <w:lang w:val="es-ES" w:eastAsia="es-ES"/>
        </w:rPr>
        <w:t xml:space="preserve"> </w:t>
      </w:r>
      <w:r w:rsidR="00212A7E">
        <w:rPr>
          <w:rFonts w:ascii="Cambria" w:hAnsi="Cambria"/>
          <w:sz w:val="20"/>
          <w:szCs w:val="20"/>
          <w:lang w:val="es-ES_tradnl"/>
        </w:rPr>
        <w:t>En el caso Barreto Leiva la Corte Interamericana indicó que “el investigado, antes de declarar, tiene que conocer de manera oficial cuales son los hechos que se le imputan, no sólo deducirlos de la información pública o de las preguntas que se le formulan. De esta forma su respuesta podrá ser efectiva y sin el margen de error que las conjeturas producen</w:t>
      </w:r>
      <w:r w:rsidR="001A068E">
        <w:rPr>
          <w:rFonts w:ascii="Cambria" w:hAnsi="Cambria"/>
          <w:sz w:val="20"/>
          <w:szCs w:val="20"/>
          <w:lang w:val="es-ES_tradnl"/>
        </w:rPr>
        <w:t>”</w:t>
      </w:r>
      <w:r w:rsidR="00212A7E" w:rsidRPr="008752B9">
        <w:rPr>
          <w:rStyle w:val="FootnoteReference"/>
          <w:rFonts w:ascii="Cambria" w:hAnsi="Cambria"/>
          <w:sz w:val="20"/>
          <w:szCs w:val="20"/>
          <w:lang w:val="es-ES"/>
        </w:rPr>
        <w:footnoteReference w:id="100"/>
      </w:r>
      <w:r w:rsidR="00212A7E">
        <w:rPr>
          <w:rFonts w:ascii="Cambria" w:hAnsi="Cambria"/>
          <w:sz w:val="20"/>
          <w:szCs w:val="20"/>
          <w:lang w:val="es-ES_tradnl"/>
        </w:rPr>
        <w:t>.</w:t>
      </w:r>
      <w:r w:rsidR="00377C16">
        <w:rPr>
          <w:rFonts w:ascii="Cambria" w:hAnsi="Cambria"/>
          <w:sz w:val="20"/>
          <w:szCs w:val="20"/>
          <w:lang w:val="es-ES_tradnl"/>
        </w:rPr>
        <w:t xml:space="preserve"> Asimismo, este derecho </w:t>
      </w:r>
      <w:r w:rsidR="00377C16" w:rsidRPr="00D645AE">
        <w:rPr>
          <w:rFonts w:ascii="Cambria" w:hAnsi="Cambria"/>
          <w:sz w:val="20"/>
          <w:szCs w:val="20"/>
          <w:lang w:val="es-ES" w:eastAsia="es-ES"/>
        </w:rPr>
        <w:t>rige incluso antes de que se formule una “acusación” en sentido estricto. Para que el mencionado artículo satisfaga los fines que le son inherentes, es necesario que la notificación ocurra previamente a que el inculpado rinda su primera declaración ante cualquier autoridad pública</w:t>
      </w:r>
      <w:r w:rsidR="00377C16" w:rsidRPr="00FD5931">
        <w:rPr>
          <w:rStyle w:val="FootnoteReference"/>
          <w:rFonts w:ascii="Cambria" w:hAnsi="Cambria"/>
          <w:sz w:val="20"/>
          <w:szCs w:val="20"/>
          <w:lang w:val="es-ES" w:eastAsia="es-ES"/>
        </w:rPr>
        <w:footnoteReference w:id="101"/>
      </w:r>
      <w:r w:rsidR="00377C16" w:rsidRPr="00D645AE">
        <w:rPr>
          <w:rFonts w:ascii="Cambria" w:hAnsi="Cambria"/>
          <w:sz w:val="20"/>
          <w:szCs w:val="20"/>
          <w:lang w:val="es-ES" w:eastAsia="es-ES"/>
        </w:rPr>
        <w:t>.</w:t>
      </w:r>
    </w:p>
    <w:p w:rsidR="00EF45AD" w:rsidRDefault="00EF45AD" w:rsidP="00EF45AD">
      <w:pPr>
        <w:pStyle w:val="ListParagraph"/>
        <w:rPr>
          <w:rFonts w:asciiTheme="majorHAnsi" w:hAnsiTheme="majorHAnsi"/>
          <w:sz w:val="20"/>
          <w:szCs w:val="20"/>
          <w:lang w:val="es-ES"/>
        </w:rPr>
      </w:pPr>
    </w:p>
    <w:p w:rsidR="00EA4630" w:rsidRDefault="00A13596" w:rsidP="00DA2FB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lang w:val="es-ES" w:eastAsia="es-ES"/>
        </w:rPr>
      </w:pPr>
      <w:r>
        <w:rPr>
          <w:rFonts w:asciiTheme="majorHAnsi" w:hAnsiTheme="majorHAnsi"/>
          <w:sz w:val="20"/>
          <w:szCs w:val="20"/>
          <w:lang w:val="es-ES" w:eastAsia="es-ES"/>
        </w:rPr>
        <w:t>Por su parte, la garantía de contar con los medios adecuados para la defensa</w:t>
      </w:r>
      <w:r w:rsidR="00B152B3">
        <w:rPr>
          <w:rFonts w:asciiTheme="majorHAnsi" w:hAnsiTheme="majorHAnsi"/>
          <w:sz w:val="20"/>
          <w:szCs w:val="20"/>
          <w:lang w:val="es-ES" w:eastAsia="es-ES"/>
        </w:rPr>
        <w:t xml:space="preserve"> contenida en el artículo 8.2</w:t>
      </w:r>
      <w:r w:rsidR="00716F29">
        <w:rPr>
          <w:rFonts w:asciiTheme="majorHAnsi" w:hAnsiTheme="majorHAnsi"/>
          <w:sz w:val="20"/>
          <w:szCs w:val="20"/>
          <w:lang w:val="es-ES" w:eastAsia="es-ES"/>
        </w:rPr>
        <w:t xml:space="preserve"> </w:t>
      </w:r>
      <w:r w:rsidR="00B152B3">
        <w:rPr>
          <w:rFonts w:asciiTheme="majorHAnsi" w:hAnsiTheme="majorHAnsi"/>
          <w:sz w:val="20"/>
          <w:szCs w:val="20"/>
          <w:lang w:val="es-ES" w:eastAsia="es-ES"/>
        </w:rPr>
        <w:t>c</w:t>
      </w:r>
      <w:r w:rsidR="00716F29">
        <w:rPr>
          <w:rFonts w:asciiTheme="majorHAnsi" w:hAnsiTheme="majorHAnsi"/>
          <w:sz w:val="20"/>
          <w:szCs w:val="20"/>
          <w:lang w:val="es-ES" w:eastAsia="es-ES"/>
        </w:rPr>
        <w:t>)</w:t>
      </w:r>
      <w:r w:rsidR="00B152B3">
        <w:rPr>
          <w:rFonts w:asciiTheme="majorHAnsi" w:hAnsiTheme="majorHAnsi"/>
          <w:sz w:val="20"/>
          <w:szCs w:val="20"/>
          <w:lang w:val="es-ES" w:eastAsia="es-ES"/>
        </w:rPr>
        <w:t xml:space="preserve"> de la Convención Americana</w:t>
      </w:r>
      <w:r>
        <w:rPr>
          <w:rFonts w:asciiTheme="majorHAnsi" w:hAnsiTheme="majorHAnsi"/>
          <w:sz w:val="20"/>
          <w:szCs w:val="20"/>
          <w:lang w:val="es-ES" w:eastAsia="es-ES"/>
        </w:rPr>
        <w:t xml:space="preserve"> </w:t>
      </w:r>
      <w:r w:rsidRPr="00A13596">
        <w:rPr>
          <w:rFonts w:asciiTheme="majorHAnsi" w:hAnsiTheme="majorHAnsi"/>
          <w:sz w:val="20"/>
          <w:szCs w:val="20"/>
          <w:lang w:val="es-ES" w:eastAsia="es-ES"/>
        </w:rPr>
        <w:t>implica el acceso del inculpado al conocimiento del expediente, y a las actuaciones relacionadas con los cargos y la detención</w:t>
      </w:r>
      <w:r w:rsidRPr="00A13596">
        <w:rPr>
          <w:rFonts w:asciiTheme="majorHAnsi" w:hAnsiTheme="majorHAnsi"/>
          <w:sz w:val="20"/>
          <w:szCs w:val="20"/>
          <w:vertAlign w:val="superscript"/>
          <w:lang w:val="es-ES" w:eastAsia="es-ES"/>
        </w:rPr>
        <w:footnoteReference w:id="102"/>
      </w:r>
      <w:r w:rsidRPr="00A13596">
        <w:rPr>
          <w:rFonts w:asciiTheme="majorHAnsi" w:hAnsiTheme="majorHAnsi"/>
          <w:sz w:val="20"/>
          <w:szCs w:val="20"/>
          <w:lang w:val="es-ES" w:eastAsia="es-ES"/>
        </w:rPr>
        <w:t>, así como respetar el principio del contradictorio, que garantiza la intervención de aquel en el análisis de la prueba</w:t>
      </w:r>
      <w:r w:rsidRPr="00A13596">
        <w:rPr>
          <w:rFonts w:asciiTheme="majorHAnsi" w:hAnsiTheme="majorHAnsi"/>
          <w:sz w:val="20"/>
          <w:szCs w:val="20"/>
          <w:vertAlign w:val="superscript"/>
          <w:lang w:val="es-ES" w:eastAsia="es-ES"/>
        </w:rPr>
        <w:footnoteReference w:id="103"/>
      </w:r>
      <w:r w:rsidRPr="00A13596">
        <w:rPr>
          <w:rFonts w:asciiTheme="majorHAnsi" w:hAnsiTheme="majorHAnsi"/>
          <w:sz w:val="20"/>
          <w:szCs w:val="20"/>
          <w:lang w:val="es-ES" w:eastAsia="es-ES"/>
        </w:rPr>
        <w:t>.</w:t>
      </w:r>
      <w:r w:rsidR="009F0011">
        <w:rPr>
          <w:rFonts w:asciiTheme="majorHAnsi" w:hAnsiTheme="majorHAnsi"/>
          <w:sz w:val="20"/>
          <w:szCs w:val="20"/>
          <w:lang w:val="es-ES" w:eastAsia="es-ES"/>
        </w:rPr>
        <w:t xml:space="preserve"> En similar sentido,</w:t>
      </w:r>
      <w:r w:rsidR="00194D34">
        <w:rPr>
          <w:rFonts w:asciiTheme="majorHAnsi" w:hAnsiTheme="majorHAnsi"/>
          <w:sz w:val="20"/>
          <w:szCs w:val="20"/>
          <w:lang w:val="es-ES" w:eastAsia="es-ES"/>
        </w:rPr>
        <w:t xml:space="preserve"> la Comisión ha </w:t>
      </w:r>
      <w:r w:rsidR="00F23884">
        <w:rPr>
          <w:rFonts w:asciiTheme="majorHAnsi" w:hAnsiTheme="majorHAnsi"/>
          <w:sz w:val="20"/>
          <w:szCs w:val="20"/>
          <w:lang w:val="es-ES" w:eastAsia="es-ES"/>
        </w:rPr>
        <w:lastRenderedPageBreak/>
        <w:t xml:space="preserve">indicado que </w:t>
      </w:r>
      <w:r w:rsidR="001B69DE">
        <w:rPr>
          <w:rFonts w:asciiTheme="majorHAnsi" w:hAnsiTheme="majorHAnsi"/>
          <w:sz w:val="20"/>
          <w:szCs w:val="20"/>
          <w:lang w:val="es-ES" w:eastAsia="es-ES"/>
        </w:rPr>
        <w:t xml:space="preserve">conforme al artículo 8.2 c) de la Convención, </w:t>
      </w:r>
      <w:r w:rsidR="00194D34" w:rsidRPr="003430B2">
        <w:rPr>
          <w:rFonts w:ascii="Cambria" w:hAnsi="Cambria"/>
          <w:sz w:val="20"/>
          <w:szCs w:val="20"/>
          <w:lang w:val="es-ES"/>
        </w:rPr>
        <w:t>el Estado debe asegurar que las personas puedan “preparar su defensa, formular alegatos y promover las pruebas pertinentes”</w:t>
      </w:r>
      <w:r w:rsidR="00947A70" w:rsidRPr="003430B2">
        <w:rPr>
          <w:rStyle w:val="FootnoteReference"/>
          <w:rFonts w:ascii="Cambria" w:hAnsi="Cambria"/>
          <w:sz w:val="20"/>
          <w:szCs w:val="20"/>
          <w:lang w:val="es-ES"/>
        </w:rPr>
        <w:footnoteReference w:id="104"/>
      </w:r>
      <w:r w:rsidR="00194D34" w:rsidRPr="003430B2">
        <w:rPr>
          <w:rFonts w:ascii="Cambria" w:hAnsi="Cambria"/>
          <w:sz w:val="20"/>
          <w:szCs w:val="20"/>
          <w:lang w:val="es-ES"/>
        </w:rPr>
        <w:t>.</w:t>
      </w:r>
      <w:r w:rsidR="00377C16">
        <w:rPr>
          <w:rFonts w:ascii="Cambria" w:hAnsi="Cambria"/>
          <w:sz w:val="20"/>
          <w:szCs w:val="20"/>
          <w:lang w:val="es-ES"/>
        </w:rPr>
        <w:t xml:space="preserve"> </w:t>
      </w:r>
    </w:p>
    <w:p w:rsidR="000849AA" w:rsidRDefault="000849AA" w:rsidP="000849AA">
      <w:pPr>
        <w:pStyle w:val="ListParagraph"/>
        <w:rPr>
          <w:rFonts w:asciiTheme="majorHAnsi" w:hAnsiTheme="majorHAnsi"/>
          <w:sz w:val="20"/>
          <w:szCs w:val="20"/>
          <w:lang w:val="es-ES"/>
        </w:rPr>
      </w:pPr>
    </w:p>
    <w:p w:rsidR="00747FCE" w:rsidRDefault="00C259A0" w:rsidP="00747F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
        </w:rPr>
      </w:pPr>
      <w:r>
        <w:rPr>
          <w:rFonts w:ascii="Cambria" w:hAnsi="Cambria"/>
          <w:sz w:val="20"/>
          <w:szCs w:val="20"/>
          <w:lang w:val="es-VE"/>
        </w:rPr>
        <w:t>L</w:t>
      </w:r>
      <w:r w:rsidR="000849AA" w:rsidRPr="00904F36" w:rsidDel="00044636">
        <w:rPr>
          <w:rFonts w:ascii="Cambria" w:hAnsi="Cambria"/>
          <w:sz w:val="20"/>
          <w:szCs w:val="20"/>
          <w:lang w:val="es-VE"/>
        </w:rPr>
        <w:t>a Comisión</w:t>
      </w:r>
      <w:r>
        <w:rPr>
          <w:rFonts w:ascii="Cambria" w:hAnsi="Cambria"/>
          <w:sz w:val="20"/>
          <w:szCs w:val="20"/>
          <w:lang w:val="es-VE"/>
        </w:rPr>
        <w:t xml:space="preserve"> también</w:t>
      </w:r>
      <w:r w:rsidR="000849AA" w:rsidRPr="00904F36" w:rsidDel="00044636">
        <w:rPr>
          <w:rFonts w:ascii="Cambria" w:hAnsi="Cambria"/>
          <w:sz w:val="20"/>
          <w:szCs w:val="20"/>
          <w:lang w:val="es-VE"/>
        </w:rPr>
        <w:t xml:space="preserve"> recuerda que</w:t>
      </w:r>
      <w:r>
        <w:rPr>
          <w:rFonts w:ascii="Cambria" w:hAnsi="Cambria"/>
          <w:sz w:val="20"/>
          <w:szCs w:val="20"/>
          <w:lang w:val="es-VE"/>
        </w:rPr>
        <w:t xml:space="preserve"> el derecho a la defensa </w:t>
      </w:r>
      <w:r w:rsidR="000849AA" w:rsidRPr="00904F36" w:rsidDel="00044636">
        <w:rPr>
          <w:rFonts w:ascii="Cambria" w:hAnsi="Cambria"/>
          <w:sz w:val="20"/>
          <w:szCs w:val="20"/>
          <w:lang w:val="es-VE"/>
        </w:rPr>
        <w:t xml:space="preserve">implica que </w:t>
      </w:r>
      <w:r w:rsidR="000849AA" w:rsidRPr="008752B9">
        <w:rPr>
          <w:rFonts w:ascii="Cambria" w:hAnsi="Cambria"/>
          <w:sz w:val="20"/>
          <w:szCs w:val="20"/>
          <w:lang w:val="es-ES"/>
        </w:rPr>
        <w:t xml:space="preserve">la persona sometida a un proceso, incluyendo uno de carácter administrativo, pueda defender sus intereses o derechos en forma efectiva y en “condiciones de igualdad procesal (…) </w:t>
      </w:r>
      <w:r w:rsidR="000849AA" w:rsidRPr="008752B9">
        <w:rPr>
          <w:rFonts w:ascii="Cambria" w:hAnsi="Cambria"/>
          <w:sz w:val="20"/>
          <w:szCs w:val="20"/>
          <w:lang w:val="es-ES_tradnl"/>
        </w:rPr>
        <w:t>siendo plenamente informado de las acusaciones que se formulan en su contra</w:t>
      </w:r>
      <w:r w:rsidR="000849AA" w:rsidRPr="008752B9">
        <w:rPr>
          <w:rStyle w:val="FootnoteReference"/>
          <w:rFonts w:ascii="Cambria" w:hAnsi="Cambria"/>
          <w:sz w:val="20"/>
          <w:szCs w:val="20"/>
        </w:rPr>
        <w:footnoteReference w:id="105"/>
      </w:r>
      <w:r w:rsidR="000849AA" w:rsidRPr="008752B9">
        <w:rPr>
          <w:rFonts w:ascii="Cambria" w:hAnsi="Cambria"/>
          <w:sz w:val="20"/>
          <w:szCs w:val="20"/>
          <w:lang w:val="es-ES_tradnl"/>
        </w:rPr>
        <w:t xml:space="preserve">”, a fin de que </w:t>
      </w:r>
      <w:r>
        <w:rPr>
          <w:rFonts w:ascii="Cambria" w:hAnsi="Cambria"/>
          <w:sz w:val="20"/>
          <w:szCs w:val="20"/>
          <w:lang w:val="es-ES_tradnl"/>
        </w:rPr>
        <w:t xml:space="preserve">frente al </w:t>
      </w:r>
      <w:r w:rsidR="000849AA" w:rsidRPr="008752B9">
        <w:rPr>
          <w:rFonts w:ascii="Cambria" w:hAnsi="Cambria"/>
          <w:sz w:val="20"/>
          <w:szCs w:val="20"/>
          <w:lang w:val="es-ES_tradnl"/>
        </w:rPr>
        <w:t>poder punitivo del Estado</w:t>
      </w:r>
      <w:r>
        <w:rPr>
          <w:rFonts w:ascii="Cambria" w:hAnsi="Cambria"/>
          <w:sz w:val="20"/>
          <w:szCs w:val="20"/>
          <w:lang w:val="es-ES_tradnl"/>
        </w:rPr>
        <w:t xml:space="preserve">, la persona procesada </w:t>
      </w:r>
      <w:r w:rsidR="000849AA" w:rsidRPr="008752B9">
        <w:rPr>
          <w:rFonts w:ascii="Cambria" w:hAnsi="Cambria"/>
          <w:sz w:val="20"/>
          <w:szCs w:val="20"/>
          <w:lang w:val="es-ES_tradnl"/>
        </w:rPr>
        <w:t>pueda formular sus descargos con toda la información necesaria.</w:t>
      </w:r>
      <w:r w:rsidR="00D645AE">
        <w:rPr>
          <w:rFonts w:ascii="Cambria" w:hAnsi="Cambria"/>
          <w:sz w:val="20"/>
          <w:szCs w:val="20"/>
          <w:lang w:val="es-ES_tradnl"/>
        </w:rPr>
        <w:t xml:space="preserve"> </w:t>
      </w:r>
      <w:r w:rsidR="000849AA" w:rsidRPr="00F967D9">
        <w:rPr>
          <w:rFonts w:asciiTheme="majorHAnsi" w:hAnsiTheme="majorHAnsi"/>
          <w:sz w:val="20"/>
          <w:szCs w:val="20"/>
          <w:lang w:val="es-ES" w:eastAsia="es-ES"/>
        </w:rPr>
        <w:t xml:space="preserve">El derecho de defensa </w:t>
      </w:r>
      <w:r w:rsidR="000849AA" w:rsidRPr="00F967D9">
        <w:rPr>
          <w:rFonts w:ascii="Cambria" w:hAnsi="Cambria"/>
          <w:sz w:val="20"/>
          <w:szCs w:val="20"/>
          <w:lang w:val="es-ES" w:eastAsia="es-ES"/>
        </w:rPr>
        <w:t xml:space="preserve">debe necesariamente poder ejercerse desde que se señala a una persona como posible autor o partícipe de un hecho punible y sólo culmina cuando finaliza el proceso, incluyendo, en su caso, la etapa de ejecución de la pena. </w:t>
      </w:r>
    </w:p>
    <w:p w:rsidR="00747FCE" w:rsidRDefault="00747FCE" w:rsidP="00747FCE">
      <w:pPr>
        <w:pStyle w:val="ListParagraph"/>
        <w:rPr>
          <w:rFonts w:asciiTheme="majorHAnsi" w:hAnsiTheme="majorHAnsi"/>
          <w:sz w:val="20"/>
          <w:szCs w:val="20"/>
          <w:lang w:val="es-ES"/>
        </w:rPr>
      </w:pPr>
    </w:p>
    <w:p w:rsidR="00F5742D" w:rsidRPr="00747FCE" w:rsidRDefault="00904F36" w:rsidP="00747F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
        </w:rPr>
      </w:pPr>
      <w:r w:rsidRPr="00747FCE">
        <w:rPr>
          <w:rFonts w:asciiTheme="majorHAnsi" w:hAnsiTheme="majorHAnsi"/>
          <w:sz w:val="20"/>
          <w:szCs w:val="20"/>
          <w:lang w:val="es-ES" w:eastAsia="es-ES"/>
        </w:rPr>
        <w:t xml:space="preserve">En cuanto al principio de presunción de inocencia, la Corte Interamericana ha indicado que éste implica que el acusado no debe demostrar que no ha cometido el delito que se le atribuye, ya que </w:t>
      </w:r>
      <w:r w:rsidRPr="00747FCE">
        <w:rPr>
          <w:rFonts w:asciiTheme="majorHAnsi" w:hAnsiTheme="majorHAnsi"/>
          <w:i/>
          <w:sz w:val="20"/>
          <w:szCs w:val="20"/>
          <w:lang w:val="es-ES" w:eastAsia="es-ES"/>
        </w:rPr>
        <w:t xml:space="preserve">el </w:t>
      </w:r>
      <w:proofErr w:type="spellStart"/>
      <w:r w:rsidRPr="00747FCE">
        <w:rPr>
          <w:rFonts w:asciiTheme="majorHAnsi" w:hAnsiTheme="majorHAnsi"/>
          <w:i/>
          <w:sz w:val="20"/>
          <w:szCs w:val="20"/>
          <w:lang w:val="es-ES" w:eastAsia="es-ES"/>
        </w:rPr>
        <w:t>onus</w:t>
      </w:r>
      <w:proofErr w:type="spellEnd"/>
      <w:r w:rsidRPr="00747FCE">
        <w:rPr>
          <w:rFonts w:asciiTheme="majorHAnsi" w:hAnsiTheme="majorHAnsi"/>
          <w:i/>
          <w:sz w:val="20"/>
          <w:szCs w:val="20"/>
          <w:lang w:val="es-ES" w:eastAsia="es-ES"/>
        </w:rPr>
        <w:t xml:space="preserve"> </w:t>
      </w:r>
      <w:proofErr w:type="spellStart"/>
      <w:r w:rsidRPr="00747FCE">
        <w:rPr>
          <w:rFonts w:asciiTheme="majorHAnsi" w:hAnsiTheme="majorHAnsi"/>
          <w:i/>
          <w:sz w:val="20"/>
          <w:szCs w:val="20"/>
          <w:lang w:val="es-ES" w:eastAsia="es-ES"/>
        </w:rPr>
        <w:t>probandi</w:t>
      </w:r>
      <w:proofErr w:type="spellEnd"/>
      <w:r w:rsidRPr="00747FCE">
        <w:rPr>
          <w:rFonts w:asciiTheme="majorHAnsi" w:hAnsiTheme="majorHAnsi"/>
          <w:sz w:val="20"/>
          <w:szCs w:val="20"/>
          <w:lang w:val="es-ES" w:eastAsia="es-ES"/>
        </w:rPr>
        <w:t xml:space="preserve"> corresponde a quien acusa</w:t>
      </w:r>
      <w:r w:rsidRPr="004961D8">
        <w:rPr>
          <w:rFonts w:asciiTheme="majorHAnsi" w:hAnsiTheme="majorHAnsi"/>
          <w:sz w:val="20"/>
          <w:szCs w:val="20"/>
          <w:vertAlign w:val="superscript"/>
          <w:lang w:eastAsia="es-ES"/>
        </w:rPr>
        <w:footnoteReference w:id="106"/>
      </w:r>
      <w:r w:rsidRPr="00747FCE">
        <w:rPr>
          <w:rFonts w:asciiTheme="majorHAnsi" w:hAnsiTheme="majorHAnsi"/>
          <w:sz w:val="20"/>
          <w:szCs w:val="20"/>
          <w:lang w:val="es-ES" w:eastAsia="es-ES"/>
        </w:rPr>
        <w:t>. De esta forma, la demostración fehaciente de la culpabilidad constituye un requisito indispensable para la sanción, de modo que la carga de la prueba recae en la parte acusadora y no en el acusado</w:t>
      </w:r>
      <w:r w:rsidRPr="004961D8">
        <w:rPr>
          <w:rFonts w:asciiTheme="majorHAnsi" w:hAnsiTheme="majorHAnsi"/>
          <w:sz w:val="20"/>
          <w:szCs w:val="20"/>
          <w:vertAlign w:val="superscript"/>
          <w:lang w:eastAsia="es-ES"/>
        </w:rPr>
        <w:footnoteReference w:id="107"/>
      </w:r>
      <w:r w:rsidRPr="00747FCE">
        <w:rPr>
          <w:rFonts w:asciiTheme="majorHAnsi" w:hAnsiTheme="majorHAnsi"/>
          <w:sz w:val="20"/>
          <w:szCs w:val="20"/>
          <w:lang w:val="es-ES" w:eastAsia="es-ES"/>
        </w:rPr>
        <w:t>.</w:t>
      </w:r>
      <w:r w:rsidR="00A7011A" w:rsidRPr="00747FCE">
        <w:rPr>
          <w:rFonts w:asciiTheme="majorHAnsi" w:hAnsiTheme="majorHAnsi"/>
          <w:sz w:val="20"/>
          <w:szCs w:val="20"/>
          <w:lang w:val="es-ES" w:eastAsia="es-ES"/>
        </w:rPr>
        <w:t xml:space="preserve"> </w:t>
      </w:r>
      <w:r w:rsidR="006C7923" w:rsidRPr="00747FCE">
        <w:rPr>
          <w:rFonts w:asciiTheme="majorHAnsi" w:hAnsiTheme="majorHAnsi"/>
          <w:sz w:val="20"/>
          <w:szCs w:val="20"/>
          <w:lang w:val="es-ES" w:eastAsia="es-ES"/>
        </w:rPr>
        <w:t>E</w:t>
      </w:r>
      <w:r w:rsidR="006C7923" w:rsidRPr="00747FCE">
        <w:rPr>
          <w:rFonts w:asciiTheme="majorHAnsi" w:hAnsiTheme="majorHAnsi"/>
          <w:sz w:val="20"/>
          <w:szCs w:val="20"/>
          <w:lang w:val="es-ES"/>
        </w:rPr>
        <w:t>l derecho internacional de los derechos humanos establece que ninguna persona puede ser condenada mientras no exista prueba plena de su responsabilidad. En palabras de la Corte, “si obra contra ella prueba incompleta o insuficiente, no es procedente condenarla, sino absolverla”</w:t>
      </w:r>
      <w:r w:rsidR="006C7923" w:rsidRPr="00AD54A2">
        <w:rPr>
          <w:rStyle w:val="FootnoteReference"/>
          <w:rFonts w:asciiTheme="majorHAnsi" w:hAnsiTheme="majorHAnsi"/>
          <w:sz w:val="20"/>
          <w:szCs w:val="20"/>
          <w:lang w:val="es-ES"/>
        </w:rPr>
        <w:footnoteReference w:id="108"/>
      </w:r>
      <w:r w:rsidR="006C7923" w:rsidRPr="00747FCE">
        <w:rPr>
          <w:rFonts w:asciiTheme="majorHAnsi" w:hAnsiTheme="majorHAnsi"/>
          <w:sz w:val="20"/>
          <w:szCs w:val="20"/>
          <w:lang w:val="es-ES"/>
        </w:rPr>
        <w:t xml:space="preserve">. </w:t>
      </w:r>
    </w:p>
    <w:p w:rsidR="00747FCE" w:rsidRPr="00747FCE" w:rsidRDefault="00747FCE" w:rsidP="00747FC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hAnsi="Cambria"/>
          <w:sz w:val="20"/>
          <w:szCs w:val="20"/>
          <w:lang w:val="es-ES"/>
        </w:rPr>
      </w:pPr>
    </w:p>
    <w:p w:rsidR="00904F36" w:rsidRPr="00EA0BB3" w:rsidRDefault="00EB1837" w:rsidP="00EA0BB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
        </w:rPr>
      </w:pPr>
      <w:r w:rsidRPr="00E57D5F">
        <w:rPr>
          <w:rFonts w:ascii="Cambria" w:hAnsi="Cambria"/>
          <w:sz w:val="20"/>
          <w:szCs w:val="20"/>
          <w:lang w:val="es-AR"/>
        </w:rPr>
        <w:t>La Corte Interamericana ha establecido que el deber de motivación es una de las “debidas garantías” incluidas en el artículo 8.1 para salvaguardar el derecho a un debido proceso</w:t>
      </w:r>
      <w:r w:rsidRPr="00E57D5F">
        <w:rPr>
          <w:rStyle w:val="FootnoteReference"/>
          <w:rFonts w:ascii="Cambria" w:hAnsi="Cambria"/>
          <w:sz w:val="20"/>
          <w:szCs w:val="20"/>
          <w:lang w:val="es-AR"/>
        </w:rPr>
        <w:footnoteReference w:id="109"/>
      </w:r>
      <w:r w:rsidRPr="00E57D5F">
        <w:rPr>
          <w:rFonts w:ascii="Cambria" w:hAnsi="Cambria"/>
          <w:sz w:val="20"/>
          <w:szCs w:val="20"/>
          <w:lang w:val="es-AR"/>
        </w:rPr>
        <w:t xml:space="preserve">. Al respecto, dicho Tribunal ha precisado que la motivación “es la exteriorización de la justificación razonada que permite llegar a una </w:t>
      </w:r>
      <w:r w:rsidRPr="00E57D5F">
        <w:rPr>
          <w:rFonts w:ascii="Cambria" w:hAnsi="Cambria"/>
          <w:sz w:val="20"/>
          <w:szCs w:val="20"/>
          <w:lang w:val="es-ES"/>
        </w:rPr>
        <w:t>conclusión</w:t>
      </w:r>
      <w:r w:rsidRPr="00E57D5F">
        <w:rPr>
          <w:rFonts w:ascii="Cambria" w:hAnsi="Cambria"/>
          <w:sz w:val="20"/>
          <w:szCs w:val="20"/>
          <w:lang w:val="es-AR"/>
        </w:rPr>
        <w:t>”</w:t>
      </w:r>
      <w:r w:rsidRPr="00E57D5F">
        <w:rPr>
          <w:rStyle w:val="FootnoteReference"/>
          <w:rFonts w:ascii="Cambria" w:hAnsi="Cambria"/>
          <w:sz w:val="20"/>
          <w:szCs w:val="20"/>
        </w:rPr>
        <w:footnoteReference w:id="110"/>
      </w:r>
      <w:r w:rsidRPr="00E57D5F">
        <w:rPr>
          <w:rFonts w:ascii="Cambria" w:hAnsi="Cambria"/>
          <w:sz w:val="20"/>
          <w:szCs w:val="20"/>
          <w:lang w:val="es-AR"/>
        </w:rPr>
        <w:t xml:space="preserve">. </w:t>
      </w:r>
      <w:r w:rsidR="00EA0BB3">
        <w:rPr>
          <w:rFonts w:ascii="Cambria" w:hAnsi="Cambria"/>
          <w:sz w:val="20"/>
          <w:szCs w:val="20"/>
          <w:lang w:val="es-ES"/>
        </w:rPr>
        <w:t>Tanto la Comisión como la Corte han indicado que el deber de motivación</w:t>
      </w:r>
      <w:r w:rsidR="00904F36" w:rsidRPr="00EA0BB3">
        <w:rPr>
          <w:rFonts w:ascii="Cambria" w:hAnsi="Cambria"/>
          <w:sz w:val="20"/>
          <w:szCs w:val="20"/>
          <w:lang w:val="es-AR"/>
        </w:rPr>
        <w:t xml:space="preserve"> “es una garantía vinculada con la correcta administración de justicia, que protege el derecho de los ciudadanos a ser juzgados por las razones que el Derecho suministra, y otorga credibilidad a las decisiones jurídicas en el marco de una sociedad democrática”</w:t>
      </w:r>
      <w:r w:rsidR="00904F36" w:rsidRPr="008752B9">
        <w:rPr>
          <w:rStyle w:val="FootnoteReference"/>
          <w:rFonts w:ascii="Cambria" w:hAnsi="Cambria"/>
          <w:sz w:val="20"/>
          <w:szCs w:val="20"/>
          <w:lang w:val="es-AR"/>
        </w:rPr>
        <w:footnoteReference w:id="111"/>
      </w:r>
      <w:r w:rsidR="00904F36" w:rsidRPr="00EA0BB3">
        <w:rPr>
          <w:rFonts w:ascii="Cambria" w:hAnsi="Cambria"/>
          <w:sz w:val="20"/>
          <w:szCs w:val="20"/>
          <w:lang w:val="es-AR"/>
        </w:rPr>
        <w:t>.</w:t>
      </w:r>
      <w:r w:rsidR="00904F36" w:rsidRPr="00EA0BB3">
        <w:rPr>
          <w:rFonts w:ascii="Cambria" w:hAnsi="Cambria"/>
          <w:sz w:val="20"/>
          <w:szCs w:val="20"/>
          <w:lang w:val="es-ES"/>
        </w:rPr>
        <w:t xml:space="preserve"> </w:t>
      </w:r>
      <w:r w:rsidR="00904F36" w:rsidRPr="00EA0BB3">
        <w:rPr>
          <w:rFonts w:ascii="Cambria" w:hAnsi="Cambria"/>
          <w:sz w:val="20"/>
          <w:szCs w:val="20"/>
          <w:lang w:val="es-AR"/>
        </w:rPr>
        <w:t xml:space="preserve">Según la Corte Interamericana, las resoluciones de carácter administrativo disciplinario deben contener “la indicación precisa de aquello que constituye una falta y el desarrollo de argumentos que permitan concluir que las observaciones tienen la suficiente entidad para justificar que </w:t>
      </w:r>
      <w:r w:rsidR="00904F36" w:rsidRPr="00EA0BB3">
        <w:rPr>
          <w:rFonts w:ascii="Cambria" w:hAnsi="Cambria" w:cs="Arial"/>
          <w:sz w:val="20"/>
          <w:szCs w:val="20"/>
          <w:lang w:val="es-AR"/>
        </w:rPr>
        <w:t xml:space="preserve">[un funcionario estatal] </w:t>
      </w:r>
      <w:r w:rsidR="00904F36" w:rsidRPr="00EA0BB3">
        <w:rPr>
          <w:rFonts w:ascii="Cambria" w:hAnsi="Cambria"/>
          <w:sz w:val="20"/>
          <w:szCs w:val="20"/>
          <w:lang w:val="es-AR"/>
        </w:rPr>
        <w:t>no permanezca en el cargo”</w:t>
      </w:r>
      <w:r w:rsidR="00904F36" w:rsidRPr="008752B9">
        <w:rPr>
          <w:rStyle w:val="FootnoteReference"/>
          <w:rFonts w:ascii="Cambria" w:hAnsi="Cambria"/>
          <w:sz w:val="20"/>
          <w:szCs w:val="20"/>
          <w:lang w:val="es-AR"/>
        </w:rPr>
        <w:footnoteReference w:id="112"/>
      </w:r>
      <w:r w:rsidR="00904F36" w:rsidRPr="00EA0BB3">
        <w:rPr>
          <w:rFonts w:ascii="Cambria" w:hAnsi="Cambria"/>
          <w:sz w:val="20"/>
          <w:szCs w:val="20"/>
          <w:lang w:val="es-AR"/>
        </w:rPr>
        <w:t>.</w:t>
      </w:r>
      <w:r w:rsidR="00904F36" w:rsidRPr="00EA0BB3">
        <w:rPr>
          <w:rFonts w:ascii="Cambria" w:hAnsi="Cambria"/>
          <w:sz w:val="20"/>
          <w:szCs w:val="20"/>
          <w:lang w:val="es-ES"/>
        </w:rPr>
        <w:t xml:space="preserve"> Asimismo, l</w:t>
      </w:r>
      <w:r w:rsidR="00904F36" w:rsidRPr="00EA0BB3">
        <w:rPr>
          <w:rFonts w:ascii="Cambria" w:hAnsi="Cambria" w:cs="Calibri"/>
          <w:sz w:val="20"/>
          <w:szCs w:val="20"/>
          <w:lang w:val="es-AR"/>
        </w:rPr>
        <w:t>a exigencia de un nivel adecuado de motivación es sumamente relevante ya que el control disciplinario tiene como objeto valorar la conducta, idoneidad y desempeño de un funcionario público y, por ende, es en la propia motivación donde corresponde analizar la gravedad de la conducta imputada y la proporcionalidad de la sanción</w:t>
      </w:r>
      <w:r w:rsidR="00904F36" w:rsidRPr="008752B9">
        <w:rPr>
          <w:rStyle w:val="FootnoteReference"/>
          <w:rFonts w:ascii="Cambria" w:hAnsi="Cambria" w:cs="Calibri"/>
          <w:sz w:val="20"/>
          <w:szCs w:val="20"/>
        </w:rPr>
        <w:footnoteReference w:id="113"/>
      </w:r>
      <w:r w:rsidR="00904F36" w:rsidRPr="00EA0BB3">
        <w:rPr>
          <w:rFonts w:ascii="Cambria" w:hAnsi="Cambria" w:cs="Calibri"/>
          <w:sz w:val="20"/>
          <w:szCs w:val="20"/>
          <w:lang w:val="es-AR"/>
        </w:rPr>
        <w:t>.</w:t>
      </w:r>
      <w:r w:rsidR="00904F36" w:rsidRPr="00EA0BB3">
        <w:rPr>
          <w:rFonts w:ascii="Cambria" w:hAnsi="Cambria"/>
          <w:sz w:val="20"/>
          <w:szCs w:val="20"/>
          <w:lang w:val="es-ES"/>
        </w:rPr>
        <w:t xml:space="preserve"> </w:t>
      </w:r>
    </w:p>
    <w:p w:rsidR="00904F36" w:rsidRDefault="00904F36" w:rsidP="00904F36">
      <w:pPr>
        <w:pStyle w:val="ListParagraph"/>
        <w:rPr>
          <w:sz w:val="20"/>
          <w:szCs w:val="20"/>
          <w:lang w:val="es-ES"/>
        </w:rPr>
      </w:pPr>
    </w:p>
    <w:p w:rsidR="00904F36" w:rsidRPr="00904F36" w:rsidRDefault="00904F36" w:rsidP="00904F3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
        </w:rPr>
      </w:pPr>
      <w:r w:rsidRPr="00904F36">
        <w:rPr>
          <w:rFonts w:ascii="Cambria" w:hAnsi="Cambria"/>
          <w:sz w:val="20"/>
          <w:szCs w:val="20"/>
          <w:lang w:val="es-ES"/>
        </w:rPr>
        <w:t xml:space="preserve">Dichas obligaciones </w:t>
      </w:r>
      <w:r w:rsidR="00664336">
        <w:rPr>
          <w:rFonts w:ascii="Cambria" w:hAnsi="Cambria"/>
          <w:sz w:val="20"/>
          <w:szCs w:val="20"/>
          <w:lang w:val="es-ES"/>
        </w:rPr>
        <w:t>son de especial relevancia</w:t>
      </w:r>
      <w:r w:rsidRPr="00904F36">
        <w:rPr>
          <w:rFonts w:ascii="Cambria" w:hAnsi="Cambria"/>
          <w:sz w:val="20"/>
          <w:szCs w:val="20"/>
          <w:lang w:val="es-ES"/>
        </w:rPr>
        <w:t xml:space="preserve">, pues es la motivación la que permite entender la manera en que los hechos que sustentaron el procedimiento, se adecuan o caen dentro del ámbito de la causal invocada. Sobre este punto, en el caso </w:t>
      </w:r>
      <w:r w:rsidRPr="00904F36">
        <w:rPr>
          <w:rFonts w:ascii="Cambria" w:hAnsi="Cambria"/>
          <w:i/>
          <w:sz w:val="20"/>
          <w:szCs w:val="20"/>
          <w:lang w:val="es-ES"/>
        </w:rPr>
        <w:t xml:space="preserve">De la Cruz Flores Vs. Perú, </w:t>
      </w:r>
      <w:r w:rsidRPr="00904F36">
        <w:rPr>
          <w:rFonts w:ascii="Cambria" w:hAnsi="Cambria"/>
          <w:sz w:val="20"/>
          <w:szCs w:val="20"/>
          <w:lang w:val="es-ES"/>
        </w:rPr>
        <w:t>la Corte</w:t>
      </w:r>
      <w:r w:rsidRPr="00904F36">
        <w:rPr>
          <w:rFonts w:ascii="Cambria" w:hAnsi="Cambria"/>
          <w:i/>
          <w:sz w:val="20"/>
          <w:szCs w:val="20"/>
          <w:lang w:val="es-ES"/>
        </w:rPr>
        <w:t xml:space="preserve"> </w:t>
      </w:r>
      <w:r w:rsidRPr="00904F36">
        <w:rPr>
          <w:rFonts w:ascii="Cambria" w:hAnsi="Cambria"/>
          <w:sz w:val="20"/>
          <w:szCs w:val="20"/>
          <w:lang w:val="es-ES"/>
        </w:rPr>
        <w:t>resaltó la necesidad de que en toda decisión sancionatoria exista un vínculo entre la conducta imputada a la persona y la disposición en la cual se basa la decisión</w:t>
      </w:r>
      <w:r w:rsidRPr="008752B9">
        <w:rPr>
          <w:rStyle w:val="FootnoteReference"/>
          <w:rFonts w:ascii="Cambria" w:hAnsi="Cambria"/>
          <w:sz w:val="20"/>
          <w:szCs w:val="20"/>
          <w:lang w:val="es-ES"/>
        </w:rPr>
        <w:footnoteReference w:id="114"/>
      </w:r>
      <w:r w:rsidRPr="00904F36">
        <w:rPr>
          <w:rFonts w:ascii="Cambria" w:hAnsi="Cambria"/>
          <w:sz w:val="20"/>
          <w:szCs w:val="20"/>
          <w:lang w:val="es-ES"/>
        </w:rPr>
        <w:t>.</w:t>
      </w:r>
      <w:r w:rsidR="00664336">
        <w:rPr>
          <w:rFonts w:ascii="Cambria" w:hAnsi="Cambria"/>
          <w:sz w:val="20"/>
          <w:szCs w:val="20"/>
          <w:lang w:val="es-ES"/>
        </w:rPr>
        <w:t xml:space="preserve"> Sobre este punto</w:t>
      </w:r>
      <w:r w:rsidR="009707C9">
        <w:rPr>
          <w:rFonts w:ascii="Cambria" w:hAnsi="Cambria"/>
          <w:sz w:val="20"/>
          <w:szCs w:val="20"/>
          <w:lang w:val="es-ES"/>
        </w:rPr>
        <w:t xml:space="preserve"> también se ha pronunciado la Comisión Interamericana en procesos administrativos sancionatorio</w:t>
      </w:r>
      <w:r w:rsidR="009707C9" w:rsidRPr="00AD54A2">
        <w:rPr>
          <w:rFonts w:asciiTheme="majorHAnsi" w:hAnsiTheme="majorHAnsi"/>
          <w:sz w:val="20"/>
          <w:szCs w:val="20"/>
          <w:lang w:val="es-ES"/>
        </w:rPr>
        <w:t>s</w:t>
      </w:r>
      <w:r w:rsidR="00436E9F" w:rsidRPr="00AD54A2">
        <w:rPr>
          <w:rStyle w:val="FootnoteReference"/>
          <w:rFonts w:asciiTheme="majorHAnsi" w:hAnsiTheme="majorHAnsi"/>
          <w:sz w:val="20"/>
          <w:szCs w:val="20"/>
          <w:lang w:val="es-ES"/>
        </w:rPr>
        <w:footnoteReference w:id="115"/>
      </w:r>
      <w:r w:rsidR="005140DF">
        <w:rPr>
          <w:rFonts w:asciiTheme="majorHAnsi" w:hAnsiTheme="majorHAnsi"/>
          <w:sz w:val="20"/>
          <w:szCs w:val="20"/>
          <w:lang w:val="es-ES"/>
        </w:rPr>
        <w:t>.</w:t>
      </w:r>
    </w:p>
    <w:p w:rsidR="00786F41" w:rsidRDefault="00786F41" w:rsidP="00731C2E">
      <w:pPr>
        <w:rPr>
          <w:rFonts w:asciiTheme="majorHAnsi" w:hAnsiTheme="majorHAnsi"/>
          <w:b/>
          <w:sz w:val="20"/>
          <w:szCs w:val="20"/>
          <w:lang w:val="es-ES" w:eastAsia="es-ES"/>
        </w:rPr>
      </w:pPr>
    </w:p>
    <w:p w:rsidR="00786F41" w:rsidRPr="00E062A0" w:rsidRDefault="00904F36" w:rsidP="00E062A0">
      <w:pPr>
        <w:pStyle w:val="Heading3"/>
        <w:numPr>
          <w:ilvl w:val="1"/>
          <w:numId w:val="55"/>
        </w:numPr>
        <w:tabs>
          <w:tab w:val="clear" w:pos="1800"/>
          <w:tab w:val="num" w:pos="1440"/>
        </w:tabs>
        <w:ind w:hanging="1080"/>
        <w:rPr>
          <w:color w:val="auto"/>
          <w:sz w:val="20"/>
          <w:szCs w:val="20"/>
          <w:lang w:val="es-ES_tradnl"/>
        </w:rPr>
      </w:pPr>
      <w:bookmarkStart w:id="48" w:name="_Toc485394060"/>
      <w:r w:rsidRPr="00E062A0">
        <w:rPr>
          <w:color w:val="auto"/>
          <w:sz w:val="20"/>
          <w:szCs w:val="20"/>
          <w:lang w:val="es-ES_tradnl"/>
        </w:rPr>
        <w:t>Análisis del presente caso</w:t>
      </w:r>
      <w:bookmarkEnd w:id="48"/>
      <w:r w:rsidRPr="00E062A0">
        <w:rPr>
          <w:color w:val="auto"/>
          <w:sz w:val="20"/>
          <w:szCs w:val="20"/>
          <w:lang w:val="es-ES_tradnl"/>
        </w:rPr>
        <w:t xml:space="preserve"> </w:t>
      </w:r>
    </w:p>
    <w:p w:rsidR="00904F36" w:rsidRDefault="00904F36" w:rsidP="00904F36">
      <w:pPr>
        <w:pStyle w:val="ListParagraph"/>
        <w:ind w:left="1440"/>
        <w:rPr>
          <w:rFonts w:asciiTheme="majorHAnsi" w:hAnsiTheme="majorHAnsi"/>
          <w:b/>
          <w:sz w:val="20"/>
          <w:szCs w:val="20"/>
          <w:lang w:val="es-ES"/>
        </w:rPr>
      </w:pPr>
    </w:p>
    <w:p w:rsidR="00BB2B3F" w:rsidRDefault="002E7246" w:rsidP="0071490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
        </w:rPr>
      </w:pPr>
      <w:r>
        <w:rPr>
          <w:rFonts w:ascii="Cambria" w:hAnsi="Cambria"/>
          <w:sz w:val="20"/>
          <w:szCs w:val="20"/>
          <w:lang w:val="es-ES"/>
        </w:rPr>
        <w:t>L</w:t>
      </w:r>
      <w:r w:rsidR="00164BC6" w:rsidRPr="00BF67FA">
        <w:rPr>
          <w:rFonts w:ascii="Cambria" w:hAnsi="Cambria"/>
          <w:sz w:val="20"/>
          <w:szCs w:val="20"/>
          <w:lang w:val="es-ES"/>
        </w:rPr>
        <w:t xml:space="preserve">a Comisión recuerda </w:t>
      </w:r>
      <w:r w:rsidR="00714470" w:rsidRPr="00BF67FA">
        <w:rPr>
          <w:rFonts w:ascii="Cambria" w:hAnsi="Cambria"/>
          <w:sz w:val="20"/>
          <w:szCs w:val="20"/>
          <w:lang w:val="es-ES"/>
        </w:rPr>
        <w:t>que tal y como se indicó en la sección de hechos probados</w:t>
      </w:r>
      <w:r w:rsidR="00791EB2" w:rsidRPr="00BF67FA">
        <w:rPr>
          <w:rFonts w:ascii="Cambria" w:hAnsi="Cambria"/>
          <w:sz w:val="20"/>
          <w:szCs w:val="20"/>
          <w:lang w:val="es-ES"/>
        </w:rPr>
        <w:t>,</w:t>
      </w:r>
      <w:r w:rsidR="00714470" w:rsidRPr="00BF67FA">
        <w:rPr>
          <w:rFonts w:ascii="Cambria" w:hAnsi="Cambria"/>
          <w:sz w:val="20"/>
          <w:szCs w:val="20"/>
          <w:lang w:val="es-ES"/>
        </w:rPr>
        <w:t xml:space="preserve"> en septiembre de 1994 la Inspectoría del Destacamento Leoncio Prado inició </w:t>
      </w:r>
      <w:r w:rsidR="00791EB2" w:rsidRPr="00BF67FA">
        <w:rPr>
          <w:rFonts w:ascii="Cambria" w:hAnsi="Cambria"/>
          <w:sz w:val="20"/>
          <w:szCs w:val="20"/>
          <w:lang w:val="es-ES"/>
        </w:rPr>
        <w:t>una investigación en contra de la presunta ví</w:t>
      </w:r>
      <w:r w:rsidR="00BF67FA" w:rsidRPr="00BF67FA">
        <w:rPr>
          <w:rFonts w:ascii="Cambria" w:hAnsi="Cambria"/>
          <w:sz w:val="20"/>
          <w:szCs w:val="20"/>
          <w:lang w:val="es-ES"/>
        </w:rPr>
        <w:t xml:space="preserve">ctima. </w:t>
      </w:r>
      <w:r w:rsidR="00BB2B3F">
        <w:rPr>
          <w:rFonts w:ascii="Cambria" w:hAnsi="Cambria"/>
          <w:sz w:val="20"/>
          <w:szCs w:val="20"/>
          <w:lang w:val="es-ES"/>
        </w:rPr>
        <w:t xml:space="preserve">El 25 de septiembre de 1994 </w:t>
      </w:r>
      <w:r w:rsidR="00420521">
        <w:rPr>
          <w:rFonts w:ascii="Cambria" w:hAnsi="Cambria"/>
          <w:sz w:val="20"/>
          <w:szCs w:val="20"/>
          <w:lang w:val="es-ES"/>
        </w:rPr>
        <w:t xml:space="preserve">a </w:t>
      </w:r>
      <w:r w:rsidR="00BB2B3F">
        <w:rPr>
          <w:rFonts w:ascii="Cambria" w:hAnsi="Cambria"/>
          <w:sz w:val="20"/>
          <w:szCs w:val="20"/>
          <w:lang w:val="es-ES"/>
        </w:rPr>
        <w:t xml:space="preserve">la presunta víctima </w:t>
      </w:r>
      <w:r w:rsidR="00420521">
        <w:rPr>
          <w:rFonts w:ascii="Cambria" w:hAnsi="Cambria"/>
          <w:sz w:val="20"/>
          <w:szCs w:val="20"/>
          <w:lang w:val="es-ES"/>
        </w:rPr>
        <w:t xml:space="preserve">se le informó </w:t>
      </w:r>
      <w:r w:rsidR="00BB2B3F">
        <w:rPr>
          <w:rFonts w:ascii="Cambria" w:hAnsi="Cambria"/>
          <w:sz w:val="20"/>
          <w:szCs w:val="20"/>
          <w:lang w:val="es-ES"/>
        </w:rPr>
        <w:t xml:space="preserve">que como consecuencia de la investigación fue denunciada por el delito de tráfico ilícito de drogas previsto en el Código Penal, y por diversos delitos previstos en el Código de Justicia Militar. </w:t>
      </w:r>
    </w:p>
    <w:p w:rsidR="00BB2B3F" w:rsidRDefault="00BB2B3F" w:rsidP="00BB2B3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rsidR="00465B98" w:rsidRDefault="00BB2B3F" w:rsidP="00465B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
        </w:rPr>
      </w:pPr>
      <w:r>
        <w:rPr>
          <w:rFonts w:ascii="Cambria" w:hAnsi="Cambria"/>
          <w:sz w:val="20"/>
          <w:szCs w:val="20"/>
          <w:lang w:val="es-ES"/>
        </w:rPr>
        <w:t xml:space="preserve">Asimismo, </w:t>
      </w:r>
      <w:r w:rsidR="00DD20AE" w:rsidRPr="00BB2B3F">
        <w:rPr>
          <w:rFonts w:ascii="Cambria" w:hAnsi="Cambria"/>
          <w:sz w:val="20"/>
          <w:szCs w:val="20"/>
          <w:lang w:val="es-ES"/>
        </w:rPr>
        <w:t xml:space="preserve">el 15 de diciembre de 1994 la Inspectoría presentó su </w:t>
      </w:r>
      <w:r w:rsidR="00346EC9" w:rsidRPr="00BB2B3F">
        <w:rPr>
          <w:rFonts w:ascii="Cambria" w:hAnsi="Cambria"/>
          <w:sz w:val="20"/>
          <w:szCs w:val="20"/>
          <w:lang w:val="es-ES"/>
        </w:rPr>
        <w:t xml:space="preserve">informe de investigación al </w:t>
      </w:r>
      <w:r w:rsidR="00CC2F1C" w:rsidRPr="00BB2B3F">
        <w:rPr>
          <w:rFonts w:ascii="Cambria" w:hAnsi="Cambria"/>
          <w:sz w:val="20"/>
          <w:szCs w:val="20"/>
          <w:lang w:val="es-ES"/>
        </w:rPr>
        <w:t xml:space="preserve">Comandante General del Ejército, recomendando someter a la presunta víctima </w:t>
      </w:r>
      <w:r w:rsidR="00783A0A">
        <w:rPr>
          <w:rFonts w:ascii="Cambria" w:hAnsi="Cambria"/>
          <w:sz w:val="20"/>
          <w:szCs w:val="20"/>
          <w:lang w:val="es-ES"/>
        </w:rPr>
        <w:t xml:space="preserve">al Consejo de Oficiales Subalternos </w:t>
      </w:r>
      <w:r w:rsidR="00CC2F1C" w:rsidRPr="00BB2B3F">
        <w:rPr>
          <w:rFonts w:ascii="Cambria" w:hAnsi="Cambria"/>
          <w:sz w:val="20"/>
          <w:szCs w:val="20"/>
          <w:lang w:val="es-ES"/>
        </w:rPr>
        <w:t xml:space="preserve">por ser el autor de varios delitos, y “haber demostrado falta de formación profesional, honor, ética y capacidad moral por haberse coludido con narcotraficantes” así como por su “falta de carácter militar y capacidad de Comando”. </w:t>
      </w:r>
    </w:p>
    <w:p w:rsidR="00465B98" w:rsidRDefault="00465B98" w:rsidP="00465B98">
      <w:pPr>
        <w:pStyle w:val="ListParagraph"/>
        <w:rPr>
          <w:sz w:val="20"/>
          <w:szCs w:val="20"/>
          <w:lang w:val="es-ES"/>
        </w:rPr>
      </w:pPr>
    </w:p>
    <w:p w:rsidR="006D1348" w:rsidRDefault="00A609A4" w:rsidP="006419C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
        </w:rPr>
      </w:pPr>
      <w:r>
        <w:rPr>
          <w:rFonts w:ascii="Cambria" w:hAnsi="Cambria"/>
          <w:sz w:val="20"/>
          <w:szCs w:val="20"/>
          <w:lang w:val="es-ES"/>
        </w:rPr>
        <w:t xml:space="preserve">En primer lugar, </w:t>
      </w:r>
      <w:r w:rsidR="008B7540">
        <w:rPr>
          <w:rFonts w:ascii="Cambria" w:hAnsi="Cambria"/>
          <w:sz w:val="20"/>
          <w:szCs w:val="20"/>
          <w:lang w:val="es-ES"/>
        </w:rPr>
        <w:t>l</w:t>
      </w:r>
      <w:r w:rsidR="00CC2F1C" w:rsidRPr="00465B98">
        <w:rPr>
          <w:rFonts w:ascii="Cambria" w:hAnsi="Cambria"/>
          <w:sz w:val="20"/>
          <w:szCs w:val="20"/>
          <w:lang w:val="es-ES"/>
        </w:rPr>
        <w:t>a Co</w:t>
      </w:r>
      <w:r w:rsidR="004B5A02" w:rsidRPr="00465B98">
        <w:rPr>
          <w:rFonts w:ascii="Cambria" w:hAnsi="Cambria"/>
          <w:sz w:val="20"/>
          <w:szCs w:val="20"/>
          <w:lang w:val="es-ES"/>
        </w:rPr>
        <w:t>misión observa que</w:t>
      </w:r>
      <w:r w:rsidR="00F778C2">
        <w:rPr>
          <w:rFonts w:ascii="Cambria" w:hAnsi="Cambria"/>
          <w:sz w:val="20"/>
          <w:szCs w:val="20"/>
          <w:lang w:val="es-ES"/>
        </w:rPr>
        <w:t xml:space="preserve"> no consta en el expediente que al momento en que el señor Rosadio Villavicencio rindió su primera declaración</w:t>
      </w:r>
      <w:r w:rsidR="00BA6950">
        <w:rPr>
          <w:rFonts w:ascii="Cambria" w:hAnsi="Cambria"/>
          <w:sz w:val="20"/>
          <w:szCs w:val="20"/>
          <w:lang w:val="es-ES"/>
        </w:rPr>
        <w:t xml:space="preserve"> el 15 de septiembre de 1994,</w:t>
      </w:r>
      <w:r w:rsidR="00F778C2">
        <w:rPr>
          <w:rFonts w:ascii="Cambria" w:hAnsi="Cambria"/>
          <w:sz w:val="20"/>
          <w:szCs w:val="20"/>
          <w:lang w:val="es-ES"/>
        </w:rPr>
        <w:t xml:space="preserve"> hubiese sido notificado previamente de los hechos y causales por los cuales se le estaba investigando</w:t>
      </w:r>
      <w:r w:rsidR="00465B98" w:rsidRPr="00465B98">
        <w:rPr>
          <w:rFonts w:ascii="Cambria" w:hAnsi="Cambria"/>
          <w:sz w:val="20"/>
          <w:szCs w:val="20"/>
          <w:lang w:val="es-ES"/>
        </w:rPr>
        <w:t xml:space="preserve">. </w:t>
      </w:r>
      <w:r w:rsidR="00E066FE">
        <w:rPr>
          <w:rFonts w:ascii="Cambria" w:hAnsi="Cambria"/>
          <w:sz w:val="20"/>
          <w:szCs w:val="20"/>
          <w:lang w:val="es-ES"/>
        </w:rPr>
        <w:t xml:space="preserve">Según </w:t>
      </w:r>
      <w:r w:rsidR="00BA6950">
        <w:rPr>
          <w:rFonts w:ascii="Cambria" w:hAnsi="Cambria"/>
          <w:sz w:val="20"/>
          <w:szCs w:val="20"/>
          <w:lang w:val="es-ES"/>
        </w:rPr>
        <w:t xml:space="preserve">la información disponible, fue </w:t>
      </w:r>
      <w:r w:rsidR="00261C22">
        <w:rPr>
          <w:rFonts w:ascii="Cambria" w:hAnsi="Cambria"/>
          <w:sz w:val="20"/>
          <w:szCs w:val="20"/>
          <w:lang w:val="es-ES"/>
        </w:rPr>
        <w:t xml:space="preserve">recién el 25 de septiembre de 1994 que la presunta víctima fue informada de </w:t>
      </w:r>
      <w:r w:rsidR="00C958E0">
        <w:rPr>
          <w:rFonts w:ascii="Cambria" w:hAnsi="Cambria"/>
          <w:sz w:val="20"/>
          <w:szCs w:val="20"/>
          <w:lang w:val="es-ES"/>
        </w:rPr>
        <w:t xml:space="preserve">que había sido denunciado por delitos tanto comunes como militares en las respectivas jurisdicciones penales. </w:t>
      </w:r>
      <w:r w:rsidR="00465B98" w:rsidRPr="00465B98">
        <w:rPr>
          <w:rFonts w:ascii="Cambria" w:hAnsi="Cambria"/>
          <w:sz w:val="20"/>
          <w:szCs w:val="20"/>
          <w:lang w:val="es-ES"/>
        </w:rPr>
        <w:t xml:space="preserve">La Comisión nota además, </w:t>
      </w:r>
      <w:r w:rsidR="00465B98">
        <w:rPr>
          <w:rFonts w:ascii="Cambria" w:hAnsi="Cambria"/>
          <w:sz w:val="20"/>
          <w:szCs w:val="20"/>
          <w:lang w:val="es-ES"/>
        </w:rPr>
        <w:t xml:space="preserve">que la comunicación de </w:t>
      </w:r>
      <w:r w:rsidR="00C958E0">
        <w:rPr>
          <w:rFonts w:ascii="Cambria" w:hAnsi="Cambria"/>
          <w:sz w:val="20"/>
          <w:szCs w:val="20"/>
          <w:lang w:val="es-ES"/>
        </w:rPr>
        <w:t>25</w:t>
      </w:r>
      <w:r w:rsidR="00465B98">
        <w:rPr>
          <w:rFonts w:ascii="Cambria" w:hAnsi="Cambria"/>
          <w:sz w:val="20"/>
          <w:szCs w:val="20"/>
          <w:lang w:val="es-ES"/>
        </w:rPr>
        <w:t xml:space="preserve"> de septiembre de 1994 no</w:t>
      </w:r>
      <w:r w:rsidR="00C958E0">
        <w:rPr>
          <w:rFonts w:ascii="Cambria" w:hAnsi="Cambria"/>
          <w:sz w:val="20"/>
          <w:szCs w:val="20"/>
          <w:lang w:val="es-ES"/>
        </w:rPr>
        <w:t xml:space="preserve"> incluye las causales disciplinarias que se estaban investigando en el</w:t>
      </w:r>
      <w:r w:rsidR="00A31A08">
        <w:rPr>
          <w:rFonts w:ascii="Cambria" w:hAnsi="Cambria"/>
          <w:sz w:val="20"/>
          <w:szCs w:val="20"/>
          <w:lang w:val="es-ES"/>
        </w:rPr>
        <w:t xml:space="preserve"> proceso administrativo discipli</w:t>
      </w:r>
      <w:r w:rsidR="00C958E0">
        <w:rPr>
          <w:rFonts w:ascii="Cambria" w:hAnsi="Cambria"/>
          <w:sz w:val="20"/>
          <w:szCs w:val="20"/>
          <w:lang w:val="es-ES"/>
        </w:rPr>
        <w:t>n</w:t>
      </w:r>
      <w:r w:rsidR="00A31A08">
        <w:rPr>
          <w:rFonts w:ascii="Cambria" w:hAnsi="Cambria"/>
          <w:sz w:val="20"/>
          <w:szCs w:val="20"/>
          <w:lang w:val="es-ES"/>
        </w:rPr>
        <w:t xml:space="preserve">ario, las cuales </w:t>
      </w:r>
      <w:r w:rsidR="00B721BD">
        <w:rPr>
          <w:rFonts w:ascii="Cambria" w:hAnsi="Cambria"/>
          <w:sz w:val="20"/>
          <w:szCs w:val="20"/>
          <w:lang w:val="es-ES"/>
        </w:rPr>
        <w:t xml:space="preserve">aparecen por primera vez </w:t>
      </w:r>
      <w:r w:rsidR="009F0011">
        <w:rPr>
          <w:rFonts w:ascii="Cambria" w:hAnsi="Cambria"/>
          <w:sz w:val="20"/>
          <w:szCs w:val="20"/>
          <w:lang w:val="es-ES"/>
        </w:rPr>
        <w:t xml:space="preserve">en </w:t>
      </w:r>
      <w:r w:rsidR="00465B98">
        <w:rPr>
          <w:rFonts w:ascii="Cambria" w:hAnsi="Cambria"/>
          <w:sz w:val="20"/>
          <w:szCs w:val="20"/>
          <w:lang w:val="es-ES"/>
        </w:rPr>
        <w:t>el informe de investigación presentado al Comandante General del Ejército</w:t>
      </w:r>
      <w:r w:rsidR="00756C25">
        <w:rPr>
          <w:rFonts w:ascii="Cambria" w:hAnsi="Cambria"/>
          <w:sz w:val="20"/>
          <w:szCs w:val="20"/>
          <w:lang w:val="es-ES"/>
        </w:rPr>
        <w:t xml:space="preserve"> el 15 de diciembre de 1994 en </w:t>
      </w:r>
      <w:r w:rsidR="00465B98">
        <w:rPr>
          <w:rFonts w:ascii="Cambria" w:hAnsi="Cambria"/>
          <w:sz w:val="20"/>
          <w:szCs w:val="20"/>
          <w:lang w:val="es-ES"/>
        </w:rPr>
        <w:t>sus literales b</w:t>
      </w:r>
      <w:r w:rsidR="00333D43">
        <w:rPr>
          <w:rFonts w:ascii="Cambria" w:hAnsi="Cambria"/>
          <w:sz w:val="20"/>
          <w:szCs w:val="20"/>
          <w:lang w:val="es-ES"/>
        </w:rPr>
        <w:t>)</w:t>
      </w:r>
      <w:r w:rsidR="00465B98">
        <w:rPr>
          <w:rFonts w:ascii="Cambria" w:hAnsi="Cambria"/>
          <w:sz w:val="20"/>
          <w:szCs w:val="20"/>
          <w:lang w:val="es-ES"/>
        </w:rPr>
        <w:t xml:space="preserve"> y c</w:t>
      </w:r>
      <w:r w:rsidR="00333D43">
        <w:rPr>
          <w:rFonts w:ascii="Cambria" w:hAnsi="Cambria"/>
          <w:sz w:val="20"/>
          <w:szCs w:val="20"/>
          <w:lang w:val="es-ES"/>
        </w:rPr>
        <w:t xml:space="preserve">). En dichos literales, tras la invocación de los delitos militares y </w:t>
      </w:r>
      <w:r w:rsidR="009F0011">
        <w:rPr>
          <w:rFonts w:ascii="Cambria" w:hAnsi="Cambria"/>
          <w:sz w:val="20"/>
          <w:szCs w:val="20"/>
          <w:lang w:val="es-ES"/>
        </w:rPr>
        <w:t>del fuero común</w:t>
      </w:r>
      <w:r w:rsidR="00333D43">
        <w:rPr>
          <w:rFonts w:ascii="Cambria" w:hAnsi="Cambria"/>
          <w:sz w:val="20"/>
          <w:szCs w:val="20"/>
          <w:lang w:val="es-ES"/>
        </w:rPr>
        <w:t xml:space="preserve">, se incluyen las </w:t>
      </w:r>
      <w:r w:rsidR="00465B98">
        <w:rPr>
          <w:rFonts w:ascii="Cambria" w:hAnsi="Cambria"/>
          <w:sz w:val="20"/>
          <w:szCs w:val="20"/>
          <w:lang w:val="es-ES"/>
        </w:rPr>
        <w:t xml:space="preserve">conductas </w:t>
      </w:r>
      <w:r w:rsidR="00333D43">
        <w:rPr>
          <w:rFonts w:ascii="Cambria" w:hAnsi="Cambria"/>
          <w:sz w:val="20"/>
          <w:szCs w:val="20"/>
          <w:lang w:val="es-ES"/>
        </w:rPr>
        <w:t xml:space="preserve">de </w:t>
      </w:r>
      <w:r w:rsidR="00465B98">
        <w:rPr>
          <w:rFonts w:ascii="Cambria" w:hAnsi="Cambria"/>
          <w:sz w:val="20"/>
          <w:szCs w:val="20"/>
          <w:lang w:val="es-ES"/>
        </w:rPr>
        <w:t>carácter disciplinario</w:t>
      </w:r>
      <w:r w:rsidR="00333D43">
        <w:rPr>
          <w:rFonts w:ascii="Cambria" w:hAnsi="Cambria"/>
          <w:sz w:val="20"/>
          <w:szCs w:val="20"/>
          <w:lang w:val="es-ES"/>
        </w:rPr>
        <w:t xml:space="preserve"> que se le imputaban en el procedimiento administrativo.</w:t>
      </w:r>
      <w:r w:rsidR="002B5F76">
        <w:rPr>
          <w:rFonts w:ascii="Cambria" w:hAnsi="Cambria"/>
          <w:sz w:val="20"/>
          <w:szCs w:val="20"/>
          <w:lang w:val="es-ES"/>
        </w:rPr>
        <w:t xml:space="preserve"> </w:t>
      </w:r>
      <w:r w:rsidR="003E6EBA">
        <w:rPr>
          <w:rFonts w:ascii="Cambria" w:hAnsi="Cambria"/>
          <w:sz w:val="20"/>
          <w:szCs w:val="20"/>
          <w:lang w:val="es-ES"/>
        </w:rPr>
        <w:t xml:space="preserve">En ese sentido, la Comisión considera que el Estado incumplió en el proceso administrativo disciplinario su obligación de </w:t>
      </w:r>
      <w:r w:rsidR="006D1348">
        <w:rPr>
          <w:rFonts w:ascii="Cambria" w:hAnsi="Cambria"/>
          <w:sz w:val="20"/>
          <w:szCs w:val="20"/>
          <w:lang w:val="es-ES"/>
        </w:rPr>
        <w:t xml:space="preserve">comunicar previa y detalladamente los hechos y causales que se le imputaban al señor Rosadio Villavicencio. </w:t>
      </w:r>
    </w:p>
    <w:p w:rsidR="002E7246" w:rsidRPr="001627D7" w:rsidRDefault="002E7246" w:rsidP="00BF24D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rsidR="00BF24DA" w:rsidRDefault="002B5F76" w:rsidP="006419C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
        </w:rPr>
      </w:pPr>
      <w:r w:rsidRPr="00083436">
        <w:rPr>
          <w:rFonts w:ascii="Cambria" w:hAnsi="Cambria"/>
          <w:sz w:val="20"/>
          <w:szCs w:val="20"/>
          <w:lang w:val="es-ES"/>
        </w:rPr>
        <w:t>En segundo lugar</w:t>
      </w:r>
      <w:r w:rsidR="00613EF7" w:rsidRPr="00083436">
        <w:rPr>
          <w:rFonts w:ascii="Cambria" w:hAnsi="Cambria"/>
          <w:sz w:val="20"/>
          <w:szCs w:val="20"/>
          <w:lang w:val="es-ES"/>
        </w:rPr>
        <w:t>, la Comisión recuerda que</w:t>
      </w:r>
      <w:r w:rsidR="00445A13">
        <w:rPr>
          <w:rFonts w:ascii="Cambria" w:hAnsi="Cambria"/>
          <w:sz w:val="20"/>
          <w:szCs w:val="20"/>
          <w:lang w:val="es-ES"/>
        </w:rPr>
        <w:t xml:space="preserve"> en</w:t>
      </w:r>
      <w:r w:rsidR="00613EF7" w:rsidRPr="00083436">
        <w:rPr>
          <w:rFonts w:ascii="Cambria" w:hAnsi="Cambria"/>
          <w:sz w:val="20"/>
          <w:szCs w:val="20"/>
          <w:lang w:val="es-ES"/>
        </w:rPr>
        <w:t xml:space="preserve"> </w:t>
      </w:r>
      <w:r w:rsidR="006338C6">
        <w:rPr>
          <w:rFonts w:ascii="Cambria" w:hAnsi="Cambria"/>
          <w:sz w:val="20"/>
          <w:szCs w:val="20"/>
          <w:lang w:val="es-ES"/>
        </w:rPr>
        <w:t>la investigación ante la Inspectoría</w:t>
      </w:r>
      <w:r w:rsidR="00A03051">
        <w:rPr>
          <w:rFonts w:ascii="Cambria" w:hAnsi="Cambria"/>
          <w:sz w:val="20"/>
          <w:szCs w:val="20"/>
          <w:lang w:val="es-ES"/>
        </w:rPr>
        <w:t xml:space="preserve">, tanto la presunta víctima como su superior jerárquico, quien le acusó de </w:t>
      </w:r>
      <w:r w:rsidR="0032541B">
        <w:rPr>
          <w:rFonts w:ascii="Cambria" w:hAnsi="Cambria"/>
          <w:sz w:val="20"/>
          <w:szCs w:val="20"/>
          <w:lang w:val="es-ES"/>
        </w:rPr>
        <w:t>cometer irregularidades en el ejercicio de sus funciones como Jefe del Destacamento Leoncio Prado</w:t>
      </w:r>
      <w:r w:rsidR="006338C6">
        <w:rPr>
          <w:rFonts w:ascii="Cambria" w:hAnsi="Cambria"/>
          <w:sz w:val="20"/>
          <w:szCs w:val="20"/>
          <w:lang w:val="es-ES"/>
        </w:rPr>
        <w:t>,</w:t>
      </w:r>
      <w:r w:rsidR="00C14C7C">
        <w:rPr>
          <w:rFonts w:ascii="Cambria" w:hAnsi="Cambria"/>
          <w:sz w:val="20"/>
          <w:szCs w:val="20"/>
          <w:lang w:val="es-ES"/>
        </w:rPr>
        <w:t xml:space="preserve"> rindieron sus</w:t>
      </w:r>
      <w:r w:rsidR="005F2B2C">
        <w:rPr>
          <w:rFonts w:ascii="Cambria" w:hAnsi="Cambria"/>
          <w:sz w:val="20"/>
          <w:szCs w:val="20"/>
          <w:lang w:val="es-ES"/>
        </w:rPr>
        <w:t xml:space="preserve"> respectivas</w:t>
      </w:r>
      <w:r w:rsidR="00C14C7C">
        <w:rPr>
          <w:rFonts w:ascii="Cambria" w:hAnsi="Cambria"/>
          <w:sz w:val="20"/>
          <w:szCs w:val="20"/>
          <w:lang w:val="es-ES"/>
        </w:rPr>
        <w:t xml:space="preserve"> declaraciones bajo la asistencia jurídica de la misma per</w:t>
      </w:r>
      <w:r w:rsidR="00BF24DA">
        <w:rPr>
          <w:rFonts w:ascii="Cambria" w:hAnsi="Cambria"/>
          <w:sz w:val="20"/>
          <w:szCs w:val="20"/>
          <w:lang w:val="es-ES"/>
        </w:rPr>
        <w:t xml:space="preserve">sona, Jorge Ramírez Huerta, quien fue nombrado por el Estado. </w:t>
      </w:r>
      <w:r w:rsidR="004961D8">
        <w:rPr>
          <w:rFonts w:ascii="Cambria" w:hAnsi="Cambria"/>
          <w:sz w:val="20"/>
          <w:szCs w:val="20"/>
          <w:lang w:val="es-ES"/>
        </w:rPr>
        <w:t xml:space="preserve">La Comisión nota además que </w:t>
      </w:r>
      <w:r w:rsidR="004961D8" w:rsidRPr="00C14C7C">
        <w:rPr>
          <w:rFonts w:ascii="Cambria" w:hAnsi="Cambria"/>
          <w:sz w:val="20"/>
          <w:szCs w:val="20"/>
          <w:lang w:val="es-ES"/>
        </w:rPr>
        <w:t>dicho a</w:t>
      </w:r>
      <w:r w:rsidR="004961D8">
        <w:rPr>
          <w:rFonts w:ascii="Cambria" w:hAnsi="Cambria"/>
          <w:sz w:val="20"/>
          <w:szCs w:val="20"/>
          <w:lang w:val="es-ES"/>
        </w:rPr>
        <w:t>sesor</w:t>
      </w:r>
      <w:r w:rsidR="004961D8" w:rsidRPr="00C14C7C">
        <w:rPr>
          <w:rFonts w:ascii="Cambria" w:hAnsi="Cambria"/>
          <w:sz w:val="20"/>
          <w:szCs w:val="20"/>
          <w:lang w:val="es-ES"/>
        </w:rPr>
        <w:t xml:space="preserve"> </w:t>
      </w:r>
      <w:r w:rsidR="004961D8">
        <w:rPr>
          <w:rFonts w:ascii="Cambria" w:hAnsi="Cambria"/>
          <w:sz w:val="20"/>
          <w:szCs w:val="20"/>
          <w:lang w:val="es-ES"/>
        </w:rPr>
        <w:t>fue el</w:t>
      </w:r>
      <w:r w:rsidR="004961D8" w:rsidRPr="00C14C7C">
        <w:rPr>
          <w:rFonts w:ascii="Cambria" w:hAnsi="Cambria"/>
          <w:sz w:val="20"/>
          <w:szCs w:val="20"/>
          <w:lang w:val="es-ES"/>
        </w:rPr>
        <w:t xml:space="preserve"> Juez Militar </w:t>
      </w:r>
      <w:r w:rsidR="004961D8">
        <w:rPr>
          <w:rFonts w:ascii="Cambria" w:hAnsi="Cambria"/>
          <w:sz w:val="20"/>
          <w:szCs w:val="20"/>
          <w:lang w:val="es-ES"/>
        </w:rPr>
        <w:t>a cargo del</w:t>
      </w:r>
      <w:r w:rsidR="004961D8" w:rsidRPr="00C14C7C">
        <w:rPr>
          <w:rFonts w:ascii="Cambria" w:hAnsi="Cambria"/>
          <w:sz w:val="20"/>
          <w:szCs w:val="20"/>
          <w:lang w:val="es-ES"/>
        </w:rPr>
        <w:t xml:space="preserve"> proceso an</w:t>
      </w:r>
      <w:r w:rsidR="004961D8">
        <w:rPr>
          <w:rFonts w:ascii="Cambria" w:hAnsi="Cambria"/>
          <w:sz w:val="20"/>
          <w:szCs w:val="20"/>
          <w:lang w:val="es-ES"/>
        </w:rPr>
        <w:t>te la jurisdicción militar y quien estimó en su decisión de 14 de octubre de 1995, que la presunta víctima incurrió en la comisión de diversos delitos.</w:t>
      </w:r>
    </w:p>
    <w:p w:rsidR="006419C7" w:rsidRPr="006419C7" w:rsidRDefault="006419C7" w:rsidP="00F238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p>
    <w:p w:rsidR="008B7F49" w:rsidRDefault="008B7F49" w:rsidP="008B7F4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 xml:space="preserve">La Comisión destaca que </w:t>
      </w:r>
      <w:r w:rsidR="004961D8">
        <w:rPr>
          <w:rFonts w:asciiTheme="majorHAnsi" w:hAnsiTheme="majorHAnsi"/>
          <w:sz w:val="20"/>
          <w:szCs w:val="20"/>
          <w:lang w:val="es-CL"/>
        </w:rPr>
        <w:t>las</w:t>
      </w:r>
      <w:r>
        <w:rPr>
          <w:rFonts w:asciiTheme="majorHAnsi" w:hAnsiTheme="majorHAnsi"/>
          <w:sz w:val="20"/>
          <w:szCs w:val="20"/>
          <w:lang w:val="es-CL"/>
        </w:rPr>
        <w:t xml:space="preserve"> declaraciones</w:t>
      </w:r>
      <w:r w:rsidR="004961D8">
        <w:rPr>
          <w:rFonts w:asciiTheme="majorHAnsi" w:hAnsiTheme="majorHAnsi"/>
          <w:sz w:val="20"/>
          <w:szCs w:val="20"/>
          <w:lang w:val="es-CL"/>
        </w:rPr>
        <w:t xml:space="preserve"> rendidas por el señor Rosadio Villavicencio y por su superior jerárquico</w:t>
      </w:r>
      <w:r w:rsidR="00B63241">
        <w:rPr>
          <w:rFonts w:asciiTheme="majorHAnsi" w:hAnsiTheme="majorHAnsi"/>
          <w:sz w:val="20"/>
          <w:szCs w:val="20"/>
          <w:lang w:val="es-CL"/>
        </w:rPr>
        <w:t>,</w:t>
      </w:r>
      <w:r w:rsidR="004961D8">
        <w:rPr>
          <w:rFonts w:asciiTheme="majorHAnsi" w:hAnsiTheme="majorHAnsi"/>
          <w:sz w:val="20"/>
          <w:szCs w:val="20"/>
          <w:lang w:val="es-CL"/>
        </w:rPr>
        <w:t xml:space="preserve"> </w:t>
      </w:r>
      <w:r w:rsidR="00825364">
        <w:rPr>
          <w:rFonts w:asciiTheme="majorHAnsi" w:hAnsiTheme="majorHAnsi"/>
          <w:sz w:val="20"/>
          <w:szCs w:val="20"/>
          <w:lang w:val="es-CL"/>
        </w:rPr>
        <w:t>tuvieron una particula</w:t>
      </w:r>
      <w:r w:rsidR="000F1EA0">
        <w:rPr>
          <w:rFonts w:asciiTheme="majorHAnsi" w:hAnsiTheme="majorHAnsi"/>
          <w:sz w:val="20"/>
          <w:szCs w:val="20"/>
          <w:lang w:val="es-CL"/>
        </w:rPr>
        <w:t>r relevancia en el marco de la i</w:t>
      </w:r>
      <w:r w:rsidR="00825364">
        <w:rPr>
          <w:rFonts w:asciiTheme="majorHAnsi" w:hAnsiTheme="majorHAnsi"/>
          <w:sz w:val="20"/>
          <w:szCs w:val="20"/>
          <w:lang w:val="es-CL"/>
        </w:rPr>
        <w:t>nvestigación ante la Inspectoría y en el proceso disciplinario. A</w:t>
      </w:r>
      <w:r w:rsidR="00D14699">
        <w:rPr>
          <w:rFonts w:asciiTheme="majorHAnsi" w:hAnsiTheme="majorHAnsi"/>
          <w:sz w:val="20"/>
          <w:szCs w:val="20"/>
          <w:lang w:val="es-CL"/>
        </w:rPr>
        <w:t>simismo,</w:t>
      </w:r>
      <w:r w:rsidR="00AB3BE3">
        <w:rPr>
          <w:rFonts w:asciiTheme="majorHAnsi" w:hAnsiTheme="majorHAnsi"/>
          <w:sz w:val="20"/>
          <w:szCs w:val="20"/>
          <w:lang w:val="es-CL"/>
        </w:rPr>
        <w:t xml:space="preserve"> la CIDH considera</w:t>
      </w:r>
      <w:r w:rsidR="00825364">
        <w:rPr>
          <w:rFonts w:asciiTheme="majorHAnsi" w:hAnsiTheme="majorHAnsi"/>
          <w:sz w:val="20"/>
          <w:szCs w:val="20"/>
          <w:lang w:val="es-CL"/>
        </w:rPr>
        <w:t xml:space="preserve"> que resulta inadecuada la defensa común o asistencia j</w:t>
      </w:r>
      <w:r w:rsidR="00A76794">
        <w:rPr>
          <w:rFonts w:asciiTheme="majorHAnsi" w:hAnsiTheme="majorHAnsi"/>
          <w:sz w:val="20"/>
          <w:szCs w:val="20"/>
          <w:lang w:val="es-CL"/>
        </w:rPr>
        <w:t xml:space="preserve">urídica de acusador y acusado, </w:t>
      </w:r>
      <w:r w:rsidR="005B45C8">
        <w:rPr>
          <w:rFonts w:asciiTheme="majorHAnsi" w:hAnsiTheme="majorHAnsi"/>
          <w:sz w:val="20"/>
          <w:szCs w:val="20"/>
          <w:lang w:val="es-CL"/>
        </w:rPr>
        <w:t xml:space="preserve">ya que se trata de partes con intereses contrapuestos. </w:t>
      </w:r>
      <w:r w:rsidR="00DA2F5A">
        <w:rPr>
          <w:rFonts w:asciiTheme="majorHAnsi" w:hAnsiTheme="majorHAnsi"/>
          <w:sz w:val="20"/>
          <w:szCs w:val="20"/>
          <w:lang w:val="es-CL"/>
        </w:rPr>
        <w:t>Igualmente, la Comisi</w:t>
      </w:r>
      <w:r w:rsidR="00DA2F5A">
        <w:rPr>
          <w:sz w:val="20"/>
          <w:szCs w:val="20"/>
          <w:lang w:val="es-CL" w:eastAsia="ko-KR"/>
        </w:rPr>
        <w:t xml:space="preserve">ón </w:t>
      </w:r>
      <w:r w:rsidR="005B45C8">
        <w:rPr>
          <w:rFonts w:asciiTheme="majorHAnsi" w:hAnsiTheme="majorHAnsi"/>
          <w:sz w:val="20"/>
          <w:szCs w:val="20"/>
          <w:lang w:val="es-CL"/>
        </w:rPr>
        <w:t xml:space="preserve">hace notar que la participación de dicho asesor como Juez en el proceso ante la jurisdicción militar, contribuye </w:t>
      </w:r>
      <w:r w:rsidR="005B45C8">
        <w:rPr>
          <w:rFonts w:asciiTheme="majorHAnsi" w:hAnsiTheme="majorHAnsi"/>
          <w:sz w:val="20"/>
          <w:szCs w:val="20"/>
          <w:lang w:val="es-CL"/>
        </w:rPr>
        <w:lastRenderedPageBreak/>
        <w:t>a demostrar que la presunta víctima no contó con una defensa adecuada tomando en cuenta que dicho asesor se encontraba vinculado jerárquica y profesionalmen</w:t>
      </w:r>
      <w:r w:rsidR="00BF24DA">
        <w:rPr>
          <w:rFonts w:asciiTheme="majorHAnsi" w:hAnsiTheme="majorHAnsi"/>
          <w:sz w:val="20"/>
          <w:szCs w:val="20"/>
          <w:lang w:val="es-CL"/>
        </w:rPr>
        <w:t>te a las autoridades militares.</w:t>
      </w:r>
    </w:p>
    <w:p w:rsidR="005B45C8" w:rsidRDefault="005B45C8" w:rsidP="005B45C8">
      <w:pPr>
        <w:pStyle w:val="ListParagraph"/>
        <w:rPr>
          <w:rFonts w:asciiTheme="majorHAnsi" w:hAnsiTheme="majorHAnsi"/>
          <w:sz w:val="20"/>
          <w:szCs w:val="20"/>
          <w:lang w:val="es-CL"/>
        </w:rPr>
      </w:pPr>
    </w:p>
    <w:p w:rsidR="00DA2F5A" w:rsidRPr="000C7382" w:rsidRDefault="00DA2F5A" w:rsidP="00AD54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lang w:val="es-ES"/>
        </w:rPr>
      </w:pPr>
      <w:r>
        <w:rPr>
          <w:rFonts w:ascii="Cambria" w:hAnsi="Cambria"/>
          <w:sz w:val="20"/>
          <w:szCs w:val="20"/>
          <w:lang w:val="es-ES"/>
        </w:rPr>
        <w:t>La Comisión considera que estas situaciones</w:t>
      </w:r>
      <w:r w:rsidR="00E44AD2">
        <w:rPr>
          <w:rFonts w:ascii="Cambria" w:hAnsi="Cambria"/>
          <w:sz w:val="20"/>
          <w:szCs w:val="20"/>
          <w:lang w:val="es-ES"/>
        </w:rPr>
        <w:t xml:space="preserve"> necesariamente tuvieron </w:t>
      </w:r>
      <w:r>
        <w:rPr>
          <w:rFonts w:ascii="Cambria" w:hAnsi="Cambria"/>
          <w:sz w:val="20"/>
          <w:szCs w:val="20"/>
          <w:lang w:val="es-ES"/>
        </w:rPr>
        <w:t xml:space="preserve">un impacto en el derecho de defensa del señor Rosadio Villavicencio y tomando en cuenta que se trató de una persona nombrada por el Estado, resulta violatorio no </w:t>
      </w:r>
      <w:r w:rsidRPr="00AD54A2">
        <w:rPr>
          <w:rFonts w:asciiTheme="majorHAnsi" w:hAnsiTheme="majorHAnsi"/>
          <w:sz w:val="20"/>
          <w:szCs w:val="20"/>
          <w:lang w:val="es-CL"/>
        </w:rPr>
        <w:t>sólo</w:t>
      </w:r>
      <w:r>
        <w:rPr>
          <w:rFonts w:ascii="Cambria" w:hAnsi="Cambria"/>
          <w:sz w:val="20"/>
          <w:szCs w:val="20"/>
          <w:lang w:val="es-ES"/>
        </w:rPr>
        <w:t xml:space="preserve"> del artículo 8.2 c) de la Convención, sino también del artículo 8.2 e) del mismo instrumento. La afectación al derecho de defensa por estas razones, se vio acentuada por lo indicado en el párrafo anterior en cuanto a la ausencia de notificación previa de los hechos y causales imputados, así como por el hecho de que, como se </w:t>
      </w:r>
      <w:r w:rsidR="00ED490E">
        <w:rPr>
          <w:rFonts w:ascii="Cambria" w:hAnsi="Cambria"/>
          <w:sz w:val="20"/>
          <w:szCs w:val="20"/>
          <w:lang w:val="es-ES"/>
        </w:rPr>
        <w:t>pasa a indicar</w:t>
      </w:r>
      <w:r>
        <w:rPr>
          <w:rFonts w:ascii="Cambria" w:hAnsi="Cambria"/>
          <w:sz w:val="20"/>
          <w:szCs w:val="20"/>
          <w:lang w:val="es-ES"/>
        </w:rPr>
        <w:t>, la declaración de 15 de septiembre de 1994 fue la única oportunidad que tuvo el señor Rosadio Villavicencio de ser escuchado antes de la decisión administrativa de pase a retiro.</w:t>
      </w:r>
    </w:p>
    <w:p w:rsidR="00DA2F5A" w:rsidRDefault="00DA2F5A" w:rsidP="005B45C8">
      <w:pPr>
        <w:pStyle w:val="ListParagraph"/>
        <w:rPr>
          <w:rFonts w:asciiTheme="majorHAnsi" w:hAnsiTheme="majorHAnsi"/>
          <w:sz w:val="20"/>
          <w:szCs w:val="20"/>
          <w:lang w:val="es-CL"/>
        </w:rPr>
      </w:pPr>
    </w:p>
    <w:p w:rsidR="00C56281" w:rsidRDefault="005B45C8" w:rsidP="00B0185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sidRPr="001E1BB1">
        <w:rPr>
          <w:rFonts w:asciiTheme="majorHAnsi" w:hAnsiTheme="majorHAnsi"/>
          <w:sz w:val="20"/>
          <w:szCs w:val="20"/>
          <w:lang w:val="es-CL"/>
        </w:rPr>
        <w:t xml:space="preserve">En tercer lugar, </w:t>
      </w:r>
      <w:r w:rsidR="001E1BB1">
        <w:rPr>
          <w:rFonts w:asciiTheme="majorHAnsi" w:hAnsiTheme="majorHAnsi"/>
          <w:sz w:val="20"/>
          <w:szCs w:val="20"/>
          <w:lang w:val="es-CL"/>
        </w:rPr>
        <w:t xml:space="preserve">y ya propiamente en el marco del proceso administrativo disciplinario, la Comisión observa que la presunta víctima no pudo comparecer </w:t>
      </w:r>
      <w:r w:rsidR="00C56281">
        <w:rPr>
          <w:rFonts w:asciiTheme="majorHAnsi" w:hAnsiTheme="majorHAnsi"/>
          <w:sz w:val="20"/>
          <w:szCs w:val="20"/>
          <w:lang w:val="es-CL"/>
        </w:rPr>
        <w:t xml:space="preserve">en la audiencia, ante el Consejo de Investigación, </w:t>
      </w:r>
      <w:r w:rsidR="00C56281" w:rsidRPr="00C56281">
        <w:rPr>
          <w:rFonts w:asciiTheme="majorHAnsi" w:hAnsiTheme="majorHAnsi"/>
          <w:sz w:val="20"/>
          <w:szCs w:val="20"/>
          <w:lang w:val="es-CL"/>
        </w:rPr>
        <w:t>órgano que debía recomendar el pase o no a retiro de la presunta víctima. El Consejo es</w:t>
      </w:r>
      <w:r w:rsidR="00C56281">
        <w:rPr>
          <w:rFonts w:asciiTheme="majorHAnsi" w:hAnsiTheme="majorHAnsi"/>
          <w:sz w:val="20"/>
          <w:szCs w:val="20"/>
          <w:lang w:val="es-CL"/>
        </w:rPr>
        <w:t xml:space="preserve">timó que podía pronunciarse sobre la presunta víctima, aún en ausencia de </w:t>
      </w:r>
      <w:r w:rsidR="005F3955">
        <w:rPr>
          <w:rFonts w:asciiTheme="majorHAnsi" w:hAnsiTheme="majorHAnsi"/>
          <w:sz w:val="20"/>
          <w:szCs w:val="20"/>
          <w:lang w:val="es-CL"/>
        </w:rPr>
        <w:t>é</w:t>
      </w:r>
      <w:r w:rsidR="00C56281">
        <w:rPr>
          <w:rFonts w:asciiTheme="majorHAnsi" w:hAnsiTheme="majorHAnsi"/>
          <w:sz w:val="20"/>
          <w:szCs w:val="20"/>
          <w:lang w:val="es-CL"/>
        </w:rPr>
        <w:t>sta</w:t>
      </w:r>
      <w:r w:rsidR="005B6F30">
        <w:rPr>
          <w:rFonts w:asciiTheme="majorHAnsi" w:hAnsiTheme="majorHAnsi"/>
          <w:sz w:val="20"/>
          <w:szCs w:val="20"/>
          <w:lang w:val="es-CL"/>
        </w:rPr>
        <w:t>,</w:t>
      </w:r>
      <w:r w:rsidR="00C56281">
        <w:rPr>
          <w:rFonts w:asciiTheme="majorHAnsi" w:hAnsiTheme="majorHAnsi"/>
          <w:sz w:val="20"/>
          <w:szCs w:val="20"/>
          <w:lang w:val="es-CL"/>
        </w:rPr>
        <w:t xml:space="preserve"> dado que existen disposiciones según las cuales “si un oficial citado se encuentra con orden de detención, no es necesaria su presencia”.</w:t>
      </w:r>
      <w:r w:rsidR="00B01851">
        <w:rPr>
          <w:rFonts w:asciiTheme="majorHAnsi" w:hAnsiTheme="majorHAnsi"/>
          <w:sz w:val="20"/>
          <w:szCs w:val="20"/>
          <w:lang w:val="es-CL"/>
        </w:rPr>
        <w:t xml:space="preserve"> </w:t>
      </w:r>
      <w:r w:rsidR="007021B4">
        <w:rPr>
          <w:rFonts w:asciiTheme="majorHAnsi" w:hAnsiTheme="majorHAnsi"/>
          <w:sz w:val="20"/>
          <w:szCs w:val="20"/>
          <w:lang w:val="es-CL"/>
        </w:rPr>
        <w:t xml:space="preserve">En suma, </w:t>
      </w:r>
      <w:r w:rsidR="005B6F30" w:rsidRPr="00B01851">
        <w:rPr>
          <w:rFonts w:asciiTheme="majorHAnsi" w:hAnsiTheme="majorHAnsi"/>
          <w:sz w:val="20"/>
          <w:szCs w:val="20"/>
          <w:lang w:val="es-CL"/>
        </w:rPr>
        <w:t>el Consejo de Investigación</w:t>
      </w:r>
      <w:r w:rsidR="00246539">
        <w:rPr>
          <w:rFonts w:asciiTheme="majorHAnsi" w:hAnsiTheme="majorHAnsi"/>
          <w:sz w:val="20"/>
          <w:szCs w:val="20"/>
          <w:lang w:val="es-CL"/>
        </w:rPr>
        <w:t xml:space="preserve"> </w:t>
      </w:r>
      <w:r w:rsidR="007021B4">
        <w:rPr>
          <w:rFonts w:asciiTheme="majorHAnsi" w:hAnsiTheme="majorHAnsi"/>
          <w:sz w:val="20"/>
          <w:szCs w:val="20"/>
          <w:lang w:val="es-CL"/>
        </w:rPr>
        <w:t xml:space="preserve">impidió a </w:t>
      </w:r>
      <w:r w:rsidR="00B01851" w:rsidRPr="00B01851">
        <w:rPr>
          <w:rFonts w:asciiTheme="majorHAnsi" w:hAnsiTheme="majorHAnsi"/>
          <w:sz w:val="20"/>
          <w:szCs w:val="20"/>
          <w:lang w:val="es-CL"/>
        </w:rPr>
        <w:t>la presunta víctima ser oído y presentar pruebas de descargo</w:t>
      </w:r>
      <w:r w:rsidR="00246539">
        <w:rPr>
          <w:rFonts w:asciiTheme="majorHAnsi" w:hAnsiTheme="majorHAnsi"/>
          <w:sz w:val="20"/>
          <w:szCs w:val="20"/>
          <w:lang w:val="es-CL"/>
        </w:rPr>
        <w:t xml:space="preserve">, lo que constituyó otra violación a su derecho de defensa. </w:t>
      </w:r>
    </w:p>
    <w:p w:rsidR="00B01851" w:rsidRDefault="00B01851" w:rsidP="00B01851">
      <w:pPr>
        <w:pStyle w:val="ListParagraph"/>
        <w:rPr>
          <w:rFonts w:asciiTheme="majorHAnsi" w:hAnsiTheme="majorHAnsi"/>
          <w:sz w:val="20"/>
          <w:szCs w:val="20"/>
          <w:lang w:val="es-CL"/>
        </w:rPr>
      </w:pPr>
    </w:p>
    <w:p w:rsidR="00C56281" w:rsidRPr="00675401" w:rsidRDefault="00B01851" w:rsidP="0067540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sidRPr="00086971">
        <w:rPr>
          <w:rFonts w:asciiTheme="majorHAnsi" w:hAnsiTheme="majorHAnsi"/>
          <w:sz w:val="20"/>
          <w:szCs w:val="20"/>
          <w:lang w:val="es-CL"/>
        </w:rPr>
        <w:t>En cuarto lugar</w:t>
      </w:r>
      <w:r w:rsidR="000F1CA2">
        <w:rPr>
          <w:rFonts w:asciiTheme="majorHAnsi" w:hAnsiTheme="majorHAnsi"/>
          <w:sz w:val="20"/>
          <w:szCs w:val="20"/>
          <w:lang w:val="es-CL"/>
        </w:rPr>
        <w:t xml:space="preserve"> y en cuanto a la </w:t>
      </w:r>
      <w:r w:rsidR="005A44C9">
        <w:rPr>
          <w:rFonts w:asciiTheme="majorHAnsi" w:hAnsiTheme="majorHAnsi"/>
          <w:sz w:val="20"/>
          <w:szCs w:val="20"/>
          <w:lang w:val="es-CL"/>
        </w:rPr>
        <w:t>presunción</w:t>
      </w:r>
      <w:r w:rsidR="000F1CA2">
        <w:rPr>
          <w:rFonts w:asciiTheme="majorHAnsi" w:hAnsiTheme="majorHAnsi"/>
          <w:sz w:val="20"/>
          <w:szCs w:val="20"/>
          <w:lang w:val="es-CL"/>
        </w:rPr>
        <w:t xml:space="preserve"> de inocencia,</w:t>
      </w:r>
      <w:r w:rsidRPr="00086971">
        <w:rPr>
          <w:rFonts w:asciiTheme="majorHAnsi" w:hAnsiTheme="majorHAnsi"/>
          <w:sz w:val="20"/>
          <w:szCs w:val="20"/>
          <w:lang w:val="es-CL"/>
        </w:rPr>
        <w:t xml:space="preserve"> la Comisión </w:t>
      </w:r>
      <w:r w:rsidR="00FD532B" w:rsidRPr="00086971">
        <w:rPr>
          <w:rFonts w:asciiTheme="majorHAnsi" w:hAnsiTheme="majorHAnsi"/>
          <w:sz w:val="20"/>
          <w:szCs w:val="20"/>
          <w:lang w:val="es-CL"/>
        </w:rPr>
        <w:t xml:space="preserve">observa que </w:t>
      </w:r>
      <w:r w:rsidR="00086971">
        <w:rPr>
          <w:rFonts w:asciiTheme="majorHAnsi" w:hAnsiTheme="majorHAnsi"/>
          <w:sz w:val="20"/>
          <w:szCs w:val="20"/>
          <w:lang w:val="es-CL"/>
        </w:rPr>
        <w:t>en la resolución del Consejo de Investigación para Oficiales Subalternos que recomendó pasar a situación de retiro a la presunta víctim</w:t>
      </w:r>
      <w:r w:rsidR="00194866">
        <w:rPr>
          <w:rFonts w:asciiTheme="majorHAnsi" w:hAnsiTheme="majorHAnsi"/>
          <w:sz w:val="20"/>
          <w:szCs w:val="20"/>
          <w:lang w:val="es-CL"/>
        </w:rPr>
        <w:t xml:space="preserve">a, y que fue la base de la decisión que efectivamente lo pasó a retiro el 7 de febrero de 1995, </w:t>
      </w:r>
      <w:r w:rsidR="00392B0F">
        <w:rPr>
          <w:rFonts w:asciiTheme="majorHAnsi" w:hAnsiTheme="majorHAnsi"/>
          <w:sz w:val="20"/>
          <w:szCs w:val="20"/>
          <w:lang w:val="es-CL"/>
        </w:rPr>
        <w:t xml:space="preserve">se </w:t>
      </w:r>
      <w:r w:rsidR="00086971">
        <w:rPr>
          <w:rFonts w:asciiTheme="majorHAnsi" w:hAnsiTheme="majorHAnsi"/>
          <w:sz w:val="20"/>
          <w:szCs w:val="20"/>
          <w:lang w:val="es-CL"/>
        </w:rPr>
        <w:t xml:space="preserve">dio por probado </w:t>
      </w:r>
      <w:r w:rsidR="00392B0F">
        <w:rPr>
          <w:rFonts w:asciiTheme="majorHAnsi" w:hAnsiTheme="majorHAnsi"/>
          <w:sz w:val="20"/>
          <w:szCs w:val="20"/>
          <w:lang w:val="es-CL"/>
        </w:rPr>
        <w:t xml:space="preserve">como elemento relevante de análisis, </w:t>
      </w:r>
      <w:r w:rsidR="00086971">
        <w:rPr>
          <w:rFonts w:asciiTheme="majorHAnsi" w:hAnsiTheme="majorHAnsi"/>
          <w:sz w:val="20"/>
          <w:szCs w:val="20"/>
          <w:lang w:val="es-CL"/>
        </w:rPr>
        <w:t>que la presunta víctima fue denunciada ante la</w:t>
      </w:r>
      <w:r w:rsidR="00392B0F">
        <w:rPr>
          <w:rFonts w:asciiTheme="majorHAnsi" w:hAnsiTheme="majorHAnsi"/>
          <w:sz w:val="20"/>
          <w:szCs w:val="20"/>
          <w:lang w:val="es-CL"/>
        </w:rPr>
        <w:t xml:space="preserve"> justicia penal </w:t>
      </w:r>
      <w:r w:rsidR="00086971">
        <w:rPr>
          <w:rFonts w:asciiTheme="majorHAnsi" w:hAnsiTheme="majorHAnsi"/>
          <w:sz w:val="20"/>
          <w:szCs w:val="20"/>
          <w:lang w:val="es-CL"/>
        </w:rPr>
        <w:t>militar</w:t>
      </w:r>
      <w:r w:rsidR="00392B0F">
        <w:rPr>
          <w:rFonts w:asciiTheme="majorHAnsi" w:hAnsiTheme="majorHAnsi"/>
          <w:sz w:val="20"/>
          <w:szCs w:val="20"/>
          <w:lang w:val="es-CL"/>
        </w:rPr>
        <w:t xml:space="preserve"> y la </w:t>
      </w:r>
      <w:r w:rsidR="00976591">
        <w:rPr>
          <w:rFonts w:asciiTheme="majorHAnsi" w:hAnsiTheme="majorHAnsi"/>
          <w:sz w:val="20"/>
          <w:szCs w:val="20"/>
          <w:lang w:val="es-CL"/>
        </w:rPr>
        <w:t xml:space="preserve">justicia ordinaria, </w:t>
      </w:r>
      <w:r w:rsidR="00086971">
        <w:rPr>
          <w:rFonts w:asciiTheme="majorHAnsi" w:hAnsiTheme="majorHAnsi"/>
          <w:sz w:val="20"/>
          <w:szCs w:val="20"/>
          <w:lang w:val="es-CL"/>
        </w:rPr>
        <w:t xml:space="preserve">por ser presunto autor de </w:t>
      </w:r>
      <w:r w:rsidR="00675401">
        <w:rPr>
          <w:rFonts w:asciiTheme="majorHAnsi" w:hAnsiTheme="majorHAnsi"/>
          <w:sz w:val="20"/>
          <w:szCs w:val="20"/>
          <w:lang w:val="es-CL"/>
        </w:rPr>
        <w:t>los delitos contra el deber y dignidad de la función, falsedad, negligencia, contra la administración de justicia, abuso de autoridad y tráfico ilícito de drogas</w:t>
      </w:r>
      <w:r w:rsidR="00765574">
        <w:rPr>
          <w:rFonts w:asciiTheme="majorHAnsi" w:hAnsiTheme="majorHAnsi"/>
          <w:sz w:val="20"/>
          <w:szCs w:val="20"/>
          <w:lang w:val="es-CL"/>
        </w:rPr>
        <w:t>, respectivamente.</w:t>
      </w:r>
      <w:r w:rsidR="00675401">
        <w:rPr>
          <w:rFonts w:asciiTheme="majorHAnsi" w:hAnsiTheme="majorHAnsi"/>
          <w:sz w:val="20"/>
          <w:szCs w:val="20"/>
          <w:lang w:val="es-CL"/>
        </w:rPr>
        <w:t xml:space="preserve"> </w:t>
      </w:r>
      <w:r w:rsidR="00675401" w:rsidRPr="00675401">
        <w:rPr>
          <w:rFonts w:asciiTheme="majorHAnsi" w:hAnsiTheme="majorHAnsi"/>
          <w:sz w:val="20"/>
          <w:szCs w:val="20"/>
          <w:lang w:val="es-ES"/>
        </w:rPr>
        <w:t>La Comisión hace notar que en la jurisdicción militar la presunta víctima fue finalmente condenad</w:t>
      </w:r>
      <w:r w:rsidR="0065314D">
        <w:rPr>
          <w:rFonts w:asciiTheme="majorHAnsi" w:hAnsiTheme="majorHAnsi"/>
          <w:sz w:val="20"/>
          <w:szCs w:val="20"/>
          <w:lang w:val="es-ES"/>
        </w:rPr>
        <w:t>a</w:t>
      </w:r>
      <w:r w:rsidR="00675401" w:rsidRPr="00675401">
        <w:rPr>
          <w:rFonts w:asciiTheme="majorHAnsi" w:hAnsiTheme="majorHAnsi"/>
          <w:sz w:val="20"/>
          <w:szCs w:val="20"/>
          <w:lang w:val="es-ES"/>
        </w:rPr>
        <w:t xml:space="preserve"> únicamente por el delito de desobediencia, </w:t>
      </w:r>
      <w:r w:rsidR="00765574">
        <w:rPr>
          <w:rFonts w:asciiTheme="majorHAnsi" w:hAnsiTheme="majorHAnsi"/>
          <w:sz w:val="20"/>
          <w:szCs w:val="20"/>
          <w:lang w:val="es-ES"/>
        </w:rPr>
        <w:t xml:space="preserve">mediante </w:t>
      </w:r>
      <w:r w:rsidR="00675401" w:rsidRPr="00675401">
        <w:rPr>
          <w:rFonts w:asciiTheme="majorHAnsi" w:hAnsiTheme="majorHAnsi"/>
          <w:sz w:val="20"/>
          <w:szCs w:val="20"/>
          <w:lang w:val="es-ES"/>
        </w:rPr>
        <w:t xml:space="preserve">un procedimiento en el que, </w:t>
      </w:r>
      <w:r w:rsidR="00675401">
        <w:rPr>
          <w:rFonts w:asciiTheme="majorHAnsi" w:hAnsiTheme="majorHAnsi"/>
          <w:sz w:val="20"/>
          <w:szCs w:val="20"/>
          <w:lang w:val="es-ES"/>
        </w:rPr>
        <w:t>como se indicará con posterioridad</w:t>
      </w:r>
      <w:r w:rsidR="00675401" w:rsidRPr="00675401">
        <w:rPr>
          <w:rFonts w:asciiTheme="majorHAnsi" w:hAnsiTheme="majorHAnsi"/>
          <w:sz w:val="20"/>
          <w:szCs w:val="20"/>
          <w:lang w:val="es-ES"/>
        </w:rPr>
        <w:t xml:space="preserve">, se cometieron una serie de violaciones al debido proceso. </w:t>
      </w:r>
      <w:r w:rsidR="0014152D" w:rsidRPr="00675401">
        <w:rPr>
          <w:rFonts w:asciiTheme="majorHAnsi" w:hAnsiTheme="majorHAnsi"/>
          <w:sz w:val="20"/>
          <w:szCs w:val="20"/>
          <w:lang w:val="es-CL"/>
        </w:rPr>
        <w:t>La Comisión recuerda que la imposición de una sanción solo puede estar fundada en la certeza del tribunal acerca de la existencia de un hecho atribuible al acusado</w:t>
      </w:r>
      <w:r w:rsidR="0014152D" w:rsidRPr="00666B06">
        <w:rPr>
          <w:rStyle w:val="FootnoteReference"/>
          <w:rFonts w:asciiTheme="majorHAnsi" w:hAnsiTheme="majorHAnsi"/>
          <w:sz w:val="20"/>
          <w:szCs w:val="20"/>
          <w:lang w:val="es-CL"/>
        </w:rPr>
        <w:footnoteReference w:id="116"/>
      </w:r>
      <w:r w:rsidR="0014152D" w:rsidRPr="00675401">
        <w:rPr>
          <w:rFonts w:asciiTheme="majorHAnsi" w:hAnsiTheme="majorHAnsi"/>
          <w:sz w:val="20"/>
          <w:szCs w:val="20"/>
          <w:lang w:val="es-CL"/>
        </w:rPr>
        <w:t>. Considerar como un elemento para imponer la sanción</w:t>
      </w:r>
      <w:r w:rsidR="007C22B6">
        <w:rPr>
          <w:rFonts w:asciiTheme="majorHAnsi" w:hAnsiTheme="majorHAnsi"/>
          <w:sz w:val="20"/>
          <w:szCs w:val="20"/>
          <w:lang w:val="es-CL"/>
        </w:rPr>
        <w:t xml:space="preserve"> disciplinaria</w:t>
      </w:r>
      <w:r w:rsidR="00666B06" w:rsidRPr="00675401">
        <w:rPr>
          <w:rFonts w:asciiTheme="majorHAnsi" w:hAnsiTheme="majorHAnsi"/>
          <w:sz w:val="20"/>
          <w:szCs w:val="20"/>
          <w:lang w:val="es-CL"/>
        </w:rPr>
        <w:t>,</w:t>
      </w:r>
      <w:r w:rsidR="0014152D" w:rsidRPr="00675401">
        <w:rPr>
          <w:rFonts w:asciiTheme="majorHAnsi" w:hAnsiTheme="majorHAnsi"/>
          <w:sz w:val="20"/>
          <w:szCs w:val="20"/>
          <w:lang w:val="es-CL"/>
        </w:rPr>
        <w:t xml:space="preserve"> la existencia de una denuncia</w:t>
      </w:r>
      <w:r w:rsidR="007C22B6">
        <w:rPr>
          <w:rFonts w:asciiTheme="majorHAnsi" w:hAnsiTheme="majorHAnsi"/>
          <w:sz w:val="20"/>
          <w:szCs w:val="20"/>
          <w:lang w:val="es-CL"/>
        </w:rPr>
        <w:t xml:space="preserve"> penal</w:t>
      </w:r>
      <w:r w:rsidR="0014152D" w:rsidRPr="00675401">
        <w:rPr>
          <w:rFonts w:asciiTheme="majorHAnsi" w:hAnsiTheme="majorHAnsi"/>
          <w:sz w:val="20"/>
          <w:szCs w:val="20"/>
          <w:lang w:val="es-CL"/>
        </w:rPr>
        <w:t xml:space="preserve"> en contra de una persona</w:t>
      </w:r>
      <w:r w:rsidR="00D820EB">
        <w:rPr>
          <w:rFonts w:asciiTheme="majorHAnsi" w:hAnsiTheme="majorHAnsi"/>
          <w:sz w:val="20"/>
          <w:szCs w:val="20"/>
          <w:lang w:val="es-CL"/>
        </w:rPr>
        <w:t xml:space="preserve"> antes de ser condenada mediante sentencia firme</w:t>
      </w:r>
      <w:r w:rsidR="0014152D" w:rsidRPr="00675401">
        <w:rPr>
          <w:rFonts w:asciiTheme="majorHAnsi" w:hAnsiTheme="majorHAnsi"/>
          <w:sz w:val="20"/>
          <w:szCs w:val="20"/>
          <w:lang w:val="es-CL"/>
        </w:rPr>
        <w:t>,</w:t>
      </w:r>
      <w:r w:rsidR="00D820EB">
        <w:rPr>
          <w:rFonts w:asciiTheme="majorHAnsi" w:hAnsiTheme="majorHAnsi"/>
          <w:sz w:val="20"/>
          <w:szCs w:val="20"/>
          <w:lang w:val="es-CL"/>
        </w:rPr>
        <w:t xml:space="preserve"> resulta contrario al principio de presunción de inocencia e</w:t>
      </w:r>
      <w:r w:rsidR="0014152D" w:rsidRPr="00675401">
        <w:rPr>
          <w:rFonts w:asciiTheme="majorHAnsi" w:hAnsiTheme="majorHAnsi"/>
          <w:sz w:val="20"/>
          <w:szCs w:val="20"/>
          <w:lang w:val="es-CL"/>
        </w:rPr>
        <w:t xml:space="preserve"> implica considerar </w:t>
      </w:r>
      <w:r w:rsidR="0014152D" w:rsidRPr="00CE4764">
        <w:rPr>
          <w:rFonts w:asciiTheme="majorHAnsi" w:hAnsiTheme="majorHAnsi"/>
          <w:i/>
          <w:sz w:val="20"/>
          <w:szCs w:val="20"/>
          <w:lang w:val="es-CL"/>
        </w:rPr>
        <w:t>a priori</w:t>
      </w:r>
      <w:r w:rsidR="0014152D" w:rsidRPr="00675401">
        <w:rPr>
          <w:rFonts w:asciiTheme="majorHAnsi" w:hAnsiTheme="majorHAnsi"/>
          <w:sz w:val="20"/>
          <w:szCs w:val="20"/>
          <w:lang w:val="es-CL"/>
        </w:rPr>
        <w:t xml:space="preserve"> que el acusado es culpable de lo que se le acusa. </w:t>
      </w:r>
    </w:p>
    <w:p w:rsidR="00666B06" w:rsidRDefault="00666B06" w:rsidP="00666B06">
      <w:pPr>
        <w:pStyle w:val="ListParagraph"/>
        <w:rPr>
          <w:rFonts w:asciiTheme="majorHAnsi" w:hAnsiTheme="majorHAnsi"/>
          <w:sz w:val="20"/>
          <w:szCs w:val="20"/>
          <w:lang w:val="es-CL"/>
        </w:rPr>
      </w:pPr>
    </w:p>
    <w:p w:rsidR="00086971" w:rsidRPr="00171833" w:rsidRDefault="00AE128C" w:rsidP="00AE128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Finalmente,</w:t>
      </w:r>
      <w:r w:rsidR="00666B06">
        <w:rPr>
          <w:rFonts w:asciiTheme="majorHAnsi" w:hAnsiTheme="majorHAnsi"/>
          <w:sz w:val="20"/>
          <w:szCs w:val="20"/>
          <w:lang w:val="es-CL"/>
        </w:rPr>
        <w:t xml:space="preserve"> la Comisión observa que la decisión de la Comandancia General del Ejército</w:t>
      </w:r>
      <w:r w:rsidR="006209BC">
        <w:rPr>
          <w:rFonts w:asciiTheme="majorHAnsi" w:hAnsiTheme="majorHAnsi"/>
          <w:sz w:val="20"/>
          <w:szCs w:val="20"/>
          <w:lang w:val="es-CL"/>
        </w:rPr>
        <w:t xml:space="preserve"> de 7 de febrero de 1995</w:t>
      </w:r>
      <w:r w:rsidR="00666B06">
        <w:rPr>
          <w:rFonts w:asciiTheme="majorHAnsi" w:hAnsiTheme="majorHAnsi"/>
          <w:sz w:val="20"/>
          <w:szCs w:val="20"/>
          <w:lang w:val="es-CL"/>
        </w:rPr>
        <w:t xml:space="preserve"> que acoge la recomendación del Consejo de Investigación</w:t>
      </w:r>
      <w:r w:rsidR="00BD4039">
        <w:rPr>
          <w:rFonts w:asciiTheme="majorHAnsi" w:hAnsiTheme="majorHAnsi"/>
          <w:sz w:val="20"/>
          <w:szCs w:val="20"/>
          <w:lang w:val="es-CL"/>
        </w:rPr>
        <w:t xml:space="preserve"> </w:t>
      </w:r>
      <w:r w:rsidR="006209BC">
        <w:rPr>
          <w:rFonts w:asciiTheme="majorHAnsi" w:hAnsiTheme="majorHAnsi"/>
          <w:sz w:val="20"/>
          <w:szCs w:val="20"/>
          <w:lang w:val="es-CL"/>
        </w:rPr>
        <w:t>de 15 de diciembre de 1994</w:t>
      </w:r>
      <w:r w:rsidR="00BD4039">
        <w:rPr>
          <w:rFonts w:asciiTheme="majorHAnsi" w:hAnsiTheme="majorHAnsi"/>
          <w:sz w:val="20"/>
          <w:szCs w:val="20"/>
          <w:lang w:val="es-CL"/>
        </w:rPr>
        <w:t>,</w:t>
      </w:r>
      <w:r w:rsidR="00666B06">
        <w:rPr>
          <w:rFonts w:asciiTheme="majorHAnsi" w:hAnsiTheme="majorHAnsi"/>
          <w:sz w:val="20"/>
          <w:szCs w:val="20"/>
          <w:lang w:val="es-CL"/>
        </w:rPr>
        <w:t xml:space="preserve"> carece de motivación, limitándose a citar ciertas normas legales, sin indicar las razones por las que se acoge la recomendación del Consejo, </w:t>
      </w:r>
      <w:r>
        <w:rPr>
          <w:rFonts w:asciiTheme="majorHAnsi" w:hAnsiTheme="majorHAnsi"/>
          <w:sz w:val="20"/>
          <w:szCs w:val="20"/>
          <w:lang w:val="es-CL"/>
        </w:rPr>
        <w:t xml:space="preserve">ni referir de qué manera </w:t>
      </w:r>
      <w:r w:rsidR="00666B06" w:rsidRPr="00AE128C">
        <w:rPr>
          <w:rFonts w:asciiTheme="majorHAnsi" w:hAnsiTheme="majorHAnsi"/>
          <w:sz w:val="20"/>
          <w:szCs w:val="20"/>
          <w:lang w:val="es-ES" w:eastAsia="es-ES"/>
        </w:rPr>
        <w:t xml:space="preserve">la conducta de la presunta víctima se subsumía en alguna causal </w:t>
      </w:r>
      <w:r w:rsidR="00AD54A2">
        <w:rPr>
          <w:rFonts w:asciiTheme="majorHAnsi" w:hAnsiTheme="majorHAnsi"/>
          <w:sz w:val="20"/>
          <w:szCs w:val="20"/>
          <w:lang w:val="es-ES" w:eastAsia="es-ES"/>
        </w:rPr>
        <w:t>disciplinaria</w:t>
      </w:r>
      <w:r>
        <w:rPr>
          <w:rFonts w:asciiTheme="majorHAnsi" w:hAnsiTheme="majorHAnsi"/>
          <w:sz w:val="20"/>
          <w:szCs w:val="20"/>
          <w:lang w:val="es-ES" w:eastAsia="es-ES"/>
        </w:rPr>
        <w:t>.</w:t>
      </w:r>
      <w:r w:rsidR="00AF4F13">
        <w:rPr>
          <w:rFonts w:asciiTheme="majorHAnsi" w:hAnsiTheme="majorHAnsi"/>
          <w:sz w:val="20"/>
          <w:szCs w:val="20"/>
          <w:lang w:val="es-ES" w:eastAsia="es-ES"/>
        </w:rPr>
        <w:t xml:space="preserve"> Aun aceptando que la remisión a la recomendación del Consejo de Investigación, constituye motivación suficiente, la Comisión considera que dicha recomendación tampoco explicó de qué manera los hechos conc</w:t>
      </w:r>
      <w:r w:rsidR="00EF6F55">
        <w:rPr>
          <w:rFonts w:asciiTheme="majorHAnsi" w:hAnsiTheme="majorHAnsi"/>
          <w:sz w:val="20"/>
          <w:szCs w:val="20"/>
          <w:lang w:val="es-ES" w:eastAsia="es-ES"/>
        </w:rPr>
        <w:t>retos que se di</w:t>
      </w:r>
      <w:r w:rsidR="00AF4F13">
        <w:rPr>
          <w:rFonts w:asciiTheme="majorHAnsi" w:hAnsiTheme="majorHAnsi"/>
          <w:sz w:val="20"/>
          <w:szCs w:val="20"/>
          <w:lang w:val="es-ES" w:eastAsia="es-ES"/>
        </w:rPr>
        <w:t>eron por establecidos, caían dentro del alcance de cada una de las ca</w:t>
      </w:r>
      <w:r w:rsidR="0012625D">
        <w:rPr>
          <w:rFonts w:asciiTheme="majorHAnsi" w:hAnsiTheme="majorHAnsi"/>
          <w:sz w:val="20"/>
          <w:szCs w:val="20"/>
          <w:lang w:val="es-ES" w:eastAsia="es-ES"/>
        </w:rPr>
        <w:t xml:space="preserve">usales disciplinarias invocadas, específicamente, causales de diferente naturaleza como faltas contra el honor, el decoro, la moral, los deberes militares, contra el deber y la dignidad, contra la administración de justicia, falsedad, negligencia, desobediencia y abuso de autoridad. </w:t>
      </w:r>
      <w:r w:rsidR="008C6D84">
        <w:rPr>
          <w:rFonts w:asciiTheme="majorHAnsi" w:hAnsiTheme="majorHAnsi"/>
          <w:sz w:val="20"/>
          <w:szCs w:val="20"/>
          <w:lang w:val="es-ES" w:eastAsia="es-ES"/>
        </w:rPr>
        <w:t xml:space="preserve">Conforme a los estándares descritos en el presente informe, </w:t>
      </w:r>
      <w:r w:rsidR="001F0859">
        <w:rPr>
          <w:rFonts w:asciiTheme="majorHAnsi" w:hAnsiTheme="majorHAnsi"/>
          <w:sz w:val="20"/>
          <w:szCs w:val="20"/>
          <w:lang w:val="es-ES" w:eastAsia="es-ES"/>
        </w:rPr>
        <w:t>e</w:t>
      </w:r>
      <w:r w:rsidR="00AF4F13">
        <w:rPr>
          <w:rFonts w:asciiTheme="majorHAnsi" w:hAnsiTheme="majorHAnsi"/>
          <w:sz w:val="20"/>
          <w:szCs w:val="20"/>
          <w:lang w:val="es-ES" w:eastAsia="es-ES"/>
        </w:rPr>
        <w:t xml:space="preserve">sta situación constituyó una violación al derecho a contar con una motivación suficiente y al principio de legalidad.  </w:t>
      </w:r>
    </w:p>
    <w:p w:rsidR="00171833" w:rsidRDefault="00171833" w:rsidP="00171833">
      <w:pPr>
        <w:pStyle w:val="ListParagraph"/>
        <w:rPr>
          <w:rFonts w:asciiTheme="majorHAnsi" w:hAnsiTheme="majorHAnsi"/>
          <w:sz w:val="20"/>
          <w:szCs w:val="20"/>
          <w:lang w:val="es-CL"/>
        </w:rPr>
      </w:pPr>
    </w:p>
    <w:p w:rsidR="00664336" w:rsidRDefault="00171833" w:rsidP="001523B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sidRPr="00664336">
        <w:rPr>
          <w:rFonts w:asciiTheme="majorHAnsi" w:hAnsiTheme="majorHAnsi"/>
          <w:sz w:val="20"/>
          <w:szCs w:val="20"/>
          <w:lang w:val="es-CL"/>
        </w:rPr>
        <w:t xml:space="preserve">En virtud de todas las consideraciones vertidas en la presente sección la Comisión Interamericana concluye que el Estado peruano es responsable por la violación de los derechos establecidos </w:t>
      </w:r>
      <w:r w:rsidRPr="00664336">
        <w:rPr>
          <w:rFonts w:asciiTheme="majorHAnsi" w:hAnsiTheme="majorHAnsi"/>
          <w:sz w:val="20"/>
          <w:szCs w:val="20"/>
          <w:lang w:val="es-CL"/>
        </w:rPr>
        <w:lastRenderedPageBreak/>
        <w:t>en los artículos</w:t>
      </w:r>
      <w:r w:rsidR="00DC0391" w:rsidRPr="00664336">
        <w:rPr>
          <w:rFonts w:asciiTheme="majorHAnsi" w:hAnsiTheme="majorHAnsi"/>
          <w:sz w:val="20"/>
          <w:szCs w:val="20"/>
          <w:lang w:val="es-CL"/>
        </w:rPr>
        <w:t xml:space="preserve"> 8.1,</w:t>
      </w:r>
      <w:r w:rsidRPr="00664336">
        <w:rPr>
          <w:rFonts w:asciiTheme="majorHAnsi" w:hAnsiTheme="majorHAnsi"/>
          <w:sz w:val="20"/>
          <w:szCs w:val="20"/>
          <w:lang w:val="es-CL"/>
        </w:rPr>
        <w:t xml:space="preserve"> </w:t>
      </w:r>
      <w:r w:rsidR="00DC0391" w:rsidRPr="00664336">
        <w:rPr>
          <w:rFonts w:asciiTheme="majorHAnsi" w:hAnsiTheme="majorHAnsi"/>
          <w:sz w:val="20"/>
          <w:szCs w:val="20"/>
          <w:lang w:val="es-CL"/>
        </w:rPr>
        <w:t xml:space="preserve">8.2, </w:t>
      </w:r>
      <w:r w:rsidRPr="00664336">
        <w:rPr>
          <w:rFonts w:asciiTheme="majorHAnsi" w:hAnsiTheme="majorHAnsi"/>
          <w:sz w:val="20"/>
          <w:szCs w:val="20"/>
          <w:lang w:val="es-CL"/>
        </w:rPr>
        <w:t>8.2.b</w:t>
      </w:r>
      <w:r w:rsidR="00DC0391" w:rsidRPr="00664336">
        <w:rPr>
          <w:rFonts w:asciiTheme="majorHAnsi" w:hAnsiTheme="majorHAnsi"/>
          <w:sz w:val="20"/>
          <w:szCs w:val="20"/>
          <w:lang w:val="es-CL"/>
        </w:rPr>
        <w:t xml:space="preserve">) </w:t>
      </w:r>
      <w:r w:rsidRPr="00664336">
        <w:rPr>
          <w:rFonts w:asciiTheme="majorHAnsi" w:hAnsiTheme="majorHAnsi"/>
          <w:sz w:val="20"/>
          <w:szCs w:val="20"/>
          <w:lang w:val="es-CL"/>
        </w:rPr>
        <w:t>c</w:t>
      </w:r>
      <w:r w:rsidR="00DC0391" w:rsidRPr="00664336">
        <w:rPr>
          <w:rFonts w:asciiTheme="majorHAnsi" w:hAnsiTheme="majorHAnsi"/>
          <w:sz w:val="20"/>
          <w:szCs w:val="20"/>
          <w:lang w:val="es-CL"/>
        </w:rPr>
        <w:t>) y</w:t>
      </w:r>
      <w:r w:rsidRPr="00664336">
        <w:rPr>
          <w:rFonts w:asciiTheme="majorHAnsi" w:hAnsiTheme="majorHAnsi"/>
          <w:sz w:val="20"/>
          <w:szCs w:val="20"/>
          <w:lang w:val="es-CL"/>
        </w:rPr>
        <w:t xml:space="preserve"> e</w:t>
      </w:r>
      <w:r w:rsidR="00DC0391" w:rsidRPr="00664336">
        <w:rPr>
          <w:rFonts w:asciiTheme="majorHAnsi" w:hAnsiTheme="majorHAnsi"/>
          <w:sz w:val="20"/>
          <w:szCs w:val="20"/>
          <w:lang w:val="es-CL"/>
        </w:rPr>
        <w:t>)</w:t>
      </w:r>
      <w:r w:rsidRPr="00664336">
        <w:rPr>
          <w:rFonts w:asciiTheme="majorHAnsi" w:hAnsiTheme="majorHAnsi"/>
          <w:sz w:val="20"/>
          <w:szCs w:val="20"/>
          <w:lang w:val="es-CL"/>
        </w:rPr>
        <w:t xml:space="preserve"> de la Convención Americana en relación con las obligaciones establecidas en el artículo 1.1 del mismo instrumento</w:t>
      </w:r>
      <w:r w:rsidR="00DC0391" w:rsidRPr="00664336">
        <w:rPr>
          <w:rFonts w:asciiTheme="majorHAnsi" w:hAnsiTheme="majorHAnsi"/>
          <w:sz w:val="20"/>
          <w:szCs w:val="20"/>
          <w:lang w:val="es-CL"/>
        </w:rPr>
        <w:t xml:space="preserve"> en perjuicio de</w:t>
      </w:r>
      <w:r w:rsidR="00664336">
        <w:rPr>
          <w:rFonts w:asciiTheme="majorHAnsi" w:hAnsiTheme="majorHAnsi"/>
          <w:sz w:val="20"/>
          <w:szCs w:val="20"/>
          <w:lang w:val="es-CL"/>
        </w:rPr>
        <w:t xml:space="preserve">l señor Rosadio Villavicencio. </w:t>
      </w:r>
    </w:p>
    <w:p w:rsidR="00664336" w:rsidRPr="00313F8B" w:rsidRDefault="00664336" w:rsidP="00F23884">
      <w:pPr>
        <w:rPr>
          <w:rFonts w:asciiTheme="majorHAnsi" w:hAnsiTheme="majorHAnsi"/>
          <w:sz w:val="20"/>
          <w:szCs w:val="20"/>
          <w:lang w:val="es-CL"/>
        </w:rPr>
      </w:pPr>
    </w:p>
    <w:p w:rsidR="00313F8B" w:rsidRPr="00775D61" w:rsidRDefault="00313F8B" w:rsidP="006B6817">
      <w:pPr>
        <w:pStyle w:val="Heading2"/>
        <w:numPr>
          <w:ilvl w:val="0"/>
          <w:numId w:val="61"/>
        </w:numPr>
        <w:rPr>
          <w:lang w:val="es-ES" w:eastAsia="es-ES"/>
        </w:rPr>
      </w:pPr>
      <w:bookmarkStart w:id="49" w:name="_Toc485394061"/>
      <w:r>
        <w:rPr>
          <w:lang w:val="es-ES" w:eastAsia="es-ES"/>
        </w:rPr>
        <w:t>El derecho a las garantías judiciales</w:t>
      </w:r>
      <w:r w:rsidR="0032607A">
        <w:rPr>
          <w:lang w:val="es-ES" w:eastAsia="es-ES"/>
        </w:rPr>
        <w:t xml:space="preserve"> </w:t>
      </w:r>
      <w:r w:rsidRPr="00775D61">
        <w:rPr>
          <w:lang w:val="es-ES" w:eastAsia="es-ES"/>
        </w:rPr>
        <w:t>en relación con el proceso a</w:t>
      </w:r>
      <w:r w:rsidR="0032607A" w:rsidRPr="00775D61">
        <w:rPr>
          <w:lang w:val="es-ES" w:eastAsia="es-ES"/>
        </w:rPr>
        <w:t>n</w:t>
      </w:r>
      <w:r w:rsidR="002641DA" w:rsidRPr="00775D61">
        <w:rPr>
          <w:lang w:val="es-ES" w:eastAsia="es-ES"/>
        </w:rPr>
        <w:t>te la jurisdicción penal militar</w:t>
      </w:r>
      <w:r w:rsidR="00A211D2" w:rsidRPr="00775D61">
        <w:rPr>
          <w:lang w:val="es-ES" w:eastAsia="es-ES"/>
        </w:rPr>
        <w:t xml:space="preserve"> y ordinaria </w:t>
      </w:r>
      <w:r w:rsidRPr="00775D61">
        <w:rPr>
          <w:lang w:val="es-ES" w:eastAsia="es-ES"/>
        </w:rPr>
        <w:t>(Artículos 8</w:t>
      </w:r>
      <w:r w:rsidR="0032607A" w:rsidRPr="00775D61">
        <w:rPr>
          <w:lang w:val="es-ES" w:eastAsia="es-ES"/>
        </w:rPr>
        <w:t xml:space="preserve">.1, 8.2 </w:t>
      </w:r>
      <w:r w:rsidR="00191F54" w:rsidRPr="00775D61">
        <w:rPr>
          <w:lang w:val="es-ES" w:eastAsia="es-ES"/>
        </w:rPr>
        <w:t xml:space="preserve">b, </w:t>
      </w:r>
      <w:r w:rsidRPr="00775D61">
        <w:rPr>
          <w:lang w:val="es-ES" w:eastAsia="es-ES"/>
        </w:rPr>
        <w:t>c</w:t>
      </w:r>
      <w:r w:rsidR="00D71F31" w:rsidRPr="00775D61">
        <w:rPr>
          <w:lang w:val="es-ES" w:eastAsia="es-ES"/>
        </w:rPr>
        <w:t xml:space="preserve"> y</w:t>
      </w:r>
      <w:r w:rsidRPr="00775D61">
        <w:rPr>
          <w:lang w:val="es-ES" w:eastAsia="es-ES"/>
        </w:rPr>
        <w:t xml:space="preserve"> e, de la Convención Americana en relación con el artículo 1.1 de la Convención Americana)</w:t>
      </w:r>
      <w:bookmarkEnd w:id="49"/>
    </w:p>
    <w:p w:rsidR="00A671A3" w:rsidRPr="00775D61" w:rsidRDefault="00A671A3" w:rsidP="001D598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hAnsiTheme="majorHAnsi"/>
          <w:sz w:val="20"/>
          <w:szCs w:val="20"/>
          <w:lang w:val="es-CL"/>
        </w:rPr>
      </w:pPr>
    </w:p>
    <w:p w:rsidR="00A671A3" w:rsidRPr="00E062A0" w:rsidRDefault="00A671A3" w:rsidP="001D598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sidRPr="00775D61">
        <w:rPr>
          <w:rFonts w:asciiTheme="majorHAnsi" w:hAnsiTheme="majorHAnsi"/>
          <w:sz w:val="20"/>
          <w:szCs w:val="20"/>
          <w:lang w:val="es-CL"/>
        </w:rPr>
        <w:t>El</w:t>
      </w:r>
      <w:r w:rsidR="00F94D7F" w:rsidRPr="00775D61">
        <w:rPr>
          <w:rFonts w:asciiTheme="majorHAnsi" w:hAnsiTheme="majorHAnsi"/>
          <w:sz w:val="20"/>
          <w:szCs w:val="20"/>
          <w:lang w:val="es-CL"/>
        </w:rPr>
        <w:t xml:space="preserve"> contenido de los artículos 8.1, 8.2 b), c) y e)</w:t>
      </w:r>
      <w:r w:rsidR="00EE49D2" w:rsidRPr="00775D61">
        <w:rPr>
          <w:rFonts w:asciiTheme="majorHAnsi" w:hAnsiTheme="majorHAnsi"/>
          <w:sz w:val="20"/>
          <w:szCs w:val="20"/>
          <w:lang w:val="es-CL"/>
        </w:rPr>
        <w:t xml:space="preserve"> de la Convención</w:t>
      </w:r>
      <w:r w:rsidR="00A11F33" w:rsidRPr="00775D61">
        <w:rPr>
          <w:rFonts w:asciiTheme="majorHAnsi" w:hAnsiTheme="majorHAnsi"/>
          <w:sz w:val="20"/>
          <w:szCs w:val="20"/>
          <w:lang w:val="es-CL"/>
        </w:rPr>
        <w:t xml:space="preserve"> ya fue </w:t>
      </w:r>
      <w:r w:rsidR="00F94D7F" w:rsidRPr="00775D61">
        <w:rPr>
          <w:rFonts w:asciiTheme="majorHAnsi" w:hAnsiTheme="majorHAnsi"/>
          <w:sz w:val="20"/>
          <w:szCs w:val="20"/>
          <w:lang w:val="es-CL"/>
        </w:rPr>
        <w:t xml:space="preserve">transcrito </w:t>
      </w:r>
      <w:r w:rsidR="00A11F33" w:rsidRPr="00775D61">
        <w:rPr>
          <w:rFonts w:asciiTheme="majorHAnsi" w:hAnsiTheme="majorHAnsi"/>
          <w:sz w:val="20"/>
          <w:szCs w:val="20"/>
          <w:lang w:val="es-CL"/>
        </w:rPr>
        <w:t xml:space="preserve">en la sección anterior. </w:t>
      </w:r>
    </w:p>
    <w:p w:rsidR="001D5983" w:rsidRPr="00E062A0" w:rsidRDefault="001D5983" w:rsidP="003F520C">
      <w:pPr>
        <w:pStyle w:val="Heading3"/>
        <w:numPr>
          <w:ilvl w:val="0"/>
          <w:numId w:val="69"/>
        </w:numPr>
        <w:tabs>
          <w:tab w:val="clear" w:pos="1800"/>
          <w:tab w:val="num" w:pos="1440"/>
        </w:tabs>
        <w:ind w:hanging="1080"/>
        <w:rPr>
          <w:color w:val="auto"/>
          <w:sz w:val="20"/>
          <w:szCs w:val="20"/>
          <w:lang w:val="es-ES_tradnl"/>
        </w:rPr>
      </w:pPr>
      <w:bookmarkStart w:id="50" w:name="_Toc485394062"/>
      <w:r w:rsidRPr="00E062A0">
        <w:rPr>
          <w:color w:val="auto"/>
          <w:sz w:val="20"/>
          <w:szCs w:val="20"/>
          <w:lang w:val="es-ES_tradnl"/>
        </w:rPr>
        <w:t>Consideraciones generales</w:t>
      </w:r>
      <w:bookmarkEnd w:id="50"/>
      <w:r w:rsidRPr="00E062A0">
        <w:rPr>
          <w:color w:val="auto"/>
          <w:sz w:val="20"/>
          <w:szCs w:val="20"/>
          <w:lang w:val="es-ES_tradnl"/>
        </w:rPr>
        <w:t xml:space="preserve"> </w:t>
      </w:r>
    </w:p>
    <w:p w:rsidR="00D91E4A" w:rsidRPr="00D91E4A" w:rsidRDefault="00D91E4A" w:rsidP="00D91E4A">
      <w:pPr>
        <w:rPr>
          <w:lang w:val="es-ES_tradnl" w:eastAsia="es-ES"/>
        </w:rPr>
      </w:pPr>
    </w:p>
    <w:p w:rsidR="00A671A3" w:rsidRDefault="00A671A3" w:rsidP="006419C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 xml:space="preserve">La Comisión subraya que el artículo 8.1 </w:t>
      </w:r>
      <w:r w:rsidR="0080146C">
        <w:rPr>
          <w:rFonts w:asciiTheme="majorHAnsi" w:hAnsiTheme="majorHAnsi"/>
          <w:sz w:val="20"/>
          <w:szCs w:val="20"/>
          <w:lang w:val="es-CL"/>
        </w:rPr>
        <w:t xml:space="preserve">de la Convención Americana </w:t>
      </w:r>
      <w:r w:rsidR="008045CE">
        <w:rPr>
          <w:rFonts w:asciiTheme="majorHAnsi" w:hAnsiTheme="majorHAnsi"/>
          <w:sz w:val="20"/>
          <w:szCs w:val="20"/>
          <w:lang w:val="es-CL"/>
        </w:rPr>
        <w:t>consagra el derecho a ser juzgado por</w:t>
      </w:r>
      <w:r w:rsidR="00245507">
        <w:rPr>
          <w:rFonts w:asciiTheme="majorHAnsi" w:hAnsiTheme="majorHAnsi"/>
          <w:sz w:val="20"/>
          <w:szCs w:val="20"/>
          <w:lang w:val="es-CL"/>
        </w:rPr>
        <w:t xml:space="preserve"> autoridad independiente e impar</w:t>
      </w:r>
      <w:r w:rsidR="008045CE">
        <w:rPr>
          <w:rFonts w:asciiTheme="majorHAnsi" w:hAnsiTheme="majorHAnsi"/>
          <w:sz w:val="20"/>
          <w:szCs w:val="20"/>
          <w:lang w:val="es-CL"/>
        </w:rPr>
        <w:t xml:space="preserve">cial. </w:t>
      </w:r>
    </w:p>
    <w:p w:rsidR="00A671A3" w:rsidRDefault="00A671A3" w:rsidP="00A671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hAnsiTheme="majorHAnsi"/>
          <w:sz w:val="20"/>
          <w:szCs w:val="20"/>
          <w:lang w:val="es-CL"/>
        </w:rPr>
      </w:pPr>
    </w:p>
    <w:p w:rsidR="00B81739" w:rsidRDefault="00B81739"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 xml:space="preserve">Tanto la Comisión como la Corte Interamericana han indicado que la independencia y la imparcialidad están relacionadas pero tienen un contenido jurídico propio. La Corte Interamericana ha indicado que uno de los </w:t>
      </w:r>
      <w:r w:rsidR="00BB1EBF">
        <w:rPr>
          <w:rFonts w:asciiTheme="majorHAnsi" w:hAnsiTheme="majorHAnsi"/>
          <w:sz w:val="20"/>
          <w:szCs w:val="20"/>
          <w:lang w:val="es-CL"/>
        </w:rPr>
        <w:t xml:space="preserve">objetivos principales que tiene la separación de los poderes públicos es la garantía de independencia de los jueces. Dicho ejercicio autónomo debe ser garantizado por el Estado tanto en su faceta institucional, esto es en relación con el </w:t>
      </w:r>
      <w:r w:rsidR="00B96A19">
        <w:rPr>
          <w:rFonts w:asciiTheme="majorHAnsi" w:hAnsiTheme="majorHAnsi"/>
          <w:sz w:val="20"/>
          <w:szCs w:val="20"/>
          <w:lang w:val="es-CL"/>
        </w:rPr>
        <w:t xml:space="preserve">Poder Judicial como sistema, </w:t>
      </w:r>
      <w:r w:rsidR="00BB1EBF">
        <w:rPr>
          <w:rFonts w:asciiTheme="majorHAnsi" w:hAnsiTheme="majorHAnsi"/>
          <w:sz w:val="20"/>
          <w:szCs w:val="20"/>
          <w:lang w:val="es-CL"/>
        </w:rPr>
        <w:t xml:space="preserve">como en conexión con su vertiente individual, es decir, con relación a la persona del juez específico. </w:t>
      </w:r>
    </w:p>
    <w:p w:rsidR="00BB1EBF" w:rsidRDefault="00BB1EBF" w:rsidP="00BB1EBF">
      <w:pPr>
        <w:pStyle w:val="ListParagraph"/>
        <w:rPr>
          <w:rFonts w:asciiTheme="majorHAnsi" w:hAnsiTheme="majorHAnsi"/>
          <w:sz w:val="20"/>
          <w:szCs w:val="20"/>
          <w:lang w:val="es-CL"/>
        </w:rPr>
      </w:pPr>
    </w:p>
    <w:p w:rsidR="00BB1EBF" w:rsidRDefault="00BB1EBF"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En cambio, la imparcialidad exige que el juez que interviene en una contienda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w:t>
      </w:r>
      <w:r w:rsidR="0065314D">
        <w:rPr>
          <w:rFonts w:asciiTheme="majorHAnsi" w:hAnsiTheme="majorHAnsi"/>
          <w:sz w:val="20"/>
          <w:szCs w:val="20"/>
          <w:lang w:val="es-CL"/>
        </w:rPr>
        <w:t>.</w:t>
      </w:r>
      <w:r w:rsidR="00B75126">
        <w:rPr>
          <w:rFonts w:asciiTheme="majorHAnsi" w:hAnsiTheme="majorHAnsi"/>
          <w:sz w:val="20"/>
          <w:szCs w:val="20"/>
          <w:lang w:val="es-CL"/>
        </w:rPr>
        <w:t xml:space="preserve"> La Corte Europea de Derechos Humanos ha explicado que la imparcialidad personal o subjetiva se presume a menos que exista pru</w:t>
      </w:r>
      <w:r w:rsidR="00004B96">
        <w:rPr>
          <w:rFonts w:asciiTheme="majorHAnsi" w:hAnsiTheme="majorHAnsi"/>
          <w:sz w:val="20"/>
          <w:szCs w:val="20"/>
          <w:lang w:val="es-CL"/>
        </w:rPr>
        <w:t>eba en contrario</w:t>
      </w:r>
      <w:r w:rsidR="00162E98" w:rsidRPr="00162E98">
        <w:rPr>
          <w:rStyle w:val="FootnoteReference"/>
          <w:rFonts w:asciiTheme="majorHAnsi" w:hAnsiTheme="majorHAnsi"/>
          <w:sz w:val="20"/>
          <w:szCs w:val="20"/>
          <w:lang w:val="es-CL"/>
        </w:rPr>
        <w:footnoteReference w:id="117"/>
      </w:r>
      <w:r w:rsidR="00004B96">
        <w:rPr>
          <w:rFonts w:asciiTheme="majorHAnsi" w:hAnsiTheme="majorHAnsi"/>
          <w:sz w:val="20"/>
          <w:szCs w:val="20"/>
          <w:lang w:val="es-CL"/>
        </w:rPr>
        <w:t xml:space="preserve">. Por su parte, </w:t>
      </w:r>
      <w:r w:rsidR="00B75126">
        <w:rPr>
          <w:rFonts w:asciiTheme="majorHAnsi" w:hAnsiTheme="majorHAnsi"/>
          <w:sz w:val="20"/>
          <w:szCs w:val="20"/>
          <w:lang w:val="es-CL"/>
        </w:rPr>
        <w:t xml:space="preserve">la denominada prueba objetiva consiste en determinar si el juez </w:t>
      </w:r>
      <w:r w:rsidR="00B96A19">
        <w:rPr>
          <w:rFonts w:asciiTheme="majorHAnsi" w:hAnsiTheme="majorHAnsi"/>
          <w:sz w:val="20"/>
          <w:szCs w:val="20"/>
          <w:lang w:val="es-CL"/>
        </w:rPr>
        <w:t>en cuestión</w:t>
      </w:r>
      <w:r w:rsidR="00B75126">
        <w:rPr>
          <w:rFonts w:asciiTheme="majorHAnsi" w:hAnsiTheme="majorHAnsi"/>
          <w:sz w:val="20"/>
          <w:szCs w:val="20"/>
          <w:lang w:val="es-CL"/>
        </w:rPr>
        <w:t xml:space="preserve"> brindó elementos convincentes que permitan eliminar temores legítimos o fundadas sospechas de parcialidad sobre su persona. Ello puesto que el juez debe aparecer como actuando sin estar sujeto a influencia, aliciente, presión</w:t>
      </w:r>
      <w:r w:rsidR="0065314D">
        <w:rPr>
          <w:rFonts w:asciiTheme="majorHAnsi" w:hAnsiTheme="majorHAnsi"/>
          <w:sz w:val="20"/>
          <w:szCs w:val="20"/>
          <w:lang w:val="es-CL"/>
        </w:rPr>
        <w:t>,</w:t>
      </w:r>
      <w:r w:rsidR="00B75126">
        <w:rPr>
          <w:rFonts w:asciiTheme="majorHAnsi" w:hAnsiTheme="majorHAnsi"/>
          <w:sz w:val="20"/>
          <w:szCs w:val="20"/>
          <w:lang w:val="es-CL"/>
        </w:rPr>
        <w:t xml:space="preserve"> amenaza o intromisión, directa o indirecta, sino única y exclusivamente conforme a –y movido por-el Derecho</w:t>
      </w:r>
      <w:r w:rsidR="00B75126" w:rsidRPr="00B75126">
        <w:rPr>
          <w:rStyle w:val="FootnoteReference"/>
          <w:rFonts w:asciiTheme="majorHAnsi" w:hAnsiTheme="majorHAnsi"/>
          <w:sz w:val="20"/>
          <w:szCs w:val="20"/>
          <w:lang w:val="es-CL"/>
        </w:rPr>
        <w:footnoteReference w:id="118"/>
      </w:r>
      <w:r w:rsidR="00B75126">
        <w:rPr>
          <w:rFonts w:asciiTheme="majorHAnsi" w:hAnsiTheme="majorHAnsi"/>
          <w:sz w:val="20"/>
          <w:szCs w:val="20"/>
          <w:lang w:val="es-CL"/>
        </w:rPr>
        <w:t xml:space="preserve">. </w:t>
      </w:r>
    </w:p>
    <w:p w:rsidR="00985D12" w:rsidRPr="00FB509B" w:rsidRDefault="00985D12" w:rsidP="00FB509B">
      <w:pPr>
        <w:rPr>
          <w:rFonts w:asciiTheme="majorHAnsi" w:hAnsiTheme="majorHAnsi"/>
          <w:sz w:val="20"/>
          <w:szCs w:val="20"/>
          <w:lang w:val="es-CL"/>
        </w:rPr>
      </w:pPr>
    </w:p>
    <w:p w:rsidR="009B1B24" w:rsidRPr="00CE7EEB" w:rsidRDefault="0080146C" w:rsidP="00CE7EE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b/>
          <w:sz w:val="20"/>
          <w:szCs w:val="20"/>
          <w:lang w:val="es-ES_tradnl"/>
        </w:rPr>
      </w:pPr>
      <w:r>
        <w:rPr>
          <w:rFonts w:asciiTheme="majorHAnsi" w:hAnsiTheme="majorHAnsi"/>
          <w:sz w:val="20"/>
          <w:szCs w:val="20"/>
          <w:lang w:val="es-CL"/>
        </w:rPr>
        <w:t xml:space="preserve">Por otra parte, la Comisión reitera los estándares </w:t>
      </w:r>
      <w:r w:rsidR="001749FD">
        <w:rPr>
          <w:rFonts w:asciiTheme="majorHAnsi" w:hAnsiTheme="majorHAnsi"/>
          <w:sz w:val="20"/>
          <w:szCs w:val="20"/>
          <w:lang w:val="es-CL"/>
        </w:rPr>
        <w:t>respecto al derecho a la defensa ya referidos en la sección anterior.</w:t>
      </w:r>
      <w:r w:rsidR="00307347">
        <w:rPr>
          <w:rFonts w:asciiTheme="majorHAnsi" w:hAnsiTheme="majorHAnsi"/>
          <w:sz w:val="20"/>
          <w:szCs w:val="20"/>
          <w:lang w:val="es-CL"/>
        </w:rPr>
        <w:t xml:space="preserve"> </w:t>
      </w:r>
    </w:p>
    <w:p w:rsidR="00CE7EEB" w:rsidRDefault="00CE7EEB" w:rsidP="00CE7EEB">
      <w:pPr>
        <w:pStyle w:val="ListParagraph"/>
        <w:rPr>
          <w:rFonts w:asciiTheme="majorHAnsi" w:hAnsiTheme="majorHAnsi"/>
          <w:b/>
          <w:sz w:val="20"/>
          <w:szCs w:val="20"/>
          <w:lang w:val="es-ES_tradnl"/>
        </w:rPr>
      </w:pPr>
    </w:p>
    <w:p w:rsidR="001749FD" w:rsidRDefault="001749FD" w:rsidP="003F520C">
      <w:pPr>
        <w:pStyle w:val="Heading3"/>
        <w:numPr>
          <w:ilvl w:val="0"/>
          <w:numId w:val="69"/>
        </w:numPr>
        <w:tabs>
          <w:tab w:val="clear" w:pos="1800"/>
          <w:tab w:val="num" w:pos="1440"/>
        </w:tabs>
        <w:ind w:hanging="1080"/>
        <w:rPr>
          <w:b w:val="0"/>
          <w:sz w:val="20"/>
          <w:szCs w:val="20"/>
          <w:lang w:val="es-ES_tradnl"/>
        </w:rPr>
      </w:pPr>
      <w:bookmarkStart w:id="51" w:name="_Toc485394063"/>
      <w:r w:rsidRPr="00E062A0">
        <w:rPr>
          <w:color w:val="auto"/>
          <w:sz w:val="20"/>
          <w:szCs w:val="20"/>
          <w:lang w:val="es-ES_tradnl"/>
        </w:rPr>
        <w:t>Análisis del presente caso</w:t>
      </w:r>
      <w:bookmarkEnd w:id="51"/>
    </w:p>
    <w:p w:rsidR="00071F6E" w:rsidRPr="007A5C8B" w:rsidRDefault="00071F6E" w:rsidP="00071F6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heme="majorHAnsi" w:hAnsiTheme="majorHAnsi"/>
          <w:b/>
          <w:sz w:val="20"/>
          <w:szCs w:val="20"/>
          <w:lang w:val="es-ES_tradnl"/>
        </w:rPr>
      </w:pPr>
    </w:p>
    <w:p w:rsidR="00071F6E" w:rsidRPr="00E062A0" w:rsidRDefault="00071F6E" w:rsidP="003F520C">
      <w:pPr>
        <w:pStyle w:val="ListParagraph"/>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right" w:pos="1530"/>
          <w:tab w:val="left" w:pos="1620"/>
        </w:tabs>
        <w:ind w:hanging="1080"/>
        <w:jc w:val="both"/>
        <w:rPr>
          <w:rFonts w:asciiTheme="majorHAnsi" w:hAnsiTheme="majorHAnsi"/>
          <w:b/>
          <w:sz w:val="20"/>
          <w:szCs w:val="20"/>
          <w:lang w:val="es-VE"/>
        </w:rPr>
      </w:pPr>
      <w:r w:rsidRPr="00E062A0">
        <w:rPr>
          <w:rFonts w:asciiTheme="majorHAnsi" w:hAnsiTheme="majorHAnsi"/>
          <w:b/>
          <w:sz w:val="20"/>
          <w:szCs w:val="20"/>
          <w:lang w:val="es-VE"/>
        </w:rPr>
        <w:t xml:space="preserve">Jurisdicción penal militar  </w:t>
      </w:r>
    </w:p>
    <w:p w:rsidR="00071F6E" w:rsidRPr="00071F6E" w:rsidRDefault="00071F6E" w:rsidP="00071F6E">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1440"/>
        <w:jc w:val="both"/>
        <w:rPr>
          <w:rFonts w:asciiTheme="majorHAnsi" w:hAnsiTheme="majorHAnsi"/>
          <w:b/>
          <w:sz w:val="20"/>
          <w:szCs w:val="20"/>
          <w:lang w:val="es-VE"/>
        </w:rPr>
      </w:pPr>
    </w:p>
    <w:p w:rsidR="001749FD" w:rsidRDefault="00F779E6" w:rsidP="002A491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 xml:space="preserve">En primer lugar, en cuanto </w:t>
      </w:r>
      <w:r w:rsidR="00E7293B">
        <w:rPr>
          <w:rFonts w:asciiTheme="majorHAnsi" w:hAnsiTheme="majorHAnsi"/>
          <w:sz w:val="20"/>
          <w:szCs w:val="20"/>
          <w:lang w:val="es-CL"/>
        </w:rPr>
        <w:t>al derecho a ser juzg</w:t>
      </w:r>
      <w:r w:rsidR="00B96A19">
        <w:rPr>
          <w:rFonts w:asciiTheme="majorHAnsi" w:hAnsiTheme="majorHAnsi"/>
          <w:sz w:val="20"/>
          <w:szCs w:val="20"/>
          <w:lang w:val="es-CL"/>
        </w:rPr>
        <w:t>a</w:t>
      </w:r>
      <w:r w:rsidR="00E7293B">
        <w:rPr>
          <w:rFonts w:asciiTheme="majorHAnsi" w:hAnsiTheme="majorHAnsi"/>
          <w:sz w:val="20"/>
          <w:szCs w:val="20"/>
          <w:lang w:val="es-CL"/>
        </w:rPr>
        <w:t xml:space="preserve">do por </w:t>
      </w:r>
      <w:r>
        <w:rPr>
          <w:rFonts w:asciiTheme="majorHAnsi" w:hAnsiTheme="majorHAnsi"/>
          <w:sz w:val="20"/>
          <w:szCs w:val="20"/>
          <w:lang w:val="es-CL"/>
        </w:rPr>
        <w:t xml:space="preserve">juez o tribunal </w:t>
      </w:r>
      <w:r w:rsidRPr="00C426B2">
        <w:rPr>
          <w:rFonts w:asciiTheme="majorHAnsi" w:hAnsiTheme="majorHAnsi"/>
          <w:sz w:val="20"/>
          <w:szCs w:val="20"/>
          <w:lang w:val="es-CL"/>
        </w:rPr>
        <w:t>independiente</w:t>
      </w:r>
      <w:r>
        <w:rPr>
          <w:rFonts w:asciiTheme="majorHAnsi" w:hAnsiTheme="majorHAnsi"/>
          <w:sz w:val="20"/>
          <w:szCs w:val="20"/>
          <w:lang w:val="es-CL"/>
        </w:rPr>
        <w:t xml:space="preserve"> e imparcial, la Comisión hace notar que, tal como se indicó en la sección de hechos probados, el proceso ante la jurisdicción penal militar, estuvo a cargo del Juez Militar Permanente Jorge Ramírez Huerta, quien </w:t>
      </w:r>
      <w:r w:rsidR="0008766E">
        <w:rPr>
          <w:rFonts w:asciiTheme="majorHAnsi" w:hAnsiTheme="majorHAnsi"/>
          <w:sz w:val="20"/>
          <w:szCs w:val="20"/>
          <w:lang w:val="es-CL"/>
        </w:rPr>
        <w:t xml:space="preserve">había actuado </w:t>
      </w:r>
      <w:r>
        <w:rPr>
          <w:rFonts w:asciiTheme="majorHAnsi" w:hAnsiTheme="majorHAnsi"/>
          <w:sz w:val="20"/>
          <w:szCs w:val="20"/>
          <w:lang w:val="es-CL"/>
        </w:rPr>
        <w:t xml:space="preserve">como </w:t>
      </w:r>
      <w:r w:rsidR="0008766E">
        <w:rPr>
          <w:rFonts w:asciiTheme="majorHAnsi" w:hAnsiTheme="majorHAnsi"/>
          <w:sz w:val="20"/>
          <w:szCs w:val="20"/>
          <w:lang w:val="es-CL"/>
        </w:rPr>
        <w:t xml:space="preserve">abogado defensor </w:t>
      </w:r>
      <w:r>
        <w:rPr>
          <w:rFonts w:asciiTheme="majorHAnsi" w:hAnsiTheme="majorHAnsi"/>
          <w:sz w:val="20"/>
          <w:szCs w:val="20"/>
          <w:lang w:val="es-CL"/>
        </w:rPr>
        <w:t>de</w:t>
      </w:r>
      <w:r w:rsidR="0008766E">
        <w:rPr>
          <w:rFonts w:asciiTheme="majorHAnsi" w:hAnsiTheme="majorHAnsi"/>
          <w:sz w:val="20"/>
          <w:szCs w:val="20"/>
          <w:lang w:val="es-CL"/>
        </w:rPr>
        <w:t xml:space="preserve">l señor Rosadio Villavicencio </w:t>
      </w:r>
      <w:r w:rsidR="000E710F">
        <w:rPr>
          <w:rFonts w:asciiTheme="majorHAnsi" w:hAnsiTheme="majorHAnsi"/>
          <w:sz w:val="20"/>
          <w:szCs w:val="20"/>
          <w:lang w:val="es-CL"/>
        </w:rPr>
        <w:t>y</w:t>
      </w:r>
      <w:r w:rsidR="0008766E">
        <w:rPr>
          <w:rFonts w:asciiTheme="majorHAnsi" w:hAnsiTheme="majorHAnsi"/>
          <w:sz w:val="20"/>
          <w:szCs w:val="20"/>
          <w:lang w:val="es-CL"/>
        </w:rPr>
        <w:t xml:space="preserve"> asistió jurídicamente a su </w:t>
      </w:r>
      <w:r w:rsidR="000E710F">
        <w:rPr>
          <w:rFonts w:asciiTheme="majorHAnsi" w:hAnsiTheme="majorHAnsi"/>
          <w:sz w:val="20"/>
          <w:szCs w:val="20"/>
          <w:lang w:val="es-CL"/>
        </w:rPr>
        <w:t>superior jerárquico</w:t>
      </w:r>
      <w:r>
        <w:rPr>
          <w:rFonts w:asciiTheme="majorHAnsi" w:hAnsiTheme="majorHAnsi"/>
          <w:sz w:val="20"/>
          <w:szCs w:val="20"/>
          <w:lang w:val="es-CL"/>
        </w:rPr>
        <w:t>, cuando</w:t>
      </w:r>
      <w:r w:rsidR="0008766E">
        <w:rPr>
          <w:rFonts w:asciiTheme="majorHAnsi" w:hAnsiTheme="majorHAnsi"/>
          <w:sz w:val="20"/>
          <w:szCs w:val="20"/>
          <w:lang w:val="es-CL"/>
        </w:rPr>
        <w:t xml:space="preserve"> ambos </w:t>
      </w:r>
      <w:r>
        <w:rPr>
          <w:rFonts w:asciiTheme="majorHAnsi" w:hAnsiTheme="majorHAnsi"/>
          <w:sz w:val="20"/>
          <w:szCs w:val="20"/>
          <w:lang w:val="es-CL"/>
        </w:rPr>
        <w:t>rind</w:t>
      </w:r>
      <w:r w:rsidR="0008766E">
        <w:rPr>
          <w:rFonts w:asciiTheme="majorHAnsi" w:hAnsiTheme="majorHAnsi"/>
          <w:sz w:val="20"/>
          <w:szCs w:val="20"/>
          <w:lang w:val="es-CL"/>
        </w:rPr>
        <w:t>ieron</w:t>
      </w:r>
      <w:r>
        <w:rPr>
          <w:rFonts w:asciiTheme="majorHAnsi" w:hAnsiTheme="majorHAnsi"/>
          <w:sz w:val="20"/>
          <w:szCs w:val="20"/>
          <w:lang w:val="es-CL"/>
        </w:rPr>
        <w:t xml:space="preserve"> su declaración en la etapa de investigación ante la Inspectoría del Destacamento Leoncio Prado. </w:t>
      </w:r>
    </w:p>
    <w:p w:rsidR="00F779E6" w:rsidRDefault="00F779E6" w:rsidP="00F779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hAnsiTheme="majorHAnsi"/>
          <w:sz w:val="20"/>
          <w:szCs w:val="20"/>
          <w:lang w:val="es-CL"/>
        </w:rPr>
      </w:pPr>
    </w:p>
    <w:p w:rsidR="000E710F" w:rsidRDefault="00961AE8"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Si bien el Estado argumentó que la presunta víctima debió presentar una solicitud de inhibitoria del juez a cargo del proceso penal militar, la Comisión hace notar que fue</w:t>
      </w:r>
      <w:r w:rsidR="00FB509B">
        <w:rPr>
          <w:rFonts w:asciiTheme="majorHAnsi" w:hAnsiTheme="majorHAnsi"/>
          <w:sz w:val="20"/>
          <w:szCs w:val="20"/>
          <w:lang w:val="es-CL"/>
        </w:rPr>
        <w:t xml:space="preserve"> el Estado</w:t>
      </w:r>
      <w:r>
        <w:rPr>
          <w:rFonts w:asciiTheme="majorHAnsi" w:hAnsiTheme="majorHAnsi"/>
          <w:sz w:val="20"/>
          <w:szCs w:val="20"/>
          <w:lang w:val="es-CL"/>
        </w:rPr>
        <w:t xml:space="preserve"> quien designó a </w:t>
      </w:r>
      <w:r>
        <w:rPr>
          <w:rFonts w:asciiTheme="majorHAnsi" w:hAnsiTheme="majorHAnsi"/>
          <w:sz w:val="20"/>
          <w:szCs w:val="20"/>
          <w:lang w:val="es-CL"/>
        </w:rPr>
        <w:lastRenderedPageBreak/>
        <w:t>dicha persona como asesor jurídico de</w:t>
      </w:r>
      <w:r w:rsidR="00B07F44">
        <w:rPr>
          <w:rFonts w:asciiTheme="majorHAnsi" w:hAnsiTheme="majorHAnsi"/>
          <w:sz w:val="20"/>
          <w:szCs w:val="20"/>
          <w:lang w:val="es-CL"/>
        </w:rPr>
        <w:t xml:space="preserve">l señor Rosadio Villavicencio </w:t>
      </w:r>
      <w:r w:rsidR="003A38D3">
        <w:rPr>
          <w:rFonts w:asciiTheme="majorHAnsi" w:hAnsiTheme="majorHAnsi"/>
          <w:sz w:val="20"/>
          <w:szCs w:val="20"/>
          <w:lang w:val="es-CL"/>
        </w:rPr>
        <w:t>durante la investigación de la Inspectoría del Destacamento Leoncio Prado, por lo que tenía conocimiento de su intervención</w:t>
      </w:r>
      <w:r w:rsidR="00A66F3A">
        <w:rPr>
          <w:rFonts w:asciiTheme="majorHAnsi" w:hAnsiTheme="majorHAnsi"/>
          <w:sz w:val="20"/>
          <w:szCs w:val="20"/>
          <w:lang w:val="es-CL"/>
        </w:rPr>
        <w:t xml:space="preserve"> en dicha etapa co</w:t>
      </w:r>
      <w:r w:rsidR="00FB509B">
        <w:rPr>
          <w:rFonts w:asciiTheme="majorHAnsi" w:hAnsiTheme="majorHAnsi"/>
          <w:sz w:val="20"/>
          <w:szCs w:val="20"/>
          <w:lang w:val="es-CL"/>
        </w:rPr>
        <w:t>mo representante de las partes</w:t>
      </w:r>
      <w:r w:rsidR="003A38D3" w:rsidRPr="00A66F3A">
        <w:rPr>
          <w:rFonts w:asciiTheme="majorHAnsi" w:hAnsiTheme="majorHAnsi"/>
          <w:sz w:val="20"/>
          <w:szCs w:val="20"/>
          <w:lang w:val="es-CL"/>
        </w:rPr>
        <w:t xml:space="preserve">. </w:t>
      </w:r>
      <w:r w:rsidR="000D268E">
        <w:rPr>
          <w:rFonts w:asciiTheme="majorHAnsi" w:hAnsiTheme="majorHAnsi"/>
          <w:sz w:val="20"/>
          <w:szCs w:val="20"/>
          <w:lang w:val="es-CL"/>
        </w:rPr>
        <w:t>La Comisión estima que</w:t>
      </w:r>
      <w:r w:rsidR="003A38D3" w:rsidRPr="00A66F3A">
        <w:rPr>
          <w:rFonts w:asciiTheme="majorHAnsi" w:hAnsiTheme="majorHAnsi"/>
          <w:sz w:val="20"/>
          <w:szCs w:val="20"/>
          <w:lang w:val="es-CL"/>
        </w:rPr>
        <w:t xml:space="preserve"> no resultó </w:t>
      </w:r>
      <w:r w:rsidR="000D268E">
        <w:rPr>
          <w:rFonts w:asciiTheme="majorHAnsi" w:hAnsiTheme="majorHAnsi"/>
          <w:sz w:val="20"/>
          <w:szCs w:val="20"/>
          <w:lang w:val="es-CL"/>
        </w:rPr>
        <w:t xml:space="preserve">conforme con la garantía de contar con un juez o tribunal </w:t>
      </w:r>
      <w:r w:rsidR="000D268E" w:rsidRPr="00D90BA2">
        <w:rPr>
          <w:rFonts w:asciiTheme="majorHAnsi" w:hAnsiTheme="majorHAnsi"/>
          <w:sz w:val="20"/>
          <w:szCs w:val="20"/>
          <w:lang w:val="es-CL"/>
        </w:rPr>
        <w:t>independiente</w:t>
      </w:r>
      <w:r w:rsidR="000D268E">
        <w:rPr>
          <w:rFonts w:asciiTheme="majorHAnsi" w:hAnsiTheme="majorHAnsi"/>
          <w:sz w:val="20"/>
          <w:szCs w:val="20"/>
          <w:lang w:val="es-CL"/>
        </w:rPr>
        <w:t xml:space="preserve"> e imparcial, la participación de un juez durante el proceso penal militar, que ya había fungido como representante de las partes en la etapa de investigación preliminar</w:t>
      </w:r>
      <w:r w:rsidR="00E90DBE">
        <w:rPr>
          <w:rFonts w:asciiTheme="majorHAnsi" w:hAnsiTheme="majorHAnsi"/>
          <w:sz w:val="20"/>
          <w:szCs w:val="20"/>
          <w:lang w:val="es-CL"/>
        </w:rPr>
        <w:t xml:space="preserve"> respecto de los mismos hechos materia de análisis en el proceso ante la jurisdicción penal militar. </w:t>
      </w:r>
      <w:r w:rsidR="000D268E">
        <w:rPr>
          <w:rFonts w:asciiTheme="majorHAnsi" w:hAnsiTheme="majorHAnsi"/>
          <w:sz w:val="20"/>
          <w:szCs w:val="20"/>
          <w:lang w:val="es-CL"/>
        </w:rPr>
        <w:t xml:space="preserve"> </w:t>
      </w:r>
    </w:p>
    <w:p w:rsidR="00EC2C6C" w:rsidRDefault="00EC2C6C" w:rsidP="00377A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hAnsiTheme="majorHAnsi"/>
          <w:sz w:val="20"/>
          <w:szCs w:val="20"/>
          <w:lang w:val="es-CL"/>
        </w:rPr>
      </w:pPr>
    </w:p>
    <w:p w:rsidR="00EC2C6C" w:rsidRDefault="004C5F17"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 xml:space="preserve">En segundo lugar, los peticionarios alegaron que al señor Rosadio Villavicencio </w:t>
      </w:r>
      <w:r w:rsidR="00EC2C6C">
        <w:rPr>
          <w:rFonts w:asciiTheme="majorHAnsi" w:hAnsiTheme="majorHAnsi"/>
          <w:sz w:val="20"/>
          <w:szCs w:val="20"/>
          <w:lang w:val="es-CL"/>
        </w:rPr>
        <w:t>no le fue notificada la acusación de 17 de octubre de 1995 por parte de la Fiscalía Militar respecto de los delitos contra el deber y dignidad de la función</w:t>
      </w:r>
      <w:r w:rsidR="00E73924">
        <w:rPr>
          <w:rFonts w:asciiTheme="majorHAnsi" w:hAnsiTheme="majorHAnsi"/>
          <w:sz w:val="20"/>
          <w:szCs w:val="20"/>
          <w:lang w:val="es-CL"/>
        </w:rPr>
        <w:t xml:space="preserve">, abuso de autoridad y negligencia. </w:t>
      </w:r>
      <w:r w:rsidR="00D71F31">
        <w:rPr>
          <w:rFonts w:asciiTheme="majorHAnsi" w:hAnsiTheme="majorHAnsi"/>
          <w:sz w:val="20"/>
          <w:szCs w:val="20"/>
          <w:lang w:val="es-CL"/>
        </w:rPr>
        <w:t xml:space="preserve">El Estado se limitó a señalar que dicha notificación fue ordenada pero que no cuenta con prueba de que haya sido efectivamente realizada. Tomando </w:t>
      </w:r>
      <w:r w:rsidR="000B11BD">
        <w:rPr>
          <w:rFonts w:asciiTheme="majorHAnsi" w:hAnsiTheme="majorHAnsi"/>
          <w:sz w:val="20"/>
          <w:szCs w:val="20"/>
          <w:lang w:val="es-CL"/>
        </w:rPr>
        <w:t xml:space="preserve">en cuenta </w:t>
      </w:r>
      <w:r w:rsidR="00B96A19">
        <w:rPr>
          <w:rFonts w:asciiTheme="majorHAnsi" w:hAnsiTheme="majorHAnsi"/>
          <w:sz w:val="20"/>
          <w:szCs w:val="20"/>
          <w:lang w:val="es-CL"/>
        </w:rPr>
        <w:t xml:space="preserve">que </w:t>
      </w:r>
      <w:r w:rsidR="000B11BD">
        <w:rPr>
          <w:rFonts w:asciiTheme="majorHAnsi" w:hAnsiTheme="majorHAnsi"/>
          <w:sz w:val="20"/>
          <w:szCs w:val="20"/>
          <w:lang w:val="es-CL"/>
        </w:rPr>
        <w:t>lo que alega el peticionario es un hecho negativo, mientras que lo que alega el Estado es un hecho positivo</w:t>
      </w:r>
      <w:r w:rsidR="00CD44DE" w:rsidRPr="00CD44DE">
        <w:rPr>
          <w:rStyle w:val="FootnoteReference"/>
          <w:rFonts w:asciiTheme="majorHAnsi" w:hAnsiTheme="majorHAnsi"/>
          <w:sz w:val="20"/>
          <w:szCs w:val="20"/>
          <w:lang w:val="es-CL"/>
        </w:rPr>
        <w:footnoteReference w:id="119"/>
      </w:r>
      <w:r w:rsidR="000B11BD">
        <w:rPr>
          <w:rFonts w:asciiTheme="majorHAnsi" w:hAnsiTheme="majorHAnsi"/>
          <w:sz w:val="20"/>
          <w:szCs w:val="20"/>
          <w:lang w:val="es-CL"/>
        </w:rPr>
        <w:t xml:space="preserve"> y, por lo tanto susceptible de prueba, además respecto de una garantía esencial del debido proceso de cuyo cumplimiento es carga del propio Estado dejar constancia,  la Comisión considera que ante la ausencia de dicha prueba reconocida por </w:t>
      </w:r>
      <w:r>
        <w:rPr>
          <w:rFonts w:asciiTheme="majorHAnsi" w:hAnsiTheme="majorHAnsi"/>
          <w:sz w:val="20"/>
          <w:szCs w:val="20"/>
          <w:lang w:val="es-CL"/>
        </w:rPr>
        <w:t>el Estado, corresponde o</w:t>
      </w:r>
      <w:r w:rsidR="00B952BD">
        <w:rPr>
          <w:rFonts w:asciiTheme="majorHAnsi" w:hAnsiTheme="majorHAnsi"/>
          <w:sz w:val="20"/>
          <w:szCs w:val="20"/>
          <w:lang w:val="es-CL"/>
        </w:rPr>
        <w:t>torgar peso a lo indicado por los peticionarios y concluir que el Estado no demostró que hubiera notificado al peticionario oportunamente la acusació</w:t>
      </w:r>
      <w:r w:rsidR="00046986">
        <w:rPr>
          <w:rFonts w:asciiTheme="majorHAnsi" w:hAnsiTheme="majorHAnsi"/>
          <w:sz w:val="20"/>
          <w:szCs w:val="20"/>
          <w:lang w:val="es-CL"/>
        </w:rPr>
        <w:t xml:space="preserve">n en su contra. A su vez, resulta razonable inferir que dicha omisión del Estado impactó en el ejercicio del derecho de defensa del señor Rosadio Villavicencio. </w:t>
      </w:r>
    </w:p>
    <w:p w:rsidR="00045E0A" w:rsidRPr="00B96A19" w:rsidRDefault="00045E0A" w:rsidP="00B96A19">
      <w:pPr>
        <w:rPr>
          <w:rFonts w:asciiTheme="majorHAnsi" w:hAnsiTheme="majorHAnsi"/>
          <w:sz w:val="20"/>
          <w:szCs w:val="20"/>
          <w:lang w:val="es-CL"/>
        </w:rPr>
      </w:pPr>
    </w:p>
    <w:p w:rsidR="00A211D2" w:rsidRDefault="00882421"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 xml:space="preserve">Finalmente, </w:t>
      </w:r>
      <w:r w:rsidR="00307347" w:rsidRPr="00670373">
        <w:rPr>
          <w:rFonts w:asciiTheme="majorHAnsi" w:hAnsiTheme="majorHAnsi"/>
          <w:sz w:val="20"/>
          <w:szCs w:val="20"/>
          <w:lang w:val="es-CL"/>
        </w:rPr>
        <w:t xml:space="preserve">la Comisión hace notar que </w:t>
      </w:r>
      <w:r w:rsidR="00F256F3" w:rsidRPr="00670373">
        <w:rPr>
          <w:rFonts w:asciiTheme="majorHAnsi" w:hAnsiTheme="majorHAnsi"/>
          <w:sz w:val="20"/>
          <w:szCs w:val="20"/>
          <w:lang w:val="es-CL"/>
        </w:rPr>
        <w:t xml:space="preserve">con </w:t>
      </w:r>
      <w:r w:rsidR="00670373" w:rsidRPr="00670373">
        <w:rPr>
          <w:rFonts w:asciiTheme="majorHAnsi" w:hAnsiTheme="majorHAnsi"/>
          <w:sz w:val="20"/>
          <w:szCs w:val="20"/>
          <w:lang w:val="es-CL"/>
        </w:rPr>
        <w:t>posterioridad,</w:t>
      </w:r>
      <w:r w:rsidR="00F256F3" w:rsidRPr="00670373">
        <w:rPr>
          <w:rFonts w:asciiTheme="majorHAnsi" w:hAnsiTheme="majorHAnsi"/>
          <w:sz w:val="20"/>
          <w:szCs w:val="20"/>
          <w:lang w:val="es-CL"/>
        </w:rPr>
        <w:t xml:space="preserve"> el 16 de septiembre de 1997 el Consejo Supremo de Justicia Militar declaró nula la sentencia,</w:t>
      </w:r>
      <w:r w:rsidR="00F256F3" w:rsidRPr="007B2383">
        <w:rPr>
          <w:rFonts w:asciiTheme="majorHAnsi" w:hAnsiTheme="majorHAnsi"/>
          <w:sz w:val="20"/>
          <w:szCs w:val="20"/>
          <w:lang w:val="es-CL"/>
        </w:rPr>
        <w:t xml:space="preserve"> y el 15 de septiembre de 1997</w:t>
      </w:r>
      <w:r w:rsidR="00670373" w:rsidRPr="007B2383">
        <w:rPr>
          <w:rFonts w:asciiTheme="majorHAnsi" w:hAnsiTheme="majorHAnsi"/>
          <w:sz w:val="20"/>
          <w:szCs w:val="20"/>
          <w:lang w:val="es-CL"/>
        </w:rPr>
        <w:t xml:space="preserve"> el Consejo de Guerra Permanente de la Sexta Zona Judicial</w:t>
      </w:r>
      <w:r w:rsidR="00F256F3" w:rsidRPr="007B2383">
        <w:rPr>
          <w:rFonts w:asciiTheme="majorHAnsi" w:hAnsiTheme="majorHAnsi"/>
          <w:sz w:val="20"/>
          <w:szCs w:val="20"/>
          <w:lang w:val="es-CL"/>
        </w:rPr>
        <w:t xml:space="preserve"> celebró audiencia de juzgamiento y dictó sentencia condenatoria en contra de la presunta víctima por el delito de </w:t>
      </w:r>
      <w:r w:rsidR="00670373" w:rsidRPr="007B2383">
        <w:rPr>
          <w:rFonts w:asciiTheme="majorHAnsi" w:hAnsiTheme="majorHAnsi"/>
          <w:sz w:val="20"/>
          <w:szCs w:val="20"/>
          <w:lang w:val="es-CL"/>
        </w:rPr>
        <w:t>desobediencia</w:t>
      </w:r>
      <w:r w:rsidR="0005470A">
        <w:rPr>
          <w:rFonts w:asciiTheme="majorHAnsi" w:hAnsiTheme="majorHAnsi"/>
          <w:sz w:val="20"/>
          <w:szCs w:val="20"/>
          <w:lang w:val="es-CL"/>
        </w:rPr>
        <w:t xml:space="preserve">, tras volver a calificar los hechos. </w:t>
      </w:r>
      <w:r w:rsidR="00670373" w:rsidRPr="0005470A">
        <w:rPr>
          <w:rFonts w:asciiTheme="majorHAnsi" w:hAnsiTheme="majorHAnsi"/>
          <w:sz w:val="20"/>
          <w:szCs w:val="20"/>
          <w:lang w:val="es-CL"/>
        </w:rPr>
        <w:t>La Comisión resalta que dicho delito no estaba contenido ni en la acusación formulada por la Fiscalía Militar ni en el informe final del Juez Militar</w:t>
      </w:r>
      <w:r w:rsidR="0005470A" w:rsidRPr="0005470A">
        <w:rPr>
          <w:rFonts w:asciiTheme="majorHAnsi" w:hAnsiTheme="majorHAnsi"/>
          <w:sz w:val="20"/>
          <w:szCs w:val="20"/>
          <w:lang w:val="es-CL"/>
        </w:rPr>
        <w:t xml:space="preserve"> y </w:t>
      </w:r>
      <w:r w:rsidR="00670373" w:rsidRPr="0005470A">
        <w:rPr>
          <w:rFonts w:asciiTheme="majorHAnsi" w:hAnsiTheme="majorHAnsi"/>
          <w:sz w:val="20"/>
          <w:szCs w:val="20"/>
          <w:lang w:val="es-CL"/>
        </w:rPr>
        <w:t>destaca que la presunta víctima no contó con una oportunidad de defenderse respecto de este c</w:t>
      </w:r>
      <w:r w:rsidR="007B2383" w:rsidRPr="0005470A">
        <w:rPr>
          <w:rFonts w:asciiTheme="majorHAnsi" w:hAnsiTheme="majorHAnsi"/>
          <w:sz w:val="20"/>
          <w:szCs w:val="20"/>
          <w:lang w:val="es-CL"/>
        </w:rPr>
        <w:t>ambio de calificación juríd</w:t>
      </w:r>
      <w:r w:rsidR="0005470A" w:rsidRPr="0005470A">
        <w:rPr>
          <w:rFonts w:asciiTheme="majorHAnsi" w:hAnsiTheme="majorHAnsi"/>
          <w:sz w:val="20"/>
          <w:szCs w:val="20"/>
          <w:lang w:val="es-CL"/>
        </w:rPr>
        <w:t xml:space="preserve">ica. </w:t>
      </w:r>
    </w:p>
    <w:p w:rsidR="00D500F8" w:rsidRDefault="00D500F8" w:rsidP="00071F6E">
      <w:pPr>
        <w:pBdr>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hAnsiTheme="majorHAnsi"/>
          <w:sz w:val="20"/>
          <w:szCs w:val="20"/>
          <w:lang w:val="es-CL"/>
        </w:rPr>
      </w:pPr>
    </w:p>
    <w:p w:rsidR="001D4EDE" w:rsidRDefault="001D4EDE" w:rsidP="002A491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 xml:space="preserve">En virtud de todas las anteriores consideraciones vertidas en esta sección, la Comisión </w:t>
      </w:r>
      <w:r w:rsidRPr="00775D61">
        <w:rPr>
          <w:rFonts w:asciiTheme="majorHAnsi" w:hAnsiTheme="majorHAnsi"/>
          <w:sz w:val="20"/>
          <w:szCs w:val="20"/>
          <w:lang w:val="es-CL"/>
        </w:rPr>
        <w:t>concluye que el Estado de Perú es responsable por la violación de los derechos establecidos en los artículos 8.1, 8.2 b</w:t>
      </w:r>
      <w:r w:rsidR="00046FDC" w:rsidRPr="00775D61">
        <w:rPr>
          <w:rFonts w:asciiTheme="majorHAnsi" w:hAnsiTheme="majorHAnsi"/>
          <w:sz w:val="20"/>
          <w:szCs w:val="20"/>
          <w:lang w:val="es-CL"/>
        </w:rPr>
        <w:t>, 8.2 c) y 8.2 e) de</w:t>
      </w:r>
      <w:r w:rsidR="00046FDC">
        <w:rPr>
          <w:rFonts w:asciiTheme="majorHAnsi" w:hAnsiTheme="majorHAnsi"/>
          <w:sz w:val="20"/>
          <w:szCs w:val="20"/>
          <w:lang w:val="es-CL"/>
        </w:rPr>
        <w:t xml:space="preserve"> la Convención </w:t>
      </w:r>
      <w:proofErr w:type="spellStart"/>
      <w:r w:rsidR="00046FDC">
        <w:rPr>
          <w:rFonts w:asciiTheme="majorHAnsi" w:hAnsiTheme="majorHAnsi"/>
          <w:sz w:val="20"/>
          <w:szCs w:val="20"/>
          <w:lang w:val="es-CL"/>
        </w:rPr>
        <w:t>Amerciana</w:t>
      </w:r>
      <w:proofErr w:type="spellEnd"/>
      <w:r w:rsidR="00046FDC">
        <w:rPr>
          <w:rFonts w:asciiTheme="majorHAnsi" w:hAnsiTheme="majorHAnsi"/>
          <w:sz w:val="20"/>
          <w:szCs w:val="20"/>
          <w:lang w:val="es-CL"/>
        </w:rPr>
        <w:t xml:space="preserve"> en relació</w:t>
      </w:r>
      <w:r w:rsidR="00660105">
        <w:rPr>
          <w:rFonts w:asciiTheme="majorHAnsi" w:hAnsiTheme="majorHAnsi"/>
          <w:sz w:val="20"/>
          <w:szCs w:val="20"/>
          <w:lang w:val="es-CL"/>
        </w:rPr>
        <w:t xml:space="preserve">n con el artículo 1.1 del mismo instrumento, en perjuicio </w:t>
      </w:r>
      <w:r w:rsidR="003761DE">
        <w:rPr>
          <w:rFonts w:asciiTheme="majorHAnsi" w:hAnsiTheme="majorHAnsi"/>
          <w:sz w:val="20"/>
          <w:szCs w:val="20"/>
          <w:lang w:val="es-CL"/>
        </w:rPr>
        <w:t xml:space="preserve">del señor Rosadio Villavicencio en el marco del proceso en la jurisdicción penal militar. </w:t>
      </w:r>
    </w:p>
    <w:p w:rsidR="001D4EDE" w:rsidRDefault="001D4EDE" w:rsidP="00071F6E">
      <w:pPr>
        <w:pBdr>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hAnsiTheme="majorHAnsi"/>
          <w:sz w:val="20"/>
          <w:szCs w:val="20"/>
          <w:lang w:val="es-CL"/>
        </w:rPr>
      </w:pPr>
    </w:p>
    <w:p w:rsidR="00CB7C44" w:rsidRDefault="00071F6E" w:rsidP="003F520C">
      <w:pPr>
        <w:pStyle w:val="ListParagraph"/>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right" w:pos="1530"/>
          <w:tab w:val="left" w:pos="1620"/>
        </w:tabs>
        <w:ind w:hanging="1080"/>
        <w:jc w:val="both"/>
        <w:rPr>
          <w:rFonts w:asciiTheme="majorHAnsi" w:hAnsiTheme="majorHAnsi"/>
          <w:b/>
          <w:sz w:val="20"/>
          <w:szCs w:val="20"/>
          <w:lang w:val="es-VE"/>
        </w:rPr>
      </w:pPr>
      <w:r>
        <w:rPr>
          <w:rFonts w:asciiTheme="majorHAnsi" w:hAnsiTheme="majorHAnsi"/>
          <w:b/>
          <w:sz w:val="20"/>
          <w:szCs w:val="20"/>
          <w:lang w:val="es-VE"/>
        </w:rPr>
        <w:t>Jurisdicción penal ordinaria</w:t>
      </w:r>
    </w:p>
    <w:p w:rsidR="00D500F8" w:rsidRPr="00D500F8" w:rsidRDefault="00D500F8" w:rsidP="00D500F8">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right" w:pos="1530"/>
          <w:tab w:val="left" w:pos="1620"/>
        </w:tabs>
        <w:ind w:left="1800"/>
        <w:jc w:val="both"/>
        <w:rPr>
          <w:rFonts w:asciiTheme="majorHAnsi" w:hAnsiTheme="majorHAnsi"/>
          <w:b/>
          <w:sz w:val="20"/>
          <w:szCs w:val="20"/>
          <w:lang w:val="es-VE"/>
        </w:rPr>
      </w:pPr>
    </w:p>
    <w:p w:rsidR="003E224F" w:rsidRDefault="003E224F" w:rsidP="002A491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La Comisión reitera los estándares generales sobre el derecho a contar con una motivació</w:t>
      </w:r>
      <w:r w:rsidR="006D46CB">
        <w:rPr>
          <w:rFonts w:asciiTheme="majorHAnsi" w:hAnsiTheme="majorHAnsi"/>
          <w:sz w:val="20"/>
          <w:szCs w:val="20"/>
          <w:lang w:val="es-CL"/>
        </w:rPr>
        <w:t xml:space="preserve">n suficiente como una de las debidas garantías contempladas en el artículo 8.1 de la Convención. </w:t>
      </w:r>
    </w:p>
    <w:p w:rsidR="003E224F" w:rsidRDefault="003E224F" w:rsidP="002A49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hAnsiTheme="majorHAnsi"/>
          <w:sz w:val="20"/>
          <w:szCs w:val="20"/>
          <w:lang w:val="es-CL"/>
        </w:rPr>
      </w:pPr>
    </w:p>
    <w:p w:rsidR="00D500F8" w:rsidRDefault="00ED4354" w:rsidP="002A491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L</w:t>
      </w:r>
      <w:r w:rsidR="00071F6E" w:rsidRPr="00ED4354">
        <w:rPr>
          <w:rFonts w:asciiTheme="majorHAnsi" w:hAnsiTheme="majorHAnsi"/>
          <w:sz w:val="20"/>
          <w:szCs w:val="20"/>
          <w:lang w:val="es-CL"/>
        </w:rPr>
        <w:t xml:space="preserve">a Comisión observa que la presunta víctima alegó que en el fuero </w:t>
      </w:r>
      <w:r w:rsidR="003E224F">
        <w:rPr>
          <w:rFonts w:asciiTheme="majorHAnsi" w:hAnsiTheme="majorHAnsi"/>
          <w:sz w:val="20"/>
          <w:szCs w:val="20"/>
          <w:lang w:val="es-CL"/>
        </w:rPr>
        <w:t>p</w:t>
      </w:r>
      <w:r w:rsidR="00071F6E" w:rsidRPr="00ED4354">
        <w:rPr>
          <w:rFonts w:asciiTheme="majorHAnsi" w:hAnsiTheme="majorHAnsi"/>
          <w:sz w:val="20"/>
          <w:szCs w:val="20"/>
          <w:lang w:val="es-CL"/>
        </w:rPr>
        <w:t xml:space="preserve">enal ordinario el Estado incumplió con su deber de motivación porque no indicó las razones por las que </w:t>
      </w:r>
      <w:r w:rsidR="00B96A19">
        <w:rPr>
          <w:rFonts w:asciiTheme="majorHAnsi" w:hAnsiTheme="majorHAnsi"/>
          <w:sz w:val="20"/>
          <w:szCs w:val="20"/>
          <w:lang w:val="es-CL"/>
        </w:rPr>
        <w:t>rechazó</w:t>
      </w:r>
      <w:r w:rsidR="00071F6E" w:rsidRPr="00ED4354">
        <w:rPr>
          <w:rFonts w:asciiTheme="majorHAnsi" w:hAnsiTheme="majorHAnsi"/>
          <w:sz w:val="20"/>
          <w:szCs w:val="20"/>
          <w:lang w:val="es-CL"/>
        </w:rPr>
        <w:t xml:space="preserve"> la excepción de naturaleza de la acción. </w:t>
      </w:r>
      <w:r w:rsidR="009463B5" w:rsidRPr="00ED4354">
        <w:rPr>
          <w:rFonts w:asciiTheme="majorHAnsi" w:hAnsiTheme="majorHAnsi"/>
          <w:sz w:val="20"/>
          <w:szCs w:val="20"/>
          <w:lang w:val="es-CL"/>
        </w:rPr>
        <w:t xml:space="preserve">Si bien la decisión que rechazó la excepción interpuesta carece de una debida motivación, la Comisión hace notar que el 24 de abril de 1996 la Sala complementó tal resolución, indicando que “se omitió hacer la fundamentación correspondiente” pero que la excepción “no procede porque la determinación de inocencia o culpabilidad” no puede ventilarse a través de una excepción.  En este sentido, la CIDH observa que la falta de motivación alegada fue subsanada con posterioridad, por lo que  considera que el Estado </w:t>
      </w:r>
      <w:r w:rsidRPr="00ED4354">
        <w:rPr>
          <w:rFonts w:asciiTheme="majorHAnsi" w:hAnsiTheme="majorHAnsi"/>
          <w:sz w:val="20"/>
          <w:szCs w:val="20"/>
          <w:lang w:val="es-CL"/>
        </w:rPr>
        <w:t xml:space="preserve">no violó el artículo 8.1 de la Convención Americana respecto de este extremo. </w:t>
      </w:r>
    </w:p>
    <w:p w:rsidR="0086075F" w:rsidRDefault="0086075F" w:rsidP="00377A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hAnsiTheme="majorHAnsi"/>
          <w:sz w:val="20"/>
          <w:szCs w:val="20"/>
          <w:lang w:val="es-CL"/>
        </w:rPr>
      </w:pPr>
    </w:p>
    <w:p w:rsidR="00CC5E61" w:rsidRDefault="0086075F"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 xml:space="preserve">Sin perjuicio de lo anterior, </w:t>
      </w:r>
      <w:r w:rsidR="00F87F8D">
        <w:rPr>
          <w:rFonts w:asciiTheme="majorHAnsi" w:hAnsiTheme="majorHAnsi"/>
          <w:sz w:val="20"/>
          <w:szCs w:val="20"/>
          <w:lang w:val="es-CL"/>
        </w:rPr>
        <w:t xml:space="preserve">la Comisión observa que en la sentencia de </w:t>
      </w:r>
      <w:r w:rsidR="00064523">
        <w:rPr>
          <w:rFonts w:asciiTheme="majorHAnsi" w:hAnsiTheme="majorHAnsi"/>
          <w:sz w:val="20"/>
          <w:szCs w:val="20"/>
          <w:lang w:val="es-CL"/>
        </w:rPr>
        <w:t xml:space="preserve">19 de junio de 1997 que resolvió el </w:t>
      </w:r>
      <w:r w:rsidR="00064523" w:rsidRPr="00AA7070">
        <w:rPr>
          <w:rFonts w:asciiTheme="majorHAnsi" w:hAnsiTheme="majorHAnsi"/>
          <w:sz w:val="20"/>
          <w:szCs w:val="20"/>
          <w:lang w:val="es-CL"/>
        </w:rPr>
        <w:t xml:space="preserve">recurso de nulidad, se aumentó la pena impuesta al señor Rosadio Villavicencio, de </w:t>
      </w:r>
      <w:r w:rsidR="00C93721" w:rsidRPr="00AA7070">
        <w:rPr>
          <w:rFonts w:asciiTheme="majorHAnsi" w:hAnsiTheme="majorHAnsi"/>
          <w:sz w:val="20"/>
          <w:szCs w:val="20"/>
          <w:lang w:val="es-CL"/>
        </w:rPr>
        <w:t xml:space="preserve">6 a 15 años de prisión. </w:t>
      </w:r>
      <w:r w:rsidR="00A57074">
        <w:rPr>
          <w:rFonts w:ascii="Cambria" w:hAnsi="Cambria"/>
          <w:sz w:val="20"/>
          <w:szCs w:val="20"/>
          <w:lang w:val="es-VE"/>
        </w:rPr>
        <w:t>Si bien la determinación de las penas aplicables corresponde a los</w:t>
      </w:r>
      <w:r w:rsidR="006B2512">
        <w:rPr>
          <w:rFonts w:ascii="Cambria" w:hAnsi="Cambria"/>
          <w:sz w:val="20"/>
          <w:szCs w:val="20"/>
          <w:lang w:val="es-VE"/>
        </w:rPr>
        <w:t xml:space="preserve"> jueces penales a nivel interno conforme a los rangos establecidos en los respectivo Códigos Penales,</w:t>
      </w:r>
      <w:r w:rsidR="00A57074">
        <w:rPr>
          <w:rFonts w:ascii="Cambria" w:hAnsi="Cambria"/>
          <w:sz w:val="20"/>
          <w:szCs w:val="20"/>
          <w:lang w:val="es-VE"/>
        </w:rPr>
        <w:t xml:space="preserve"> </w:t>
      </w:r>
      <w:r w:rsidR="001D2F24">
        <w:rPr>
          <w:rFonts w:ascii="Cambria" w:hAnsi="Cambria"/>
          <w:sz w:val="20"/>
          <w:szCs w:val="20"/>
          <w:lang w:val="es-VE"/>
        </w:rPr>
        <w:t>la decisión de la II Sala Penal Transitoria de la Corte Suprema de Justicia,</w:t>
      </w:r>
      <w:r w:rsidR="006B2512">
        <w:rPr>
          <w:rFonts w:ascii="Cambria" w:hAnsi="Cambria"/>
          <w:sz w:val="20"/>
          <w:szCs w:val="20"/>
          <w:lang w:val="es-VE"/>
        </w:rPr>
        <w:t xml:space="preserve"> impactó severamente </w:t>
      </w:r>
      <w:r w:rsidR="001D2F24">
        <w:rPr>
          <w:rFonts w:ascii="Cambria" w:hAnsi="Cambria"/>
          <w:sz w:val="20"/>
          <w:szCs w:val="20"/>
          <w:lang w:val="es-VE"/>
        </w:rPr>
        <w:t xml:space="preserve">en el derecho a la libertad personal </w:t>
      </w:r>
      <w:r w:rsidR="006B2512">
        <w:rPr>
          <w:rFonts w:ascii="Cambria" w:hAnsi="Cambria"/>
          <w:sz w:val="20"/>
          <w:szCs w:val="20"/>
          <w:lang w:val="es-VE"/>
        </w:rPr>
        <w:t>del señor Ro</w:t>
      </w:r>
      <w:r w:rsidR="00802FD7">
        <w:rPr>
          <w:rFonts w:ascii="Cambria" w:hAnsi="Cambria"/>
          <w:sz w:val="20"/>
          <w:szCs w:val="20"/>
          <w:lang w:val="es-VE"/>
        </w:rPr>
        <w:t xml:space="preserve">sadio </w:t>
      </w:r>
      <w:r w:rsidR="00802FD7">
        <w:rPr>
          <w:rFonts w:ascii="Cambria" w:hAnsi="Cambria"/>
          <w:sz w:val="20"/>
          <w:szCs w:val="20"/>
          <w:lang w:val="es-VE"/>
        </w:rPr>
        <w:lastRenderedPageBreak/>
        <w:t xml:space="preserve">Villavicencio, al modificar la pena en más del doble de la pena impuesta en primera instancia. Tomando en cuenta dicho impacto severo, la Comisión considera que la referida Sala tenía la obligación de motivar suficientemente dicha decisión. </w:t>
      </w:r>
      <w:r w:rsidR="00CC5E61">
        <w:rPr>
          <w:rFonts w:ascii="Cambria" w:hAnsi="Cambria"/>
          <w:sz w:val="20"/>
          <w:szCs w:val="20"/>
          <w:lang w:val="es-VE"/>
        </w:rPr>
        <w:t xml:space="preserve">Es decir, no corresponde a la CIDH establecer si la pena aplicable era de 6 o de 15 años. Sin embargo, la Comisión sí está llamada a analizar si la modificación severa y desfavorable de la pena, estuvo motivada. Como se explicó anteriormente, esta es una de las debidas garantías protegidas por el artículo 8.1 de la Convención. </w:t>
      </w:r>
    </w:p>
    <w:p w:rsidR="002A491C" w:rsidRPr="002A491C" w:rsidRDefault="002A491C" w:rsidP="002A49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Theme="majorHAnsi" w:hAnsiTheme="majorHAnsi"/>
          <w:sz w:val="20"/>
          <w:szCs w:val="20"/>
          <w:lang w:val="es-CL"/>
        </w:rPr>
      </w:pPr>
    </w:p>
    <w:p w:rsidR="00EE2E65" w:rsidRDefault="00CC5E61"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 xml:space="preserve">Al respecto y tal como se estableció en los hechos probados, </w:t>
      </w:r>
      <w:r w:rsidR="00802FD7" w:rsidRPr="00DE2892">
        <w:rPr>
          <w:rFonts w:ascii="Cambria" w:hAnsi="Cambria"/>
          <w:sz w:val="20"/>
          <w:szCs w:val="20"/>
          <w:lang w:val="es-VE"/>
        </w:rPr>
        <w:t>la II Sala Penal Transitoria de la Corte Suprema de Justicia</w:t>
      </w:r>
      <w:r w:rsidR="00802FD7">
        <w:rPr>
          <w:rFonts w:ascii="Cambria" w:hAnsi="Cambria"/>
          <w:sz w:val="20"/>
          <w:szCs w:val="20"/>
          <w:lang w:val="es-VE"/>
        </w:rPr>
        <w:t xml:space="preserve"> </w:t>
      </w:r>
      <w:r>
        <w:rPr>
          <w:rFonts w:ascii="Cambria" w:hAnsi="Cambria"/>
          <w:sz w:val="20"/>
          <w:szCs w:val="20"/>
          <w:lang w:val="es-VE"/>
        </w:rPr>
        <w:t>indi</w:t>
      </w:r>
      <w:r w:rsidR="00477E53">
        <w:rPr>
          <w:rFonts w:ascii="Cambria" w:hAnsi="Cambria"/>
          <w:sz w:val="20"/>
          <w:szCs w:val="20"/>
          <w:lang w:val="es-VE"/>
        </w:rPr>
        <w:t>có</w:t>
      </w:r>
      <w:r>
        <w:rPr>
          <w:rFonts w:ascii="Cambria" w:hAnsi="Cambria"/>
          <w:sz w:val="20"/>
          <w:szCs w:val="20"/>
          <w:lang w:val="es-VE"/>
        </w:rPr>
        <w:t xml:space="preserve"> en su de</w:t>
      </w:r>
      <w:r w:rsidR="00477E53">
        <w:rPr>
          <w:rFonts w:ascii="Cambria" w:hAnsi="Cambria"/>
          <w:sz w:val="20"/>
          <w:szCs w:val="20"/>
          <w:lang w:val="es-VE"/>
        </w:rPr>
        <w:t>cisión que la pena debe imponer</w:t>
      </w:r>
      <w:r>
        <w:rPr>
          <w:rFonts w:ascii="Cambria" w:hAnsi="Cambria"/>
          <w:sz w:val="20"/>
          <w:szCs w:val="20"/>
          <w:lang w:val="es-VE"/>
        </w:rPr>
        <w:t xml:space="preserve">se en atención a las condiciones personales de los encausados y en la forma y circunstancias en que se cometió el delito. </w:t>
      </w:r>
      <w:r w:rsidR="00477E53">
        <w:rPr>
          <w:rFonts w:ascii="Cambria" w:hAnsi="Cambria"/>
          <w:sz w:val="20"/>
          <w:szCs w:val="20"/>
          <w:lang w:val="es-VE"/>
        </w:rPr>
        <w:t>Tras invocar estos criterios generales para la imposición de la pena, la Sala Penal pasó a concluir directamente que “es del caso modificar la pena impuesta conforme al Código Penal</w:t>
      </w:r>
      <w:r w:rsidR="00AF5E67">
        <w:rPr>
          <w:rFonts w:ascii="Cambria" w:hAnsi="Cambria"/>
          <w:sz w:val="20"/>
          <w:szCs w:val="20"/>
          <w:lang w:val="es-VE"/>
        </w:rPr>
        <w:t>”</w:t>
      </w:r>
      <w:r w:rsidR="00477E53">
        <w:rPr>
          <w:rFonts w:ascii="Cambria" w:hAnsi="Cambria"/>
          <w:sz w:val="20"/>
          <w:szCs w:val="20"/>
          <w:lang w:val="es-VE"/>
        </w:rPr>
        <w:t xml:space="preserve">. </w:t>
      </w:r>
      <w:r w:rsidR="00050365">
        <w:rPr>
          <w:rFonts w:ascii="Cambria" w:hAnsi="Cambria"/>
          <w:sz w:val="20"/>
          <w:szCs w:val="20"/>
          <w:lang w:val="es-VE"/>
        </w:rPr>
        <w:t xml:space="preserve">La misma motivación aplicó a todos los </w:t>
      </w:r>
      <w:proofErr w:type="spellStart"/>
      <w:r w:rsidR="00050365">
        <w:rPr>
          <w:rFonts w:ascii="Cambria" w:hAnsi="Cambria"/>
          <w:sz w:val="20"/>
          <w:szCs w:val="20"/>
          <w:lang w:val="es-VE"/>
        </w:rPr>
        <w:t>co</w:t>
      </w:r>
      <w:proofErr w:type="spellEnd"/>
      <w:r w:rsidR="00AF5E67">
        <w:rPr>
          <w:rFonts w:ascii="Cambria" w:hAnsi="Cambria"/>
          <w:sz w:val="20"/>
          <w:szCs w:val="20"/>
          <w:lang w:val="es-VE"/>
        </w:rPr>
        <w:t>-</w:t>
      </w:r>
      <w:r w:rsidR="00050365">
        <w:rPr>
          <w:rFonts w:ascii="Cambria" w:hAnsi="Cambria"/>
          <w:sz w:val="20"/>
          <w:szCs w:val="20"/>
          <w:lang w:val="es-VE"/>
        </w:rPr>
        <w:t>procesados condenados, sin determinación individualizada alguna. Así, e</w:t>
      </w:r>
      <w:r w:rsidR="0080605F">
        <w:rPr>
          <w:rFonts w:ascii="Cambria" w:hAnsi="Cambria"/>
          <w:sz w:val="20"/>
          <w:szCs w:val="20"/>
          <w:lang w:val="es-VE"/>
        </w:rPr>
        <w:t xml:space="preserve">n ningún extremo de la decisión la Sala Penal explica cuáles son </w:t>
      </w:r>
      <w:r w:rsidR="00050365">
        <w:rPr>
          <w:rFonts w:ascii="Cambria" w:hAnsi="Cambria"/>
          <w:sz w:val="20"/>
          <w:szCs w:val="20"/>
          <w:lang w:val="es-VE"/>
        </w:rPr>
        <w:t>las “condiciones personales” del señor Rosadio Villavicencio ni cuáles son las circunstancias en que</w:t>
      </w:r>
      <w:r w:rsidR="0007584C">
        <w:rPr>
          <w:rFonts w:ascii="Cambria" w:hAnsi="Cambria"/>
          <w:sz w:val="20"/>
          <w:szCs w:val="20"/>
          <w:lang w:val="es-VE"/>
        </w:rPr>
        <w:t xml:space="preserve"> él</w:t>
      </w:r>
      <w:r w:rsidR="00050365">
        <w:rPr>
          <w:rFonts w:ascii="Cambria" w:hAnsi="Cambria"/>
          <w:sz w:val="20"/>
          <w:szCs w:val="20"/>
          <w:lang w:val="es-VE"/>
        </w:rPr>
        <w:t xml:space="preserve"> habría cometido el delit</w:t>
      </w:r>
      <w:r w:rsidR="0007584C">
        <w:rPr>
          <w:rFonts w:ascii="Cambria" w:hAnsi="Cambria"/>
          <w:sz w:val="20"/>
          <w:szCs w:val="20"/>
          <w:lang w:val="es-VE"/>
        </w:rPr>
        <w:t xml:space="preserve">o, de forma que justificaran el cambio </w:t>
      </w:r>
      <w:r w:rsidR="00B37D0E">
        <w:rPr>
          <w:rFonts w:ascii="Cambria" w:hAnsi="Cambria"/>
          <w:sz w:val="20"/>
          <w:szCs w:val="20"/>
          <w:lang w:val="es-VE"/>
        </w:rPr>
        <w:t xml:space="preserve">de la pena que, como se indicó, fue particularmente severo. </w:t>
      </w:r>
    </w:p>
    <w:p w:rsidR="002A491C" w:rsidRPr="002A491C" w:rsidRDefault="002A491C" w:rsidP="002A49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hAnsiTheme="majorHAnsi"/>
          <w:sz w:val="20"/>
          <w:szCs w:val="20"/>
          <w:lang w:val="es-CL"/>
        </w:rPr>
      </w:pPr>
    </w:p>
    <w:p w:rsidR="00EE2E65" w:rsidRPr="00AA7070" w:rsidRDefault="00EE2E65"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En virtud de las anteriores consideraciones, la Comisión concluye que el Estado de Perú violó el derecho a contar con una motivación suficiente respecto del aumento de la pena, en los términos del artículo 8.1 de la Convención Americana en relación con el artículo 1.1 del mismo instrumento, en perjuicio del señor Rosadio Villavicencio.</w:t>
      </w:r>
    </w:p>
    <w:p w:rsidR="0086075F" w:rsidRPr="001749FD" w:rsidRDefault="0086075F" w:rsidP="00377A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jc w:val="both"/>
        <w:rPr>
          <w:rFonts w:asciiTheme="majorHAnsi" w:hAnsiTheme="majorHAnsi"/>
          <w:sz w:val="20"/>
          <w:szCs w:val="20"/>
          <w:lang w:val="es-CL"/>
        </w:rPr>
      </w:pPr>
    </w:p>
    <w:p w:rsidR="00FA0E77" w:rsidRDefault="009D2696" w:rsidP="006B6817">
      <w:pPr>
        <w:pStyle w:val="Heading2"/>
        <w:numPr>
          <w:ilvl w:val="0"/>
          <w:numId w:val="61"/>
        </w:numPr>
        <w:rPr>
          <w:lang w:val="es-ES" w:eastAsia="es-ES"/>
        </w:rPr>
      </w:pPr>
      <w:bookmarkStart w:id="52" w:name="_Toc485394064"/>
      <w:r>
        <w:rPr>
          <w:lang w:val="es-ES" w:eastAsia="es-ES"/>
        </w:rPr>
        <w:t>E</w:t>
      </w:r>
      <w:r w:rsidR="00FA0E77">
        <w:rPr>
          <w:lang w:val="es-ES" w:eastAsia="es-ES"/>
        </w:rPr>
        <w:t xml:space="preserve">l principio de </w:t>
      </w:r>
      <w:r w:rsidR="00FA0E77" w:rsidRPr="00377A59">
        <w:rPr>
          <w:i/>
          <w:lang w:val="es-ES" w:eastAsia="es-ES"/>
        </w:rPr>
        <w:t>n</w:t>
      </w:r>
      <w:r w:rsidR="00696BE6">
        <w:rPr>
          <w:i/>
          <w:lang w:val="es-ES" w:eastAsia="es-ES"/>
        </w:rPr>
        <w:t>on</w:t>
      </w:r>
      <w:r w:rsidR="00FA0E77" w:rsidRPr="00377A59">
        <w:rPr>
          <w:i/>
          <w:lang w:val="es-ES" w:eastAsia="es-ES"/>
        </w:rPr>
        <w:t xml:space="preserve"> bis in ídem</w:t>
      </w:r>
      <w:r w:rsidR="00FA0E77">
        <w:rPr>
          <w:lang w:val="es-ES" w:eastAsia="es-ES"/>
        </w:rPr>
        <w:t xml:space="preserve"> respecto de los procesos adelantados contra la presunta víctima (artículo 8.4 </w:t>
      </w:r>
      <w:r w:rsidR="00C4734C">
        <w:rPr>
          <w:lang w:val="es-ES" w:eastAsia="es-ES"/>
        </w:rPr>
        <w:t xml:space="preserve">en relación con el artículo 1.1 </w:t>
      </w:r>
      <w:r w:rsidR="00FA0E77">
        <w:rPr>
          <w:lang w:val="es-ES" w:eastAsia="es-ES"/>
        </w:rPr>
        <w:t>de la Convención Americana)</w:t>
      </w:r>
      <w:bookmarkEnd w:id="52"/>
    </w:p>
    <w:p w:rsidR="00FA0E77" w:rsidRDefault="00FA0E77" w:rsidP="00FA0E77">
      <w:pPr>
        <w:rPr>
          <w:lang w:val="es-ES" w:eastAsia="es-ES"/>
        </w:rPr>
      </w:pPr>
    </w:p>
    <w:p w:rsidR="00F83DA0" w:rsidRPr="003F520C" w:rsidRDefault="00F83DA0" w:rsidP="00FA0E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sidRPr="00A671A3">
        <w:rPr>
          <w:rFonts w:asciiTheme="majorHAnsi" w:hAnsiTheme="majorHAnsi"/>
          <w:sz w:val="20"/>
          <w:szCs w:val="20"/>
          <w:lang w:val="es-CL"/>
        </w:rPr>
        <w:t>El artículo 8</w:t>
      </w:r>
      <w:r w:rsidR="00176EEE">
        <w:rPr>
          <w:rFonts w:asciiTheme="majorHAnsi" w:hAnsiTheme="majorHAnsi"/>
          <w:sz w:val="20"/>
          <w:szCs w:val="20"/>
          <w:lang w:val="es-CL"/>
        </w:rPr>
        <w:t>.4</w:t>
      </w:r>
      <w:r w:rsidRPr="00A671A3">
        <w:rPr>
          <w:rFonts w:asciiTheme="majorHAnsi" w:hAnsiTheme="majorHAnsi"/>
          <w:sz w:val="20"/>
          <w:szCs w:val="20"/>
          <w:lang w:val="es-CL"/>
        </w:rPr>
        <w:t xml:space="preserve"> de la Convención Americana establece en lo pertinente que</w:t>
      </w:r>
      <w:r>
        <w:rPr>
          <w:rFonts w:asciiTheme="majorHAnsi" w:hAnsiTheme="majorHAnsi"/>
          <w:sz w:val="20"/>
          <w:szCs w:val="20"/>
          <w:lang w:val="es-CL"/>
        </w:rPr>
        <w:t xml:space="preserve"> “el inculpado absuelto por una sentencia </w:t>
      </w:r>
      <w:r w:rsidRPr="00E751B9">
        <w:rPr>
          <w:rFonts w:asciiTheme="majorHAnsi" w:hAnsiTheme="majorHAnsi"/>
          <w:sz w:val="20"/>
          <w:szCs w:val="20"/>
          <w:lang w:val="es-ES" w:eastAsia="es-ES"/>
        </w:rPr>
        <w:t>firme</w:t>
      </w:r>
      <w:r w:rsidRPr="00E751B9">
        <w:rPr>
          <w:rFonts w:asciiTheme="majorHAnsi" w:hAnsiTheme="majorHAnsi"/>
          <w:sz w:val="20"/>
          <w:szCs w:val="20"/>
          <w:lang w:val="es-CL"/>
        </w:rPr>
        <w:t xml:space="preserve"> no</w:t>
      </w:r>
      <w:r>
        <w:rPr>
          <w:rFonts w:asciiTheme="majorHAnsi" w:hAnsiTheme="majorHAnsi"/>
          <w:sz w:val="20"/>
          <w:szCs w:val="20"/>
          <w:lang w:val="es-CL"/>
        </w:rPr>
        <w:t xml:space="preserve"> podrá ser sometido a nuevo juicio por los mismos hechos”.</w:t>
      </w:r>
    </w:p>
    <w:p w:rsidR="00FA0E77" w:rsidRPr="00176EEE" w:rsidRDefault="00176EEE" w:rsidP="003F520C">
      <w:pPr>
        <w:pStyle w:val="Heading3"/>
        <w:numPr>
          <w:ilvl w:val="0"/>
          <w:numId w:val="70"/>
        </w:numPr>
        <w:tabs>
          <w:tab w:val="clear" w:pos="1800"/>
          <w:tab w:val="num" w:pos="1440"/>
        </w:tabs>
        <w:ind w:hanging="1080"/>
        <w:rPr>
          <w:b w:val="0"/>
          <w:sz w:val="20"/>
          <w:szCs w:val="20"/>
          <w:lang w:val="es-ES_tradnl"/>
        </w:rPr>
      </w:pPr>
      <w:bookmarkStart w:id="53" w:name="_Toc485394065"/>
      <w:r w:rsidRPr="003F520C">
        <w:rPr>
          <w:color w:val="auto"/>
          <w:sz w:val="20"/>
          <w:szCs w:val="20"/>
          <w:lang w:val="es-ES_tradnl"/>
        </w:rPr>
        <w:t>Consideraciones generales</w:t>
      </w:r>
      <w:bookmarkEnd w:id="53"/>
      <w:r w:rsidRPr="003F520C">
        <w:rPr>
          <w:color w:val="auto"/>
          <w:sz w:val="20"/>
          <w:szCs w:val="20"/>
          <w:lang w:val="es-ES_tradnl"/>
        </w:rPr>
        <w:t xml:space="preserve"> </w:t>
      </w:r>
    </w:p>
    <w:p w:rsidR="00FA0E77" w:rsidRDefault="00FA0E77" w:rsidP="00FA0E77">
      <w:pPr>
        <w:rPr>
          <w:lang w:val="es-ES" w:eastAsia="es-ES"/>
        </w:rPr>
      </w:pPr>
    </w:p>
    <w:p w:rsidR="00B50734" w:rsidRPr="00554227" w:rsidRDefault="00DD4857"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 xml:space="preserve">El principio de </w:t>
      </w:r>
      <w:r w:rsidRPr="00377A59">
        <w:rPr>
          <w:rFonts w:asciiTheme="majorHAnsi" w:hAnsiTheme="majorHAnsi"/>
          <w:i/>
          <w:sz w:val="20"/>
          <w:szCs w:val="20"/>
          <w:lang w:val="es-CL"/>
        </w:rPr>
        <w:t>non bis in ídem</w:t>
      </w:r>
      <w:r>
        <w:rPr>
          <w:rFonts w:asciiTheme="majorHAnsi" w:hAnsiTheme="majorHAnsi"/>
          <w:sz w:val="20"/>
          <w:szCs w:val="20"/>
          <w:lang w:val="es-CL"/>
        </w:rPr>
        <w:t xml:space="preserve">, contenido en el artículo 8.4 de la Convención Americana, constituye otro de los preceptos </w:t>
      </w:r>
      <w:r w:rsidR="007E292D">
        <w:rPr>
          <w:rFonts w:asciiTheme="majorHAnsi" w:hAnsiTheme="majorHAnsi"/>
          <w:sz w:val="20"/>
          <w:szCs w:val="20"/>
          <w:lang w:val="es-CL"/>
        </w:rPr>
        <w:t>fundamentales del derecho penal incluidos dentro de las garantías fundamentales del derecho a un debido proceso y a un juicio</w:t>
      </w:r>
      <w:r w:rsidR="007E292D" w:rsidRPr="007E292D">
        <w:rPr>
          <w:rStyle w:val="FootnoteReference"/>
          <w:rFonts w:asciiTheme="majorHAnsi" w:hAnsiTheme="majorHAnsi"/>
          <w:sz w:val="20"/>
          <w:szCs w:val="20"/>
          <w:lang w:val="es-CL"/>
        </w:rPr>
        <w:footnoteReference w:id="120"/>
      </w:r>
      <w:r w:rsidR="007E292D">
        <w:rPr>
          <w:rFonts w:asciiTheme="majorHAnsi" w:hAnsiTheme="majorHAnsi"/>
          <w:sz w:val="20"/>
          <w:szCs w:val="20"/>
          <w:lang w:val="es-CL"/>
        </w:rPr>
        <w:t xml:space="preserve">, y tanto la Corte como la Comisión Interamericana han indicado que </w:t>
      </w:r>
      <w:r w:rsidR="0005784B">
        <w:rPr>
          <w:rFonts w:asciiTheme="majorHAnsi" w:hAnsiTheme="majorHAnsi"/>
          <w:sz w:val="20"/>
          <w:szCs w:val="20"/>
          <w:lang w:val="es-CL"/>
        </w:rPr>
        <w:t>é</w:t>
      </w:r>
      <w:r w:rsidR="007E292D">
        <w:rPr>
          <w:rFonts w:asciiTheme="majorHAnsi" w:hAnsiTheme="majorHAnsi"/>
          <w:sz w:val="20"/>
          <w:szCs w:val="20"/>
          <w:lang w:val="es-CL"/>
        </w:rPr>
        <w:t>ste busca proteger a las personas de ser sometidas a un nuevo juicio por la misma causa y hechos específicos por los que ya han sido juzgadas mediante sentencia firme</w:t>
      </w:r>
      <w:r w:rsidR="007E292D" w:rsidRPr="00453361">
        <w:rPr>
          <w:rStyle w:val="FootnoteReference"/>
          <w:rFonts w:asciiTheme="majorHAnsi" w:hAnsiTheme="majorHAnsi"/>
          <w:sz w:val="20"/>
          <w:szCs w:val="20"/>
          <w:lang w:val="es-ES_tradnl"/>
        </w:rPr>
        <w:footnoteReference w:id="121"/>
      </w:r>
      <w:r w:rsidR="00A64234">
        <w:rPr>
          <w:rFonts w:asciiTheme="majorHAnsi" w:hAnsiTheme="majorHAnsi"/>
          <w:sz w:val="20"/>
          <w:szCs w:val="20"/>
          <w:lang w:val="es-CL"/>
        </w:rPr>
        <w:t>.</w:t>
      </w:r>
      <w:r w:rsidR="00453361">
        <w:rPr>
          <w:rFonts w:asciiTheme="majorHAnsi" w:hAnsiTheme="majorHAnsi"/>
          <w:sz w:val="20"/>
          <w:szCs w:val="20"/>
          <w:lang w:val="es-CL"/>
        </w:rPr>
        <w:t xml:space="preserve"> </w:t>
      </w:r>
      <w:r w:rsidR="00A64234">
        <w:rPr>
          <w:rFonts w:asciiTheme="majorHAnsi" w:hAnsiTheme="majorHAnsi"/>
          <w:sz w:val="20"/>
          <w:szCs w:val="20"/>
          <w:lang w:val="es-CL"/>
        </w:rPr>
        <w:t>L</w:t>
      </w:r>
      <w:r w:rsidR="00453361">
        <w:rPr>
          <w:rFonts w:asciiTheme="majorHAnsi" w:hAnsiTheme="majorHAnsi"/>
          <w:sz w:val="20"/>
          <w:szCs w:val="20"/>
          <w:lang w:val="es-CL"/>
        </w:rPr>
        <w:t>a Corte ha precisado que “entre los elementos que conforman la situación regulada por el artículo 8.4, se encuentra la realización de un primer juicio que culmina en una sentencia firme de carácter absolutorio”</w:t>
      </w:r>
      <w:r w:rsidR="00453361" w:rsidRPr="00B96A19">
        <w:rPr>
          <w:rStyle w:val="FootnoteReference"/>
          <w:rFonts w:asciiTheme="majorHAnsi" w:hAnsiTheme="majorHAnsi"/>
          <w:sz w:val="20"/>
          <w:szCs w:val="20"/>
          <w:lang w:val="es-ES_tradnl"/>
        </w:rPr>
        <w:footnoteReference w:id="122"/>
      </w:r>
      <w:r w:rsidR="00B50734">
        <w:rPr>
          <w:rFonts w:ascii="Univers" w:eastAsia="Times" w:hAnsi="Univers"/>
          <w:sz w:val="20"/>
          <w:lang w:val="es-ES_tradnl"/>
        </w:rPr>
        <w:t xml:space="preserve">. </w:t>
      </w:r>
    </w:p>
    <w:p w:rsidR="00B50734" w:rsidRDefault="00B50734" w:rsidP="00B50734">
      <w:pPr>
        <w:pStyle w:val="ListParagraph"/>
        <w:rPr>
          <w:rFonts w:asciiTheme="majorHAnsi" w:hAnsiTheme="majorHAnsi"/>
          <w:sz w:val="20"/>
          <w:szCs w:val="20"/>
          <w:lang w:val="es-CL"/>
        </w:rPr>
      </w:pPr>
    </w:p>
    <w:p w:rsidR="00957AEE" w:rsidRPr="00B96A19" w:rsidRDefault="00453361" w:rsidP="00B96A1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sidRPr="00453361">
        <w:rPr>
          <w:rFonts w:asciiTheme="majorHAnsi" w:hAnsiTheme="majorHAnsi"/>
          <w:sz w:val="20"/>
          <w:szCs w:val="20"/>
          <w:lang w:val="es-CL"/>
        </w:rPr>
        <w:t xml:space="preserve">En el ámbito internacional, el principio de </w:t>
      </w:r>
      <w:r w:rsidRPr="0028514D">
        <w:rPr>
          <w:rFonts w:asciiTheme="majorHAnsi" w:hAnsiTheme="majorHAnsi"/>
          <w:i/>
          <w:sz w:val="20"/>
          <w:szCs w:val="20"/>
          <w:lang w:val="es-CL"/>
        </w:rPr>
        <w:t>n</w:t>
      </w:r>
      <w:r w:rsidR="00696BE6">
        <w:rPr>
          <w:rFonts w:asciiTheme="majorHAnsi" w:hAnsiTheme="majorHAnsi"/>
          <w:i/>
          <w:sz w:val="20"/>
          <w:szCs w:val="20"/>
          <w:lang w:val="es-CL"/>
        </w:rPr>
        <w:t>on</w:t>
      </w:r>
      <w:r w:rsidRPr="0028514D">
        <w:rPr>
          <w:rFonts w:asciiTheme="majorHAnsi" w:hAnsiTheme="majorHAnsi"/>
          <w:i/>
          <w:sz w:val="20"/>
          <w:szCs w:val="20"/>
          <w:lang w:val="es-CL"/>
        </w:rPr>
        <w:t xml:space="preserve"> bis in ídem</w:t>
      </w:r>
      <w:r w:rsidRPr="00453361">
        <w:rPr>
          <w:rFonts w:asciiTheme="majorHAnsi" w:hAnsiTheme="majorHAnsi"/>
          <w:sz w:val="20"/>
          <w:szCs w:val="20"/>
          <w:lang w:val="es-CL"/>
        </w:rPr>
        <w:t xml:space="preserve"> </w:t>
      </w:r>
      <w:r w:rsidRPr="00453361">
        <w:rPr>
          <w:rFonts w:asciiTheme="majorHAnsi" w:hAnsiTheme="majorHAnsi"/>
          <w:sz w:val="20"/>
          <w:szCs w:val="20"/>
          <w:lang w:val="es-ES_tradnl"/>
        </w:rPr>
        <w:t xml:space="preserve">también está consagrado en el artículo 14.7 del Pacto </w:t>
      </w:r>
      <w:r w:rsidRPr="00377A59">
        <w:rPr>
          <w:rFonts w:asciiTheme="majorHAnsi" w:hAnsiTheme="majorHAnsi"/>
          <w:sz w:val="20"/>
          <w:szCs w:val="20"/>
          <w:lang w:val="es-CL"/>
        </w:rPr>
        <w:t>Internacional</w:t>
      </w:r>
      <w:r w:rsidRPr="00453361">
        <w:rPr>
          <w:rFonts w:asciiTheme="majorHAnsi" w:hAnsiTheme="majorHAnsi"/>
          <w:sz w:val="20"/>
          <w:szCs w:val="20"/>
          <w:lang w:val="es-ES_tradnl"/>
        </w:rPr>
        <w:t xml:space="preserve"> de Derechos Civiles y Políticos, en virtud del cual “[n]</w:t>
      </w:r>
      <w:proofErr w:type="spellStart"/>
      <w:r w:rsidRPr="00453361">
        <w:rPr>
          <w:rFonts w:asciiTheme="majorHAnsi" w:hAnsiTheme="majorHAnsi"/>
          <w:sz w:val="20"/>
          <w:szCs w:val="20"/>
          <w:lang w:val="es-ES_tradnl"/>
        </w:rPr>
        <w:t>adie</w:t>
      </w:r>
      <w:proofErr w:type="spellEnd"/>
      <w:r w:rsidRPr="00453361">
        <w:rPr>
          <w:rFonts w:asciiTheme="majorHAnsi" w:hAnsiTheme="majorHAnsi"/>
          <w:sz w:val="20"/>
          <w:szCs w:val="20"/>
          <w:lang w:val="es-ES_tradnl"/>
        </w:rPr>
        <w:t xml:space="preserve"> podrá ser </w:t>
      </w:r>
      <w:r w:rsidRPr="00453361">
        <w:rPr>
          <w:rFonts w:asciiTheme="majorHAnsi" w:hAnsiTheme="majorHAnsi"/>
          <w:sz w:val="20"/>
          <w:szCs w:val="20"/>
          <w:lang w:val="es-ES_tradnl"/>
        </w:rPr>
        <w:lastRenderedPageBreak/>
        <w:t xml:space="preserve">juzgado ni sancionado por un delito por el cual haya sido ya condenado o absuelto por una sentencia firme de acuerdo con la ley y el procedimiento penal de cada país”. </w:t>
      </w:r>
      <w:r w:rsidR="00470ED8" w:rsidRPr="00B96A19">
        <w:rPr>
          <w:rFonts w:asciiTheme="majorHAnsi" w:hAnsiTheme="majorHAnsi"/>
          <w:sz w:val="20"/>
          <w:szCs w:val="20"/>
          <w:lang w:val="es-CL"/>
        </w:rPr>
        <w:t>Por su parte, el artículo 20</w:t>
      </w:r>
      <w:r w:rsidR="00993A51" w:rsidRPr="00B96A19">
        <w:rPr>
          <w:rFonts w:asciiTheme="majorHAnsi" w:hAnsiTheme="majorHAnsi"/>
          <w:sz w:val="20"/>
          <w:szCs w:val="20"/>
          <w:lang w:val="es-CL"/>
        </w:rPr>
        <w:t>.1</w:t>
      </w:r>
      <w:r w:rsidR="00470ED8" w:rsidRPr="00B96A19">
        <w:rPr>
          <w:rFonts w:asciiTheme="majorHAnsi" w:hAnsiTheme="majorHAnsi"/>
          <w:sz w:val="20"/>
          <w:szCs w:val="20"/>
          <w:lang w:val="es-CL"/>
        </w:rPr>
        <w:t xml:space="preserve"> del Estatuto de la Corte Penal Internacional establece </w:t>
      </w:r>
      <w:r w:rsidR="00993A51" w:rsidRPr="00B96A19">
        <w:rPr>
          <w:rFonts w:asciiTheme="majorHAnsi" w:hAnsiTheme="majorHAnsi"/>
          <w:sz w:val="20"/>
          <w:szCs w:val="20"/>
          <w:lang w:val="es-CL"/>
        </w:rPr>
        <w:t>que:</w:t>
      </w:r>
      <w:r w:rsidR="00470ED8" w:rsidRPr="00B96A19">
        <w:rPr>
          <w:rFonts w:asciiTheme="majorHAnsi" w:hAnsiTheme="majorHAnsi"/>
          <w:sz w:val="20"/>
          <w:szCs w:val="20"/>
          <w:lang w:val="es-CL"/>
        </w:rPr>
        <w:t xml:space="preserve"> “salvo que en el presente Estatuto se disponga otra cosa, nadie será procesado por la Corte en razón de conductas constitutivas de crímenes por los cuales ya hubiere sido condenado o absuelto por la Corte”</w:t>
      </w:r>
      <w:r w:rsidR="00625095" w:rsidRPr="00625095">
        <w:rPr>
          <w:rStyle w:val="FootnoteReference"/>
          <w:rFonts w:asciiTheme="majorHAnsi" w:hAnsiTheme="majorHAnsi"/>
          <w:sz w:val="20"/>
          <w:szCs w:val="20"/>
          <w:lang w:val="es-CL"/>
        </w:rPr>
        <w:footnoteReference w:id="123"/>
      </w:r>
      <w:r w:rsidR="00470ED8" w:rsidRPr="00B96A19">
        <w:rPr>
          <w:rFonts w:asciiTheme="majorHAnsi" w:hAnsiTheme="majorHAnsi"/>
          <w:sz w:val="20"/>
          <w:szCs w:val="20"/>
          <w:lang w:val="es-CL"/>
        </w:rPr>
        <w:t xml:space="preserve">. </w:t>
      </w:r>
    </w:p>
    <w:p w:rsidR="00B96A19" w:rsidRPr="00263D92" w:rsidRDefault="00B96A19" w:rsidP="00B96A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hAnsiTheme="majorHAnsi"/>
          <w:sz w:val="20"/>
          <w:szCs w:val="20"/>
          <w:lang w:val="es-CL"/>
        </w:rPr>
      </w:pPr>
    </w:p>
    <w:p w:rsidR="00957AEE" w:rsidRDefault="00993A51" w:rsidP="00B96A1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sidRPr="00957AEE">
        <w:rPr>
          <w:rFonts w:asciiTheme="majorHAnsi" w:hAnsiTheme="majorHAnsi"/>
          <w:sz w:val="20"/>
          <w:szCs w:val="20"/>
          <w:lang w:val="es-CL"/>
        </w:rPr>
        <w:t>La Carta de los Derechos Fundamentales de la Unión Europea establece en su artículo 50 que “nadie podrá ser acusado o condenado penalmente por una infracción respecto del cual ya ha sido absuelto o condenado en la Unión mediante sentencia penal firme conforme a la ley</w:t>
      </w:r>
      <w:r w:rsidR="00625095" w:rsidRPr="00625095">
        <w:rPr>
          <w:rStyle w:val="FootnoteReference"/>
          <w:rFonts w:asciiTheme="majorHAnsi" w:hAnsiTheme="majorHAnsi"/>
          <w:sz w:val="20"/>
          <w:szCs w:val="20"/>
          <w:lang w:val="es-CL"/>
        </w:rPr>
        <w:footnoteReference w:id="124"/>
      </w:r>
      <w:r w:rsidRPr="00957AEE">
        <w:rPr>
          <w:rFonts w:asciiTheme="majorHAnsi" w:hAnsiTheme="majorHAnsi"/>
          <w:sz w:val="20"/>
          <w:szCs w:val="20"/>
          <w:lang w:val="es-CL"/>
        </w:rPr>
        <w:t xml:space="preserve">. </w:t>
      </w:r>
      <w:r w:rsidR="00957AEE" w:rsidRPr="00B96A19">
        <w:rPr>
          <w:rFonts w:asciiTheme="majorHAnsi" w:hAnsiTheme="majorHAnsi"/>
          <w:sz w:val="20"/>
          <w:szCs w:val="20"/>
          <w:lang w:val="es-CL"/>
        </w:rPr>
        <w:t xml:space="preserve">Asimismo, </w:t>
      </w:r>
      <w:r w:rsidR="00AE2C77" w:rsidRPr="00B96A19">
        <w:rPr>
          <w:rFonts w:asciiTheme="majorHAnsi" w:hAnsiTheme="majorHAnsi"/>
          <w:sz w:val="20"/>
          <w:szCs w:val="20"/>
          <w:lang w:val="es-CL"/>
        </w:rPr>
        <w:t>el Protocolo 7 de la Convención Europea establece en su artículo 4 que “</w:t>
      </w:r>
      <w:r w:rsidR="00625095" w:rsidRPr="00B96A19">
        <w:rPr>
          <w:rFonts w:asciiTheme="majorHAnsi" w:hAnsiTheme="majorHAnsi"/>
          <w:sz w:val="20"/>
          <w:szCs w:val="20"/>
          <w:lang w:val="es-VE"/>
        </w:rPr>
        <w:t>1. Nadie podrá ser perseguido o condenado penalmente por los tribunales del mismo Estado, por una infracción por la que ya hubiera sido absuelto o condenado en virtud de sentencia firme conforme a la ley y al procedimiento penal de ese Estado”</w:t>
      </w:r>
      <w:r w:rsidR="00B164DE" w:rsidRPr="00957AEE">
        <w:rPr>
          <w:rStyle w:val="FootnoteReference"/>
          <w:rFonts w:asciiTheme="majorHAnsi" w:hAnsiTheme="majorHAnsi"/>
          <w:sz w:val="20"/>
          <w:szCs w:val="20"/>
          <w:lang w:val="es-VE"/>
        </w:rPr>
        <w:footnoteReference w:id="125"/>
      </w:r>
      <w:r w:rsidR="00625095" w:rsidRPr="00B96A19">
        <w:rPr>
          <w:rFonts w:asciiTheme="majorHAnsi" w:hAnsiTheme="majorHAnsi"/>
          <w:sz w:val="20"/>
          <w:szCs w:val="20"/>
          <w:lang w:val="es-VE"/>
        </w:rPr>
        <w:t>.</w:t>
      </w:r>
      <w:r w:rsidR="00B96A19">
        <w:rPr>
          <w:rFonts w:asciiTheme="majorHAnsi" w:hAnsiTheme="majorHAnsi"/>
          <w:sz w:val="20"/>
          <w:szCs w:val="20"/>
          <w:lang w:val="es-CL"/>
        </w:rPr>
        <w:t xml:space="preserve"> </w:t>
      </w:r>
      <w:r w:rsidR="00A22973" w:rsidRPr="00B96A19">
        <w:rPr>
          <w:rFonts w:asciiTheme="majorHAnsi" w:hAnsiTheme="majorHAnsi"/>
          <w:sz w:val="20"/>
          <w:szCs w:val="20"/>
          <w:lang w:val="es-CL"/>
        </w:rPr>
        <w:t>El Tribunal Europeo</w:t>
      </w:r>
      <w:r w:rsidR="0028514D" w:rsidRPr="00B96A19">
        <w:rPr>
          <w:rFonts w:asciiTheme="majorHAnsi" w:hAnsiTheme="majorHAnsi"/>
          <w:sz w:val="20"/>
          <w:szCs w:val="20"/>
          <w:lang w:val="es-CL"/>
        </w:rPr>
        <w:t xml:space="preserve">, al interpretar dicho principio ha indicado que </w:t>
      </w:r>
      <w:r w:rsidR="00A22973" w:rsidRPr="00B96A19">
        <w:rPr>
          <w:rFonts w:asciiTheme="majorHAnsi" w:hAnsiTheme="majorHAnsi"/>
          <w:sz w:val="20"/>
          <w:szCs w:val="20"/>
          <w:lang w:val="es-CL"/>
        </w:rPr>
        <w:t>el objetivo del mismo, es prohibir la repetición de procesos penales que haya</w:t>
      </w:r>
      <w:r w:rsidR="00951957" w:rsidRPr="00B96A19">
        <w:rPr>
          <w:rFonts w:asciiTheme="majorHAnsi" w:hAnsiTheme="majorHAnsi"/>
          <w:sz w:val="20"/>
          <w:szCs w:val="20"/>
          <w:lang w:val="es-CL"/>
        </w:rPr>
        <w:t>n</w:t>
      </w:r>
      <w:r w:rsidR="00A22973" w:rsidRPr="00B96A19">
        <w:rPr>
          <w:rFonts w:asciiTheme="majorHAnsi" w:hAnsiTheme="majorHAnsi"/>
          <w:sz w:val="20"/>
          <w:szCs w:val="20"/>
          <w:lang w:val="es-CL"/>
        </w:rPr>
        <w:t xml:space="preserve"> concluido mediante una decisión definitiva</w:t>
      </w:r>
      <w:r w:rsidR="00A22973" w:rsidRPr="00AE2C77">
        <w:rPr>
          <w:rStyle w:val="FootnoteReference"/>
          <w:rFonts w:asciiTheme="majorHAnsi" w:hAnsiTheme="majorHAnsi"/>
          <w:sz w:val="20"/>
          <w:szCs w:val="20"/>
        </w:rPr>
        <w:footnoteReference w:id="126"/>
      </w:r>
      <w:r w:rsidR="00A22973" w:rsidRPr="00B96A19">
        <w:rPr>
          <w:rFonts w:asciiTheme="majorHAnsi" w:hAnsiTheme="majorHAnsi"/>
          <w:sz w:val="20"/>
          <w:szCs w:val="20"/>
          <w:lang w:val="es-CL"/>
        </w:rPr>
        <w:t>.</w:t>
      </w:r>
    </w:p>
    <w:p w:rsidR="00193DD8" w:rsidRDefault="00193DD8" w:rsidP="00193DD8">
      <w:pPr>
        <w:pStyle w:val="ListParagraph"/>
        <w:rPr>
          <w:rFonts w:asciiTheme="majorHAnsi" w:hAnsiTheme="majorHAnsi"/>
          <w:sz w:val="20"/>
          <w:szCs w:val="20"/>
          <w:lang w:val="es-CL"/>
        </w:rPr>
      </w:pPr>
    </w:p>
    <w:p w:rsidR="00FA0F86" w:rsidRDefault="00193DD8" w:rsidP="00B96A1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 xml:space="preserve">En el caso </w:t>
      </w:r>
      <w:proofErr w:type="spellStart"/>
      <w:r>
        <w:rPr>
          <w:rFonts w:asciiTheme="majorHAnsi" w:hAnsiTheme="majorHAnsi"/>
          <w:sz w:val="20"/>
          <w:szCs w:val="20"/>
          <w:lang w:val="es-CL"/>
        </w:rPr>
        <w:t>Engel</w:t>
      </w:r>
      <w:proofErr w:type="spellEnd"/>
      <w:r>
        <w:rPr>
          <w:rFonts w:asciiTheme="majorHAnsi" w:hAnsiTheme="majorHAnsi"/>
          <w:sz w:val="20"/>
          <w:szCs w:val="20"/>
          <w:lang w:val="es-CL"/>
        </w:rPr>
        <w:t>, el Tribunal Europeo interpretó el significado de procesamiento penal para efectos de examinar si una persona ha sido procesada dos veces</w:t>
      </w:r>
      <w:r w:rsidR="00FA0F86">
        <w:rPr>
          <w:rFonts w:asciiTheme="majorHAnsi" w:hAnsiTheme="majorHAnsi"/>
          <w:sz w:val="20"/>
          <w:szCs w:val="20"/>
          <w:lang w:val="es-CL"/>
        </w:rPr>
        <w:t xml:space="preserve"> estableciendo que se pueden tomar en cuenta tres criterios: la clasificación de la ofensa en el derecho nacional, la naturaleza de la ofensa, y el grado de severidad de la pena para la ofensa</w:t>
      </w:r>
      <w:r w:rsidR="00FA0F86" w:rsidRPr="00FA0F86">
        <w:rPr>
          <w:rStyle w:val="FootnoteReference"/>
          <w:rFonts w:asciiTheme="majorHAnsi" w:hAnsiTheme="majorHAnsi"/>
          <w:sz w:val="20"/>
          <w:szCs w:val="20"/>
          <w:lang w:val="es-CL"/>
        </w:rPr>
        <w:footnoteReference w:id="127"/>
      </w:r>
      <w:r w:rsidR="00FA0F86">
        <w:rPr>
          <w:rFonts w:asciiTheme="majorHAnsi" w:hAnsiTheme="majorHAnsi"/>
          <w:sz w:val="20"/>
          <w:szCs w:val="20"/>
          <w:lang w:val="es-CL"/>
        </w:rPr>
        <w:t xml:space="preserve">. </w:t>
      </w:r>
    </w:p>
    <w:p w:rsidR="00CF46FB" w:rsidRDefault="00CF46FB" w:rsidP="00CF46FB">
      <w:pPr>
        <w:pStyle w:val="ListParagraph"/>
        <w:rPr>
          <w:rFonts w:asciiTheme="majorHAnsi" w:hAnsiTheme="majorHAnsi"/>
          <w:sz w:val="20"/>
          <w:szCs w:val="20"/>
          <w:lang w:val="es-CL"/>
        </w:rPr>
      </w:pPr>
    </w:p>
    <w:p w:rsidR="00CF46FB" w:rsidRPr="00B809F6" w:rsidRDefault="00CF46FB" w:rsidP="00CF46F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 xml:space="preserve">Por su parte, en el caso </w:t>
      </w:r>
      <w:proofErr w:type="spellStart"/>
      <w:r w:rsidR="00545326" w:rsidRPr="00CF46FB">
        <w:rPr>
          <w:rFonts w:asciiTheme="majorHAnsi" w:hAnsiTheme="majorHAnsi"/>
          <w:sz w:val="20"/>
          <w:szCs w:val="20"/>
          <w:lang w:val="es-CL"/>
        </w:rPr>
        <w:t>Sergey</w:t>
      </w:r>
      <w:proofErr w:type="spellEnd"/>
      <w:r w:rsidR="00545326" w:rsidRPr="00CF46FB">
        <w:rPr>
          <w:rFonts w:asciiTheme="majorHAnsi" w:hAnsiTheme="majorHAnsi"/>
          <w:sz w:val="20"/>
          <w:szCs w:val="20"/>
          <w:lang w:val="es-CL"/>
        </w:rPr>
        <w:t xml:space="preserve"> </w:t>
      </w:r>
      <w:proofErr w:type="spellStart"/>
      <w:r w:rsidR="00D22EE5" w:rsidRPr="00CF46FB">
        <w:rPr>
          <w:rFonts w:asciiTheme="majorHAnsi" w:hAnsiTheme="majorHAnsi"/>
          <w:sz w:val="20"/>
          <w:szCs w:val="20"/>
          <w:lang w:val="es-CL"/>
        </w:rPr>
        <w:t>Zolotukhin</w:t>
      </w:r>
      <w:proofErr w:type="spellEnd"/>
      <w:r w:rsidR="00D22EE5" w:rsidRPr="00CF46FB">
        <w:rPr>
          <w:rFonts w:asciiTheme="majorHAnsi" w:hAnsiTheme="majorHAnsi"/>
          <w:sz w:val="20"/>
          <w:szCs w:val="20"/>
          <w:lang w:val="es-CL"/>
        </w:rPr>
        <w:t xml:space="preserve"> contra Rusia, </w:t>
      </w:r>
      <w:r w:rsidR="005C3734" w:rsidRPr="00CF46FB">
        <w:rPr>
          <w:rFonts w:asciiTheme="majorHAnsi" w:hAnsiTheme="majorHAnsi"/>
          <w:sz w:val="20"/>
          <w:szCs w:val="20"/>
          <w:lang w:val="es-CL"/>
        </w:rPr>
        <w:t xml:space="preserve">dicho </w:t>
      </w:r>
      <w:r w:rsidR="00D22EE5" w:rsidRPr="00CF46FB">
        <w:rPr>
          <w:rFonts w:asciiTheme="majorHAnsi" w:hAnsiTheme="majorHAnsi"/>
          <w:sz w:val="20"/>
          <w:szCs w:val="20"/>
          <w:lang w:val="es-CL"/>
        </w:rPr>
        <w:t xml:space="preserve">Tribunal se pronunció sobre una persona que recibió una sanción administrativa de tres días de detención y una condena penal por </w:t>
      </w:r>
      <w:r w:rsidR="007C14AD" w:rsidRPr="00CF46FB">
        <w:rPr>
          <w:rFonts w:asciiTheme="majorHAnsi" w:hAnsiTheme="majorHAnsi"/>
          <w:sz w:val="20"/>
          <w:szCs w:val="20"/>
          <w:lang w:val="es-CL"/>
        </w:rPr>
        <w:t xml:space="preserve">hechos similares, e interpretó la noción de </w:t>
      </w:r>
      <w:r>
        <w:rPr>
          <w:rFonts w:asciiTheme="majorHAnsi" w:hAnsiTheme="majorHAnsi"/>
          <w:sz w:val="20"/>
          <w:szCs w:val="20"/>
          <w:lang w:val="es-CL"/>
        </w:rPr>
        <w:t>“</w:t>
      </w:r>
      <w:r w:rsidR="00B17D92" w:rsidRPr="00CF46FB">
        <w:rPr>
          <w:rFonts w:asciiTheme="majorHAnsi" w:hAnsiTheme="majorHAnsi"/>
          <w:sz w:val="20"/>
          <w:szCs w:val="20"/>
          <w:lang w:val="es-CL"/>
        </w:rPr>
        <w:t>misma ofensa</w:t>
      </w:r>
      <w:r>
        <w:rPr>
          <w:rFonts w:asciiTheme="majorHAnsi" w:hAnsiTheme="majorHAnsi"/>
          <w:sz w:val="20"/>
          <w:szCs w:val="20"/>
          <w:lang w:val="es-CL"/>
        </w:rPr>
        <w:t>”</w:t>
      </w:r>
      <w:r w:rsidR="00B17D92" w:rsidRPr="00CF46FB">
        <w:rPr>
          <w:rFonts w:asciiTheme="majorHAnsi" w:hAnsiTheme="majorHAnsi"/>
          <w:sz w:val="20"/>
          <w:szCs w:val="20"/>
          <w:lang w:val="es-CL"/>
        </w:rPr>
        <w:t xml:space="preserve"> contenida en el principio de </w:t>
      </w:r>
      <w:r w:rsidR="00B17D92" w:rsidRPr="00CF46FB">
        <w:rPr>
          <w:rFonts w:asciiTheme="majorHAnsi" w:hAnsiTheme="majorHAnsi"/>
          <w:i/>
          <w:sz w:val="20"/>
          <w:szCs w:val="20"/>
          <w:lang w:val="es-CL"/>
        </w:rPr>
        <w:t>n</w:t>
      </w:r>
      <w:r w:rsidR="00B96A19" w:rsidRPr="00CF46FB">
        <w:rPr>
          <w:rFonts w:asciiTheme="majorHAnsi" w:hAnsiTheme="majorHAnsi"/>
          <w:i/>
          <w:sz w:val="20"/>
          <w:szCs w:val="20"/>
          <w:lang w:val="es-CL"/>
        </w:rPr>
        <w:t>on</w:t>
      </w:r>
      <w:r w:rsidR="00B17D92" w:rsidRPr="00CF46FB">
        <w:rPr>
          <w:rFonts w:asciiTheme="majorHAnsi" w:hAnsiTheme="majorHAnsi"/>
          <w:i/>
          <w:sz w:val="20"/>
          <w:szCs w:val="20"/>
          <w:lang w:val="es-CL"/>
        </w:rPr>
        <w:t xml:space="preserve"> bis in ídem</w:t>
      </w:r>
      <w:r w:rsidR="00B17D92" w:rsidRPr="00CF46FB">
        <w:rPr>
          <w:rFonts w:asciiTheme="majorHAnsi" w:hAnsiTheme="majorHAnsi"/>
          <w:sz w:val="20"/>
          <w:szCs w:val="20"/>
          <w:lang w:val="es-CL"/>
        </w:rPr>
        <w:t xml:space="preserve">, indicando que </w:t>
      </w:r>
      <w:r w:rsidR="00D21DB7" w:rsidRPr="00CF46FB">
        <w:rPr>
          <w:rFonts w:asciiTheme="majorHAnsi" w:hAnsiTheme="majorHAnsi"/>
          <w:sz w:val="20"/>
          <w:szCs w:val="20"/>
          <w:lang w:val="es-CL"/>
        </w:rPr>
        <w:t>el enfoque según el cual no se trata de la misma ofensa si pertenece a categorías jurídicas distintas, es demasiado restrictivo, y si el Tribunal se limita a constatar que una persona fue procesada por varias ofensas, pero que las mismas corresponden a distintas clasificaciones legales, podría menoscabar la efectividad de la garantía consagrada en el artículo 4 del Protocolo No. 7</w:t>
      </w:r>
      <w:r w:rsidR="00D21DB7" w:rsidRPr="00D21DB7">
        <w:rPr>
          <w:rStyle w:val="FootnoteReference"/>
          <w:rFonts w:asciiTheme="majorHAnsi" w:hAnsiTheme="majorHAnsi"/>
          <w:sz w:val="20"/>
          <w:szCs w:val="20"/>
        </w:rPr>
        <w:footnoteReference w:id="128"/>
      </w:r>
      <w:r w:rsidR="00D21DB7" w:rsidRPr="00CF46FB">
        <w:rPr>
          <w:rFonts w:asciiTheme="majorHAnsi" w:hAnsiTheme="majorHAnsi"/>
          <w:sz w:val="20"/>
          <w:szCs w:val="20"/>
          <w:lang w:val="es-VE"/>
        </w:rPr>
        <w:t>. En virtud de ello, agregó que debe entenderse que dicho artículo prohíbe la persecución o juicio por una segunda ofensa siempre que esta derive de hechos idénticos o de hechos que son sustancialmente los mismos</w:t>
      </w:r>
      <w:r w:rsidR="004310CD" w:rsidRPr="00CF46FB">
        <w:rPr>
          <w:rStyle w:val="FootnoteReference"/>
          <w:rFonts w:asciiTheme="majorHAnsi" w:hAnsiTheme="majorHAnsi"/>
          <w:sz w:val="20"/>
          <w:szCs w:val="20"/>
          <w:lang w:val="es-VE"/>
        </w:rPr>
        <w:t xml:space="preserve"> </w:t>
      </w:r>
      <w:r w:rsidR="004310CD" w:rsidRPr="00D21DB7">
        <w:rPr>
          <w:rStyle w:val="FootnoteReference"/>
          <w:rFonts w:asciiTheme="majorHAnsi" w:hAnsiTheme="majorHAnsi"/>
          <w:sz w:val="20"/>
          <w:szCs w:val="20"/>
        </w:rPr>
        <w:footnoteReference w:id="129"/>
      </w:r>
      <w:r w:rsidR="00D21DB7" w:rsidRPr="00CF46FB">
        <w:rPr>
          <w:rFonts w:asciiTheme="majorHAnsi" w:hAnsiTheme="majorHAnsi"/>
          <w:sz w:val="20"/>
          <w:szCs w:val="20"/>
          <w:lang w:val="es-VE"/>
        </w:rPr>
        <w:t xml:space="preserve">. </w:t>
      </w:r>
    </w:p>
    <w:p w:rsidR="00A42DB5" w:rsidRPr="003F520C" w:rsidRDefault="00CF46FB" w:rsidP="00EF55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sidRPr="00AA41EE">
        <w:rPr>
          <w:rFonts w:asciiTheme="majorHAnsi" w:hAnsiTheme="majorHAnsi"/>
          <w:sz w:val="20"/>
          <w:szCs w:val="20"/>
          <w:lang w:val="es-CL"/>
        </w:rPr>
        <w:lastRenderedPageBreak/>
        <w:t xml:space="preserve">Asimismo, en el caso </w:t>
      </w:r>
      <w:proofErr w:type="spellStart"/>
      <w:r w:rsidRPr="00AA41EE">
        <w:rPr>
          <w:rFonts w:asciiTheme="majorHAnsi" w:hAnsiTheme="majorHAnsi"/>
          <w:sz w:val="20"/>
          <w:szCs w:val="20"/>
          <w:lang w:val="es-CL"/>
        </w:rPr>
        <w:t>Rivard</w:t>
      </w:r>
      <w:proofErr w:type="spellEnd"/>
      <w:r w:rsidRPr="00AA41EE">
        <w:rPr>
          <w:rFonts w:asciiTheme="majorHAnsi" w:hAnsiTheme="majorHAnsi"/>
          <w:sz w:val="20"/>
          <w:szCs w:val="20"/>
          <w:lang w:val="es-CL"/>
        </w:rPr>
        <w:t xml:space="preserve"> contra Suiza, el Tribunal Europeo estimó que</w:t>
      </w:r>
      <w:r w:rsidR="00AA41EE">
        <w:rPr>
          <w:rFonts w:asciiTheme="majorHAnsi" w:hAnsiTheme="majorHAnsi"/>
          <w:sz w:val="20"/>
          <w:szCs w:val="20"/>
          <w:lang w:val="es-CL"/>
        </w:rPr>
        <w:t xml:space="preserve"> retirar el permiso de conducir por vía administrativa a un motorista que ya había sido sancionada con multa en la vía penal por exceder el límite de velocidad, no violaba el principio de </w:t>
      </w:r>
      <w:r w:rsidR="00AA41EE" w:rsidRPr="00AA41EE">
        <w:rPr>
          <w:rFonts w:asciiTheme="majorHAnsi" w:hAnsiTheme="majorHAnsi"/>
          <w:i/>
          <w:sz w:val="20"/>
          <w:szCs w:val="20"/>
          <w:lang w:val="es-CL"/>
        </w:rPr>
        <w:t>non bis in ídem</w:t>
      </w:r>
      <w:r w:rsidR="00AA41EE">
        <w:rPr>
          <w:rFonts w:asciiTheme="majorHAnsi" w:hAnsiTheme="majorHAnsi"/>
          <w:sz w:val="20"/>
          <w:szCs w:val="20"/>
          <w:lang w:val="es-CL"/>
        </w:rPr>
        <w:t xml:space="preserve">. </w:t>
      </w:r>
      <w:r w:rsidR="004F153F" w:rsidRPr="00AA41EE">
        <w:rPr>
          <w:rFonts w:asciiTheme="majorHAnsi" w:hAnsiTheme="majorHAnsi"/>
          <w:sz w:val="20"/>
          <w:szCs w:val="20"/>
          <w:lang w:val="es-CL"/>
        </w:rPr>
        <w:t xml:space="preserve">El Tribunal estimó que si bien la base de los dos procedimientos contra el demandante habían sido idénticos, </w:t>
      </w:r>
      <w:r w:rsidR="004F153F" w:rsidRPr="004F153F">
        <w:rPr>
          <w:rFonts w:asciiTheme="majorHAnsi" w:eastAsia="Times New Roman" w:hAnsiTheme="majorHAnsi" w:cs="Courier New"/>
          <w:color w:val="212121"/>
          <w:sz w:val="20"/>
          <w:szCs w:val="20"/>
          <w:bdr w:val="none" w:sz="0" w:space="0" w:color="auto"/>
          <w:lang w:val="es-ES"/>
        </w:rPr>
        <w:t xml:space="preserve">el procedimiento de retirada de la licencia constituía una especie de sanción adicional que complementaba la condena penal (multa). Por </w:t>
      </w:r>
      <w:r w:rsidR="004F153F" w:rsidRPr="00AA41EE">
        <w:rPr>
          <w:rFonts w:asciiTheme="majorHAnsi" w:eastAsia="Times New Roman" w:hAnsiTheme="majorHAnsi" w:cs="Courier New"/>
          <w:color w:val="212121"/>
          <w:sz w:val="20"/>
          <w:szCs w:val="20"/>
          <w:bdr w:val="none" w:sz="0" w:space="0" w:color="auto"/>
          <w:lang w:val="es-ES"/>
        </w:rPr>
        <w:t>ello,</w:t>
      </w:r>
      <w:r w:rsidR="004F153F" w:rsidRPr="004F153F">
        <w:rPr>
          <w:rFonts w:asciiTheme="majorHAnsi" w:eastAsia="Times New Roman" w:hAnsiTheme="majorHAnsi" w:cs="Courier New"/>
          <w:color w:val="212121"/>
          <w:sz w:val="20"/>
          <w:szCs w:val="20"/>
          <w:bdr w:val="none" w:sz="0" w:space="0" w:color="auto"/>
          <w:lang w:val="es-ES"/>
        </w:rPr>
        <w:t xml:space="preserve"> llegó a la conclusión de que existía un vínculo material y temporal suficientemente estrecho entre los procedimientos administrativo y penal para considerarlos como dos aspectos de un sistema único y, por consiguiente, sostuvo que no había habido dos procedimientos</w:t>
      </w:r>
      <w:r w:rsidR="004F153F" w:rsidRPr="00AA41EE">
        <w:rPr>
          <w:rStyle w:val="FootnoteReference"/>
          <w:rFonts w:asciiTheme="majorHAnsi" w:hAnsiTheme="majorHAnsi"/>
          <w:sz w:val="20"/>
          <w:szCs w:val="20"/>
          <w:lang w:val="es-CL"/>
        </w:rPr>
        <w:footnoteReference w:id="130"/>
      </w:r>
      <w:r w:rsidR="004F153F" w:rsidRPr="004F153F">
        <w:rPr>
          <w:rFonts w:asciiTheme="majorHAnsi" w:eastAsia="Times New Roman" w:hAnsiTheme="majorHAnsi" w:cs="Courier New"/>
          <w:color w:val="212121"/>
          <w:sz w:val="20"/>
          <w:szCs w:val="20"/>
          <w:bdr w:val="none" w:sz="0" w:space="0" w:color="auto"/>
          <w:lang w:val="es-ES"/>
        </w:rPr>
        <w:t>.</w:t>
      </w:r>
    </w:p>
    <w:p w:rsidR="00556021" w:rsidRPr="003F520C" w:rsidRDefault="00556021" w:rsidP="003F520C">
      <w:pPr>
        <w:pStyle w:val="Heading3"/>
        <w:numPr>
          <w:ilvl w:val="0"/>
          <w:numId w:val="70"/>
        </w:numPr>
        <w:tabs>
          <w:tab w:val="clear" w:pos="1800"/>
          <w:tab w:val="num" w:pos="1440"/>
        </w:tabs>
        <w:ind w:hanging="1080"/>
        <w:rPr>
          <w:color w:val="auto"/>
          <w:sz w:val="20"/>
          <w:szCs w:val="20"/>
          <w:lang w:val="es-ES_tradnl"/>
        </w:rPr>
      </w:pPr>
      <w:bookmarkStart w:id="54" w:name="_Toc485394066"/>
      <w:r w:rsidRPr="003F520C">
        <w:rPr>
          <w:color w:val="auto"/>
          <w:sz w:val="20"/>
          <w:szCs w:val="20"/>
          <w:lang w:val="es-ES_tradnl"/>
        </w:rPr>
        <w:t>Análisis del caso</w:t>
      </w:r>
      <w:bookmarkEnd w:id="54"/>
      <w:r w:rsidRPr="003F520C">
        <w:rPr>
          <w:color w:val="auto"/>
          <w:sz w:val="20"/>
          <w:szCs w:val="20"/>
          <w:lang w:val="es-ES_tradnl"/>
        </w:rPr>
        <w:t xml:space="preserve"> </w:t>
      </w:r>
    </w:p>
    <w:p w:rsidR="00556021" w:rsidRDefault="00556021" w:rsidP="005560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ES_tradnl"/>
        </w:rPr>
      </w:pPr>
    </w:p>
    <w:p w:rsidR="009D595A" w:rsidRDefault="007C6142" w:rsidP="00A142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 xml:space="preserve">La Comisión recuerda que la presunta víctima fue </w:t>
      </w:r>
      <w:r w:rsidR="0071326C">
        <w:rPr>
          <w:rFonts w:asciiTheme="majorHAnsi" w:hAnsiTheme="majorHAnsi"/>
          <w:sz w:val="20"/>
          <w:szCs w:val="20"/>
          <w:lang w:val="es-CL"/>
        </w:rPr>
        <w:t>condenada</w:t>
      </w:r>
      <w:r w:rsidR="00F51C73">
        <w:rPr>
          <w:rFonts w:asciiTheme="majorHAnsi" w:hAnsiTheme="majorHAnsi"/>
          <w:sz w:val="20"/>
          <w:szCs w:val="20"/>
          <w:lang w:val="es-CL"/>
        </w:rPr>
        <w:t xml:space="preserve"> a </w:t>
      </w:r>
      <w:r w:rsidR="009D595A">
        <w:rPr>
          <w:rFonts w:asciiTheme="majorHAnsi" w:hAnsiTheme="majorHAnsi"/>
          <w:sz w:val="20"/>
          <w:szCs w:val="20"/>
          <w:lang w:val="es-CL"/>
        </w:rPr>
        <w:t>seis años de prisión</w:t>
      </w:r>
      <w:r w:rsidR="00F51C73">
        <w:rPr>
          <w:rFonts w:asciiTheme="majorHAnsi" w:hAnsiTheme="majorHAnsi"/>
          <w:sz w:val="20"/>
          <w:szCs w:val="20"/>
          <w:lang w:val="es-CL"/>
        </w:rPr>
        <w:t xml:space="preserve"> </w:t>
      </w:r>
      <w:r w:rsidR="0071326C">
        <w:rPr>
          <w:rFonts w:asciiTheme="majorHAnsi" w:hAnsiTheme="majorHAnsi"/>
          <w:sz w:val="20"/>
          <w:szCs w:val="20"/>
          <w:lang w:val="es-CL"/>
        </w:rPr>
        <w:t xml:space="preserve">en la jurisdicción </w:t>
      </w:r>
      <w:r w:rsidR="008D3477">
        <w:rPr>
          <w:rFonts w:asciiTheme="majorHAnsi" w:hAnsiTheme="majorHAnsi"/>
          <w:sz w:val="20"/>
          <w:szCs w:val="20"/>
          <w:lang w:val="es-CL"/>
        </w:rPr>
        <w:t>ordinaria el 17 de abril de 1996 po</w:t>
      </w:r>
      <w:r w:rsidR="00F51C73">
        <w:rPr>
          <w:rFonts w:asciiTheme="majorHAnsi" w:hAnsiTheme="majorHAnsi"/>
          <w:sz w:val="20"/>
          <w:szCs w:val="20"/>
          <w:lang w:val="es-CL"/>
        </w:rPr>
        <w:t xml:space="preserve">r el delito </w:t>
      </w:r>
      <w:r w:rsidR="009D595A">
        <w:rPr>
          <w:rFonts w:asciiTheme="majorHAnsi" w:hAnsiTheme="majorHAnsi"/>
          <w:sz w:val="20"/>
          <w:szCs w:val="20"/>
          <w:lang w:val="es-CL"/>
        </w:rPr>
        <w:t>de tráfico ilícito de drogas. Asimismo, el 19 de junio de 1997 al resolver un re</w:t>
      </w:r>
      <w:r w:rsidR="0054552B">
        <w:rPr>
          <w:rFonts w:asciiTheme="majorHAnsi" w:hAnsiTheme="majorHAnsi"/>
          <w:sz w:val="20"/>
          <w:szCs w:val="20"/>
          <w:lang w:val="es-CL"/>
        </w:rPr>
        <w:t xml:space="preserve">curso de nulidad, </w:t>
      </w:r>
      <w:r w:rsidR="005433E7">
        <w:rPr>
          <w:rFonts w:asciiTheme="majorHAnsi" w:hAnsiTheme="majorHAnsi"/>
          <w:sz w:val="20"/>
          <w:szCs w:val="20"/>
          <w:lang w:val="es-CL"/>
        </w:rPr>
        <w:t>se confirmó la sentencia condenatoria y se</w:t>
      </w:r>
      <w:r w:rsidR="009D595A">
        <w:rPr>
          <w:rFonts w:asciiTheme="majorHAnsi" w:hAnsiTheme="majorHAnsi"/>
          <w:sz w:val="20"/>
          <w:szCs w:val="20"/>
          <w:lang w:val="es-CL"/>
        </w:rPr>
        <w:t xml:space="preserve"> aumentó la pena de 6 a 15 años de prisión</w:t>
      </w:r>
      <w:r w:rsidR="007A1A71">
        <w:rPr>
          <w:rFonts w:asciiTheme="majorHAnsi" w:hAnsiTheme="majorHAnsi"/>
          <w:sz w:val="20"/>
          <w:szCs w:val="20"/>
          <w:lang w:val="es-CL"/>
        </w:rPr>
        <w:t>.</w:t>
      </w:r>
      <w:r w:rsidR="009D595A">
        <w:rPr>
          <w:rFonts w:asciiTheme="majorHAnsi" w:hAnsiTheme="majorHAnsi"/>
          <w:sz w:val="20"/>
          <w:szCs w:val="20"/>
          <w:lang w:val="es-CL"/>
        </w:rPr>
        <w:t xml:space="preserve"> </w:t>
      </w:r>
    </w:p>
    <w:p w:rsidR="001D4F5E" w:rsidRPr="006B7158" w:rsidRDefault="001D4F5E" w:rsidP="001D4F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hAnsiTheme="majorHAnsi"/>
          <w:sz w:val="20"/>
          <w:szCs w:val="20"/>
          <w:lang w:val="es-CL"/>
        </w:rPr>
      </w:pPr>
    </w:p>
    <w:p w:rsidR="0071326C" w:rsidRDefault="009D595A"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En la jurisdicción militar la presunta víctima fue condenada a 28 meses de prisión por el delito de desobediencia el 15 de diciembre de 1997</w:t>
      </w:r>
      <w:r w:rsidR="007C6142" w:rsidRPr="009D595A">
        <w:rPr>
          <w:rFonts w:asciiTheme="majorHAnsi" w:hAnsiTheme="majorHAnsi"/>
          <w:sz w:val="20"/>
          <w:szCs w:val="20"/>
          <w:lang w:val="es-CL"/>
        </w:rPr>
        <w:t xml:space="preserve"> en una decisión en la que se indicó que los hechos “están encuadrados dentro del delito de tráfico ilícito de drogas, causa que se ventila en el juzgado Especializado Penal (…)”. El 30 de junio de 1998 se declaró sin lugar el recurso de revisión interpuesto, por lo que la sentencia anterior quedó firme. </w:t>
      </w:r>
    </w:p>
    <w:p w:rsidR="009D595A" w:rsidRDefault="009D595A" w:rsidP="009D595A">
      <w:pPr>
        <w:pStyle w:val="ListParagraph"/>
        <w:rPr>
          <w:rFonts w:asciiTheme="majorHAnsi" w:hAnsiTheme="majorHAnsi"/>
          <w:sz w:val="20"/>
          <w:szCs w:val="20"/>
          <w:lang w:val="es-CL"/>
        </w:rPr>
      </w:pPr>
    </w:p>
    <w:p w:rsidR="002E6498" w:rsidRDefault="009D595A"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La Comisión</w:t>
      </w:r>
      <w:r w:rsidR="002E6498">
        <w:rPr>
          <w:rFonts w:asciiTheme="majorHAnsi" w:hAnsiTheme="majorHAnsi"/>
          <w:sz w:val="20"/>
          <w:szCs w:val="20"/>
          <w:lang w:val="es-CL"/>
        </w:rPr>
        <w:t xml:space="preserve"> observa por una parte que se trata de dos sentencias condenatorias firmes, que impusieron sanciones de la misma naturaleza, es decir penas privativas de libertad</w:t>
      </w:r>
      <w:r w:rsidR="00AE7FC1">
        <w:rPr>
          <w:rFonts w:asciiTheme="majorHAnsi" w:hAnsiTheme="majorHAnsi"/>
          <w:sz w:val="20"/>
          <w:szCs w:val="20"/>
          <w:lang w:val="es-CL"/>
        </w:rPr>
        <w:t>, sobre la base de los mismos hechos. El doble enjuiciamiento y condena</w:t>
      </w:r>
      <w:r w:rsidR="007F6928">
        <w:rPr>
          <w:rFonts w:asciiTheme="majorHAnsi" w:hAnsiTheme="majorHAnsi"/>
          <w:sz w:val="20"/>
          <w:szCs w:val="20"/>
          <w:lang w:val="es-CL"/>
        </w:rPr>
        <w:t xml:space="preserve"> se corrobora con la motivación de </w:t>
      </w:r>
      <w:r w:rsidR="00615C80">
        <w:rPr>
          <w:rFonts w:asciiTheme="majorHAnsi" w:hAnsiTheme="majorHAnsi"/>
          <w:sz w:val="20"/>
          <w:szCs w:val="20"/>
          <w:lang w:val="es-CL"/>
        </w:rPr>
        <w:t>la sentencia e</w:t>
      </w:r>
      <w:r w:rsidR="007F6928">
        <w:rPr>
          <w:rFonts w:asciiTheme="majorHAnsi" w:hAnsiTheme="majorHAnsi"/>
          <w:sz w:val="20"/>
          <w:szCs w:val="20"/>
          <w:lang w:val="es-CL"/>
        </w:rPr>
        <w:t xml:space="preserve">n la jurisdicción penal militar que, </w:t>
      </w:r>
      <w:r w:rsidR="00615C80">
        <w:rPr>
          <w:rFonts w:asciiTheme="majorHAnsi" w:hAnsiTheme="majorHAnsi"/>
          <w:sz w:val="20"/>
          <w:szCs w:val="20"/>
          <w:lang w:val="es-CL"/>
        </w:rPr>
        <w:t xml:space="preserve">si bien condena al señor Rosadio por el delito de desobediencia, </w:t>
      </w:r>
      <w:r w:rsidR="001F76EE">
        <w:rPr>
          <w:rFonts w:asciiTheme="majorHAnsi" w:hAnsiTheme="majorHAnsi"/>
          <w:sz w:val="20"/>
          <w:szCs w:val="20"/>
          <w:lang w:val="es-CL"/>
        </w:rPr>
        <w:t xml:space="preserve">en el análisis no se efectúa una determinación autónoma sobre dicho delito y si los elementos constitutivos de ese tipo penal se encontraban o no presentes. Por el contrario, la </w:t>
      </w:r>
      <w:r w:rsidR="00801838">
        <w:rPr>
          <w:rFonts w:asciiTheme="majorHAnsi" w:hAnsiTheme="majorHAnsi"/>
          <w:sz w:val="20"/>
          <w:szCs w:val="20"/>
          <w:lang w:val="es-CL"/>
        </w:rPr>
        <w:t>“</w:t>
      </w:r>
      <w:r w:rsidR="00615C80">
        <w:rPr>
          <w:rFonts w:asciiTheme="majorHAnsi" w:hAnsiTheme="majorHAnsi"/>
          <w:sz w:val="20"/>
          <w:szCs w:val="20"/>
          <w:lang w:val="es-CL"/>
        </w:rPr>
        <w:t>desobediencia</w:t>
      </w:r>
      <w:r w:rsidR="00801838">
        <w:rPr>
          <w:rFonts w:asciiTheme="majorHAnsi" w:hAnsiTheme="majorHAnsi"/>
          <w:sz w:val="20"/>
          <w:szCs w:val="20"/>
          <w:lang w:val="es-CL"/>
        </w:rPr>
        <w:t>”</w:t>
      </w:r>
      <w:r w:rsidR="00615C80">
        <w:rPr>
          <w:rFonts w:asciiTheme="majorHAnsi" w:hAnsiTheme="majorHAnsi"/>
          <w:sz w:val="20"/>
          <w:szCs w:val="20"/>
          <w:lang w:val="es-CL"/>
        </w:rPr>
        <w:t xml:space="preserve"> se bas</w:t>
      </w:r>
      <w:r w:rsidR="00801838">
        <w:rPr>
          <w:rFonts w:asciiTheme="majorHAnsi" w:hAnsiTheme="majorHAnsi"/>
          <w:sz w:val="20"/>
          <w:szCs w:val="20"/>
          <w:lang w:val="es-CL"/>
        </w:rPr>
        <w:t>ó</w:t>
      </w:r>
      <w:r w:rsidR="00A66C62">
        <w:rPr>
          <w:rFonts w:asciiTheme="majorHAnsi" w:hAnsiTheme="majorHAnsi"/>
          <w:sz w:val="20"/>
          <w:szCs w:val="20"/>
          <w:lang w:val="es-CL"/>
        </w:rPr>
        <w:t>, al menos parcialmente,</w:t>
      </w:r>
      <w:r w:rsidR="00615C80">
        <w:rPr>
          <w:rFonts w:asciiTheme="majorHAnsi" w:hAnsiTheme="majorHAnsi"/>
          <w:sz w:val="20"/>
          <w:szCs w:val="20"/>
          <w:lang w:val="es-CL"/>
        </w:rPr>
        <w:t xml:space="preserve"> en su entendimiento en el sentido de que los hechos se encuadran en el delito de tráfico ilícito de drogas que, como se dijo, se estaba ventilando en otra jurisdicción en la que, en </w:t>
      </w:r>
      <w:r w:rsidR="00801838">
        <w:rPr>
          <w:rFonts w:asciiTheme="majorHAnsi" w:hAnsiTheme="majorHAnsi"/>
          <w:sz w:val="20"/>
          <w:szCs w:val="20"/>
          <w:lang w:val="es-CL"/>
        </w:rPr>
        <w:t xml:space="preserve">definitiva, también fue condenado el señor Rosadio.  </w:t>
      </w:r>
    </w:p>
    <w:p w:rsidR="00302C6C" w:rsidRDefault="00302C6C" w:rsidP="00302C6C">
      <w:pPr>
        <w:pStyle w:val="ListParagraph"/>
        <w:rPr>
          <w:rFonts w:asciiTheme="majorHAnsi" w:hAnsiTheme="majorHAnsi"/>
          <w:sz w:val="20"/>
          <w:szCs w:val="20"/>
          <w:lang w:val="es-CL"/>
        </w:rPr>
      </w:pPr>
    </w:p>
    <w:p w:rsidR="002A54A2" w:rsidRDefault="00E71D82"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sidRPr="00DF432E">
        <w:rPr>
          <w:rFonts w:asciiTheme="majorHAnsi" w:hAnsiTheme="majorHAnsi"/>
          <w:sz w:val="20"/>
          <w:szCs w:val="20"/>
          <w:lang w:val="es-CL"/>
        </w:rPr>
        <w:t>En cuanto a la correlación entre la sanción administ</w:t>
      </w:r>
      <w:r w:rsidR="00DF432E">
        <w:rPr>
          <w:rFonts w:asciiTheme="majorHAnsi" w:hAnsiTheme="majorHAnsi"/>
          <w:sz w:val="20"/>
          <w:szCs w:val="20"/>
          <w:lang w:val="es-CL"/>
        </w:rPr>
        <w:t>rativa disciplinaria</w:t>
      </w:r>
      <w:r w:rsidR="00493E67">
        <w:rPr>
          <w:rFonts w:asciiTheme="majorHAnsi" w:hAnsiTheme="majorHAnsi"/>
          <w:sz w:val="20"/>
          <w:szCs w:val="20"/>
          <w:lang w:val="es-CL"/>
        </w:rPr>
        <w:t xml:space="preserve"> impuesta</w:t>
      </w:r>
      <w:r w:rsidR="00DF432E">
        <w:rPr>
          <w:rFonts w:asciiTheme="majorHAnsi" w:hAnsiTheme="majorHAnsi"/>
          <w:sz w:val="20"/>
          <w:szCs w:val="20"/>
          <w:lang w:val="es-CL"/>
        </w:rPr>
        <w:t xml:space="preserve">, </w:t>
      </w:r>
      <w:r w:rsidR="00493E67">
        <w:rPr>
          <w:rFonts w:asciiTheme="majorHAnsi" w:hAnsiTheme="majorHAnsi"/>
          <w:sz w:val="20"/>
          <w:szCs w:val="20"/>
          <w:lang w:val="es-CL"/>
        </w:rPr>
        <w:t xml:space="preserve">y las sanciones penales mencionadas con anterioridad,  la </w:t>
      </w:r>
      <w:r w:rsidR="006833E6">
        <w:rPr>
          <w:rFonts w:asciiTheme="majorHAnsi" w:hAnsiTheme="majorHAnsi"/>
          <w:sz w:val="20"/>
          <w:szCs w:val="20"/>
          <w:lang w:val="es-CL"/>
        </w:rPr>
        <w:t xml:space="preserve">Comisión observa en primer lugar, como se indicó en </w:t>
      </w:r>
      <w:r w:rsidR="00DA3047">
        <w:rPr>
          <w:rFonts w:asciiTheme="majorHAnsi" w:hAnsiTheme="majorHAnsi"/>
          <w:sz w:val="20"/>
          <w:szCs w:val="20"/>
          <w:lang w:val="es-CL"/>
        </w:rPr>
        <w:t>la sección correspondiente, las au</w:t>
      </w:r>
      <w:r w:rsidR="000E45FC">
        <w:rPr>
          <w:rFonts w:asciiTheme="majorHAnsi" w:hAnsiTheme="majorHAnsi"/>
          <w:sz w:val="20"/>
          <w:szCs w:val="20"/>
          <w:lang w:val="es-CL"/>
        </w:rPr>
        <w:t xml:space="preserve">toridades no definieron con claridad las causales disciplinarias que se investigaban a la presunta víctima, y el Consejo de Investigación recomendó pasar a retiro a la presunta víctima por medida disciplinaria consistente en “faltas contra el honor, decoro, moral y deberes militares: contra el deber y dignidad de la función, falsedad, negligencia contra la administración de justicia, desobediencia, abuso de autoridad y </w:t>
      </w:r>
      <w:proofErr w:type="spellStart"/>
      <w:r w:rsidR="000E45FC">
        <w:rPr>
          <w:rFonts w:asciiTheme="majorHAnsi" w:hAnsiTheme="majorHAnsi"/>
          <w:sz w:val="20"/>
          <w:szCs w:val="20"/>
          <w:lang w:val="es-CL"/>
        </w:rPr>
        <w:t>Tid</w:t>
      </w:r>
      <w:proofErr w:type="spellEnd"/>
      <w:r w:rsidR="000E45FC">
        <w:rPr>
          <w:rFonts w:asciiTheme="majorHAnsi" w:hAnsiTheme="majorHAnsi"/>
          <w:sz w:val="20"/>
          <w:szCs w:val="20"/>
          <w:lang w:val="es-CL"/>
        </w:rPr>
        <w:t xml:space="preserve"> (tráfico ilícito de drogas).</w:t>
      </w:r>
      <w:r w:rsidR="00DA3047">
        <w:rPr>
          <w:rFonts w:asciiTheme="majorHAnsi" w:hAnsiTheme="majorHAnsi"/>
          <w:sz w:val="20"/>
          <w:szCs w:val="20"/>
          <w:lang w:val="es-CL"/>
        </w:rPr>
        <w:t xml:space="preserve"> </w:t>
      </w:r>
      <w:r w:rsidR="00163057">
        <w:rPr>
          <w:rFonts w:asciiTheme="majorHAnsi" w:hAnsiTheme="majorHAnsi"/>
          <w:sz w:val="20"/>
          <w:szCs w:val="20"/>
          <w:lang w:val="es-CL"/>
        </w:rPr>
        <w:t xml:space="preserve">No obstante tampoco se definieron con claridad los hechos que encuadraban en cada una de las </w:t>
      </w:r>
      <w:r w:rsidR="00F23884">
        <w:rPr>
          <w:rFonts w:asciiTheme="majorHAnsi" w:hAnsiTheme="majorHAnsi"/>
          <w:sz w:val="20"/>
          <w:szCs w:val="20"/>
          <w:lang w:val="es-CL"/>
        </w:rPr>
        <w:t>referidas</w:t>
      </w:r>
      <w:r w:rsidR="00163057">
        <w:rPr>
          <w:rFonts w:asciiTheme="majorHAnsi" w:hAnsiTheme="majorHAnsi"/>
          <w:sz w:val="20"/>
          <w:szCs w:val="20"/>
          <w:lang w:val="es-CL"/>
        </w:rPr>
        <w:t xml:space="preserve"> causales, </w:t>
      </w:r>
      <w:r w:rsidR="00A142DA">
        <w:rPr>
          <w:rFonts w:asciiTheme="majorHAnsi" w:hAnsiTheme="majorHAnsi"/>
          <w:sz w:val="20"/>
          <w:szCs w:val="20"/>
          <w:lang w:val="es-CL"/>
        </w:rPr>
        <w:t xml:space="preserve">y </w:t>
      </w:r>
      <w:r w:rsidR="00925297">
        <w:rPr>
          <w:rFonts w:asciiTheme="majorHAnsi" w:hAnsiTheme="majorHAnsi"/>
          <w:sz w:val="20"/>
          <w:szCs w:val="20"/>
          <w:lang w:val="es-CL"/>
        </w:rPr>
        <w:t>de todo el expediente la Comisión entiende que l</w:t>
      </w:r>
      <w:r w:rsidR="002A54A2">
        <w:rPr>
          <w:rFonts w:asciiTheme="majorHAnsi" w:hAnsiTheme="majorHAnsi"/>
          <w:sz w:val="20"/>
          <w:szCs w:val="20"/>
          <w:lang w:val="es-CL"/>
        </w:rPr>
        <w:t>os hechos referidos en dicho proceso fueron los mismos que se discutieron en el marco de los proceso</w:t>
      </w:r>
      <w:r w:rsidR="00A142DA">
        <w:rPr>
          <w:rFonts w:asciiTheme="majorHAnsi" w:hAnsiTheme="majorHAnsi"/>
          <w:sz w:val="20"/>
          <w:szCs w:val="20"/>
          <w:lang w:val="es-CL"/>
        </w:rPr>
        <w:t xml:space="preserve">s penales ordinario y militar. </w:t>
      </w:r>
    </w:p>
    <w:p w:rsidR="002A54A2" w:rsidRDefault="002A54A2" w:rsidP="002A54A2">
      <w:pPr>
        <w:pStyle w:val="ListParagraph"/>
        <w:rPr>
          <w:rFonts w:asciiTheme="majorHAnsi" w:hAnsiTheme="majorHAnsi"/>
          <w:sz w:val="20"/>
          <w:szCs w:val="20"/>
          <w:lang w:val="es-CL"/>
        </w:rPr>
      </w:pPr>
    </w:p>
    <w:p w:rsidR="002E6498" w:rsidRDefault="00B54FF6"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Adicionalmente,</w:t>
      </w:r>
      <w:r w:rsidR="00615C80">
        <w:rPr>
          <w:rFonts w:asciiTheme="majorHAnsi" w:hAnsiTheme="majorHAnsi"/>
          <w:sz w:val="20"/>
          <w:szCs w:val="20"/>
          <w:lang w:val="es-CL"/>
        </w:rPr>
        <w:t xml:space="preserve"> en cuanto a las calificaciones jurídicas de tales hechos, el</w:t>
      </w:r>
      <w:r>
        <w:rPr>
          <w:rFonts w:asciiTheme="majorHAnsi" w:hAnsiTheme="majorHAnsi"/>
          <w:sz w:val="20"/>
          <w:szCs w:val="20"/>
          <w:lang w:val="es-CL"/>
        </w:rPr>
        <w:t xml:space="preserve"> </w:t>
      </w:r>
      <w:r w:rsidR="002A54A2">
        <w:rPr>
          <w:rFonts w:asciiTheme="majorHAnsi" w:hAnsiTheme="majorHAnsi"/>
          <w:sz w:val="20"/>
          <w:szCs w:val="20"/>
          <w:lang w:val="es-CL"/>
        </w:rPr>
        <w:t xml:space="preserve">Estado no argumentó la diferencia entre el delito de desobediencia por el que se condenó a la presunta víctima en la jurisdicción penal </w:t>
      </w:r>
      <w:r w:rsidR="00044320">
        <w:rPr>
          <w:rFonts w:asciiTheme="majorHAnsi" w:hAnsiTheme="majorHAnsi"/>
          <w:sz w:val="20"/>
          <w:szCs w:val="20"/>
          <w:lang w:val="es-CL"/>
        </w:rPr>
        <w:t>militar</w:t>
      </w:r>
      <w:r w:rsidR="002A54A2">
        <w:rPr>
          <w:rFonts w:asciiTheme="majorHAnsi" w:hAnsiTheme="majorHAnsi"/>
          <w:sz w:val="20"/>
          <w:szCs w:val="20"/>
          <w:lang w:val="es-CL"/>
        </w:rPr>
        <w:t>, y dicha figura como falta disciplinaria, ni tampoco la distinción entre el delito de tráfico ilícito de drogas por el que se condenó a la presunta víctima en el ámbito penal, y dicha figura en el ámbito disciplinario. En virtud de ello la Comisión considera razonable inferir que en al</w:t>
      </w:r>
      <w:r w:rsidR="001058B3">
        <w:rPr>
          <w:rFonts w:asciiTheme="majorHAnsi" w:hAnsiTheme="majorHAnsi"/>
          <w:sz w:val="20"/>
          <w:szCs w:val="20"/>
          <w:lang w:val="es-CL"/>
        </w:rPr>
        <w:t xml:space="preserve"> menos estas dos </w:t>
      </w:r>
      <w:r w:rsidR="001058B3">
        <w:rPr>
          <w:rFonts w:asciiTheme="majorHAnsi" w:hAnsiTheme="majorHAnsi"/>
          <w:sz w:val="20"/>
          <w:szCs w:val="20"/>
          <w:lang w:val="es-CL"/>
        </w:rPr>
        <w:lastRenderedPageBreak/>
        <w:t>conductas, el Estado peruano asimiló conductas p</w:t>
      </w:r>
      <w:r w:rsidR="00044320">
        <w:rPr>
          <w:rFonts w:asciiTheme="majorHAnsi" w:hAnsiTheme="majorHAnsi"/>
          <w:sz w:val="20"/>
          <w:szCs w:val="20"/>
          <w:lang w:val="es-CL"/>
        </w:rPr>
        <w:t xml:space="preserve">enales a faltas disciplinarias, es decir que con el mismo fundamento e identidad de hechos y sujeto impuso dos sanciones distintas. </w:t>
      </w:r>
    </w:p>
    <w:p w:rsidR="006833E6" w:rsidRPr="00044320" w:rsidRDefault="006833E6" w:rsidP="00044320">
      <w:pPr>
        <w:rPr>
          <w:rFonts w:asciiTheme="majorHAnsi" w:hAnsiTheme="majorHAnsi"/>
          <w:sz w:val="20"/>
          <w:szCs w:val="20"/>
          <w:lang w:val="es-CL"/>
        </w:rPr>
      </w:pPr>
    </w:p>
    <w:p w:rsidR="00DD584C" w:rsidRDefault="00D55868" w:rsidP="002805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La Comisión resalta que si bien los procesos administrativos sancionatorios tienen naturaleza distinta a los procesos penales, por la magnitud de la sanción</w:t>
      </w:r>
      <w:r w:rsidRPr="00D55868">
        <w:rPr>
          <w:rStyle w:val="FootnoteReference"/>
          <w:rFonts w:asciiTheme="majorHAnsi" w:hAnsiTheme="majorHAnsi"/>
          <w:sz w:val="20"/>
          <w:szCs w:val="20"/>
          <w:lang w:val="es-CL"/>
        </w:rPr>
        <w:footnoteReference w:id="131"/>
      </w:r>
      <w:r>
        <w:rPr>
          <w:rFonts w:asciiTheme="majorHAnsi" w:hAnsiTheme="majorHAnsi"/>
          <w:sz w:val="20"/>
          <w:szCs w:val="20"/>
          <w:lang w:val="es-CL"/>
        </w:rPr>
        <w:t xml:space="preserve"> así como el estándar probatorio que exige para su comprobación, observa que en el presente caso en la jurisdicción administrativa disciplinaria no se aplicaron causales disciplinarias de manera autónoma, pues algunos tipos penales fueron asimilados </w:t>
      </w:r>
      <w:r w:rsidR="00BC3590">
        <w:rPr>
          <w:rFonts w:asciiTheme="majorHAnsi" w:hAnsiTheme="majorHAnsi"/>
          <w:sz w:val="20"/>
          <w:szCs w:val="20"/>
          <w:lang w:val="es-CL"/>
        </w:rPr>
        <w:t xml:space="preserve"> a causales disciplinarias.</w:t>
      </w:r>
      <w:r w:rsidR="008D6BC5">
        <w:rPr>
          <w:rFonts w:asciiTheme="majorHAnsi" w:hAnsiTheme="majorHAnsi"/>
          <w:sz w:val="20"/>
          <w:szCs w:val="20"/>
          <w:lang w:val="es-CL"/>
        </w:rPr>
        <w:t xml:space="preserve"> </w:t>
      </w:r>
      <w:r w:rsidR="002805CE">
        <w:rPr>
          <w:rFonts w:asciiTheme="majorHAnsi" w:hAnsiTheme="majorHAnsi"/>
          <w:sz w:val="20"/>
          <w:szCs w:val="20"/>
          <w:lang w:val="es-CL"/>
        </w:rPr>
        <w:t xml:space="preserve"> </w:t>
      </w:r>
    </w:p>
    <w:p w:rsidR="00B809F6" w:rsidRDefault="00B809F6" w:rsidP="00BC35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hAnsiTheme="majorHAnsi"/>
          <w:sz w:val="20"/>
          <w:szCs w:val="20"/>
          <w:lang w:val="es-CL"/>
        </w:rPr>
      </w:pPr>
    </w:p>
    <w:p w:rsidR="00493E67" w:rsidRPr="001749FD" w:rsidRDefault="00493E67"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Tomando en cuenta las consideraciones vertidas en la presente sección la Comisión Interamericana concluye que el Estado peruano es responsable por la violación del derecho establecido en el artículo 8.4 de la Convención Americana en relación con las obligaciones establecidas en el artículo 1.1 del mismo instrumento</w:t>
      </w:r>
      <w:r w:rsidR="00CD37B6">
        <w:rPr>
          <w:rFonts w:asciiTheme="majorHAnsi" w:hAnsiTheme="majorHAnsi"/>
          <w:sz w:val="20"/>
          <w:szCs w:val="20"/>
          <w:lang w:val="es-CL"/>
        </w:rPr>
        <w:t xml:space="preserve"> en perjuicio del señor Rosadio Villavicencio.</w:t>
      </w:r>
    </w:p>
    <w:p w:rsidR="0028514D" w:rsidRDefault="0028514D" w:rsidP="00FA0E77">
      <w:pPr>
        <w:rPr>
          <w:lang w:val="es-CL" w:eastAsia="es-ES"/>
        </w:rPr>
      </w:pPr>
    </w:p>
    <w:p w:rsidR="00ED4406" w:rsidRPr="0067485F" w:rsidRDefault="00ED4406" w:rsidP="006B6817">
      <w:pPr>
        <w:pStyle w:val="Heading2"/>
        <w:numPr>
          <w:ilvl w:val="0"/>
          <w:numId w:val="61"/>
        </w:numPr>
        <w:rPr>
          <w:lang w:val="es-ES" w:eastAsia="es-ES"/>
        </w:rPr>
      </w:pPr>
      <w:bookmarkStart w:id="55" w:name="_Toc485394067"/>
      <w:r w:rsidRPr="00EE24AD">
        <w:rPr>
          <w:lang w:val="es-ES" w:eastAsia="es-ES"/>
        </w:rPr>
        <w:t>El derecho a la libertad personal</w:t>
      </w:r>
      <w:r w:rsidR="0067485F">
        <w:rPr>
          <w:lang w:val="es-ES" w:eastAsia="es-ES"/>
        </w:rPr>
        <w:t>,</w:t>
      </w:r>
      <w:r w:rsidRPr="00EE24AD">
        <w:rPr>
          <w:lang w:val="es-ES" w:eastAsia="es-ES"/>
        </w:rPr>
        <w:t xml:space="preserve"> a la</w:t>
      </w:r>
      <w:r>
        <w:rPr>
          <w:lang w:val="es-ES" w:eastAsia="es-ES"/>
        </w:rPr>
        <w:t>s</w:t>
      </w:r>
      <w:r w:rsidRPr="00EE24AD">
        <w:rPr>
          <w:lang w:val="es-ES" w:eastAsia="es-ES"/>
        </w:rPr>
        <w:t xml:space="preserve"> </w:t>
      </w:r>
      <w:r>
        <w:rPr>
          <w:lang w:val="es-ES" w:eastAsia="es-ES"/>
        </w:rPr>
        <w:t>garantías judiciales</w:t>
      </w:r>
      <w:r w:rsidRPr="00EE24AD">
        <w:rPr>
          <w:lang w:val="es-ES" w:eastAsia="es-ES"/>
        </w:rPr>
        <w:t xml:space="preserve"> </w:t>
      </w:r>
      <w:r w:rsidR="0067485F">
        <w:rPr>
          <w:lang w:val="es-ES" w:eastAsia="es-ES"/>
        </w:rPr>
        <w:t xml:space="preserve">y a la protección judicial </w:t>
      </w:r>
      <w:r w:rsidRPr="0067485F">
        <w:rPr>
          <w:lang w:val="es-ES" w:eastAsia="es-ES"/>
        </w:rPr>
        <w:t xml:space="preserve">respecto de la detención preventiva (Artículos 7.1, </w:t>
      </w:r>
      <w:r w:rsidR="001523BB">
        <w:rPr>
          <w:lang w:val="es-ES" w:eastAsia="es-ES"/>
        </w:rPr>
        <w:t xml:space="preserve">7.3, 7.5, 7.6, 8.2, 25.1 y </w:t>
      </w:r>
      <w:r w:rsidRPr="0067485F">
        <w:rPr>
          <w:lang w:val="es-ES" w:eastAsia="es-ES"/>
        </w:rPr>
        <w:t>1.1 de la Convención Americana)</w:t>
      </w:r>
      <w:bookmarkEnd w:id="46"/>
      <w:bookmarkEnd w:id="55"/>
    </w:p>
    <w:p w:rsidR="00ED4406" w:rsidRDefault="00ED4406" w:rsidP="003005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80808"/>
          <w:sz w:val="20"/>
          <w:szCs w:val="20"/>
          <w:shd w:val="clear" w:color="auto" w:fill="FFFFFF"/>
          <w:lang w:val="es-ES"/>
        </w:rPr>
      </w:pPr>
    </w:p>
    <w:p w:rsidR="004310CD" w:rsidRDefault="0067485F" w:rsidP="0021429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sidRPr="003157B0">
        <w:rPr>
          <w:rFonts w:asciiTheme="majorHAnsi" w:hAnsiTheme="majorHAnsi"/>
          <w:sz w:val="20"/>
          <w:szCs w:val="20"/>
          <w:lang w:val="es-CL"/>
        </w:rPr>
        <w:t>El artículo 7 de la Convención Americana establece, en lo relevante, que:</w:t>
      </w:r>
    </w:p>
    <w:p w:rsidR="0021429C" w:rsidRPr="0021429C" w:rsidRDefault="0021429C" w:rsidP="002142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Theme="majorHAnsi" w:hAnsiTheme="majorHAnsi"/>
          <w:sz w:val="20"/>
          <w:szCs w:val="20"/>
          <w:lang w:val="es-CL"/>
        </w:rPr>
      </w:pPr>
    </w:p>
    <w:p w:rsidR="004310CD" w:rsidRPr="0021429C" w:rsidRDefault="004310CD" w:rsidP="003F520C">
      <w:pPr>
        <w:pStyle w:val="ListParagraph"/>
        <w:numPr>
          <w:ilvl w:val="0"/>
          <w:numId w:val="65"/>
        </w:numPr>
        <w:tabs>
          <w:tab w:val="left" w:pos="1080"/>
        </w:tabs>
        <w:autoSpaceDE w:val="0"/>
        <w:autoSpaceDN w:val="0"/>
        <w:adjustRightInd w:val="0"/>
        <w:ind w:right="720"/>
        <w:jc w:val="both"/>
        <w:rPr>
          <w:rFonts w:asciiTheme="majorHAnsi" w:hAnsiTheme="majorHAnsi" w:cs="Verdana"/>
          <w:sz w:val="20"/>
          <w:szCs w:val="20"/>
          <w:lang w:val="es-ES" w:bidi="en-US"/>
        </w:rPr>
      </w:pPr>
      <w:r w:rsidRPr="0021429C">
        <w:rPr>
          <w:rFonts w:asciiTheme="majorHAnsi" w:hAnsiTheme="majorHAnsi" w:cs="Verdana"/>
          <w:sz w:val="20"/>
          <w:szCs w:val="20"/>
          <w:lang w:val="es-ES" w:bidi="en-US"/>
        </w:rPr>
        <w:t xml:space="preserve">Toda </w:t>
      </w:r>
      <w:r w:rsidR="0021429C" w:rsidRPr="0021429C">
        <w:rPr>
          <w:rFonts w:asciiTheme="majorHAnsi" w:hAnsiTheme="majorHAnsi" w:cs="Verdana"/>
          <w:sz w:val="20"/>
          <w:szCs w:val="20"/>
          <w:lang w:val="es-ES" w:bidi="en-US"/>
        </w:rPr>
        <w:t>persona tiene derecho a la libertad y a la seguridad personales</w:t>
      </w:r>
    </w:p>
    <w:p w:rsidR="0021429C" w:rsidRPr="0021429C" w:rsidRDefault="0021429C" w:rsidP="003F520C">
      <w:pPr>
        <w:pStyle w:val="ListParagraph"/>
        <w:numPr>
          <w:ilvl w:val="0"/>
          <w:numId w:val="66"/>
        </w:numPr>
        <w:tabs>
          <w:tab w:val="left" w:pos="1080"/>
        </w:tabs>
        <w:autoSpaceDE w:val="0"/>
        <w:autoSpaceDN w:val="0"/>
        <w:adjustRightInd w:val="0"/>
        <w:ind w:right="720"/>
        <w:jc w:val="both"/>
        <w:rPr>
          <w:rFonts w:asciiTheme="majorHAnsi" w:hAnsiTheme="majorHAnsi" w:cs="Verdana"/>
          <w:sz w:val="20"/>
          <w:szCs w:val="20"/>
          <w:lang w:val="es-ES" w:bidi="en-US"/>
        </w:rPr>
      </w:pPr>
      <w:r w:rsidRPr="0021429C">
        <w:rPr>
          <w:rFonts w:asciiTheme="majorHAnsi" w:hAnsiTheme="majorHAnsi" w:cs="Verdana"/>
          <w:sz w:val="20"/>
          <w:szCs w:val="20"/>
          <w:lang w:val="es-ES" w:bidi="en-US"/>
        </w:rPr>
        <w:t>Nadie puede ser sometido a detención o encarcelamiento arbitrarios</w:t>
      </w:r>
    </w:p>
    <w:p w:rsidR="0021429C" w:rsidRPr="0021429C" w:rsidRDefault="0021429C" w:rsidP="003F520C">
      <w:pPr>
        <w:pStyle w:val="ListParagraph"/>
        <w:numPr>
          <w:ilvl w:val="0"/>
          <w:numId w:val="67"/>
        </w:numPr>
        <w:tabs>
          <w:tab w:val="left" w:pos="1080"/>
        </w:tabs>
        <w:autoSpaceDE w:val="0"/>
        <w:autoSpaceDN w:val="0"/>
        <w:adjustRightInd w:val="0"/>
        <w:ind w:right="720"/>
        <w:jc w:val="both"/>
        <w:rPr>
          <w:rFonts w:asciiTheme="majorHAnsi" w:hAnsiTheme="majorHAnsi" w:cs="Verdana"/>
          <w:sz w:val="20"/>
          <w:szCs w:val="20"/>
          <w:lang w:val="es-ES" w:bidi="en-US"/>
        </w:rPr>
      </w:pPr>
      <w:r w:rsidRPr="0021429C">
        <w:rPr>
          <w:rFonts w:asciiTheme="majorHAnsi" w:hAnsiTheme="majorHAnsi" w:cs="Tahoma"/>
          <w:sz w:val="20"/>
          <w:szCs w:val="20"/>
          <w:lang w:val="es-VE"/>
        </w:rPr>
        <w:t>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21429C" w:rsidRPr="0021429C" w:rsidRDefault="0021429C" w:rsidP="003F520C">
      <w:pPr>
        <w:pStyle w:val="ListParagraph"/>
        <w:numPr>
          <w:ilvl w:val="0"/>
          <w:numId w:val="67"/>
        </w:numPr>
        <w:tabs>
          <w:tab w:val="left" w:pos="1080"/>
        </w:tabs>
        <w:autoSpaceDE w:val="0"/>
        <w:autoSpaceDN w:val="0"/>
        <w:adjustRightInd w:val="0"/>
        <w:ind w:right="720"/>
        <w:jc w:val="both"/>
        <w:rPr>
          <w:rFonts w:asciiTheme="majorHAnsi" w:hAnsiTheme="majorHAnsi" w:cs="Verdana"/>
          <w:sz w:val="20"/>
          <w:szCs w:val="20"/>
          <w:lang w:val="es-ES" w:bidi="en-US"/>
        </w:rPr>
      </w:pPr>
      <w:r w:rsidRPr="0021429C">
        <w:rPr>
          <w:rFonts w:asciiTheme="majorHAnsi" w:hAnsiTheme="majorHAnsi" w:cs="Tahoma"/>
          <w:sz w:val="20"/>
          <w:szCs w:val="20"/>
          <w:lang w:val="es-VE"/>
        </w:rPr>
        <w:t>Toda persona privada de libertad tiene derecho a recurrir ante un juez o tribunal competente, a fin de que éste decida, sin demora, sobre la legalidad de su arresto o detención y ordene su libertad si el arresto o</w:t>
      </w:r>
      <w:r>
        <w:rPr>
          <w:rFonts w:asciiTheme="majorHAnsi" w:hAnsiTheme="majorHAnsi" w:cs="Tahoma"/>
          <w:sz w:val="20"/>
          <w:szCs w:val="20"/>
          <w:lang w:val="es-VE"/>
        </w:rPr>
        <w:t xml:space="preserve"> la detención fueran ilegales.</w:t>
      </w:r>
      <w:r w:rsidR="00E751B9">
        <w:rPr>
          <w:rFonts w:asciiTheme="majorHAnsi" w:hAnsiTheme="majorHAnsi" w:cs="Tahoma"/>
          <w:sz w:val="20"/>
          <w:szCs w:val="20"/>
          <w:lang w:val="es-VE"/>
        </w:rPr>
        <w:t xml:space="preserve"> </w:t>
      </w:r>
      <w:r w:rsidRPr="0021429C">
        <w:rPr>
          <w:rFonts w:asciiTheme="majorHAnsi" w:hAnsiTheme="majorHAnsi" w:cs="Tahoma"/>
          <w:sz w:val="20"/>
          <w:szCs w:val="20"/>
          <w:lang w:val="es-VE"/>
        </w:rPr>
        <w:t>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21429C" w:rsidRDefault="0021429C" w:rsidP="0021429C">
      <w:pPr>
        <w:pStyle w:val="ListParagraph"/>
        <w:tabs>
          <w:tab w:val="left" w:pos="1080"/>
        </w:tabs>
        <w:autoSpaceDE w:val="0"/>
        <w:autoSpaceDN w:val="0"/>
        <w:adjustRightInd w:val="0"/>
        <w:ind w:left="1080" w:right="720"/>
        <w:jc w:val="both"/>
        <w:rPr>
          <w:rFonts w:asciiTheme="majorHAnsi" w:hAnsiTheme="majorHAnsi" w:cs="Tahoma"/>
          <w:sz w:val="20"/>
          <w:szCs w:val="20"/>
          <w:lang w:val="es-VE"/>
        </w:rPr>
      </w:pPr>
    </w:p>
    <w:p w:rsidR="00E751B9" w:rsidRDefault="00E751B9" w:rsidP="00E751B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El artículo 8.2</w:t>
      </w:r>
      <w:r w:rsidRPr="003157B0">
        <w:rPr>
          <w:rFonts w:asciiTheme="majorHAnsi" w:hAnsiTheme="majorHAnsi"/>
          <w:sz w:val="20"/>
          <w:szCs w:val="20"/>
          <w:lang w:val="es-CL"/>
        </w:rPr>
        <w:t xml:space="preserve"> de la Convención Americana </w:t>
      </w:r>
      <w:r>
        <w:rPr>
          <w:rFonts w:asciiTheme="majorHAnsi" w:hAnsiTheme="majorHAnsi"/>
          <w:sz w:val="20"/>
          <w:szCs w:val="20"/>
          <w:lang w:val="es-CL"/>
        </w:rPr>
        <w:t>establece, en lo relevante, que “toda persona inculpada de delito tiene derecho a que se presuma su inocencia mientras no se establezca legalmente su culpabilidad</w:t>
      </w:r>
      <w:r w:rsidR="003C728D">
        <w:rPr>
          <w:rFonts w:asciiTheme="majorHAnsi" w:hAnsiTheme="majorHAnsi"/>
          <w:sz w:val="20"/>
          <w:szCs w:val="20"/>
          <w:lang w:val="es-CL"/>
        </w:rPr>
        <w:t>”</w:t>
      </w:r>
      <w:r>
        <w:rPr>
          <w:rFonts w:asciiTheme="majorHAnsi" w:hAnsiTheme="majorHAnsi"/>
          <w:sz w:val="20"/>
          <w:szCs w:val="20"/>
          <w:lang w:val="es-CL"/>
        </w:rPr>
        <w:t xml:space="preserve">. </w:t>
      </w:r>
    </w:p>
    <w:p w:rsidR="00E751B9" w:rsidRDefault="00E751B9" w:rsidP="00E751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hAnsiTheme="majorHAnsi"/>
          <w:sz w:val="20"/>
          <w:szCs w:val="20"/>
          <w:lang w:val="es-CL"/>
        </w:rPr>
      </w:pPr>
    </w:p>
    <w:p w:rsidR="00E751B9" w:rsidRDefault="00E751B9" w:rsidP="00E751B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El artículo 25.1 de la Convención Americana establece que:</w:t>
      </w:r>
    </w:p>
    <w:p w:rsidR="00E751B9" w:rsidRDefault="00E751B9" w:rsidP="00E751B9">
      <w:pPr>
        <w:pStyle w:val="ListParagraph"/>
        <w:rPr>
          <w:rFonts w:asciiTheme="majorHAnsi" w:hAnsiTheme="majorHAnsi"/>
          <w:sz w:val="20"/>
          <w:szCs w:val="20"/>
          <w:lang w:val="es-CL"/>
        </w:rPr>
      </w:pPr>
    </w:p>
    <w:p w:rsidR="00E751B9" w:rsidRPr="00E751B9" w:rsidRDefault="00E751B9" w:rsidP="00E751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hAnsiTheme="majorHAnsi"/>
          <w:sz w:val="20"/>
          <w:szCs w:val="20"/>
          <w:lang w:val="es-VE"/>
        </w:rPr>
      </w:pPr>
      <w:r w:rsidRPr="00E751B9">
        <w:rPr>
          <w:rFonts w:asciiTheme="majorHAnsi" w:hAnsiTheme="majorHAnsi" w:cs="Tahoma"/>
          <w:color w:val="000000"/>
          <w:sz w:val="20"/>
          <w:szCs w:val="20"/>
          <w:lang w:val="es-VE"/>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21429C" w:rsidRDefault="0021429C" w:rsidP="0021429C">
      <w:pPr>
        <w:pStyle w:val="ListParagraph"/>
        <w:tabs>
          <w:tab w:val="left" w:pos="1080"/>
        </w:tabs>
        <w:autoSpaceDE w:val="0"/>
        <w:autoSpaceDN w:val="0"/>
        <w:adjustRightInd w:val="0"/>
        <w:ind w:left="1080" w:right="720"/>
        <w:jc w:val="both"/>
        <w:rPr>
          <w:rFonts w:asciiTheme="majorHAnsi" w:hAnsiTheme="majorHAnsi" w:cs="Verdana"/>
          <w:sz w:val="20"/>
          <w:szCs w:val="20"/>
          <w:lang w:val="es-CL" w:bidi="en-US"/>
        </w:rPr>
      </w:pPr>
    </w:p>
    <w:p w:rsidR="004310CD" w:rsidRPr="0067059F" w:rsidRDefault="001523BB" w:rsidP="0021429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Pr>
          <w:rFonts w:asciiTheme="majorHAnsi" w:hAnsiTheme="majorHAnsi"/>
          <w:sz w:val="20"/>
          <w:szCs w:val="20"/>
          <w:lang w:val="es-CL"/>
        </w:rPr>
        <w:t>El contenido del artículo</w:t>
      </w:r>
      <w:r w:rsidR="0067059F">
        <w:rPr>
          <w:rFonts w:asciiTheme="majorHAnsi" w:hAnsiTheme="majorHAnsi"/>
          <w:sz w:val="20"/>
          <w:szCs w:val="20"/>
          <w:lang w:val="es-CL"/>
        </w:rPr>
        <w:t xml:space="preserve"> 1.1 de la Convención Americana ya fue transcrito en las secciones anteriores. </w:t>
      </w:r>
    </w:p>
    <w:p w:rsidR="007934F9" w:rsidRPr="00EE24AD" w:rsidRDefault="007934F9" w:rsidP="006B6817">
      <w:pPr>
        <w:pStyle w:val="Heading3"/>
        <w:numPr>
          <w:ilvl w:val="0"/>
          <w:numId w:val="63"/>
        </w:numPr>
        <w:tabs>
          <w:tab w:val="clear" w:pos="1800"/>
          <w:tab w:val="num" w:pos="1440"/>
        </w:tabs>
        <w:ind w:hanging="1080"/>
        <w:rPr>
          <w:sz w:val="20"/>
          <w:szCs w:val="20"/>
          <w:lang w:val="es-VE"/>
        </w:rPr>
      </w:pPr>
      <w:bookmarkStart w:id="56" w:name="_Toc485394068"/>
      <w:bookmarkStart w:id="57" w:name="_Toc469409098"/>
      <w:bookmarkStart w:id="58" w:name="_Toc478476377"/>
      <w:bookmarkStart w:id="59" w:name="_Toc479004126"/>
      <w:r w:rsidRPr="00EE24AD">
        <w:rPr>
          <w:color w:val="auto"/>
          <w:sz w:val="20"/>
          <w:szCs w:val="20"/>
          <w:lang w:val="es-VE"/>
        </w:rPr>
        <w:lastRenderedPageBreak/>
        <w:t>Consideraciones generales</w:t>
      </w:r>
      <w:bookmarkEnd w:id="56"/>
      <w:r w:rsidRPr="00EE24AD">
        <w:rPr>
          <w:color w:val="auto"/>
          <w:sz w:val="20"/>
          <w:szCs w:val="20"/>
          <w:lang w:val="es-VE"/>
        </w:rPr>
        <w:t xml:space="preserve"> </w:t>
      </w:r>
      <w:bookmarkEnd w:id="57"/>
      <w:bookmarkEnd w:id="58"/>
      <w:bookmarkEnd w:id="59"/>
    </w:p>
    <w:p w:rsidR="007934F9" w:rsidRPr="00A63957" w:rsidRDefault="007934F9" w:rsidP="007934F9">
      <w:pPr>
        <w:pStyle w:val="ListParagraph"/>
        <w:tabs>
          <w:tab w:val="left" w:pos="3087"/>
        </w:tabs>
        <w:rPr>
          <w:rFonts w:asciiTheme="majorHAnsi" w:hAnsiTheme="majorHAnsi"/>
          <w:sz w:val="20"/>
          <w:szCs w:val="20"/>
          <w:lang w:val="es-VE"/>
        </w:rPr>
      </w:pPr>
      <w:r>
        <w:rPr>
          <w:rFonts w:asciiTheme="majorHAnsi" w:hAnsiTheme="majorHAnsi"/>
          <w:sz w:val="20"/>
          <w:szCs w:val="20"/>
          <w:lang w:val="es-VE"/>
        </w:rPr>
        <w:tab/>
      </w:r>
    </w:p>
    <w:p w:rsidR="003157B0" w:rsidRDefault="007934F9"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sidRPr="003157B0">
        <w:rPr>
          <w:rFonts w:asciiTheme="majorHAnsi" w:hAnsiTheme="majorHAnsi"/>
          <w:sz w:val="20"/>
          <w:szCs w:val="20"/>
          <w:lang w:val="es-CL"/>
        </w:rPr>
        <w:t>La Comisión y la Corte han señalado que la detención preventiva se encuentra limitada por los principios de legalidad, presunción de inocencia, necesidad y proporcionalidad</w:t>
      </w:r>
      <w:r w:rsidRPr="003157B0">
        <w:rPr>
          <w:rFonts w:asciiTheme="majorHAnsi" w:hAnsiTheme="majorHAnsi"/>
          <w:sz w:val="20"/>
          <w:szCs w:val="20"/>
          <w:vertAlign w:val="superscript"/>
          <w:lang w:val="es-CL"/>
        </w:rPr>
        <w:footnoteReference w:id="132"/>
      </w:r>
      <w:r w:rsidRPr="003157B0">
        <w:rPr>
          <w:rFonts w:asciiTheme="majorHAnsi" w:hAnsiTheme="majorHAnsi"/>
          <w:sz w:val="20"/>
          <w:szCs w:val="20"/>
          <w:lang w:val="es-CL"/>
        </w:rPr>
        <w:t>. Asimismo, ha indicado que se trata de una medida cautelar y no punitiva</w:t>
      </w:r>
      <w:r w:rsidRPr="003157B0">
        <w:rPr>
          <w:rFonts w:asciiTheme="majorHAnsi" w:hAnsiTheme="majorHAnsi"/>
          <w:sz w:val="20"/>
          <w:szCs w:val="20"/>
          <w:vertAlign w:val="superscript"/>
          <w:lang w:val="es-CL"/>
        </w:rPr>
        <w:footnoteReference w:id="133"/>
      </w:r>
      <w:r w:rsidRPr="003157B0">
        <w:rPr>
          <w:rFonts w:asciiTheme="majorHAnsi" w:hAnsiTheme="majorHAnsi"/>
          <w:sz w:val="20"/>
          <w:szCs w:val="20"/>
          <w:lang w:val="es-CL"/>
        </w:rPr>
        <w:t xml:space="preserve"> y que es la más severa que se puede imponer al imputado por lo que debe aplicarse excepcionalmente. En consideración de ambos órganos del sistema interamericano, la regla debe ser la libertad del procesado mientras se resuelve acerca de su responsabilidad penal</w:t>
      </w:r>
      <w:r w:rsidRPr="003157B0">
        <w:rPr>
          <w:rFonts w:asciiTheme="majorHAnsi" w:hAnsiTheme="majorHAnsi"/>
          <w:sz w:val="20"/>
          <w:szCs w:val="20"/>
          <w:vertAlign w:val="superscript"/>
          <w:lang w:val="es-CL"/>
        </w:rPr>
        <w:footnoteReference w:id="134"/>
      </w:r>
      <w:r w:rsidRPr="003157B0">
        <w:rPr>
          <w:rFonts w:asciiTheme="majorHAnsi" w:hAnsiTheme="majorHAnsi"/>
          <w:sz w:val="20"/>
          <w:szCs w:val="20"/>
          <w:lang w:val="es-CL"/>
        </w:rPr>
        <w:t xml:space="preserve">. </w:t>
      </w:r>
    </w:p>
    <w:p w:rsidR="00D96C19" w:rsidRPr="00BC3590" w:rsidRDefault="00D96C19" w:rsidP="00D96C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hAnsiTheme="majorHAnsi"/>
          <w:sz w:val="20"/>
          <w:szCs w:val="20"/>
          <w:lang w:val="es-CL"/>
        </w:rPr>
      </w:pPr>
    </w:p>
    <w:p w:rsidR="007934F9" w:rsidRPr="003157B0" w:rsidRDefault="007934F9"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L"/>
        </w:rPr>
      </w:pPr>
      <w:r w:rsidRPr="003157B0">
        <w:rPr>
          <w:rFonts w:asciiTheme="majorHAnsi" w:hAnsiTheme="majorHAnsi"/>
          <w:sz w:val="20"/>
          <w:szCs w:val="20"/>
          <w:lang w:val="es-CO"/>
        </w:rPr>
        <w:t xml:space="preserve">La Corte y la Comisión han resaltado que las características personales del supuesto autor y la gravedad del delito que </w:t>
      </w:r>
      <w:r w:rsidRPr="00377A59">
        <w:rPr>
          <w:rFonts w:asciiTheme="majorHAnsi" w:hAnsiTheme="majorHAnsi"/>
          <w:sz w:val="20"/>
          <w:szCs w:val="20"/>
          <w:lang w:val="es-CL"/>
        </w:rPr>
        <w:t>se</w:t>
      </w:r>
      <w:r w:rsidRPr="003157B0">
        <w:rPr>
          <w:rFonts w:asciiTheme="majorHAnsi" w:hAnsiTheme="majorHAnsi"/>
          <w:sz w:val="20"/>
          <w:szCs w:val="20"/>
          <w:lang w:val="es-CO"/>
        </w:rPr>
        <w:t xml:space="preserve"> le imputa no son, por sí mismos, justificación suficiente de la prisión preventiva</w:t>
      </w:r>
      <w:r w:rsidRPr="00A63957">
        <w:rPr>
          <w:rStyle w:val="FootnoteReference"/>
          <w:rFonts w:asciiTheme="majorHAnsi" w:hAnsiTheme="majorHAnsi"/>
          <w:sz w:val="20"/>
          <w:szCs w:val="20"/>
        </w:rPr>
        <w:footnoteReference w:id="135"/>
      </w:r>
      <w:r w:rsidRPr="003157B0">
        <w:rPr>
          <w:rFonts w:asciiTheme="majorHAnsi" w:hAnsiTheme="majorHAnsi"/>
          <w:sz w:val="20"/>
          <w:szCs w:val="20"/>
          <w:lang w:val="es-CO"/>
        </w:rPr>
        <w:t>.</w:t>
      </w:r>
      <w:r w:rsidRPr="003157B0">
        <w:rPr>
          <w:rFonts w:asciiTheme="majorHAnsi" w:hAnsiTheme="majorHAnsi" w:cs="Univers"/>
          <w:color w:val="000000"/>
          <w:sz w:val="20"/>
          <w:szCs w:val="20"/>
          <w:lang w:val="es-CO"/>
        </w:rPr>
        <w:t xml:space="preserve"> </w:t>
      </w:r>
      <w:r w:rsidRPr="003157B0">
        <w:rPr>
          <w:rFonts w:asciiTheme="majorHAnsi" w:hAnsiTheme="majorHAnsi"/>
          <w:sz w:val="20"/>
          <w:szCs w:val="20"/>
          <w:lang w:val="es-CO"/>
        </w:rPr>
        <w:t>Respecto de las razones que pueden justificar la detención preventiva, los órganos del sistema</w:t>
      </w:r>
      <w:r w:rsidR="00202418">
        <w:rPr>
          <w:rFonts w:asciiTheme="majorHAnsi" w:hAnsiTheme="majorHAnsi"/>
          <w:sz w:val="20"/>
          <w:szCs w:val="20"/>
          <w:lang w:val="es-CO"/>
        </w:rPr>
        <w:t xml:space="preserve"> interamericano</w:t>
      </w:r>
      <w:r w:rsidRPr="003157B0">
        <w:rPr>
          <w:rFonts w:asciiTheme="majorHAnsi" w:hAnsiTheme="majorHAnsi"/>
          <w:sz w:val="20"/>
          <w:szCs w:val="20"/>
          <w:lang w:val="es-CO"/>
        </w:rPr>
        <w:t xml:space="preserve"> han interpretado el artículo 7.3 de la Convención Americana en el sentido de que los indicios de responsabilidad son condición necesaria pero no suficiente para imponer tal medida. En palabras de la Corte: </w:t>
      </w:r>
      <w:bookmarkStart w:id="60" w:name="_Ref242782550"/>
    </w:p>
    <w:p w:rsidR="007934F9" w:rsidRPr="00A63957" w:rsidRDefault="007934F9" w:rsidP="007934F9">
      <w:pPr>
        <w:ind w:left="720" w:right="720"/>
        <w:jc w:val="both"/>
        <w:rPr>
          <w:rFonts w:asciiTheme="majorHAnsi" w:hAnsiTheme="majorHAnsi"/>
          <w:sz w:val="20"/>
          <w:szCs w:val="20"/>
          <w:lang w:val="es-CO"/>
        </w:rPr>
      </w:pPr>
    </w:p>
    <w:p w:rsidR="007934F9" w:rsidRPr="003F520C" w:rsidRDefault="007934F9" w:rsidP="003F520C">
      <w:pPr>
        <w:ind w:left="720" w:right="720"/>
        <w:jc w:val="both"/>
        <w:rPr>
          <w:rFonts w:asciiTheme="majorHAnsi" w:hAnsiTheme="majorHAnsi"/>
          <w:sz w:val="20"/>
          <w:szCs w:val="20"/>
          <w:lang w:val="es-CO"/>
        </w:rPr>
      </w:pPr>
      <w:r>
        <w:rPr>
          <w:rFonts w:asciiTheme="majorHAnsi" w:hAnsiTheme="majorHAnsi"/>
          <w:sz w:val="20"/>
          <w:szCs w:val="20"/>
          <w:lang w:val="es-CO"/>
        </w:rPr>
        <w:t xml:space="preserve">(…) </w:t>
      </w:r>
      <w:r w:rsidRPr="00A63957">
        <w:rPr>
          <w:rFonts w:asciiTheme="majorHAnsi" w:hAnsiTheme="majorHAnsi"/>
          <w:sz w:val="20"/>
          <w:szCs w:val="20"/>
          <w:lang w:val="es-CO"/>
        </w:rPr>
        <w:t>deben existir indicios suficientes que permitan suponer razonablemente que la persona sometida a proceso ha participado en el ilícito que se investiga</w:t>
      </w:r>
      <w:bookmarkStart w:id="61" w:name="_Ref247965465"/>
      <w:r w:rsidRPr="00A63957">
        <w:rPr>
          <w:rStyle w:val="FootnoteReference"/>
          <w:rFonts w:asciiTheme="majorHAnsi" w:hAnsiTheme="majorHAnsi"/>
          <w:sz w:val="20"/>
          <w:szCs w:val="20"/>
        </w:rPr>
        <w:footnoteReference w:id="136"/>
      </w:r>
      <w:bookmarkEnd w:id="61"/>
      <w:r w:rsidRPr="00A63957">
        <w:rPr>
          <w:rFonts w:asciiTheme="majorHAnsi" w:hAnsiTheme="majorHAnsi"/>
          <w:sz w:val="20"/>
          <w:szCs w:val="20"/>
          <w:lang w:val="es-CO"/>
        </w:rPr>
        <w:t>. Sin embargo, “aún verificado este extremo, la privación de libertad del imputado no puede residir en fines preventivo-generales o preventivo-especiales atribuibles a la pena, sino que sólo se puede fundamentar […] en un fin legítimo, a saber: asegurar que el acusado no impedirá el desarrollo del procedimiento ni e</w:t>
      </w:r>
      <w:r>
        <w:rPr>
          <w:rFonts w:asciiTheme="majorHAnsi" w:hAnsiTheme="majorHAnsi"/>
          <w:sz w:val="20"/>
          <w:szCs w:val="20"/>
          <w:lang w:val="es-CO"/>
        </w:rPr>
        <w:t>ludirá la acción de la justicia</w:t>
      </w:r>
      <w:r w:rsidRPr="00A63957">
        <w:rPr>
          <w:rStyle w:val="FootnoteReference"/>
          <w:rFonts w:asciiTheme="majorHAnsi" w:hAnsiTheme="majorHAnsi"/>
          <w:sz w:val="20"/>
          <w:szCs w:val="20"/>
        </w:rPr>
        <w:footnoteReference w:id="137"/>
      </w:r>
      <w:r w:rsidRPr="00A63957">
        <w:rPr>
          <w:rFonts w:asciiTheme="majorHAnsi" w:hAnsiTheme="majorHAnsi"/>
          <w:sz w:val="20"/>
          <w:szCs w:val="20"/>
          <w:lang w:val="es-CO"/>
        </w:rPr>
        <w:t>.</w:t>
      </w:r>
      <w:bookmarkEnd w:id="60"/>
    </w:p>
    <w:p w:rsidR="003157B0" w:rsidRDefault="007934F9"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O"/>
        </w:rPr>
      </w:pPr>
      <w:r w:rsidRPr="003157B0">
        <w:rPr>
          <w:rFonts w:asciiTheme="majorHAnsi" w:hAnsiTheme="majorHAnsi"/>
          <w:sz w:val="20"/>
          <w:szCs w:val="20"/>
          <w:lang w:val="es-CO"/>
        </w:rPr>
        <w:t>En esta línea, toda decisión por medio de la cual se restrinja el derecho a la libertad personal por medio de la aplicación de la prisión preventiva deberá contener una motivación suficiente e individualizada que permita evaluar si tal detención se ajusta a las condiciones necesarias para su aplicación</w:t>
      </w:r>
      <w:r w:rsidR="003B159A">
        <w:rPr>
          <w:rFonts w:asciiTheme="majorHAnsi" w:hAnsiTheme="majorHAnsi"/>
          <w:sz w:val="20"/>
          <w:szCs w:val="20"/>
          <w:lang w:val="es-CO"/>
        </w:rPr>
        <w:t xml:space="preserve">, particularmente la existencia de fines procesales y las razones por las cuales no proceden medidas menos lesivas para lograr dichos fines. </w:t>
      </w:r>
    </w:p>
    <w:p w:rsidR="003157B0" w:rsidRDefault="003157B0" w:rsidP="0031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hAnsiTheme="majorHAnsi"/>
          <w:sz w:val="20"/>
          <w:szCs w:val="20"/>
          <w:lang w:val="es-CO"/>
        </w:rPr>
      </w:pPr>
    </w:p>
    <w:p w:rsidR="003157B0" w:rsidRDefault="007934F9"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O"/>
        </w:rPr>
      </w:pPr>
      <w:r w:rsidRPr="003157B0">
        <w:rPr>
          <w:rFonts w:asciiTheme="majorHAnsi" w:hAnsiTheme="majorHAnsi"/>
          <w:sz w:val="20"/>
          <w:szCs w:val="20"/>
          <w:lang w:val="es-VE"/>
        </w:rPr>
        <w:t>Por otra parte, el artículo 7.5 de la Convención Americana impone límites temporales a la duración de la prisión preventiva y, en consecuencia, a las facultades del Estado para proteger los fines del proceso mediante este tipo de medida cautelar. Como ha indicado la Corte Interamericana “cuando el plazo de la prisión preventiva sobrepasa lo razonable, el Estado podrá limitar la libertad del imputado con otras medidas menos lesivas que aseguren su comparecencia al juicio, distintas de la privación de libertad”</w:t>
      </w:r>
      <w:r w:rsidRPr="00A63957">
        <w:rPr>
          <w:rStyle w:val="FootnoteReference"/>
          <w:rFonts w:asciiTheme="majorHAnsi" w:hAnsiTheme="majorHAnsi"/>
          <w:sz w:val="20"/>
          <w:szCs w:val="20"/>
          <w:lang w:val="es-VE"/>
        </w:rPr>
        <w:footnoteReference w:id="138"/>
      </w:r>
      <w:r w:rsidRPr="003157B0">
        <w:rPr>
          <w:rFonts w:asciiTheme="majorHAnsi" w:hAnsiTheme="majorHAnsi"/>
          <w:sz w:val="20"/>
          <w:szCs w:val="20"/>
          <w:lang w:val="es-VE"/>
        </w:rPr>
        <w:t xml:space="preserve">. </w:t>
      </w:r>
      <w:r w:rsidRPr="003157B0">
        <w:rPr>
          <w:rFonts w:asciiTheme="majorHAnsi" w:hAnsiTheme="majorHAnsi"/>
          <w:sz w:val="20"/>
          <w:szCs w:val="20"/>
          <w:lang w:val="es-CO"/>
        </w:rPr>
        <w:t xml:space="preserve">La </w:t>
      </w:r>
      <w:r w:rsidRPr="003157B0">
        <w:rPr>
          <w:rFonts w:asciiTheme="majorHAnsi" w:hAnsiTheme="majorHAnsi"/>
          <w:sz w:val="20"/>
          <w:szCs w:val="20"/>
          <w:lang w:val="es-CO"/>
        </w:rPr>
        <w:lastRenderedPageBreak/>
        <w:t xml:space="preserve">Corte ha indicado que aun cuando medien razones para mantener a una persona en prisión preventiva, </w:t>
      </w:r>
      <w:r w:rsidRPr="003157B0">
        <w:rPr>
          <w:rFonts w:asciiTheme="majorHAnsi" w:hAnsiTheme="majorHAnsi" w:cs="Calibri"/>
          <w:sz w:val="20"/>
          <w:szCs w:val="20"/>
          <w:lang w:val="es-CO" w:eastAsia="es-ES"/>
        </w:rPr>
        <w:t>el</w:t>
      </w:r>
      <w:r w:rsidRPr="003157B0">
        <w:rPr>
          <w:rFonts w:asciiTheme="majorHAnsi" w:hAnsiTheme="majorHAnsi"/>
          <w:sz w:val="20"/>
          <w:szCs w:val="20"/>
          <w:lang w:val="es-CO"/>
        </w:rPr>
        <w:t xml:space="preserve"> período de la detención no debe exceder el límite de lo razonable</w:t>
      </w:r>
      <w:r w:rsidRPr="00A63957">
        <w:rPr>
          <w:rStyle w:val="FootnoteReference"/>
          <w:rFonts w:asciiTheme="majorHAnsi" w:hAnsiTheme="majorHAnsi"/>
          <w:sz w:val="20"/>
          <w:szCs w:val="20"/>
        </w:rPr>
        <w:footnoteReference w:id="139"/>
      </w:r>
      <w:r w:rsidRPr="003157B0">
        <w:rPr>
          <w:rFonts w:asciiTheme="majorHAnsi" w:hAnsiTheme="majorHAnsi"/>
          <w:sz w:val="20"/>
          <w:szCs w:val="20"/>
          <w:lang w:val="es-CO"/>
        </w:rPr>
        <w:t>.</w:t>
      </w:r>
    </w:p>
    <w:p w:rsidR="003157B0" w:rsidRDefault="003157B0" w:rsidP="003157B0">
      <w:pPr>
        <w:pStyle w:val="ListParagraph"/>
        <w:rPr>
          <w:rFonts w:asciiTheme="majorHAnsi" w:hAnsiTheme="majorHAnsi"/>
          <w:sz w:val="20"/>
          <w:szCs w:val="20"/>
          <w:lang w:val="es-ES"/>
        </w:rPr>
      </w:pPr>
    </w:p>
    <w:p w:rsidR="007934F9" w:rsidRPr="003157B0" w:rsidRDefault="007934F9"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CO"/>
        </w:rPr>
      </w:pPr>
      <w:r w:rsidRPr="003157B0">
        <w:rPr>
          <w:rFonts w:asciiTheme="majorHAnsi" w:hAnsiTheme="majorHAnsi"/>
          <w:sz w:val="20"/>
          <w:szCs w:val="20"/>
          <w:lang w:val="es-ES"/>
        </w:rPr>
        <w:t xml:space="preserve">En cuanto a </w:t>
      </w:r>
      <w:r w:rsidRPr="00377A59">
        <w:rPr>
          <w:rFonts w:asciiTheme="majorHAnsi" w:hAnsiTheme="majorHAnsi"/>
          <w:sz w:val="20"/>
          <w:szCs w:val="20"/>
          <w:lang w:val="es-VE"/>
        </w:rPr>
        <w:t>la</w:t>
      </w:r>
      <w:r w:rsidRPr="003157B0">
        <w:rPr>
          <w:rFonts w:asciiTheme="majorHAnsi" w:hAnsiTheme="majorHAnsi"/>
          <w:sz w:val="20"/>
          <w:szCs w:val="20"/>
          <w:lang w:val="es-ES"/>
        </w:rPr>
        <w:t xml:space="preserve"> necesidad de una revisión periódica de los fundamentos de la detención preventiva y de su tiempo de duración, la Corte ha indicado que: </w:t>
      </w:r>
    </w:p>
    <w:p w:rsidR="007934F9" w:rsidRDefault="007934F9" w:rsidP="003157B0">
      <w:pPr>
        <w:pStyle w:val="ListParagraph"/>
        <w:rPr>
          <w:rFonts w:asciiTheme="majorHAnsi" w:hAnsiTheme="majorHAnsi"/>
          <w:sz w:val="20"/>
          <w:szCs w:val="20"/>
          <w:lang w:val="es-ES"/>
        </w:rPr>
      </w:pPr>
    </w:p>
    <w:p w:rsidR="007934F9" w:rsidRPr="00A63957" w:rsidRDefault="007934F9" w:rsidP="007934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630"/>
        <w:jc w:val="both"/>
        <w:rPr>
          <w:rFonts w:asciiTheme="majorHAnsi" w:hAnsiTheme="majorHAnsi"/>
          <w:sz w:val="20"/>
          <w:szCs w:val="20"/>
          <w:lang w:val="es-ES"/>
        </w:rPr>
      </w:pPr>
      <w:r>
        <w:rPr>
          <w:rFonts w:asciiTheme="majorHAnsi" w:hAnsiTheme="majorHAnsi"/>
          <w:sz w:val="20"/>
          <w:szCs w:val="20"/>
          <w:lang w:val="es-ES"/>
        </w:rPr>
        <w:t xml:space="preserve">(…) </w:t>
      </w:r>
      <w:r w:rsidRPr="00A63957">
        <w:rPr>
          <w:rFonts w:asciiTheme="majorHAnsi" w:hAnsiTheme="majorHAnsi"/>
          <w:sz w:val="20"/>
          <w:szCs w:val="20"/>
          <w:lang w:val="es-ES"/>
        </w:rPr>
        <w:t>una detención o prisión preventiva debe estar sometida a revisión periódica, de tal forma que no se prolongue cuando no subsistan las razones que motivaron su adopción. En este orden de ideas, el juez no tiene que esperar hasta el momento de dictar sentencia absolutoria para que una persona detenida recupere su libertad, sino que debe valorar periódicamente si las causas, necesidad y proporcionalidad de la medida se mantienen, y si el plazo de la detención ha sobrepasado los límites que imponen la ley la razón. En cualquier momento en que aparezca que la prisión preventiva no satisface estas condiciones, deberá decretarse la libertad, sin perjuicio de que el proceso respectivo continúe</w:t>
      </w:r>
      <w:r w:rsidRPr="00A63957">
        <w:rPr>
          <w:rStyle w:val="FootnoteReference"/>
          <w:rFonts w:asciiTheme="majorHAnsi" w:hAnsiTheme="majorHAnsi"/>
          <w:sz w:val="20"/>
          <w:szCs w:val="20"/>
          <w:lang w:val="es-ES"/>
        </w:rPr>
        <w:footnoteReference w:id="140"/>
      </w:r>
      <w:r w:rsidRPr="00A63957">
        <w:rPr>
          <w:rFonts w:asciiTheme="majorHAnsi" w:hAnsiTheme="majorHAnsi"/>
          <w:sz w:val="20"/>
          <w:szCs w:val="20"/>
          <w:lang w:val="es-ES"/>
        </w:rPr>
        <w:t xml:space="preserve">. </w:t>
      </w:r>
    </w:p>
    <w:p w:rsidR="007934F9" w:rsidRPr="00A63957" w:rsidRDefault="007934F9" w:rsidP="007934F9">
      <w:pPr>
        <w:pStyle w:val="ListParagraph"/>
        <w:rPr>
          <w:rFonts w:asciiTheme="majorHAnsi" w:hAnsiTheme="majorHAnsi"/>
          <w:sz w:val="20"/>
          <w:szCs w:val="20"/>
          <w:lang w:val="es-ES"/>
        </w:rPr>
      </w:pPr>
    </w:p>
    <w:p w:rsidR="007934F9" w:rsidRDefault="007934F9" w:rsidP="00A142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ES"/>
        </w:rPr>
      </w:pPr>
      <w:r>
        <w:rPr>
          <w:rFonts w:asciiTheme="majorHAnsi" w:hAnsiTheme="majorHAnsi"/>
          <w:sz w:val="20"/>
          <w:szCs w:val="20"/>
          <w:lang w:val="es-ES"/>
        </w:rPr>
        <w:t>Además de sus efectos en el ejercicio del derecho a la libertad personal, tanto la Comisión como la Corte han indicado que el</w:t>
      </w:r>
      <w:r w:rsidRPr="00A63957">
        <w:rPr>
          <w:rFonts w:asciiTheme="majorHAnsi" w:hAnsiTheme="majorHAnsi"/>
          <w:sz w:val="20"/>
          <w:szCs w:val="20"/>
          <w:lang w:val="es-ES"/>
        </w:rPr>
        <w:t xml:space="preserve"> uso indebido de la detención preventiva</w:t>
      </w:r>
      <w:r>
        <w:rPr>
          <w:rFonts w:asciiTheme="majorHAnsi" w:hAnsiTheme="majorHAnsi"/>
          <w:sz w:val="20"/>
          <w:szCs w:val="20"/>
          <w:lang w:val="es-ES"/>
        </w:rPr>
        <w:t xml:space="preserve"> </w:t>
      </w:r>
      <w:r w:rsidRPr="00A63957">
        <w:rPr>
          <w:rFonts w:asciiTheme="majorHAnsi" w:hAnsiTheme="majorHAnsi"/>
          <w:sz w:val="20"/>
          <w:szCs w:val="20"/>
          <w:lang w:val="es-ES"/>
        </w:rPr>
        <w:t xml:space="preserve">puede tener un impacto en </w:t>
      </w:r>
      <w:r>
        <w:rPr>
          <w:rFonts w:asciiTheme="majorHAnsi" w:hAnsiTheme="majorHAnsi"/>
          <w:sz w:val="20"/>
          <w:szCs w:val="20"/>
          <w:lang w:val="es-ES"/>
        </w:rPr>
        <w:t xml:space="preserve">el principio de </w:t>
      </w:r>
      <w:r w:rsidRPr="00A63957">
        <w:rPr>
          <w:rFonts w:asciiTheme="majorHAnsi" w:hAnsiTheme="majorHAnsi"/>
          <w:sz w:val="20"/>
          <w:szCs w:val="20"/>
          <w:lang w:val="es-ES"/>
        </w:rPr>
        <w:t>presunción de inocencia contenid</w:t>
      </w:r>
      <w:r w:rsidR="00524EF8">
        <w:rPr>
          <w:rFonts w:asciiTheme="majorHAnsi" w:hAnsiTheme="majorHAnsi"/>
          <w:sz w:val="20"/>
          <w:szCs w:val="20"/>
          <w:lang w:val="es-ES"/>
        </w:rPr>
        <w:t>o</w:t>
      </w:r>
      <w:r w:rsidRPr="00A63957">
        <w:rPr>
          <w:rFonts w:asciiTheme="majorHAnsi" w:hAnsiTheme="majorHAnsi"/>
          <w:sz w:val="20"/>
          <w:szCs w:val="20"/>
          <w:lang w:val="es-ES"/>
        </w:rPr>
        <w:t xml:space="preserve"> en el artículo 8.2 de la Convención Americana. </w:t>
      </w:r>
      <w:r>
        <w:rPr>
          <w:rFonts w:asciiTheme="majorHAnsi" w:hAnsiTheme="majorHAnsi"/>
          <w:sz w:val="20"/>
          <w:szCs w:val="20"/>
          <w:lang w:val="es-ES"/>
        </w:rPr>
        <w:t xml:space="preserve">Al respecto se ha destacado </w:t>
      </w:r>
      <w:r w:rsidRPr="003157B0">
        <w:rPr>
          <w:rFonts w:asciiTheme="majorHAnsi" w:hAnsiTheme="majorHAnsi"/>
          <w:sz w:val="20"/>
          <w:szCs w:val="20"/>
          <w:lang w:val="es-ES"/>
        </w:rPr>
        <w:t>la importancia del</w:t>
      </w:r>
      <w:r w:rsidRPr="00823555">
        <w:rPr>
          <w:rFonts w:asciiTheme="majorHAnsi" w:hAnsiTheme="majorHAnsi"/>
          <w:sz w:val="20"/>
          <w:szCs w:val="20"/>
          <w:lang w:val="es-ES"/>
        </w:rPr>
        <w:t xml:space="preserve"> </w:t>
      </w:r>
      <w:r w:rsidRPr="003157B0">
        <w:rPr>
          <w:rFonts w:asciiTheme="majorHAnsi" w:hAnsiTheme="majorHAnsi"/>
          <w:sz w:val="20"/>
          <w:szCs w:val="20"/>
          <w:lang w:val="es-ES"/>
        </w:rPr>
        <w:t>criterio de razonabilidad, pues mantener privada de libertad a una persona más allá del tiempo razonable para el cumplimiento de los fines que justifican su detención equivaldría, en los hechos, a una pena anticipada</w:t>
      </w:r>
      <w:r w:rsidRPr="003157B0">
        <w:rPr>
          <w:rFonts w:asciiTheme="majorHAnsi" w:hAnsiTheme="majorHAnsi"/>
          <w:sz w:val="20"/>
          <w:szCs w:val="20"/>
          <w:vertAlign w:val="superscript"/>
          <w:lang w:val="es-ES"/>
        </w:rPr>
        <w:footnoteReference w:id="141"/>
      </w:r>
      <w:r w:rsidRPr="003157B0">
        <w:rPr>
          <w:rFonts w:asciiTheme="majorHAnsi" w:hAnsiTheme="majorHAnsi"/>
          <w:sz w:val="20"/>
          <w:szCs w:val="20"/>
          <w:lang w:val="es-ES"/>
        </w:rPr>
        <w:t xml:space="preserve">. </w:t>
      </w:r>
    </w:p>
    <w:p w:rsidR="005239C1" w:rsidRPr="00330592" w:rsidRDefault="005239C1" w:rsidP="005239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Theme="majorHAnsi" w:hAnsiTheme="majorHAnsi"/>
          <w:sz w:val="20"/>
          <w:szCs w:val="20"/>
          <w:lang w:val="es-ES"/>
        </w:rPr>
      </w:pPr>
    </w:p>
    <w:p w:rsidR="003157B0" w:rsidRDefault="007934F9" w:rsidP="005239C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cs="Calibri"/>
          <w:sz w:val="20"/>
          <w:szCs w:val="20"/>
          <w:lang w:val="es-CO" w:eastAsia="es-ES"/>
        </w:rPr>
      </w:pPr>
      <w:r w:rsidRPr="00A63957">
        <w:rPr>
          <w:rFonts w:asciiTheme="majorHAnsi" w:hAnsiTheme="majorHAnsi" w:cs="Calibri"/>
          <w:sz w:val="20"/>
          <w:szCs w:val="20"/>
          <w:lang w:val="es-CO" w:eastAsia="es-ES"/>
        </w:rPr>
        <w:t xml:space="preserve">El </w:t>
      </w:r>
      <w:r w:rsidRPr="00377A59">
        <w:rPr>
          <w:rFonts w:asciiTheme="majorHAnsi" w:hAnsiTheme="majorHAnsi"/>
          <w:sz w:val="20"/>
          <w:szCs w:val="20"/>
          <w:lang w:val="es-ES"/>
        </w:rPr>
        <w:t>respeto</w:t>
      </w:r>
      <w:r w:rsidRPr="00A63957">
        <w:rPr>
          <w:rFonts w:asciiTheme="majorHAnsi" w:hAnsiTheme="majorHAnsi" w:cs="Calibri"/>
          <w:sz w:val="20"/>
          <w:szCs w:val="20"/>
          <w:lang w:val="es-CO" w:eastAsia="es-ES"/>
        </w:rPr>
        <w:t xml:space="preserve"> al derecho a la presunción de inocencia exige igualmente que el Estado fundamente y acredite, de manera clara y motivada, según cada caso concreto, la existencia de los requisitos válidos de procedencia de la prisión preventiva</w:t>
      </w:r>
      <w:r w:rsidRPr="003157B0">
        <w:rPr>
          <w:rFonts w:asciiTheme="majorHAnsi" w:hAnsiTheme="majorHAnsi"/>
          <w:sz w:val="20"/>
          <w:szCs w:val="20"/>
          <w:vertAlign w:val="superscript"/>
        </w:rPr>
        <w:footnoteReference w:id="142"/>
      </w:r>
      <w:r w:rsidRPr="00A63957">
        <w:rPr>
          <w:rFonts w:asciiTheme="majorHAnsi" w:hAnsiTheme="majorHAnsi" w:cs="Calibri"/>
          <w:sz w:val="20"/>
          <w:szCs w:val="20"/>
          <w:lang w:val="es-CO" w:eastAsia="es-ES"/>
        </w:rPr>
        <w:t>. Por ende, también se viola el principio de presunción de inocencia cuando la prisión preventiva se impone arbitrariamente; o bien, cuando su aplicación está determinada esencialmente, por ejemplo, por el tipo de delito, la expectativa de la pena o la mera existencia de indicios razonables que vinculen al acusado</w:t>
      </w:r>
      <w:r w:rsidRPr="003157B0">
        <w:rPr>
          <w:rFonts w:asciiTheme="majorHAnsi" w:hAnsiTheme="majorHAnsi"/>
          <w:sz w:val="20"/>
          <w:szCs w:val="20"/>
          <w:vertAlign w:val="superscript"/>
        </w:rPr>
        <w:footnoteReference w:id="143"/>
      </w:r>
      <w:r w:rsidRPr="00A63957">
        <w:rPr>
          <w:rFonts w:asciiTheme="majorHAnsi" w:hAnsiTheme="majorHAnsi" w:cs="Calibri"/>
          <w:sz w:val="20"/>
          <w:szCs w:val="20"/>
          <w:lang w:val="es-CO" w:eastAsia="es-ES"/>
        </w:rPr>
        <w:t>.</w:t>
      </w:r>
    </w:p>
    <w:p w:rsidR="002805CE" w:rsidRPr="005239C1" w:rsidRDefault="002805CE" w:rsidP="002805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hAnsiTheme="majorHAnsi" w:cs="Calibri"/>
          <w:sz w:val="20"/>
          <w:szCs w:val="20"/>
          <w:lang w:val="es-CO" w:eastAsia="es-ES"/>
        </w:rPr>
      </w:pPr>
    </w:p>
    <w:p w:rsidR="003157B0" w:rsidRDefault="007934F9"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cs="Calibri"/>
          <w:sz w:val="20"/>
          <w:szCs w:val="20"/>
          <w:lang w:val="es-CO" w:eastAsia="es-ES"/>
        </w:rPr>
      </w:pPr>
      <w:r w:rsidRPr="003157B0">
        <w:rPr>
          <w:rFonts w:asciiTheme="majorHAnsi" w:hAnsiTheme="majorHAnsi"/>
          <w:sz w:val="20"/>
          <w:szCs w:val="20"/>
          <w:lang w:val="es-VE"/>
        </w:rPr>
        <w:t xml:space="preserve">La </w:t>
      </w:r>
      <w:r w:rsidRPr="00377A59">
        <w:rPr>
          <w:rFonts w:asciiTheme="majorHAnsi" w:hAnsiTheme="majorHAnsi" w:cs="Calibri"/>
          <w:sz w:val="20"/>
          <w:szCs w:val="20"/>
          <w:lang w:val="es-CO" w:eastAsia="es-ES"/>
        </w:rPr>
        <w:t>Comisión</w:t>
      </w:r>
      <w:r w:rsidRPr="003157B0">
        <w:rPr>
          <w:rFonts w:asciiTheme="majorHAnsi" w:hAnsiTheme="majorHAnsi"/>
          <w:sz w:val="20"/>
          <w:szCs w:val="20"/>
          <w:lang w:val="es-VE"/>
        </w:rPr>
        <w:t xml:space="preserve"> subraya que el artículo 7.6 de la Convención protege el derecho de toda persona privada de la libertad a recurrir la legalidad de su detención ante un juez o tribunal competente, a fin de que éste decida, sin demora, sobre la legalidad de la privación de libertad, y, en su caso, decrete su libertad</w:t>
      </w:r>
      <w:r w:rsidRPr="00A63957">
        <w:rPr>
          <w:rStyle w:val="FootnoteReference"/>
          <w:rFonts w:asciiTheme="majorHAnsi" w:hAnsiTheme="majorHAnsi"/>
          <w:sz w:val="20"/>
          <w:szCs w:val="20"/>
          <w:lang w:val="es-VE"/>
        </w:rPr>
        <w:footnoteReference w:id="144"/>
      </w:r>
      <w:r w:rsidRPr="003157B0">
        <w:rPr>
          <w:rFonts w:asciiTheme="majorHAnsi" w:hAnsiTheme="majorHAnsi"/>
          <w:sz w:val="20"/>
          <w:szCs w:val="20"/>
          <w:lang w:val="es-VE"/>
        </w:rPr>
        <w:t xml:space="preserve">. Asimismo conforme al artículo 25. 1 de la Convención no basta con que los recursos existan formalmente, sino que es preciso que sean efectivos, es decir que deben brindar a la persona la posibilidad real de interponer un recurso sencillo y rápido que permita alcanzar la protección judicial requerida. La Corte Interamericana ha </w:t>
      </w:r>
      <w:r w:rsidRPr="003157B0">
        <w:rPr>
          <w:rFonts w:asciiTheme="majorHAnsi" w:hAnsiTheme="majorHAnsi"/>
          <w:sz w:val="20"/>
          <w:szCs w:val="20"/>
          <w:lang w:val="es-VE"/>
        </w:rPr>
        <w:lastRenderedPageBreak/>
        <w:t>indicado que la existencia de estas garantías constituye uno de los pilares básicos, no solo de la Convención Americana, sino del propio Estado de Derecho en una sociedad democrática en el sentido de la Convención</w:t>
      </w:r>
      <w:r w:rsidRPr="00A63957">
        <w:rPr>
          <w:rStyle w:val="FootnoteReference"/>
          <w:rFonts w:asciiTheme="majorHAnsi" w:hAnsiTheme="majorHAnsi"/>
          <w:sz w:val="20"/>
          <w:szCs w:val="20"/>
          <w:lang w:val="es-VE"/>
        </w:rPr>
        <w:footnoteReference w:id="145"/>
      </w:r>
      <w:r w:rsidRPr="003157B0">
        <w:rPr>
          <w:rFonts w:asciiTheme="majorHAnsi" w:hAnsiTheme="majorHAnsi"/>
          <w:sz w:val="20"/>
          <w:szCs w:val="20"/>
          <w:lang w:val="es-VE"/>
        </w:rPr>
        <w:t>.</w:t>
      </w:r>
    </w:p>
    <w:p w:rsidR="003157B0" w:rsidRDefault="003157B0" w:rsidP="003157B0">
      <w:pPr>
        <w:pStyle w:val="ListParagraph"/>
        <w:rPr>
          <w:rFonts w:asciiTheme="majorHAnsi" w:hAnsiTheme="majorHAnsi"/>
          <w:sz w:val="20"/>
          <w:szCs w:val="20"/>
          <w:lang w:val="es-VE"/>
        </w:rPr>
      </w:pPr>
    </w:p>
    <w:p w:rsidR="003157B0" w:rsidRPr="00330592" w:rsidRDefault="007934F9" w:rsidP="003157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cs="Calibri"/>
          <w:sz w:val="20"/>
          <w:szCs w:val="20"/>
          <w:lang w:val="es-CO" w:eastAsia="es-ES"/>
        </w:rPr>
      </w:pPr>
      <w:r w:rsidRPr="003157B0">
        <w:rPr>
          <w:rFonts w:asciiTheme="majorHAnsi" w:hAnsiTheme="majorHAnsi"/>
          <w:sz w:val="20"/>
          <w:szCs w:val="20"/>
          <w:lang w:val="es-VE"/>
        </w:rPr>
        <w:t>La Comisión y la Corte han indicado que en el caso de un recurso que controvierte la privación de libertad, el análisis por la autoridad competente no puede reducirse a una mera formalidad, sino debe examinar las razones invocadas por el demandante y manifestarse expresamente sobre ellas, de acuerdo a los parámetros establecidos por la Convención Americana</w:t>
      </w:r>
      <w:r w:rsidRPr="00A63957">
        <w:rPr>
          <w:rStyle w:val="FootnoteReference"/>
          <w:rFonts w:asciiTheme="majorHAnsi" w:hAnsiTheme="majorHAnsi"/>
          <w:sz w:val="20"/>
          <w:szCs w:val="20"/>
          <w:lang w:val="es-VE"/>
        </w:rPr>
        <w:footnoteReference w:id="146"/>
      </w:r>
      <w:r w:rsidRPr="003157B0">
        <w:rPr>
          <w:rFonts w:asciiTheme="majorHAnsi" w:hAnsiTheme="majorHAnsi"/>
          <w:sz w:val="20"/>
          <w:szCs w:val="20"/>
          <w:lang w:val="es-VE"/>
        </w:rPr>
        <w:t>.</w:t>
      </w:r>
      <w:r w:rsidRPr="003157B0">
        <w:rPr>
          <w:rFonts w:asciiTheme="majorHAnsi" w:hAnsiTheme="majorHAnsi"/>
          <w:b/>
          <w:sz w:val="20"/>
          <w:szCs w:val="20"/>
          <w:lang w:val="es-VE"/>
        </w:rPr>
        <w:t xml:space="preserve"> </w:t>
      </w:r>
      <w:r w:rsidRPr="003157B0">
        <w:rPr>
          <w:rFonts w:asciiTheme="majorHAnsi" w:hAnsiTheme="majorHAnsi"/>
          <w:sz w:val="20"/>
          <w:szCs w:val="20"/>
          <w:lang w:val="es-VE"/>
        </w:rPr>
        <w:t>Como ha indicado la Comisión, el control jurisdiccional de la detención impuesta a través de la prisión preventiva no se refiere exclusivamente a las circunstancias de la detención, sino también a la continuidad de la misma, toda vez que corresponde al juzgador “garantizar los derechos del detenido, autorizar la adopción de medidas cautelares o de coerción, cuando sea estrictamente necesario, y procurar, en general, que se trate al inculpado de manera consecuente con la presunción de inocencia”</w:t>
      </w:r>
      <w:r w:rsidRPr="00A63957">
        <w:rPr>
          <w:rStyle w:val="FootnoteReference"/>
          <w:rFonts w:asciiTheme="majorHAnsi" w:hAnsiTheme="majorHAnsi"/>
          <w:sz w:val="20"/>
          <w:szCs w:val="20"/>
          <w:lang w:val="es-VE"/>
        </w:rPr>
        <w:footnoteReference w:id="147"/>
      </w:r>
      <w:r w:rsidRPr="003157B0">
        <w:rPr>
          <w:rFonts w:asciiTheme="majorHAnsi" w:hAnsiTheme="majorHAnsi"/>
          <w:sz w:val="20"/>
          <w:szCs w:val="20"/>
          <w:lang w:val="es-VE"/>
        </w:rPr>
        <w:t xml:space="preserve">. </w:t>
      </w:r>
    </w:p>
    <w:p w:rsidR="007934F9" w:rsidRPr="00EE24AD" w:rsidRDefault="007934F9" w:rsidP="006B6817">
      <w:pPr>
        <w:pStyle w:val="Heading3"/>
        <w:numPr>
          <w:ilvl w:val="0"/>
          <w:numId w:val="63"/>
        </w:numPr>
        <w:tabs>
          <w:tab w:val="clear" w:pos="1800"/>
          <w:tab w:val="num" w:pos="1440"/>
        </w:tabs>
        <w:ind w:hanging="1080"/>
        <w:rPr>
          <w:color w:val="auto"/>
          <w:sz w:val="20"/>
          <w:szCs w:val="20"/>
          <w:lang w:val="es-VE"/>
        </w:rPr>
      </w:pPr>
      <w:bookmarkStart w:id="62" w:name="_Toc469409099"/>
      <w:bookmarkStart w:id="63" w:name="_Toc478476378"/>
      <w:bookmarkStart w:id="64" w:name="_Toc479004127"/>
      <w:bookmarkStart w:id="65" w:name="_Toc485394069"/>
      <w:r w:rsidRPr="00EE24AD">
        <w:rPr>
          <w:color w:val="auto"/>
          <w:sz w:val="20"/>
          <w:szCs w:val="20"/>
          <w:lang w:val="es-VE"/>
        </w:rPr>
        <w:t>Análisis del caso</w:t>
      </w:r>
      <w:bookmarkEnd w:id="62"/>
      <w:bookmarkEnd w:id="63"/>
      <w:bookmarkEnd w:id="64"/>
      <w:bookmarkEnd w:id="65"/>
      <w:r w:rsidRPr="00EE24AD">
        <w:rPr>
          <w:color w:val="auto"/>
          <w:sz w:val="20"/>
          <w:szCs w:val="20"/>
          <w:lang w:val="es-VE"/>
        </w:rPr>
        <w:tab/>
      </w:r>
    </w:p>
    <w:p w:rsidR="007934F9" w:rsidRPr="00757949" w:rsidRDefault="007934F9" w:rsidP="0075794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b/>
          <w:color w:val="080808"/>
          <w:sz w:val="20"/>
          <w:szCs w:val="20"/>
          <w:shd w:val="clear" w:color="auto" w:fill="FFFFFF"/>
          <w:lang w:val="es-VE"/>
        </w:rPr>
      </w:pPr>
    </w:p>
    <w:p w:rsidR="00757949" w:rsidRPr="00377A59" w:rsidRDefault="00757949" w:rsidP="00696F7D">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1080"/>
        <w:jc w:val="both"/>
        <w:rPr>
          <w:rFonts w:asciiTheme="majorHAnsi" w:hAnsiTheme="majorHAnsi"/>
          <w:b/>
          <w:color w:val="080808"/>
          <w:sz w:val="20"/>
          <w:szCs w:val="20"/>
          <w:shd w:val="clear" w:color="auto" w:fill="FFFFFF"/>
          <w:lang w:val="es-VE"/>
        </w:rPr>
      </w:pPr>
      <w:r w:rsidRPr="00377A59">
        <w:rPr>
          <w:rFonts w:asciiTheme="majorHAnsi" w:hAnsiTheme="majorHAnsi"/>
          <w:b/>
          <w:color w:val="080808"/>
          <w:sz w:val="20"/>
          <w:szCs w:val="20"/>
          <w:shd w:val="clear" w:color="auto" w:fill="FFFFFF"/>
          <w:lang w:val="es-VE"/>
        </w:rPr>
        <w:t xml:space="preserve">Motivación de la prisión preventiva </w:t>
      </w:r>
      <w:r w:rsidR="00B74996" w:rsidRPr="00377A59">
        <w:rPr>
          <w:rFonts w:asciiTheme="majorHAnsi" w:hAnsiTheme="majorHAnsi"/>
          <w:b/>
          <w:color w:val="080808"/>
          <w:sz w:val="20"/>
          <w:szCs w:val="20"/>
          <w:shd w:val="clear" w:color="auto" w:fill="FFFFFF"/>
          <w:lang w:val="es-VE"/>
        </w:rPr>
        <w:t xml:space="preserve">en los fueros ordinario y militar </w:t>
      </w:r>
    </w:p>
    <w:p w:rsidR="00757949" w:rsidRPr="00757949" w:rsidRDefault="00757949" w:rsidP="0075794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Theme="majorHAnsi" w:hAnsiTheme="majorHAnsi"/>
          <w:color w:val="080808"/>
          <w:sz w:val="20"/>
          <w:szCs w:val="20"/>
          <w:shd w:val="clear" w:color="auto" w:fill="FFFFFF"/>
          <w:lang w:val="es-VE"/>
        </w:rPr>
      </w:pPr>
    </w:p>
    <w:p w:rsidR="003157B0" w:rsidRDefault="007934F9"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lang w:val="es-ES"/>
        </w:rPr>
      </w:pPr>
      <w:r w:rsidRPr="003157B0">
        <w:rPr>
          <w:rFonts w:asciiTheme="majorHAnsi" w:eastAsia="Times New Roman" w:hAnsiTheme="majorHAnsi"/>
          <w:sz w:val="20"/>
          <w:szCs w:val="20"/>
          <w:lang w:val="es-ES"/>
        </w:rPr>
        <w:t xml:space="preserve">La Comisión se referirá en primer lugar a la motivación de la detención preventiva impuesta al señor Villavicencio. Al respecto, </w:t>
      </w:r>
      <w:r w:rsidR="00811AF5" w:rsidRPr="003157B0">
        <w:rPr>
          <w:rFonts w:asciiTheme="majorHAnsi" w:eastAsia="Times New Roman" w:hAnsiTheme="majorHAnsi"/>
          <w:sz w:val="20"/>
          <w:szCs w:val="20"/>
          <w:lang w:val="es-ES"/>
        </w:rPr>
        <w:t>la Comisión no cuenta con la decisión mediante la cual se dispuso la detención preventiva</w:t>
      </w:r>
      <w:r w:rsidRPr="003157B0">
        <w:rPr>
          <w:rFonts w:asciiTheme="majorHAnsi" w:eastAsia="Times New Roman" w:hAnsiTheme="majorHAnsi"/>
          <w:sz w:val="20"/>
          <w:szCs w:val="20"/>
          <w:lang w:val="es-ES"/>
        </w:rPr>
        <w:t xml:space="preserve"> </w:t>
      </w:r>
      <w:r w:rsidR="00700C8B" w:rsidRPr="003157B0">
        <w:rPr>
          <w:rFonts w:asciiTheme="majorHAnsi" w:eastAsia="Times New Roman" w:hAnsiTheme="majorHAnsi"/>
          <w:sz w:val="20"/>
          <w:szCs w:val="20"/>
          <w:lang w:val="es-ES"/>
        </w:rPr>
        <w:t>inicial en la</w:t>
      </w:r>
      <w:r w:rsidR="00746D7B" w:rsidRPr="003157B0">
        <w:rPr>
          <w:rFonts w:asciiTheme="majorHAnsi" w:eastAsia="Times New Roman" w:hAnsiTheme="majorHAnsi"/>
          <w:sz w:val="20"/>
          <w:szCs w:val="20"/>
          <w:lang w:val="es-ES"/>
        </w:rPr>
        <w:t>s jurisdicciones</w:t>
      </w:r>
      <w:r w:rsidR="00700C8B" w:rsidRPr="003157B0">
        <w:rPr>
          <w:rFonts w:asciiTheme="majorHAnsi" w:eastAsia="Times New Roman" w:hAnsiTheme="majorHAnsi"/>
          <w:sz w:val="20"/>
          <w:szCs w:val="20"/>
          <w:lang w:val="es-ES"/>
        </w:rPr>
        <w:t xml:space="preserve"> ordinaria</w:t>
      </w:r>
      <w:r w:rsidR="00B7769D" w:rsidRPr="003157B0">
        <w:rPr>
          <w:rFonts w:asciiTheme="majorHAnsi" w:eastAsia="Times New Roman" w:hAnsiTheme="majorHAnsi"/>
          <w:sz w:val="20"/>
          <w:szCs w:val="20"/>
          <w:lang w:val="es-ES"/>
        </w:rPr>
        <w:t xml:space="preserve"> y militar</w:t>
      </w:r>
      <w:r w:rsidRPr="003157B0">
        <w:rPr>
          <w:rFonts w:asciiTheme="majorHAnsi" w:eastAsia="Times New Roman" w:hAnsiTheme="majorHAnsi"/>
          <w:sz w:val="20"/>
          <w:szCs w:val="20"/>
          <w:lang w:val="es-ES"/>
        </w:rPr>
        <w:t>, a fin de constatar la motivación original de la</w:t>
      </w:r>
      <w:r w:rsidR="00746D7B" w:rsidRPr="003157B0">
        <w:rPr>
          <w:rFonts w:asciiTheme="majorHAnsi" w:eastAsia="Times New Roman" w:hAnsiTheme="majorHAnsi"/>
          <w:sz w:val="20"/>
          <w:szCs w:val="20"/>
          <w:lang w:val="es-ES"/>
        </w:rPr>
        <w:t>s</w:t>
      </w:r>
      <w:r w:rsidRPr="003157B0">
        <w:rPr>
          <w:rFonts w:asciiTheme="majorHAnsi" w:eastAsia="Times New Roman" w:hAnsiTheme="majorHAnsi"/>
          <w:sz w:val="20"/>
          <w:szCs w:val="20"/>
          <w:lang w:val="es-ES"/>
        </w:rPr>
        <w:t xml:space="preserve"> misma</w:t>
      </w:r>
      <w:r w:rsidR="00746D7B" w:rsidRPr="003157B0">
        <w:rPr>
          <w:rFonts w:asciiTheme="majorHAnsi" w:eastAsia="Times New Roman" w:hAnsiTheme="majorHAnsi"/>
          <w:sz w:val="20"/>
          <w:szCs w:val="20"/>
          <w:lang w:val="es-ES"/>
        </w:rPr>
        <w:t>s</w:t>
      </w:r>
      <w:r w:rsidRPr="003157B0">
        <w:rPr>
          <w:rFonts w:asciiTheme="majorHAnsi" w:eastAsia="Times New Roman" w:hAnsiTheme="majorHAnsi"/>
          <w:sz w:val="20"/>
          <w:szCs w:val="20"/>
          <w:lang w:val="es-ES"/>
        </w:rPr>
        <w:t xml:space="preserve"> y, en especial, si persiguió fines procesales y cuáles fueron dichos fines.</w:t>
      </w:r>
    </w:p>
    <w:p w:rsidR="003157B0" w:rsidRDefault="003157B0" w:rsidP="0031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eastAsia="Times New Roman" w:hAnsiTheme="majorHAnsi"/>
          <w:sz w:val="20"/>
          <w:szCs w:val="20"/>
          <w:lang w:val="es-ES"/>
        </w:rPr>
      </w:pPr>
    </w:p>
    <w:p w:rsidR="003157B0" w:rsidRPr="003157B0" w:rsidRDefault="00B7769D"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lang w:val="es-ES"/>
        </w:rPr>
      </w:pPr>
      <w:r w:rsidRPr="003157B0">
        <w:rPr>
          <w:rFonts w:asciiTheme="majorHAnsi" w:hAnsiTheme="majorHAnsi"/>
          <w:sz w:val="20"/>
          <w:szCs w:val="20"/>
          <w:lang w:val="es-VE"/>
        </w:rPr>
        <w:t xml:space="preserve">No </w:t>
      </w:r>
      <w:r w:rsidR="00AC3301" w:rsidRPr="003157B0">
        <w:rPr>
          <w:rFonts w:asciiTheme="majorHAnsi" w:hAnsiTheme="majorHAnsi"/>
          <w:sz w:val="20"/>
          <w:szCs w:val="20"/>
          <w:lang w:val="es-VE"/>
        </w:rPr>
        <w:t>obstante lo anterior, en cuanto a</w:t>
      </w:r>
      <w:r w:rsidRPr="003157B0">
        <w:rPr>
          <w:rFonts w:asciiTheme="majorHAnsi" w:hAnsiTheme="majorHAnsi"/>
          <w:sz w:val="20"/>
          <w:szCs w:val="20"/>
          <w:lang w:val="es-VE"/>
        </w:rPr>
        <w:t xml:space="preserve"> la jurisdicción ordinaria, la Comisión destaca en primer lugar </w:t>
      </w:r>
      <w:r w:rsidR="00757949" w:rsidRPr="003157B0">
        <w:rPr>
          <w:rFonts w:asciiTheme="majorHAnsi" w:hAnsiTheme="majorHAnsi"/>
          <w:sz w:val="20"/>
          <w:szCs w:val="20"/>
          <w:lang w:val="es-VE"/>
        </w:rPr>
        <w:t xml:space="preserve">la decisión </w:t>
      </w:r>
      <w:r w:rsidR="00BC2339">
        <w:rPr>
          <w:rFonts w:asciiTheme="majorHAnsi" w:hAnsiTheme="majorHAnsi"/>
          <w:sz w:val="20"/>
          <w:szCs w:val="20"/>
          <w:lang w:val="es-VE"/>
        </w:rPr>
        <w:t xml:space="preserve">del </w:t>
      </w:r>
      <w:r w:rsidR="00757949" w:rsidRPr="003157B0">
        <w:rPr>
          <w:rFonts w:asciiTheme="majorHAnsi" w:hAnsiTheme="majorHAnsi"/>
          <w:sz w:val="20"/>
          <w:szCs w:val="20"/>
          <w:lang w:val="es-VE"/>
        </w:rPr>
        <w:t>9 de febrero de 1995</w:t>
      </w:r>
      <w:r w:rsidR="00910C0B" w:rsidRPr="003157B0">
        <w:rPr>
          <w:rFonts w:asciiTheme="majorHAnsi" w:hAnsiTheme="majorHAnsi"/>
          <w:sz w:val="20"/>
          <w:szCs w:val="20"/>
          <w:lang w:val="es-VE"/>
        </w:rPr>
        <w:t xml:space="preserve"> referida en la sección de hechos probados, mediante la cual el Juez de Primera Instancia Mixto, declaró improcedente la solicitud de libertad </w:t>
      </w:r>
      <w:r w:rsidR="00AC3301" w:rsidRPr="003157B0">
        <w:rPr>
          <w:rFonts w:asciiTheme="majorHAnsi" w:hAnsiTheme="majorHAnsi"/>
          <w:sz w:val="20"/>
          <w:szCs w:val="20"/>
          <w:lang w:val="es-VE"/>
        </w:rPr>
        <w:t>in</w:t>
      </w:r>
      <w:r w:rsidR="00910C0B" w:rsidRPr="003157B0">
        <w:rPr>
          <w:rFonts w:asciiTheme="majorHAnsi" w:hAnsiTheme="majorHAnsi"/>
          <w:sz w:val="20"/>
          <w:szCs w:val="20"/>
          <w:lang w:val="es-VE"/>
        </w:rPr>
        <w:t>condicional, estimando que los imputados “niegan los cargos imputados</w:t>
      </w:r>
      <w:r w:rsidR="00330592">
        <w:rPr>
          <w:rFonts w:asciiTheme="majorHAnsi" w:hAnsiTheme="majorHAnsi"/>
          <w:sz w:val="20"/>
          <w:szCs w:val="20"/>
          <w:lang w:val="es-VE"/>
        </w:rPr>
        <w:t>” y entrar en contradicciones</w:t>
      </w:r>
      <w:r w:rsidR="00910C0B" w:rsidRPr="003157B0">
        <w:rPr>
          <w:rFonts w:asciiTheme="majorHAnsi" w:hAnsiTheme="majorHAnsi"/>
          <w:sz w:val="20"/>
          <w:szCs w:val="20"/>
          <w:lang w:val="es-VE"/>
        </w:rPr>
        <w:t>, “lo que hace ver la conducta ilícita de los recurrentes” por lo que resulta aplicable el artículo 201 del Código de Procedimientos Penales.</w:t>
      </w:r>
    </w:p>
    <w:p w:rsidR="003157B0" w:rsidRPr="00330592" w:rsidRDefault="003157B0" w:rsidP="003157B0">
      <w:pPr>
        <w:pStyle w:val="ListParagraph"/>
        <w:rPr>
          <w:rFonts w:asciiTheme="majorHAnsi" w:hAnsiTheme="majorHAnsi"/>
          <w:sz w:val="20"/>
          <w:szCs w:val="20"/>
          <w:lang w:val="es-ES"/>
        </w:rPr>
      </w:pPr>
    </w:p>
    <w:p w:rsidR="003157B0" w:rsidRDefault="00683515"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lang w:val="es-ES"/>
        </w:rPr>
      </w:pPr>
      <w:r w:rsidRPr="003157B0">
        <w:rPr>
          <w:rFonts w:asciiTheme="majorHAnsi" w:hAnsiTheme="majorHAnsi"/>
          <w:sz w:val="20"/>
          <w:szCs w:val="20"/>
          <w:lang w:val="es-VE"/>
        </w:rPr>
        <w:t xml:space="preserve"> En segundo lugar</w:t>
      </w:r>
      <w:r w:rsidR="00910C0B" w:rsidRPr="003157B0">
        <w:rPr>
          <w:rFonts w:asciiTheme="majorHAnsi" w:hAnsiTheme="majorHAnsi"/>
          <w:sz w:val="20"/>
          <w:szCs w:val="20"/>
          <w:lang w:val="es-VE"/>
        </w:rPr>
        <w:t>, la C</w:t>
      </w:r>
      <w:r w:rsidRPr="003157B0">
        <w:rPr>
          <w:rFonts w:asciiTheme="majorHAnsi" w:hAnsiTheme="majorHAnsi"/>
          <w:sz w:val="20"/>
          <w:szCs w:val="20"/>
          <w:lang w:val="es-VE"/>
        </w:rPr>
        <w:t>omisión recuerda la decisión de la Corte Suprema de Justicia de San Martín de 24 de abril de 1995 en la que dicho órgano declaró sin lugar la apelación en contra de la decisión anterior, por estimar que la conducta de la presunta víctima reviste “gravedad”</w:t>
      </w:r>
      <w:r w:rsidR="00191FED" w:rsidRPr="003157B0">
        <w:rPr>
          <w:rFonts w:asciiTheme="majorHAnsi" w:hAnsiTheme="majorHAnsi"/>
          <w:sz w:val="20"/>
          <w:szCs w:val="20"/>
          <w:lang w:val="es-VE"/>
        </w:rPr>
        <w:t>.</w:t>
      </w:r>
      <w:r w:rsidR="004E0B94" w:rsidRPr="003157B0">
        <w:rPr>
          <w:rFonts w:asciiTheme="majorHAnsi" w:hAnsiTheme="majorHAnsi"/>
          <w:sz w:val="20"/>
          <w:szCs w:val="20"/>
          <w:lang w:val="es-VE"/>
        </w:rPr>
        <w:t xml:space="preserve"> En dicha decisión el Tribunal también revocó el auto que denegaba la libertad incondicional de otras personas </w:t>
      </w:r>
      <w:proofErr w:type="spellStart"/>
      <w:r w:rsidR="004E0B94" w:rsidRPr="003157B0">
        <w:rPr>
          <w:rFonts w:asciiTheme="majorHAnsi" w:hAnsiTheme="majorHAnsi"/>
          <w:sz w:val="20"/>
          <w:szCs w:val="20"/>
          <w:lang w:val="es-VE"/>
        </w:rPr>
        <w:t>co</w:t>
      </w:r>
      <w:proofErr w:type="spellEnd"/>
      <w:r w:rsidR="00BC3590">
        <w:rPr>
          <w:rFonts w:asciiTheme="majorHAnsi" w:hAnsiTheme="majorHAnsi"/>
          <w:sz w:val="20"/>
          <w:szCs w:val="20"/>
          <w:lang w:val="es-VE"/>
        </w:rPr>
        <w:t>-</w:t>
      </w:r>
      <w:r w:rsidR="004E0B94" w:rsidRPr="003157B0">
        <w:rPr>
          <w:rFonts w:asciiTheme="majorHAnsi" w:hAnsiTheme="majorHAnsi"/>
          <w:sz w:val="20"/>
          <w:szCs w:val="20"/>
          <w:lang w:val="es-VE"/>
        </w:rPr>
        <w:t>procesadas con la presunta víctima, y determinó variar su situación jurídica de “detención” a “comparecencia” por considerar que en su caso no se configuraban los requisitos para dictar mandato de detención entre los que se encontraba el requisito de intentar eludir la acción de la justicia o perturbar la acción probatoria.  No obstante</w:t>
      </w:r>
      <w:r w:rsidR="00BC3590">
        <w:rPr>
          <w:rFonts w:asciiTheme="majorHAnsi" w:hAnsiTheme="majorHAnsi"/>
          <w:sz w:val="20"/>
          <w:szCs w:val="20"/>
          <w:lang w:val="es-VE"/>
        </w:rPr>
        <w:t>, el Tribunal no efectuó ninguna</w:t>
      </w:r>
      <w:r w:rsidR="004E0B94" w:rsidRPr="003157B0">
        <w:rPr>
          <w:rFonts w:asciiTheme="majorHAnsi" w:hAnsiTheme="majorHAnsi"/>
          <w:sz w:val="20"/>
          <w:szCs w:val="20"/>
          <w:lang w:val="es-VE"/>
        </w:rPr>
        <w:t xml:space="preserve"> motivación relacionada con dichos requisitos respecto de</w:t>
      </w:r>
      <w:r w:rsidR="00F0444F">
        <w:rPr>
          <w:rFonts w:asciiTheme="majorHAnsi" w:hAnsiTheme="majorHAnsi"/>
          <w:sz w:val="20"/>
          <w:szCs w:val="20"/>
          <w:lang w:val="es-VE"/>
        </w:rPr>
        <w:t>l señor Rosadio Villavicencio</w:t>
      </w:r>
      <w:r w:rsidR="004E0B94" w:rsidRPr="003157B0">
        <w:rPr>
          <w:rFonts w:asciiTheme="majorHAnsi" w:hAnsiTheme="majorHAnsi"/>
          <w:sz w:val="20"/>
          <w:szCs w:val="20"/>
          <w:lang w:val="es-VE"/>
        </w:rPr>
        <w:t xml:space="preserve">. </w:t>
      </w:r>
    </w:p>
    <w:p w:rsidR="003157B0" w:rsidRDefault="003157B0" w:rsidP="003157B0">
      <w:pPr>
        <w:pStyle w:val="ListParagraph"/>
        <w:rPr>
          <w:rFonts w:asciiTheme="majorHAnsi" w:hAnsiTheme="majorHAnsi"/>
          <w:sz w:val="20"/>
          <w:szCs w:val="20"/>
          <w:lang w:val="es-VE"/>
        </w:rPr>
      </w:pPr>
    </w:p>
    <w:p w:rsidR="00696F7D" w:rsidRPr="00696F7D" w:rsidRDefault="004E0B94"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lang w:val="es-ES"/>
        </w:rPr>
      </w:pPr>
      <w:r w:rsidRPr="003157B0">
        <w:rPr>
          <w:rFonts w:asciiTheme="majorHAnsi" w:hAnsiTheme="majorHAnsi"/>
          <w:sz w:val="20"/>
          <w:szCs w:val="20"/>
          <w:lang w:val="es-VE"/>
        </w:rPr>
        <w:t>L</w:t>
      </w:r>
      <w:r w:rsidR="004F09A2" w:rsidRPr="003157B0">
        <w:rPr>
          <w:rFonts w:asciiTheme="majorHAnsi" w:hAnsiTheme="majorHAnsi"/>
          <w:sz w:val="20"/>
          <w:szCs w:val="20"/>
          <w:lang w:val="es-VE"/>
        </w:rPr>
        <w:t xml:space="preserve">a Comisión recuerda que en </w:t>
      </w:r>
      <w:r w:rsidRPr="003157B0">
        <w:rPr>
          <w:rFonts w:asciiTheme="majorHAnsi" w:hAnsiTheme="majorHAnsi"/>
          <w:sz w:val="20"/>
          <w:szCs w:val="20"/>
          <w:lang w:val="es-VE"/>
        </w:rPr>
        <w:t xml:space="preserve">las decisiones en el fuero ordinario, las autoridades competentes se limitaron a indicar que </w:t>
      </w:r>
      <w:r w:rsidR="00D5621D" w:rsidRPr="003157B0">
        <w:rPr>
          <w:rFonts w:asciiTheme="majorHAnsi" w:hAnsiTheme="majorHAnsi"/>
          <w:sz w:val="20"/>
          <w:szCs w:val="20"/>
          <w:lang w:val="es-VE"/>
        </w:rPr>
        <w:t>la presunta víctima no cumplió con la condición de demostrar plenamente su inculpabilidad en los términos que establecía el artículo 201 del Código de Procedimientos Penales,</w:t>
      </w:r>
      <w:r w:rsidR="00696F7D">
        <w:rPr>
          <w:rFonts w:asciiTheme="majorHAnsi" w:hAnsiTheme="majorHAnsi"/>
          <w:sz w:val="20"/>
          <w:szCs w:val="20"/>
          <w:lang w:val="es-VE"/>
        </w:rPr>
        <w:t xml:space="preserve"> o resaltaron “la gravedad” e indicios de responsabilidad del delito del que se acusaba a la presunta víctima.</w:t>
      </w:r>
    </w:p>
    <w:p w:rsidR="003157B0" w:rsidRDefault="003157B0" w:rsidP="003157B0">
      <w:pPr>
        <w:pStyle w:val="ListParagraph"/>
        <w:rPr>
          <w:rFonts w:asciiTheme="majorHAnsi" w:hAnsiTheme="majorHAnsi"/>
          <w:sz w:val="20"/>
          <w:szCs w:val="20"/>
          <w:lang w:val="es-VE"/>
        </w:rPr>
      </w:pPr>
    </w:p>
    <w:p w:rsidR="003157B0" w:rsidRDefault="00B7769D"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lang w:val="es-ES"/>
        </w:rPr>
      </w:pPr>
      <w:r w:rsidRPr="003157B0">
        <w:rPr>
          <w:rFonts w:asciiTheme="majorHAnsi" w:hAnsiTheme="majorHAnsi"/>
          <w:sz w:val="20"/>
          <w:szCs w:val="20"/>
          <w:lang w:val="es-VE"/>
        </w:rPr>
        <w:t>En cuanto a la jurisdicción</w:t>
      </w:r>
      <w:r w:rsidR="00D74600">
        <w:rPr>
          <w:rFonts w:asciiTheme="majorHAnsi" w:hAnsiTheme="majorHAnsi"/>
          <w:sz w:val="20"/>
          <w:szCs w:val="20"/>
          <w:lang w:val="es-VE"/>
        </w:rPr>
        <w:t xml:space="preserve"> penal</w:t>
      </w:r>
      <w:r w:rsidRPr="003157B0">
        <w:rPr>
          <w:rFonts w:asciiTheme="majorHAnsi" w:hAnsiTheme="majorHAnsi"/>
          <w:sz w:val="20"/>
          <w:szCs w:val="20"/>
          <w:lang w:val="es-VE"/>
        </w:rPr>
        <w:t xml:space="preserve"> militar, </w:t>
      </w:r>
      <w:r w:rsidR="00B74996" w:rsidRPr="003157B0">
        <w:rPr>
          <w:rFonts w:asciiTheme="majorHAnsi" w:hAnsiTheme="majorHAnsi"/>
          <w:sz w:val="20"/>
          <w:szCs w:val="20"/>
          <w:lang w:val="es-VE"/>
        </w:rPr>
        <w:t>la Comisión subraya que el 9 de agosto de 1995 el Juez Militar Permanente de Tarapoto dictó orden de detención definitiva</w:t>
      </w:r>
      <w:r w:rsidR="00145DB7">
        <w:rPr>
          <w:rFonts w:asciiTheme="majorHAnsi" w:hAnsiTheme="majorHAnsi"/>
          <w:sz w:val="20"/>
          <w:szCs w:val="20"/>
          <w:lang w:val="es-VE"/>
        </w:rPr>
        <w:t xml:space="preserve"> en</w:t>
      </w:r>
      <w:r w:rsidR="00B74996" w:rsidRPr="003157B0">
        <w:rPr>
          <w:rFonts w:asciiTheme="majorHAnsi" w:hAnsiTheme="majorHAnsi"/>
          <w:sz w:val="20"/>
          <w:szCs w:val="20"/>
          <w:lang w:val="es-VE"/>
        </w:rPr>
        <w:t xml:space="preserve"> contra</w:t>
      </w:r>
      <w:r w:rsidR="00145DB7">
        <w:rPr>
          <w:rFonts w:asciiTheme="majorHAnsi" w:hAnsiTheme="majorHAnsi"/>
          <w:sz w:val="20"/>
          <w:szCs w:val="20"/>
          <w:lang w:val="es-VE"/>
        </w:rPr>
        <w:t xml:space="preserve"> de</w:t>
      </w:r>
      <w:r w:rsidR="00B74996" w:rsidRPr="003157B0">
        <w:rPr>
          <w:rFonts w:asciiTheme="majorHAnsi" w:hAnsiTheme="majorHAnsi"/>
          <w:sz w:val="20"/>
          <w:szCs w:val="20"/>
          <w:lang w:val="es-VE"/>
        </w:rPr>
        <w:t xml:space="preserve"> la presunta víctim</w:t>
      </w:r>
      <w:r w:rsidR="00BC2339">
        <w:rPr>
          <w:rFonts w:asciiTheme="majorHAnsi" w:hAnsiTheme="majorHAnsi"/>
          <w:sz w:val="20"/>
          <w:szCs w:val="20"/>
          <w:lang w:val="es-VE"/>
        </w:rPr>
        <w:t xml:space="preserve">a </w:t>
      </w:r>
      <w:r w:rsidR="00BC2339">
        <w:rPr>
          <w:rFonts w:asciiTheme="majorHAnsi" w:hAnsiTheme="majorHAnsi"/>
          <w:sz w:val="20"/>
          <w:szCs w:val="20"/>
          <w:lang w:val="es-VE"/>
        </w:rPr>
        <w:lastRenderedPageBreak/>
        <w:t>porque “reconoce haber recibido</w:t>
      </w:r>
      <w:r w:rsidR="00B74996" w:rsidRPr="003157B0">
        <w:rPr>
          <w:rFonts w:asciiTheme="majorHAnsi" w:hAnsiTheme="majorHAnsi"/>
          <w:sz w:val="20"/>
          <w:szCs w:val="20"/>
          <w:lang w:val="es-VE"/>
        </w:rPr>
        <w:t xml:space="preserve"> dinero de narcotraficantes” y porque se encuentra cumpliendo la medida de detención impuesta por el fuero común. </w:t>
      </w:r>
    </w:p>
    <w:p w:rsidR="003157B0" w:rsidRDefault="003157B0" w:rsidP="003157B0">
      <w:pPr>
        <w:pStyle w:val="ListParagraph"/>
        <w:rPr>
          <w:rFonts w:asciiTheme="majorHAnsi" w:hAnsiTheme="majorHAnsi"/>
          <w:sz w:val="20"/>
          <w:szCs w:val="20"/>
          <w:lang w:val="es-VE"/>
        </w:rPr>
      </w:pPr>
    </w:p>
    <w:p w:rsidR="003157B0" w:rsidRDefault="00D64FF2"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lang w:val="es-ES"/>
        </w:rPr>
      </w:pPr>
      <w:r w:rsidRPr="003157B0">
        <w:rPr>
          <w:rFonts w:asciiTheme="majorHAnsi" w:hAnsiTheme="majorHAnsi"/>
          <w:sz w:val="20"/>
          <w:szCs w:val="20"/>
          <w:lang w:val="es-VE"/>
        </w:rPr>
        <w:t xml:space="preserve">Con base en estos elementos, tomados en su conjunto, la Comisión </w:t>
      </w:r>
      <w:r w:rsidR="00D5621D" w:rsidRPr="003157B0">
        <w:rPr>
          <w:rFonts w:asciiTheme="majorHAnsi" w:hAnsiTheme="majorHAnsi"/>
          <w:sz w:val="20"/>
          <w:szCs w:val="20"/>
          <w:lang w:val="es-VE"/>
        </w:rPr>
        <w:t>concluye</w:t>
      </w:r>
      <w:r w:rsidRPr="003157B0">
        <w:rPr>
          <w:rFonts w:asciiTheme="majorHAnsi" w:hAnsiTheme="majorHAnsi"/>
          <w:sz w:val="20"/>
          <w:szCs w:val="20"/>
          <w:lang w:val="es-VE"/>
        </w:rPr>
        <w:t xml:space="preserve"> que no existió una motivación individualizada sobre los fines procesales perseguidos</w:t>
      </w:r>
      <w:r w:rsidR="0085013F" w:rsidRPr="003157B0">
        <w:rPr>
          <w:rFonts w:asciiTheme="majorHAnsi" w:hAnsiTheme="majorHAnsi"/>
          <w:sz w:val="20"/>
          <w:szCs w:val="20"/>
          <w:lang w:val="es-VE"/>
        </w:rPr>
        <w:t xml:space="preserve"> mediante la detención preventiv</w:t>
      </w:r>
      <w:r w:rsidRPr="003157B0">
        <w:rPr>
          <w:rFonts w:asciiTheme="majorHAnsi" w:hAnsiTheme="majorHAnsi"/>
          <w:sz w:val="20"/>
          <w:szCs w:val="20"/>
          <w:lang w:val="es-VE"/>
        </w:rPr>
        <w:t xml:space="preserve">a </w:t>
      </w:r>
      <w:r w:rsidR="00CF51D1" w:rsidRPr="003157B0">
        <w:rPr>
          <w:rFonts w:asciiTheme="majorHAnsi" w:hAnsiTheme="majorHAnsi"/>
          <w:sz w:val="20"/>
          <w:szCs w:val="20"/>
          <w:lang w:val="es-VE"/>
        </w:rPr>
        <w:t>en el fuero común</w:t>
      </w:r>
      <w:r w:rsidR="001A5A72" w:rsidRPr="003157B0">
        <w:rPr>
          <w:rFonts w:asciiTheme="majorHAnsi" w:hAnsiTheme="majorHAnsi"/>
          <w:sz w:val="20"/>
          <w:szCs w:val="20"/>
          <w:lang w:val="es-VE"/>
        </w:rPr>
        <w:t xml:space="preserve"> y militar</w:t>
      </w:r>
      <w:r w:rsidR="00CF51D1" w:rsidRPr="003157B0">
        <w:rPr>
          <w:rFonts w:asciiTheme="majorHAnsi" w:hAnsiTheme="majorHAnsi"/>
          <w:sz w:val="20"/>
          <w:szCs w:val="20"/>
          <w:lang w:val="es-VE"/>
        </w:rPr>
        <w:t xml:space="preserve"> </w:t>
      </w:r>
      <w:r w:rsidRPr="003157B0">
        <w:rPr>
          <w:rFonts w:asciiTheme="majorHAnsi" w:hAnsiTheme="majorHAnsi"/>
          <w:sz w:val="20"/>
          <w:szCs w:val="20"/>
          <w:lang w:val="es-VE"/>
        </w:rPr>
        <w:t>y que, por el contrario, la misma tuvo como base la existencia de indicios de responsabilid</w:t>
      </w:r>
      <w:r w:rsidR="001A5A72" w:rsidRPr="003157B0">
        <w:rPr>
          <w:rFonts w:asciiTheme="majorHAnsi" w:hAnsiTheme="majorHAnsi"/>
          <w:sz w:val="20"/>
          <w:szCs w:val="20"/>
          <w:lang w:val="es-VE"/>
        </w:rPr>
        <w:t>ad y la gravedad del delito</w:t>
      </w:r>
      <w:r w:rsidRPr="003157B0">
        <w:rPr>
          <w:rFonts w:asciiTheme="majorHAnsi" w:hAnsiTheme="majorHAnsi"/>
          <w:sz w:val="20"/>
          <w:szCs w:val="20"/>
          <w:lang w:val="es-VE"/>
        </w:rPr>
        <w:t xml:space="preserve">, constituyéndose en una anticipación de la pena y no una medida cautelar. </w:t>
      </w:r>
    </w:p>
    <w:p w:rsidR="003157B0" w:rsidRDefault="003157B0" w:rsidP="003157B0">
      <w:pPr>
        <w:pStyle w:val="ListParagraph"/>
        <w:rPr>
          <w:rFonts w:asciiTheme="majorHAnsi" w:eastAsia="Times New Roman" w:hAnsiTheme="majorHAnsi"/>
          <w:sz w:val="20"/>
          <w:szCs w:val="20"/>
          <w:bdr w:val="none" w:sz="0" w:space="0" w:color="auto"/>
          <w:lang w:val="es-AR"/>
        </w:rPr>
      </w:pPr>
    </w:p>
    <w:p w:rsidR="00D64FF2" w:rsidRPr="00F10FDF" w:rsidRDefault="00D64FF2"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lang w:val="es-ES"/>
        </w:rPr>
      </w:pPr>
      <w:r w:rsidRPr="003157B0">
        <w:rPr>
          <w:rFonts w:asciiTheme="majorHAnsi" w:eastAsia="Times New Roman" w:hAnsiTheme="majorHAnsi"/>
          <w:sz w:val="20"/>
          <w:szCs w:val="20"/>
          <w:bdr w:val="none" w:sz="0" w:space="0" w:color="auto"/>
          <w:lang w:val="es-AR"/>
        </w:rPr>
        <w:t xml:space="preserve">En consecuencia, conforme a los estándares descritos, la Comisión concluye que desde su inicio la detención preventiva del señor </w:t>
      </w:r>
      <w:r w:rsidR="005B5413">
        <w:rPr>
          <w:rFonts w:asciiTheme="majorHAnsi" w:eastAsia="Times New Roman" w:hAnsiTheme="majorHAnsi"/>
          <w:sz w:val="20"/>
          <w:szCs w:val="20"/>
          <w:bdr w:val="none" w:sz="0" w:space="0" w:color="auto"/>
          <w:lang w:val="es-AR"/>
        </w:rPr>
        <w:t xml:space="preserve">Rosadio </w:t>
      </w:r>
      <w:r w:rsidRPr="003157B0">
        <w:rPr>
          <w:rFonts w:asciiTheme="majorHAnsi" w:eastAsia="Times New Roman" w:hAnsiTheme="majorHAnsi"/>
          <w:sz w:val="20"/>
          <w:szCs w:val="20"/>
          <w:bdr w:val="none" w:sz="0" w:space="0" w:color="auto"/>
          <w:lang w:val="es-AR"/>
        </w:rPr>
        <w:t>Villavicencio fue arbitraria y desconoció el principio de presunción de inocencia, en violación de los artículos 7.3 y 8.2 de la Convención</w:t>
      </w:r>
      <w:r w:rsidR="005B5413">
        <w:rPr>
          <w:rFonts w:asciiTheme="majorHAnsi" w:eastAsia="Times New Roman" w:hAnsiTheme="majorHAnsi"/>
          <w:sz w:val="20"/>
          <w:szCs w:val="20"/>
          <w:bdr w:val="none" w:sz="0" w:space="0" w:color="auto"/>
          <w:lang w:val="es-AR"/>
        </w:rPr>
        <w:t>.</w:t>
      </w:r>
      <w:r w:rsidRPr="003157B0">
        <w:rPr>
          <w:rFonts w:asciiTheme="majorHAnsi" w:eastAsia="Times New Roman" w:hAnsiTheme="majorHAnsi"/>
          <w:sz w:val="20"/>
          <w:szCs w:val="20"/>
          <w:bdr w:val="none" w:sz="0" w:space="0" w:color="auto"/>
          <w:lang w:val="es-AR"/>
        </w:rPr>
        <w:t xml:space="preserve"> </w:t>
      </w:r>
    </w:p>
    <w:p w:rsidR="00D5621D" w:rsidRPr="00A142DA" w:rsidRDefault="00D5621D" w:rsidP="001A5A72">
      <w:pPr>
        <w:rPr>
          <w:rFonts w:asciiTheme="majorHAnsi" w:eastAsia="Times New Roman" w:hAnsiTheme="majorHAnsi"/>
          <w:sz w:val="20"/>
          <w:szCs w:val="20"/>
          <w:bdr w:val="none" w:sz="0" w:space="0" w:color="auto"/>
          <w:lang w:val="es-ES"/>
        </w:rPr>
      </w:pPr>
    </w:p>
    <w:p w:rsidR="001A5A72" w:rsidRPr="00377A59" w:rsidRDefault="001A5A72" w:rsidP="00263D9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440" w:hanging="720"/>
        <w:jc w:val="both"/>
        <w:rPr>
          <w:rFonts w:asciiTheme="majorHAnsi" w:hAnsiTheme="majorHAnsi"/>
          <w:b/>
          <w:color w:val="080808"/>
          <w:sz w:val="20"/>
          <w:szCs w:val="20"/>
          <w:shd w:val="clear" w:color="auto" w:fill="FFFFFF"/>
          <w:lang w:val="es-VE"/>
        </w:rPr>
      </w:pPr>
      <w:r w:rsidRPr="00377A59">
        <w:rPr>
          <w:rFonts w:asciiTheme="majorHAnsi" w:hAnsiTheme="majorHAnsi"/>
          <w:b/>
          <w:color w:val="080808"/>
          <w:sz w:val="20"/>
          <w:szCs w:val="20"/>
          <w:shd w:val="clear" w:color="auto" w:fill="FFFFFF"/>
          <w:lang w:val="es-VE"/>
        </w:rPr>
        <w:t xml:space="preserve">Duración de la prisión preventiva </w:t>
      </w:r>
    </w:p>
    <w:p w:rsidR="001A5A72" w:rsidRPr="001A5A72" w:rsidRDefault="001A5A72" w:rsidP="001A5A72">
      <w:pPr>
        <w:rPr>
          <w:rFonts w:asciiTheme="majorHAnsi" w:eastAsia="Times New Roman" w:hAnsiTheme="majorHAnsi"/>
          <w:sz w:val="20"/>
          <w:szCs w:val="20"/>
          <w:bdr w:val="none" w:sz="0" w:space="0" w:color="auto"/>
          <w:lang w:val="es-AR"/>
        </w:rPr>
      </w:pPr>
    </w:p>
    <w:p w:rsidR="003157B0" w:rsidRDefault="00D32C8A"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bdr w:val="none" w:sz="0" w:space="0" w:color="auto"/>
          <w:lang w:val="es-AR"/>
        </w:rPr>
      </w:pPr>
      <w:r>
        <w:rPr>
          <w:rFonts w:asciiTheme="majorHAnsi" w:eastAsia="Times New Roman" w:hAnsiTheme="majorHAnsi"/>
          <w:sz w:val="20"/>
          <w:szCs w:val="20"/>
          <w:bdr w:val="none" w:sz="0" w:space="0" w:color="auto"/>
          <w:lang w:val="es-AR"/>
        </w:rPr>
        <w:t>La Comisión pasa a referirse a continuación</w:t>
      </w:r>
      <w:r w:rsidR="00517C2A">
        <w:rPr>
          <w:rFonts w:asciiTheme="majorHAnsi" w:eastAsia="Times New Roman" w:hAnsiTheme="majorHAnsi"/>
          <w:sz w:val="20"/>
          <w:szCs w:val="20"/>
          <w:bdr w:val="none" w:sz="0" w:space="0" w:color="auto"/>
          <w:lang w:val="es-AR"/>
        </w:rPr>
        <w:t xml:space="preserve"> a la duración de la detención preventiva en el presente caso. </w:t>
      </w:r>
      <w:r w:rsidR="00517C2A" w:rsidRPr="00517C2A">
        <w:rPr>
          <w:rFonts w:asciiTheme="majorHAnsi" w:eastAsia="Times New Roman" w:hAnsiTheme="majorHAnsi"/>
          <w:sz w:val="20"/>
          <w:szCs w:val="20"/>
          <w:bdr w:val="none" w:sz="0" w:space="0" w:color="auto"/>
          <w:lang w:val="es-AR"/>
        </w:rPr>
        <w:t>Según lo establecido en los h</w:t>
      </w:r>
      <w:r w:rsidR="00517C2A">
        <w:rPr>
          <w:rFonts w:asciiTheme="majorHAnsi" w:eastAsia="Times New Roman" w:hAnsiTheme="majorHAnsi"/>
          <w:sz w:val="20"/>
          <w:szCs w:val="20"/>
          <w:bdr w:val="none" w:sz="0" w:space="0" w:color="auto"/>
          <w:lang w:val="es-AR"/>
        </w:rPr>
        <w:t>echos probados, el señor</w:t>
      </w:r>
      <w:r w:rsidR="008D03CE">
        <w:rPr>
          <w:rFonts w:asciiTheme="majorHAnsi" w:eastAsia="Times New Roman" w:hAnsiTheme="majorHAnsi"/>
          <w:sz w:val="20"/>
          <w:szCs w:val="20"/>
          <w:bdr w:val="none" w:sz="0" w:space="0" w:color="auto"/>
          <w:lang w:val="es-AR"/>
        </w:rPr>
        <w:t xml:space="preserve"> Rosadio</w:t>
      </w:r>
      <w:r w:rsidR="00517C2A">
        <w:rPr>
          <w:rFonts w:asciiTheme="majorHAnsi" w:eastAsia="Times New Roman" w:hAnsiTheme="majorHAnsi"/>
          <w:sz w:val="20"/>
          <w:szCs w:val="20"/>
          <w:bdr w:val="none" w:sz="0" w:space="0" w:color="auto"/>
          <w:lang w:val="es-AR"/>
        </w:rPr>
        <w:t xml:space="preserve"> Villavicencio</w:t>
      </w:r>
      <w:r w:rsidR="00517C2A" w:rsidRPr="00517C2A">
        <w:rPr>
          <w:rFonts w:asciiTheme="majorHAnsi" w:eastAsia="Times New Roman" w:hAnsiTheme="majorHAnsi"/>
          <w:sz w:val="20"/>
          <w:szCs w:val="20"/>
          <w:bdr w:val="none" w:sz="0" w:space="0" w:color="auto"/>
          <w:lang w:val="es-AR"/>
        </w:rPr>
        <w:t xml:space="preserve"> estuvo privado de su libertad en detención preventiva por</w:t>
      </w:r>
      <w:r w:rsidR="007A5E60">
        <w:rPr>
          <w:rFonts w:asciiTheme="majorHAnsi" w:eastAsia="Times New Roman" w:hAnsiTheme="majorHAnsi"/>
          <w:sz w:val="20"/>
          <w:szCs w:val="20"/>
          <w:bdr w:val="none" w:sz="0" w:space="0" w:color="auto"/>
          <w:lang w:val="es-AR"/>
        </w:rPr>
        <w:t xml:space="preserve"> más de</w:t>
      </w:r>
      <w:r w:rsidR="00517C2A" w:rsidRPr="00517C2A">
        <w:rPr>
          <w:rFonts w:asciiTheme="majorHAnsi" w:eastAsia="Times New Roman" w:hAnsiTheme="majorHAnsi"/>
          <w:sz w:val="20"/>
          <w:szCs w:val="20"/>
          <w:bdr w:val="none" w:sz="0" w:space="0" w:color="auto"/>
          <w:lang w:val="es-AR"/>
        </w:rPr>
        <w:t xml:space="preserve"> </w:t>
      </w:r>
      <w:r w:rsidR="00802F87">
        <w:rPr>
          <w:rFonts w:asciiTheme="majorHAnsi" w:eastAsia="Times New Roman" w:hAnsiTheme="majorHAnsi"/>
          <w:sz w:val="20"/>
          <w:szCs w:val="20"/>
          <w:bdr w:val="none" w:sz="0" w:space="0" w:color="auto"/>
          <w:lang w:val="es-AR"/>
        </w:rPr>
        <w:t>tres años</w:t>
      </w:r>
      <w:r w:rsidR="007F38F9">
        <w:rPr>
          <w:rFonts w:asciiTheme="majorHAnsi" w:eastAsia="Times New Roman" w:hAnsiTheme="majorHAnsi"/>
          <w:sz w:val="20"/>
          <w:szCs w:val="20"/>
          <w:bdr w:val="none" w:sz="0" w:space="0" w:color="auto"/>
          <w:lang w:val="es-AR"/>
        </w:rPr>
        <w:t xml:space="preserve"> y seis meses</w:t>
      </w:r>
      <w:r w:rsidR="00802F87">
        <w:rPr>
          <w:rFonts w:asciiTheme="majorHAnsi" w:eastAsia="Times New Roman" w:hAnsiTheme="majorHAnsi"/>
          <w:sz w:val="20"/>
          <w:szCs w:val="20"/>
          <w:bdr w:val="none" w:sz="0" w:space="0" w:color="auto"/>
          <w:lang w:val="es-AR"/>
        </w:rPr>
        <w:t>, entre el 14 de septiembre de 1994 hasta el 30 de junio de 1998, fecha en el que el Consejo Supremo de Justicia Militar confirmó la sentencia en contra de la presunta víctima</w:t>
      </w:r>
      <w:r w:rsidR="00802F87" w:rsidRPr="003157B0">
        <w:rPr>
          <w:rFonts w:asciiTheme="majorHAnsi" w:eastAsia="Times New Roman" w:hAnsiTheme="majorHAnsi"/>
          <w:sz w:val="20"/>
          <w:szCs w:val="20"/>
          <w:bdr w:val="none" w:sz="0" w:space="0" w:color="auto"/>
          <w:vertAlign w:val="superscript"/>
          <w:lang w:val="es-AR"/>
        </w:rPr>
        <w:footnoteReference w:id="148"/>
      </w:r>
      <w:r w:rsidR="00802F87">
        <w:rPr>
          <w:rFonts w:asciiTheme="majorHAnsi" w:eastAsia="Times New Roman" w:hAnsiTheme="majorHAnsi"/>
          <w:sz w:val="20"/>
          <w:szCs w:val="20"/>
          <w:bdr w:val="none" w:sz="0" w:space="0" w:color="auto"/>
          <w:lang w:val="es-AR"/>
        </w:rPr>
        <w:t xml:space="preserve">. </w:t>
      </w:r>
    </w:p>
    <w:p w:rsidR="003157B0" w:rsidRDefault="003157B0" w:rsidP="0031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eastAsia="Times New Roman" w:hAnsiTheme="majorHAnsi"/>
          <w:sz w:val="20"/>
          <w:szCs w:val="20"/>
          <w:bdr w:val="none" w:sz="0" w:space="0" w:color="auto"/>
          <w:lang w:val="es-AR"/>
        </w:rPr>
      </w:pPr>
    </w:p>
    <w:p w:rsidR="003157B0" w:rsidRDefault="00C05F10"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bdr w:val="none" w:sz="0" w:space="0" w:color="auto"/>
          <w:lang w:val="es-AR"/>
        </w:rPr>
      </w:pPr>
      <w:r w:rsidRPr="003157B0">
        <w:rPr>
          <w:rFonts w:asciiTheme="majorHAnsi" w:eastAsia="Times New Roman" w:hAnsiTheme="majorHAnsi"/>
          <w:sz w:val="20"/>
          <w:szCs w:val="20"/>
          <w:bdr w:val="none" w:sz="0" w:space="0" w:color="auto"/>
          <w:lang w:val="es-AR"/>
        </w:rPr>
        <w:t>Al respecto, la Comisión observa que no consta que durante dicho lapso s</w:t>
      </w:r>
      <w:r w:rsidR="003954CA" w:rsidRPr="003157B0">
        <w:rPr>
          <w:rFonts w:asciiTheme="majorHAnsi" w:eastAsia="Times New Roman" w:hAnsiTheme="majorHAnsi"/>
          <w:sz w:val="20"/>
          <w:szCs w:val="20"/>
          <w:bdr w:val="none" w:sz="0" w:space="0" w:color="auto"/>
          <w:lang w:val="es-AR"/>
        </w:rPr>
        <w:t>e hubiera efectuado de oficio un</w:t>
      </w:r>
      <w:r w:rsidRPr="003157B0">
        <w:rPr>
          <w:rFonts w:asciiTheme="majorHAnsi" w:eastAsia="Times New Roman" w:hAnsiTheme="majorHAnsi"/>
          <w:sz w:val="20"/>
          <w:szCs w:val="20"/>
          <w:bdr w:val="none" w:sz="0" w:space="0" w:color="auto"/>
          <w:lang w:val="es-AR"/>
        </w:rPr>
        <w:t xml:space="preserve">a revisión periódica sobre la necesidad de mantener la detención preventiva. Asimismo y </w:t>
      </w:r>
      <w:r w:rsidR="00D76A3C" w:rsidRPr="003157B0">
        <w:rPr>
          <w:rFonts w:asciiTheme="majorHAnsi" w:eastAsia="Times New Roman" w:hAnsiTheme="majorHAnsi"/>
          <w:sz w:val="20"/>
          <w:szCs w:val="20"/>
          <w:bdr w:val="none" w:sz="0" w:space="0" w:color="auto"/>
          <w:lang w:val="es-AR"/>
        </w:rPr>
        <w:t xml:space="preserve">tal como se indicó con anterioridad, en el marco de los recursos interpuestos por el señor Villavicencio para solicitar su libertad </w:t>
      </w:r>
      <w:r w:rsidR="000E15C3">
        <w:rPr>
          <w:rFonts w:asciiTheme="majorHAnsi" w:eastAsia="Times New Roman" w:hAnsiTheme="majorHAnsi"/>
          <w:sz w:val="20"/>
          <w:szCs w:val="20"/>
          <w:bdr w:val="none" w:sz="0" w:space="0" w:color="auto"/>
          <w:lang w:val="es-AR"/>
        </w:rPr>
        <w:t>in</w:t>
      </w:r>
      <w:r w:rsidR="00D76A3C" w:rsidRPr="003157B0">
        <w:rPr>
          <w:rFonts w:asciiTheme="majorHAnsi" w:eastAsia="Times New Roman" w:hAnsiTheme="majorHAnsi"/>
          <w:sz w:val="20"/>
          <w:szCs w:val="20"/>
          <w:bdr w:val="none" w:sz="0" w:space="0" w:color="auto"/>
          <w:lang w:val="es-AR"/>
        </w:rPr>
        <w:t xml:space="preserve">condicional, esta revisión tampoco fue efectuada. Ante la Comisión Interamericana el Estado peruano se refirió a las decisiones judiciales a nivel interno sin ofrecer otra explicación o elementos adicionales. </w:t>
      </w:r>
    </w:p>
    <w:p w:rsidR="003157B0" w:rsidRDefault="003157B0" w:rsidP="003157B0">
      <w:pPr>
        <w:pStyle w:val="ListParagraph"/>
        <w:rPr>
          <w:rFonts w:asciiTheme="majorHAnsi" w:eastAsia="Times New Roman" w:hAnsiTheme="majorHAnsi"/>
          <w:sz w:val="20"/>
          <w:szCs w:val="20"/>
          <w:bdr w:val="none" w:sz="0" w:space="0" w:color="auto"/>
          <w:lang w:val="es-AR"/>
        </w:rPr>
      </w:pPr>
    </w:p>
    <w:p w:rsidR="003157B0" w:rsidRDefault="008027CE" w:rsidP="003157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bdr w:val="none" w:sz="0" w:space="0" w:color="auto"/>
          <w:lang w:val="es-AR"/>
        </w:rPr>
      </w:pPr>
      <w:r w:rsidRPr="003157B0">
        <w:rPr>
          <w:rFonts w:asciiTheme="majorHAnsi" w:eastAsia="Times New Roman" w:hAnsiTheme="majorHAnsi"/>
          <w:sz w:val="20"/>
          <w:szCs w:val="20"/>
          <w:bdr w:val="none" w:sz="0" w:space="0" w:color="auto"/>
          <w:lang w:val="es-AR"/>
        </w:rPr>
        <w:t xml:space="preserve">Por el contrario, </w:t>
      </w:r>
      <w:r w:rsidR="0081082A" w:rsidRPr="003157B0">
        <w:rPr>
          <w:rFonts w:asciiTheme="majorHAnsi" w:eastAsia="Times New Roman" w:hAnsiTheme="majorHAnsi"/>
          <w:sz w:val="20"/>
          <w:szCs w:val="20"/>
          <w:bdr w:val="none" w:sz="0" w:space="0" w:color="auto"/>
          <w:lang w:val="es-AR"/>
        </w:rPr>
        <w:t>como se indicó</w:t>
      </w:r>
      <w:r w:rsidR="004714E0" w:rsidRPr="003157B0">
        <w:rPr>
          <w:rFonts w:asciiTheme="majorHAnsi" w:eastAsia="Times New Roman" w:hAnsiTheme="majorHAnsi"/>
          <w:sz w:val="20"/>
          <w:szCs w:val="20"/>
          <w:bdr w:val="none" w:sz="0" w:space="0" w:color="auto"/>
          <w:lang w:val="es-AR"/>
        </w:rPr>
        <w:t>,</w:t>
      </w:r>
      <w:r w:rsidRPr="003157B0">
        <w:rPr>
          <w:rFonts w:asciiTheme="majorHAnsi" w:eastAsia="Times New Roman" w:hAnsiTheme="majorHAnsi"/>
          <w:sz w:val="20"/>
          <w:szCs w:val="20"/>
          <w:bdr w:val="none" w:sz="0" w:space="0" w:color="auto"/>
          <w:lang w:val="es-AR"/>
        </w:rPr>
        <w:t xml:space="preserve"> </w:t>
      </w:r>
      <w:r w:rsidR="0081082A" w:rsidRPr="003157B0">
        <w:rPr>
          <w:rFonts w:asciiTheme="majorHAnsi" w:eastAsia="Times New Roman" w:hAnsiTheme="majorHAnsi"/>
          <w:sz w:val="20"/>
          <w:szCs w:val="20"/>
          <w:bdr w:val="none" w:sz="0" w:space="0" w:color="auto"/>
          <w:lang w:val="es-AR"/>
        </w:rPr>
        <w:t xml:space="preserve">la duración de la detención preventiva del señor Villavicencio fue consecuencia </w:t>
      </w:r>
      <w:r w:rsidR="004714E0" w:rsidRPr="003157B0">
        <w:rPr>
          <w:rFonts w:asciiTheme="majorHAnsi" w:eastAsia="Times New Roman" w:hAnsiTheme="majorHAnsi"/>
          <w:sz w:val="20"/>
          <w:szCs w:val="20"/>
          <w:bdr w:val="none" w:sz="0" w:space="0" w:color="auto"/>
          <w:lang w:val="es-AR"/>
        </w:rPr>
        <w:t>del marco legal aplicado</w:t>
      </w:r>
      <w:r w:rsidR="00AB12CD" w:rsidRPr="003157B0">
        <w:rPr>
          <w:rFonts w:asciiTheme="majorHAnsi" w:eastAsia="Times New Roman" w:hAnsiTheme="majorHAnsi"/>
          <w:sz w:val="20"/>
          <w:szCs w:val="20"/>
          <w:bdr w:val="none" w:sz="0" w:space="0" w:color="auto"/>
          <w:lang w:val="es-AR"/>
        </w:rPr>
        <w:t xml:space="preserve"> que exigía a la presunta víctima</w:t>
      </w:r>
      <w:r w:rsidR="004714E0" w:rsidRPr="003157B0">
        <w:rPr>
          <w:rFonts w:asciiTheme="majorHAnsi" w:eastAsia="Times New Roman" w:hAnsiTheme="majorHAnsi"/>
          <w:sz w:val="20"/>
          <w:szCs w:val="20"/>
          <w:bdr w:val="none" w:sz="0" w:space="0" w:color="auto"/>
          <w:lang w:val="es-AR"/>
        </w:rPr>
        <w:t xml:space="preserve"> “demostrar plenamente la inculpabilidad del encausado” y de la valoración que desde el principio de los procesos las autoridades hicieron sobre los indicios de la responsabilidad de la presunta víctima, así como de la gravedad del delito, cuestión que fue analizada en la sección sobre el principio de presunción de inocencia. </w:t>
      </w:r>
    </w:p>
    <w:p w:rsidR="00CC4E00" w:rsidRPr="009D5B30" w:rsidRDefault="00CC4E00" w:rsidP="00CC4E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eastAsia="Times New Roman" w:hAnsiTheme="majorHAnsi"/>
          <w:sz w:val="20"/>
          <w:szCs w:val="20"/>
          <w:bdr w:val="none" w:sz="0" w:space="0" w:color="auto"/>
          <w:lang w:val="es-CO"/>
        </w:rPr>
      </w:pPr>
    </w:p>
    <w:p w:rsidR="00BC3590" w:rsidRDefault="007F38F9" w:rsidP="00BC359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bdr w:val="none" w:sz="0" w:space="0" w:color="auto"/>
          <w:lang w:val="es-AR"/>
        </w:rPr>
      </w:pPr>
      <w:r w:rsidRPr="00A142DA">
        <w:rPr>
          <w:rFonts w:asciiTheme="majorHAnsi" w:eastAsia="Times New Roman" w:hAnsiTheme="majorHAnsi"/>
          <w:sz w:val="20"/>
          <w:szCs w:val="20"/>
          <w:bdr w:val="none" w:sz="0" w:space="0" w:color="auto"/>
          <w:lang w:val="es-AR"/>
        </w:rPr>
        <w:t>Por lo anterior, la Comisión concluye que la duración por más de tres años y seis meses de la detención preventiva del señor Villavicencio, fue excesiva en sus términos, lo que violó el principio de la razonabilidad establecid</w:t>
      </w:r>
      <w:r w:rsidR="004B5E2D" w:rsidRPr="00A142DA">
        <w:rPr>
          <w:rFonts w:asciiTheme="majorHAnsi" w:eastAsia="Times New Roman" w:hAnsiTheme="majorHAnsi"/>
          <w:sz w:val="20"/>
          <w:szCs w:val="20"/>
          <w:bdr w:val="none" w:sz="0" w:space="0" w:color="auto"/>
          <w:lang w:val="es-AR"/>
        </w:rPr>
        <w:t>o</w:t>
      </w:r>
      <w:r w:rsidRPr="00A142DA">
        <w:rPr>
          <w:rFonts w:asciiTheme="majorHAnsi" w:eastAsia="Times New Roman" w:hAnsiTheme="majorHAnsi"/>
          <w:sz w:val="20"/>
          <w:szCs w:val="20"/>
          <w:bdr w:val="none" w:sz="0" w:space="0" w:color="auto"/>
          <w:lang w:val="es-AR"/>
        </w:rPr>
        <w:t xml:space="preserve"> en el artículo 7.5 de la Convención. Asimismo, dicha detención constituyó una anticipación de la pena que podría aplicársele en caso de ser condenado, en violación del principio de presunción de inocencia contemplado en el artículo 8.2 de la Convención. </w:t>
      </w:r>
    </w:p>
    <w:p w:rsidR="00A142DA" w:rsidRPr="00A142DA" w:rsidRDefault="00A142DA" w:rsidP="00A142D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eastAsia="Times New Roman" w:hAnsiTheme="majorHAnsi"/>
          <w:sz w:val="20"/>
          <w:szCs w:val="20"/>
          <w:bdr w:val="none" w:sz="0" w:space="0" w:color="auto"/>
          <w:lang w:val="es-AR"/>
        </w:rPr>
      </w:pPr>
    </w:p>
    <w:p w:rsidR="004714E0" w:rsidRPr="001A5A72" w:rsidRDefault="00EA1C5F" w:rsidP="00263D9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440" w:hanging="720"/>
        <w:jc w:val="both"/>
        <w:rPr>
          <w:rFonts w:asciiTheme="majorHAnsi" w:hAnsiTheme="majorHAnsi"/>
          <w:b/>
          <w:color w:val="080808"/>
          <w:sz w:val="20"/>
          <w:szCs w:val="20"/>
          <w:shd w:val="clear" w:color="auto" w:fill="FFFFFF"/>
          <w:lang w:val="es-VE"/>
        </w:rPr>
      </w:pPr>
      <w:r>
        <w:rPr>
          <w:rFonts w:asciiTheme="majorHAnsi" w:hAnsiTheme="majorHAnsi"/>
          <w:b/>
          <w:color w:val="080808"/>
          <w:sz w:val="20"/>
          <w:szCs w:val="20"/>
          <w:shd w:val="clear" w:color="auto" w:fill="FFFFFF"/>
          <w:lang w:val="es-VE"/>
        </w:rPr>
        <w:t xml:space="preserve">Efectividad de los recursos </w:t>
      </w:r>
    </w:p>
    <w:p w:rsidR="003954CA" w:rsidRDefault="003954CA" w:rsidP="007B5B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3157B0" w:rsidRDefault="007B5B52" w:rsidP="00A142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bdr w:val="none" w:sz="0" w:space="0" w:color="auto"/>
          <w:lang w:val="es-AR"/>
        </w:rPr>
      </w:pPr>
      <w:r>
        <w:rPr>
          <w:rFonts w:asciiTheme="majorHAnsi" w:eastAsia="Times New Roman" w:hAnsiTheme="majorHAnsi"/>
          <w:sz w:val="20"/>
          <w:szCs w:val="20"/>
          <w:bdr w:val="none" w:sz="0" w:space="0" w:color="auto"/>
          <w:lang w:val="es-AR"/>
        </w:rPr>
        <w:t xml:space="preserve">En tercer lugar la Comisión analizará la efectividad de los recursos interpuestos por el señor </w:t>
      </w:r>
      <w:r w:rsidR="00770DD1">
        <w:rPr>
          <w:rFonts w:asciiTheme="majorHAnsi" w:eastAsia="Times New Roman" w:hAnsiTheme="majorHAnsi"/>
          <w:sz w:val="20"/>
          <w:szCs w:val="20"/>
          <w:bdr w:val="none" w:sz="0" w:space="0" w:color="auto"/>
          <w:lang w:val="es-AR"/>
        </w:rPr>
        <w:t xml:space="preserve">Rosadio </w:t>
      </w:r>
      <w:r>
        <w:rPr>
          <w:rFonts w:asciiTheme="majorHAnsi" w:eastAsia="Times New Roman" w:hAnsiTheme="majorHAnsi"/>
          <w:sz w:val="20"/>
          <w:szCs w:val="20"/>
          <w:bdr w:val="none" w:sz="0" w:space="0" w:color="auto"/>
          <w:lang w:val="es-AR"/>
        </w:rPr>
        <w:t>Villavicencio para cuestionar su privación de libertad. Al respecto, tal como se indicó en los hechos probados, el señor</w:t>
      </w:r>
      <w:r w:rsidR="003D3083">
        <w:rPr>
          <w:rFonts w:asciiTheme="majorHAnsi" w:eastAsia="Times New Roman" w:hAnsiTheme="majorHAnsi"/>
          <w:sz w:val="20"/>
          <w:szCs w:val="20"/>
          <w:bdr w:val="none" w:sz="0" w:space="0" w:color="auto"/>
          <w:lang w:val="es-AR"/>
        </w:rPr>
        <w:t xml:space="preserve"> Rosadio</w:t>
      </w:r>
      <w:r>
        <w:rPr>
          <w:rFonts w:asciiTheme="majorHAnsi" w:eastAsia="Times New Roman" w:hAnsiTheme="majorHAnsi"/>
          <w:sz w:val="20"/>
          <w:szCs w:val="20"/>
          <w:bdr w:val="none" w:sz="0" w:space="0" w:color="auto"/>
          <w:lang w:val="es-AR"/>
        </w:rPr>
        <w:t xml:space="preserve"> Villavicencio</w:t>
      </w:r>
      <w:r w:rsidR="00FD0BD9">
        <w:rPr>
          <w:rFonts w:asciiTheme="majorHAnsi" w:eastAsia="Times New Roman" w:hAnsiTheme="majorHAnsi"/>
          <w:sz w:val="20"/>
          <w:szCs w:val="20"/>
          <w:bdr w:val="none" w:sz="0" w:space="0" w:color="auto"/>
          <w:lang w:val="es-AR"/>
        </w:rPr>
        <w:t xml:space="preserve"> interpuso una </w:t>
      </w:r>
      <w:r w:rsidR="00F34712">
        <w:rPr>
          <w:rFonts w:asciiTheme="majorHAnsi" w:eastAsia="Times New Roman" w:hAnsiTheme="majorHAnsi"/>
          <w:sz w:val="20"/>
          <w:szCs w:val="20"/>
          <w:bdr w:val="none" w:sz="0" w:space="0" w:color="auto"/>
          <w:lang w:val="es-AR"/>
        </w:rPr>
        <w:t xml:space="preserve">solicitud de libertad </w:t>
      </w:r>
      <w:r w:rsidR="000E15C3">
        <w:rPr>
          <w:rFonts w:asciiTheme="majorHAnsi" w:eastAsia="Times New Roman" w:hAnsiTheme="majorHAnsi"/>
          <w:sz w:val="20"/>
          <w:szCs w:val="20"/>
          <w:bdr w:val="none" w:sz="0" w:space="0" w:color="auto"/>
          <w:lang w:val="es-AR"/>
        </w:rPr>
        <w:t>in</w:t>
      </w:r>
      <w:r w:rsidR="00F34712">
        <w:rPr>
          <w:rFonts w:asciiTheme="majorHAnsi" w:eastAsia="Times New Roman" w:hAnsiTheme="majorHAnsi"/>
          <w:sz w:val="20"/>
          <w:szCs w:val="20"/>
          <w:bdr w:val="none" w:sz="0" w:space="0" w:color="auto"/>
          <w:lang w:val="es-AR"/>
        </w:rPr>
        <w:t xml:space="preserve">condicional, </w:t>
      </w:r>
      <w:r w:rsidR="00D42D45">
        <w:rPr>
          <w:rFonts w:asciiTheme="majorHAnsi" w:eastAsia="Times New Roman" w:hAnsiTheme="majorHAnsi"/>
          <w:sz w:val="20"/>
          <w:szCs w:val="20"/>
          <w:bdr w:val="none" w:sz="0" w:space="0" w:color="auto"/>
          <w:lang w:val="es-AR"/>
        </w:rPr>
        <w:t xml:space="preserve">el 7 de febrero de 1995, argumentando que no existía peligro de que </w:t>
      </w:r>
      <w:r w:rsidR="00F07180">
        <w:rPr>
          <w:rFonts w:asciiTheme="majorHAnsi" w:eastAsia="Times New Roman" w:hAnsiTheme="majorHAnsi"/>
          <w:sz w:val="20"/>
          <w:szCs w:val="20"/>
          <w:bdr w:val="none" w:sz="0" w:space="0" w:color="auto"/>
          <w:lang w:val="es-AR"/>
        </w:rPr>
        <w:t>rehuyera la acción de la justicia o perturbara la acción probatoria, sin embargo se denegó porque los procesados “</w:t>
      </w:r>
      <w:r w:rsidR="00F07180" w:rsidRPr="003157B0">
        <w:rPr>
          <w:rFonts w:asciiTheme="majorHAnsi" w:eastAsia="Times New Roman" w:hAnsiTheme="majorHAnsi"/>
          <w:sz w:val="20"/>
          <w:szCs w:val="20"/>
          <w:bdr w:val="none" w:sz="0" w:space="0" w:color="auto"/>
          <w:lang w:val="es-AR"/>
        </w:rPr>
        <w:t xml:space="preserve">niegan los cargos imputados”, “lo que hace ver la conducta ilícita de los recurrentes” por lo que resulta aplicable el artículo 201 del Código de Procedimientos Penales. La presunta víctima interpuso un recurso de apelación en contra de dicha decisión, </w:t>
      </w:r>
      <w:r w:rsidR="00533DEB" w:rsidRPr="003157B0">
        <w:rPr>
          <w:rFonts w:asciiTheme="majorHAnsi" w:eastAsia="Times New Roman" w:hAnsiTheme="majorHAnsi"/>
          <w:sz w:val="20"/>
          <w:szCs w:val="20"/>
          <w:bdr w:val="none" w:sz="0" w:space="0" w:color="auto"/>
          <w:lang w:val="es-AR"/>
        </w:rPr>
        <w:t>el</w:t>
      </w:r>
      <w:r w:rsidR="00DB3EE1" w:rsidRPr="003157B0">
        <w:rPr>
          <w:rFonts w:asciiTheme="majorHAnsi" w:eastAsia="Times New Roman" w:hAnsiTheme="majorHAnsi"/>
          <w:sz w:val="20"/>
          <w:szCs w:val="20"/>
          <w:bdr w:val="none" w:sz="0" w:space="0" w:color="auto"/>
          <w:lang w:val="es-AR"/>
        </w:rPr>
        <w:t xml:space="preserve"> cual se denegó tomando en cuenta la “gravedad” del delito</w:t>
      </w:r>
      <w:r w:rsidR="00EA1C5F" w:rsidRPr="003157B0">
        <w:rPr>
          <w:rFonts w:asciiTheme="majorHAnsi" w:eastAsia="Times New Roman" w:hAnsiTheme="majorHAnsi"/>
          <w:sz w:val="20"/>
          <w:szCs w:val="20"/>
          <w:bdr w:val="none" w:sz="0" w:space="0" w:color="auto"/>
          <w:lang w:val="es-AR"/>
        </w:rPr>
        <w:t xml:space="preserve"> y los “indicios de responsabilidad” de la presunta víctima. </w:t>
      </w:r>
    </w:p>
    <w:p w:rsidR="003157B0" w:rsidRDefault="003157B0" w:rsidP="0031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eastAsia="Times New Roman" w:hAnsiTheme="majorHAnsi"/>
          <w:sz w:val="20"/>
          <w:szCs w:val="20"/>
          <w:bdr w:val="none" w:sz="0" w:space="0" w:color="auto"/>
          <w:lang w:val="es-AR"/>
        </w:rPr>
      </w:pPr>
    </w:p>
    <w:p w:rsidR="003157B0" w:rsidRDefault="001B1996"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bdr w:val="none" w:sz="0" w:space="0" w:color="auto"/>
          <w:lang w:val="es-AR"/>
        </w:rPr>
      </w:pPr>
      <w:r w:rsidRPr="003157B0">
        <w:rPr>
          <w:rFonts w:asciiTheme="majorHAnsi" w:eastAsia="Times New Roman" w:hAnsiTheme="majorHAnsi"/>
          <w:sz w:val="20"/>
          <w:szCs w:val="20"/>
          <w:bdr w:val="none" w:sz="0" w:space="0" w:color="auto"/>
          <w:lang w:val="es-AR"/>
        </w:rPr>
        <w:t xml:space="preserve">La Comisión advierte que al evaluar la solicitud de libertad incondicional del señor </w:t>
      </w:r>
      <w:r w:rsidR="000A2C06">
        <w:rPr>
          <w:rFonts w:asciiTheme="majorHAnsi" w:eastAsia="Times New Roman" w:hAnsiTheme="majorHAnsi"/>
          <w:sz w:val="20"/>
          <w:szCs w:val="20"/>
          <w:bdr w:val="none" w:sz="0" w:space="0" w:color="auto"/>
          <w:lang w:val="es-AR"/>
        </w:rPr>
        <w:t xml:space="preserve">Rosadio </w:t>
      </w:r>
      <w:r w:rsidRPr="003157B0">
        <w:rPr>
          <w:rFonts w:asciiTheme="majorHAnsi" w:eastAsia="Times New Roman" w:hAnsiTheme="majorHAnsi"/>
          <w:sz w:val="20"/>
          <w:szCs w:val="20"/>
          <w:bdr w:val="none" w:sz="0" w:space="0" w:color="auto"/>
          <w:lang w:val="es-AR"/>
        </w:rPr>
        <w:t xml:space="preserve">Villavicencio, las autoridades que negaron los recursos citados en el párrafo precedente, lo hicieron basándose exclusivamente en los indicios de responsabilidad, la gravedad del delito o el estándar probatorio del artículo 201 del Código de Procedimientos Penales, que exigía demostrar plenamente la inculpabilidad, sin analizar ni justificar si se cumplían los fines procesales según otras normas del Código Procesal Penal, </w:t>
      </w:r>
      <w:r w:rsidR="001E4878" w:rsidRPr="003157B0">
        <w:rPr>
          <w:rFonts w:asciiTheme="majorHAnsi" w:eastAsia="Times New Roman" w:hAnsiTheme="majorHAnsi"/>
          <w:sz w:val="20"/>
          <w:szCs w:val="20"/>
          <w:bdr w:val="none" w:sz="0" w:space="0" w:color="auto"/>
          <w:lang w:val="es-AR"/>
        </w:rPr>
        <w:t xml:space="preserve"> y que estaban llamados a verificar de conformidad con sus obligacion</w:t>
      </w:r>
      <w:r w:rsidR="00F838C4">
        <w:rPr>
          <w:rFonts w:asciiTheme="majorHAnsi" w:eastAsia="Times New Roman" w:hAnsiTheme="majorHAnsi"/>
          <w:sz w:val="20"/>
          <w:szCs w:val="20"/>
          <w:bdr w:val="none" w:sz="0" w:space="0" w:color="auto"/>
          <w:lang w:val="es-AR"/>
        </w:rPr>
        <w:t xml:space="preserve">es bajo la Convención Americana, esto es, los fines procesales. </w:t>
      </w:r>
    </w:p>
    <w:p w:rsidR="003157B0" w:rsidRDefault="003157B0" w:rsidP="003157B0">
      <w:pPr>
        <w:pStyle w:val="ListParagraph"/>
        <w:rPr>
          <w:rFonts w:asciiTheme="majorHAnsi" w:eastAsia="Times New Roman" w:hAnsiTheme="majorHAnsi"/>
          <w:sz w:val="20"/>
          <w:szCs w:val="20"/>
          <w:bdr w:val="none" w:sz="0" w:space="0" w:color="auto"/>
          <w:lang w:val="es-AR"/>
        </w:rPr>
      </w:pPr>
    </w:p>
    <w:p w:rsidR="003157B0" w:rsidRDefault="001E4878"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bdr w:val="none" w:sz="0" w:space="0" w:color="auto"/>
          <w:lang w:val="es-AR"/>
        </w:rPr>
      </w:pPr>
      <w:r w:rsidRPr="003157B0">
        <w:rPr>
          <w:rFonts w:asciiTheme="majorHAnsi" w:eastAsia="Times New Roman" w:hAnsiTheme="majorHAnsi"/>
          <w:sz w:val="20"/>
          <w:szCs w:val="20"/>
          <w:bdr w:val="none" w:sz="0" w:space="0" w:color="auto"/>
          <w:lang w:val="es-AR"/>
        </w:rPr>
        <w:t>En suma, los recursos judiciales interpuestos no posibilitaron una revisión sin demora y efectiva tanto de la motivación como de la duración de la detención preventiva a la luz de los estándares descritos, lo que resultó en una violación de los artículos 7.6 y 25.1 de la Convención Americana.</w:t>
      </w:r>
    </w:p>
    <w:p w:rsidR="003157B0" w:rsidRDefault="003157B0">
      <w:pPr>
        <w:pStyle w:val="ListParagraph"/>
        <w:rPr>
          <w:rFonts w:asciiTheme="majorHAnsi" w:eastAsia="Times New Roman" w:hAnsiTheme="majorHAnsi"/>
          <w:sz w:val="20"/>
          <w:szCs w:val="20"/>
          <w:bdr w:val="none" w:sz="0" w:space="0" w:color="auto"/>
          <w:lang w:val="es-AR"/>
        </w:rPr>
      </w:pPr>
    </w:p>
    <w:p w:rsidR="007B5B52" w:rsidRDefault="0083654E"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bdr w:val="none" w:sz="0" w:space="0" w:color="auto"/>
          <w:lang w:val="es-AR"/>
        </w:rPr>
      </w:pPr>
      <w:r w:rsidRPr="003157B0">
        <w:rPr>
          <w:rFonts w:asciiTheme="majorHAnsi" w:eastAsia="Times New Roman" w:hAnsiTheme="majorHAnsi"/>
          <w:sz w:val="20"/>
          <w:szCs w:val="20"/>
          <w:bdr w:val="none" w:sz="0" w:space="0" w:color="auto"/>
          <w:lang w:val="es-AR"/>
        </w:rPr>
        <w:t xml:space="preserve">En virtud de todas las consideraciones vertidas en la presente sección la Comisión Interamericana concluye que el Estado peruano es responsable por la violación de los derechos establecidos en los artículos 7.1, 7.3, 7.5, 7.6, 8.1, 8.2 y 25 de la Convención Americana en relación con las obligaciones establecidas en el artículo 1.1 del mismo instrumento, en perjuicio de Jorge Rosadio Villavicencio. </w:t>
      </w:r>
    </w:p>
    <w:p w:rsidR="00BC3590" w:rsidRDefault="00BC3590" w:rsidP="00BC35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Theme="majorHAnsi" w:eastAsia="Times New Roman" w:hAnsiTheme="majorHAnsi"/>
          <w:sz w:val="20"/>
          <w:szCs w:val="20"/>
          <w:bdr w:val="none" w:sz="0" w:space="0" w:color="auto"/>
          <w:lang w:val="es-AR"/>
        </w:rPr>
      </w:pPr>
    </w:p>
    <w:p w:rsidR="00573FC5" w:rsidRDefault="00573FC5" w:rsidP="00F23884">
      <w:pPr>
        <w:pStyle w:val="Heading1"/>
        <w:numPr>
          <w:ilvl w:val="0"/>
          <w:numId w:val="55"/>
        </w:numPr>
        <w:tabs>
          <w:tab w:val="clear" w:pos="1440"/>
        </w:tabs>
      </w:pPr>
      <w:bookmarkStart w:id="66" w:name="_Toc485394070"/>
      <w:bookmarkStart w:id="67" w:name="_Toc477355364"/>
      <w:r>
        <w:t>CONCLUSIONES</w:t>
      </w:r>
      <w:bookmarkEnd w:id="66"/>
      <w:r>
        <w:t xml:space="preserve"> </w:t>
      </w:r>
    </w:p>
    <w:p w:rsidR="00573FC5" w:rsidRDefault="00573FC5" w:rsidP="00573FC5">
      <w:pPr>
        <w:rPr>
          <w:lang w:val="es-ES_tradnl"/>
        </w:rPr>
      </w:pPr>
    </w:p>
    <w:p w:rsidR="00573FC5" w:rsidRPr="004D6582" w:rsidRDefault="00573FC5" w:rsidP="00377A5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lang w:val="es-ES_tradnl"/>
        </w:rPr>
      </w:pPr>
      <w:r w:rsidRPr="004D6582">
        <w:rPr>
          <w:rFonts w:asciiTheme="majorHAnsi" w:eastAsia="Times New Roman" w:hAnsiTheme="majorHAnsi"/>
          <w:sz w:val="20"/>
          <w:szCs w:val="20"/>
          <w:bdr w:val="none" w:sz="0" w:space="0" w:color="auto"/>
          <w:lang w:val="es-AR"/>
        </w:rPr>
        <w:t>La Com</w:t>
      </w:r>
      <w:r w:rsidR="00F10FDF">
        <w:rPr>
          <w:rFonts w:asciiTheme="majorHAnsi" w:eastAsia="Times New Roman" w:hAnsiTheme="majorHAnsi"/>
          <w:sz w:val="20"/>
          <w:szCs w:val="20"/>
          <w:bdr w:val="none" w:sz="0" w:space="0" w:color="auto"/>
          <w:lang w:val="es-AR"/>
        </w:rPr>
        <w:t xml:space="preserve">isión concluye que el Estado peruano </w:t>
      </w:r>
      <w:r w:rsidRPr="004D6582">
        <w:rPr>
          <w:rFonts w:asciiTheme="majorHAnsi" w:eastAsia="Times New Roman" w:hAnsiTheme="majorHAnsi"/>
          <w:sz w:val="20"/>
          <w:szCs w:val="20"/>
          <w:bdr w:val="none" w:sz="0" w:space="0" w:color="auto"/>
          <w:lang w:val="es-AR"/>
        </w:rPr>
        <w:t>es responsable por la violación de los derechos</w:t>
      </w:r>
      <w:r w:rsidR="001D4F5E">
        <w:rPr>
          <w:rFonts w:asciiTheme="majorHAnsi" w:eastAsia="Times New Roman" w:hAnsiTheme="majorHAnsi"/>
          <w:sz w:val="20"/>
          <w:szCs w:val="20"/>
          <w:bdr w:val="none" w:sz="0" w:space="0" w:color="auto"/>
          <w:lang w:val="es-AR"/>
        </w:rPr>
        <w:t xml:space="preserve"> a la libertad personal, garantías judiciales y protección judicial, consagrados en los artículos 7.1, 7.3, 7.5, 7.6, </w:t>
      </w:r>
      <w:r w:rsidR="00664336">
        <w:rPr>
          <w:rFonts w:asciiTheme="majorHAnsi" w:eastAsia="Times New Roman" w:hAnsiTheme="majorHAnsi"/>
          <w:sz w:val="20"/>
          <w:szCs w:val="20"/>
          <w:bdr w:val="none" w:sz="0" w:space="0" w:color="auto"/>
          <w:lang w:val="es-AR"/>
        </w:rPr>
        <w:t>8.1, 8.2, 8.2 b), c), e), 8.4,</w:t>
      </w:r>
      <w:r w:rsidR="001D4F5E">
        <w:rPr>
          <w:rFonts w:asciiTheme="majorHAnsi" w:eastAsia="Times New Roman" w:hAnsiTheme="majorHAnsi"/>
          <w:sz w:val="20"/>
          <w:szCs w:val="20"/>
          <w:bdr w:val="none" w:sz="0" w:space="0" w:color="auto"/>
          <w:lang w:val="es-AR"/>
        </w:rPr>
        <w:t xml:space="preserve"> y 25</w:t>
      </w:r>
      <w:r w:rsidR="006D2842">
        <w:rPr>
          <w:rFonts w:asciiTheme="majorHAnsi" w:eastAsia="Times New Roman" w:hAnsiTheme="majorHAnsi"/>
          <w:sz w:val="20"/>
          <w:szCs w:val="20"/>
          <w:bdr w:val="none" w:sz="0" w:space="0" w:color="auto"/>
          <w:lang w:val="es-AR"/>
        </w:rPr>
        <w:t>.1</w:t>
      </w:r>
      <w:r w:rsidR="001D4F5E">
        <w:rPr>
          <w:rFonts w:asciiTheme="majorHAnsi" w:eastAsia="Times New Roman" w:hAnsiTheme="majorHAnsi"/>
          <w:sz w:val="20"/>
          <w:szCs w:val="20"/>
          <w:bdr w:val="none" w:sz="0" w:space="0" w:color="auto"/>
          <w:lang w:val="es-AR"/>
        </w:rPr>
        <w:t xml:space="preserve"> de la Convención Americana, en relación con </w:t>
      </w:r>
      <w:r w:rsidR="00330592">
        <w:rPr>
          <w:rFonts w:asciiTheme="majorHAnsi" w:eastAsia="Times New Roman" w:hAnsiTheme="majorHAnsi"/>
          <w:sz w:val="20"/>
          <w:szCs w:val="20"/>
          <w:bdr w:val="none" w:sz="0" w:space="0" w:color="auto"/>
          <w:lang w:val="es-AR"/>
        </w:rPr>
        <w:t>el artículo</w:t>
      </w:r>
      <w:r w:rsidR="001D4F5E">
        <w:rPr>
          <w:rFonts w:asciiTheme="majorHAnsi" w:eastAsia="Times New Roman" w:hAnsiTheme="majorHAnsi"/>
          <w:sz w:val="20"/>
          <w:szCs w:val="20"/>
          <w:bdr w:val="none" w:sz="0" w:space="0" w:color="auto"/>
          <w:lang w:val="es-AR"/>
        </w:rPr>
        <w:t xml:space="preserve"> 1.1 del mismo instrumento en perjuicio de Jorge Rosadio Villavicencio. </w:t>
      </w:r>
    </w:p>
    <w:p w:rsidR="000E15C3" w:rsidRPr="004D6582" w:rsidRDefault="000E15C3" w:rsidP="00F238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lang w:val="es-ES_tradnl"/>
        </w:rPr>
      </w:pPr>
    </w:p>
    <w:p w:rsidR="00573FC5" w:rsidRDefault="00573FC5" w:rsidP="00F23884">
      <w:pPr>
        <w:pStyle w:val="Heading1"/>
        <w:numPr>
          <w:ilvl w:val="0"/>
          <w:numId w:val="55"/>
        </w:numPr>
        <w:tabs>
          <w:tab w:val="clear" w:pos="1440"/>
        </w:tabs>
      </w:pPr>
      <w:bookmarkStart w:id="68" w:name="_Toc485394071"/>
      <w:bookmarkEnd w:id="67"/>
      <w:r>
        <w:t>RECOMENDACIONES</w:t>
      </w:r>
      <w:bookmarkEnd w:id="68"/>
    </w:p>
    <w:p w:rsidR="00573FC5" w:rsidRPr="00573FC5" w:rsidRDefault="00573FC5" w:rsidP="00573FC5">
      <w:pPr>
        <w:rPr>
          <w:lang w:val="es-ES_tradnl"/>
        </w:rPr>
      </w:pPr>
    </w:p>
    <w:p w:rsidR="00573FC5" w:rsidRDefault="00573FC5" w:rsidP="00E34E2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bdr w:val="none" w:sz="0" w:space="0" w:color="auto"/>
          <w:lang w:val="es-AR"/>
        </w:rPr>
      </w:pPr>
      <w:r>
        <w:rPr>
          <w:rFonts w:asciiTheme="majorHAnsi" w:eastAsia="Times New Roman" w:hAnsiTheme="majorHAnsi"/>
          <w:sz w:val="20"/>
          <w:szCs w:val="20"/>
          <w:bdr w:val="none" w:sz="0" w:space="0" w:color="auto"/>
          <w:lang w:val="es-AR"/>
        </w:rPr>
        <w:t xml:space="preserve">En virtud de las anteriores conclusiones, </w:t>
      </w:r>
    </w:p>
    <w:p w:rsidR="00573FC5" w:rsidRDefault="00573FC5" w:rsidP="00573F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Theme="majorHAnsi" w:eastAsia="Times New Roman" w:hAnsiTheme="majorHAnsi"/>
          <w:sz w:val="20"/>
          <w:szCs w:val="20"/>
          <w:bdr w:val="none" w:sz="0" w:space="0" w:color="auto"/>
          <w:lang w:val="es-AR"/>
        </w:rPr>
      </w:pPr>
    </w:p>
    <w:p w:rsidR="004D6582" w:rsidRDefault="00573FC5" w:rsidP="004D65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Cambria" w:hAnsi="Cambria"/>
          <w:b/>
          <w:sz w:val="20"/>
          <w:szCs w:val="20"/>
          <w:lang w:val="es-ES"/>
        </w:rPr>
      </w:pPr>
      <w:r w:rsidRPr="00573FC5">
        <w:rPr>
          <w:rFonts w:ascii="Cambria" w:hAnsi="Cambria"/>
          <w:b/>
          <w:sz w:val="20"/>
          <w:szCs w:val="20"/>
          <w:lang w:val="es-ES"/>
        </w:rPr>
        <w:t xml:space="preserve">LA COMISIÓN INTERAMERICANA DE DERECHOS HUMANOS </w:t>
      </w:r>
      <w:r w:rsidR="004D6582">
        <w:rPr>
          <w:rFonts w:ascii="Cambria" w:hAnsi="Cambria"/>
          <w:b/>
          <w:sz w:val="20"/>
          <w:szCs w:val="20"/>
          <w:lang w:val="es-ES"/>
        </w:rPr>
        <w:t>RECOMIENDA AL ESTADO PERUANO,</w:t>
      </w:r>
    </w:p>
    <w:p w:rsidR="00A971E1" w:rsidRDefault="00A971E1" w:rsidP="004D65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Cambria" w:hAnsi="Cambria"/>
          <w:b/>
          <w:sz w:val="20"/>
          <w:szCs w:val="20"/>
          <w:lang w:val="es-ES"/>
        </w:rPr>
      </w:pPr>
    </w:p>
    <w:p w:rsidR="00F23884" w:rsidRDefault="00F23884" w:rsidP="003F520C">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62236D">
        <w:rPr>
          <w:rFonts w:asciiTheme="majorHAnsi" w:hAnsiTheme="majorHAnsi"/>
          <w:sz w:val="20"/>
          <w:szCs w:val="20"/>
          <w:lang w:val="es-ES"/>
        </w:rPr>
        <w:t>Reparar integralmente a la víctima del present</w:t>
      </w:r>
      <w:r>
        <w:rPr>
          <w:rFonts w:asciiTheme="majorHAnsi" w:hAnsiTheme="majorHAnsi"/>
          <w:sz w:val="20"/>
          <w:szCs w:val="20"/>
          <w:lang w:val="es-ES"/>
        </w:rPr>
        <w:t>e</w:t>
      </w:r>
      <w:r w:rsidRPr="0062236D">
        <w:rPr>
          <w:rFonts w:asciiTheme="majorHAnsi" w:hAnsiTheme="majorHAnsi"/>
          <w:sz w:val="20"/>
          <w:szCs w:val="20"/>
          <w:lang w:val="es-ES"/>
        </w:rPr>
        <w:t xml:space="preserve"> caso </w:t>
      </w:r>
      <w:r w:rsidR="006D2842">
        <w:rPr>
          <w:rFonts w:asciiTheme="majorHAnsi" w:hAnsiTheme="majorHAnsi"/>
          <w:sz w:val="20"/>
          <w:szCs w:val="20"/>
          <w:lang w:val="es-ES"/>
        </w:rPr>
        <w:t xml:space="preserve">a través </w:t>
      </w:r>
      <w:r w:rsidR="00181AC9">
        <w:rPr>
          <w:rFonts w:asciiTheme="majorHAnsi" w:hAnsiTheme="majorHAnsi"/>
          <w:sz w:val="20"/>
          <w:szCs w:val="20"/>
          <w:lang w:val="es-ES"/>
        </w:rPr>
        <w:t xml:space="preserve">de </w:t>
      </w:r>
      <w:r>
        <w:rPr>
          <w:rFonts w:asciiTheme="majorHAnsi" w:hAnsiTheme="majorHAnsi"/>
          <w:sz w:val="20"/>
          <w:szCs w:val="20"/>
          <w:lang w:val="es-ES"/>
        </w:rPr>
        <w:t xml:space="preserve">medidas de compensación pecuniaria y de satisfacción que incluyan el daño material e inmaterial ocasionado a la víctima como consecuencia de las violaciones declaradas en el presente informe. </w:t>
      </w:r>
    </w:p>
    <w:p w:rsidR="00E34E25" w:rsidRDefault="00E34E25" w:rsidP="00F238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4B3486" w:rsidRPr="00946E81" w:rsidRDefault="00F23884" w:rsidP="003F520C">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jc w:val="both"/>
        <w:rPr>
          <w:b/>
          <w:sz w:val="20"/>
          <w:szCs w:val="20"/>
          <w:lang w:val="es-ES"/>
        </w:rPr>
      </w:pPr>
      <w:r w:rsidRPr="00946E81">
        <w:rPr>
          <w:rFonts w:asciiTheme="majorHAnsi" w:hAnsiTheme="majorHAnsi"/>
          <w:sz w:val="20"/>
          <w:szCs w:val="20"/>
          <w:lang w:val="es-ES"/>
        </w:rPr>
        <w:t>Disponer las medidas</w:t>
      </w:r>
      <w:r w:rsidR="00D372D7" w:rsidRPr="00946E81">
        <w:rPr>
          <w:rFonts w:asciiTheme="majorHAnsi" w:hAnsiTheme="majorHAnsi"/>
          <w:sz w:val="20"/>
          <w:szCs w:val="20"/>
          <w:lang w:val="es-ES"/>
        </w:rPr>
        <w:t xml:space="preserve"> de no repetición, legislativas, administrativas o de otra índole,</w:t>
      </w:r>
      <w:r w:rsidR="00102ECC" w:rsidRPr="00946E81">
        <w:rPr>
          <w:rFonts w:asciiTheme="majorHAnsi" w:hAnsiTheme="majorHAnsi"/>
          <w:sz w:val="20"/>
          <w:szCs w:val="20"/>
          <w:lang w:val="es-ES"/>
        </w:rPr>
        <w:t xml:space="preserve"> para asegurar que en los procesos administrativos sancionatorios se respete estrictamente el principio de presunción de inocencia y las demás garantías del debido proceso</w:t>
      </w:r>
      <w:r w:rsidR="00946E81" w:rsidRPr="00946E81">
        <w:rPr>
          <w:rFonts w:asciiTheme="majorHAnsi" w:hAnsiTheme="majorHAnsi"/>
          <w:sz w:val="20"/>
          <w:szCs w:val="20"/>
          <w:lang w:val="es-ES"/>
        </w:rPr>
        <w:t>.</w:t>
      </w:r>
      <w:r w:rsidR="00102ECC" w:rsidRPr="00946E81">
        <w:rPr>
          <w:rFonts w:asciiTheme="majorHAnsi" w:hAnsiTheme="majorHAnsi"/>
          <w:sz w:val="20"/>
          <w:szCs w:val="20"/>
          <w:lang w:val="es-ES"/>
        </w:rPr>
        <w:t xml:space="preserve"> Asimismo, para asegurar que</w:t>
      </w:r>
      <w:r w:rsidR="00773E15" w:rsidRPr="00946E81">
        <w:rPr>
          <w:rFonts w:asciiTheme="majorHAnsi" w:hAnsiTheme="majorHAnsi"/>
          <w:sz w:val="20"/>
          <w:szCs w:val="20"/>
          <w:lang w:val="es-ES"/>
        </w:rPr>
        <w:t xml:space="preserve"> en el ejercicio del poder punitivo del Estado, tanto en la vía administrativa como en la vía penal, se respete el principio de </w:t>
      </w:r>
      <w:r w:rsidR="00773E15" w:rsidRPr="00946E81">
        <w:rPr>
          <w:rFonts w:asciiTheme="majorHAnsi" w:hAnsiTheme="majorHAnsi"/>
          <w:i/>
          <w:sz w:val="20"/>
          <w:szCs w:val="20"/>
          <w:lang w:val="es-ES"/>
        </w:rPr>
        <w:t xml:space="preserve">non bis in </w:t>
      </w:r>
      <w:r w:rsidR="00D372D7" w:rsidRPr="00946E81">
        <w:rPr>
          <w:rFonts w:asciiTheme="majorHAnsi" w:hAnsiTheme="majorHAnsi"/>
          <w:i/>
          <w:sz w:val="20"/>
          <w:szCs w:val="20"/>
          <w:lang w:val="es-ES"/>
        </w:rPr>
        <w:t>ídem</w:t>
      </w:r>
      <w:r w:rsidR="00D372D7" w:rsidRPr="00946E81">
        <w:rPr>
          <w:rFonts w:asciiTheme="majorHAnsi" w:hAnsiTheme="majorHAnsi"/>
          <w:sz w:val="20"/>
          <w:szCs w:val="20"/>
          <w:lang w:val="es-ES"/>
        </w:rPr>
        <w:t xml:space="preserve"> y se eviten múltiples juzgamientos por los mismos hechos. Finalmente, para asegurar</w:t>
      </w:r>
      <w:r w:rsidR="00946E81" w:rsidRPr="00946E81">
        <w:rPr>
          <w:rFonts w:asciiTheme="majorHAnsi" w:hAnsiTheme="majorHAnsi"/>
          <w:sz w:val="20"/>
          <w:szCs w:val="20"/>
          <w:lang w:val="es-ES"/>
        </w:rPr>
        <w:t xml:space="preserve"> que la aplicación de la detención preventiva se ajuste a los estándares declarados en el presente informe</w:t>
      </w:r>
      <w:r w:rsidR="00946E81">
        <w:rPr>
          <w:rFonts w:asciiTheme="majorHAnsi" w:hAnsiTheme="majorHAnsi"/>
          <w:sz w:val="20"/>
          <w:szCs w:val="20"/>
          <w:lang w:val="es-ES"/>
        </w:rPr>
        <w:t xml:space="preserve"> para que no se constituya en una medida punitiva</w:t>
      </w:r>
      <w:r w:rsidR="00946E81" w:rsidRPr="00946E81">
        <w:rPr>
          <w:rFonts w:asciiTheme="majorHAnsi" w:hAnsiTheme="majorHAnsi"/>
          <w:sz w:val="20"/>
          <w:szCs w:val="20"/>
          <w:lang w:val="es-ES"/>
        </w:rPr>
        <w:t xml:space="preserve">, en particular, que la misma obedezca a fines procesales y que su duración sea la estrictamente necesaria para el logro de tales fines. </w:t>
      </w:r>
    </w:p>
    <w:p w:rsidR="004B3486" w:rsidRDefault="004B3486" w:rsidP="004B34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lang w:val="es-ES"/>
        </w:rPr>
      </w:pPr>
    </w:p>
    <w:p w:rsidR="004B3486" w:rsidRPr="004D6582" w:rsidRDefault="004B3486" w:rsidP="004B34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lang w:val="es-ES"/>
        </w:rPr>
      </w:pPr>
    </w:p>
    <w:sectPr w:rsidR="004B3486" w:rsidRPr="004D6582" w:rsidSect="009D6D42">
      <w:type w:val="oddPage"/>
      <w:pgSz w:w="12240" w:h="15840"/>
      <w:pgMar w:top="1440" w:right="1350" w:bottom="1440" w:left="1440" w:header="720" w:footer="720" w:gutter="0"/>
      <w:pgNumType w:start="1"/>
      <w:cols w:space="720"/>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63781F" w15:done="0"/>
  <w15:commentEx w15:paraId="64B00417" w15:done="0"/>
  <w15:commentEx w15:paraId="035B34BA" w15:done="0"/>
  <w15:commentEx w15:paraId="332FCCAB" w15:done="0"/>
  <w15:commentEx w15:paraId="622ECFE4" w15:done="0"/>
  <w15:commentEx w15:paraId="4E84B514" w15:done="0"/>
  <w15:commentEx w15:paraId="405B3464" w15:done="0"/>
  <w15:commentEx w15:paraId="7A98DC24" w15:done="0"/>
  <w15:commentEx w15:paraId="71436510" w15:done="0"/>
  <w15:commentEx w15:paraId="323087D4" w15:done="0"/>
  <w15:commentEx w15:paraId="29E0A917" w15:done="0"/>
  <w15:commentEx w15:paraId="661D65FE" w15:done="0"/>
  <w15:commentEx w15:paraId="44CDC2CE" w15:done="0"/>
  <w15:commentEx w15:paraId="19305B6A" w15:done="0"/>
  <w15:commentEx w15:paraId="148917EC" w15:done="0"/>
  <w15:commentEx w15:paraId="0B175CCC" w15:done="0"/>
  <w15:commentEx w15:paraId="02BAD32D" w15:done="0"/>
  <w15:commentEx w15:paraId="5CDBD1C9" w15:done="0"/>
  <w15:commentEx w15:paraId="75059D66" w15:done="0"/>
  <w15:commentEx w15:paraId="0826322D" w15:done="0"/>
  <w15:commentEx w15:paraId="1EE10326" w15:done="0"/>
  <w15:commentEx w15:paraId="5B9383E8" w15:done="0"/>
  <w15:commentEx w15:paraId="1B6DB129" w15:done="0"/>
  <w15:commentEx w15:paraId="74E97C9D" w15:done="0"/>
  <w15:commentEx w15:paraId="382EB322" w15:done="0"/>
  <w15:commentEx w15:paraId="1DC90474" w15:done="0"/>
  <w15:commentEx w15:paraId="48F04DBB" w15:done="0"/>
  <w15:commentEx w15:paraId="28D511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CF" w:rsidRDefault="00E076CF">
      <w:r>
        <w:separator/>
      </w:r>
    </w:p>
  </w:endnote>
  <w:endnote w:type="continuationSeparator" w:id="0">
    <w:p w:rsidR="00E076CF" w:rsidRDefault="00E0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63118788"/>
      <w:docPartObj>
        <w:docPartGallery w:val="Page Numbers (Bottom of Page)"/>
        <w:docPartUnique/>
      </w:docPartObj>
    </w:sdtPr>
    <w:sdtEndPr>
      <w:rPr>
        <w:noProof/>
      </w:rPr>
    </w:sdtEndPr>
    <w:sdtContent>
      <w:p w:rsidR="00B21A8E" w:rsidRPr="00B809F6" w:rsidRDefault="00B21A8E">
        <w:pPr>
          <w:pStyle w:val="Footer"/>
          <w:jc w:val="center"/>
          <w:rPr>
            <w:sz w:val="20"/>
            <w:szCs w:val="20"/>
          </w:rPr>
        </w:pPr>
        <w:r w:rsidRPr="00B809F6">
          <w:rPr>
            <w:sz w:val="20"/>
            <w:szCs w:val="20"/>
          </w:rPr>
          <w:fldChar w:fldCharType="begin"/>
        </w:r>
        <w:r w:rsidRPr="00B809F6">
          <w:rPr>
            <w:sz w:val="20"/>
            <w:szCs w:val="20"/>
          </w:rPr>
          <w:instrText xml:space="preserve"> PAGE   \* MERGEFORMAT </w:instrText>
        </w:r>
        <w:r w:rsidRPr="00B809F6">
          <w:rPr>
            <w:sz w:val="20"/>
            <w:szCs w:val="20"/>
          </w:rPr>
          <w:fldChar w:fldCharType="separate"/>
        </w:r>
        <w:r w:rsidR="00A5518A">
          <w:rPr>
            <w:noProof/>
            <w:sz w:val="20"/>
            <w:szCs w:val="20"/>
          </w:rPr>
          <w:t>22</w:t>
        </w:r>
        <w:r w:rsidRPr="00B809F6">
          <w:rPr>
            <w:noProof/>
            <w:sz w:val="20"/>
            <w:szCs w:val="20"/>
          </w:rPr>
          <w:fldChar w:fldCharType="end"/>
        </w:r>
      </w:p>
    </w:sdtContent>
  </w:sdt>
  <w:p w:rsidR="00B21A8E" w:rsidRDefault="00B21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8E" w:rsidRPr="00934A2C" w:rsidRDefault="00B21A8E">
    <w:pPr>
      <w:pStyle w:val="Footer"/>
      <w:jc w:val="center"/>
      <w:rPr>
        <w:sz w:val="16"/>
        <w:szCs w:val="22"/>
      </w:rPr>
    </w:pPr>
  </w:p>
  <w:p w:rsidR="00B21A8E" w:rsidRDefault="00B21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CF" w:rsidRDefault="00E076CF">
      <w:r>
        <w:separator/>
      </w:r>
    </w:p>
  </w:footnote>
  <w:footnote w:type="continuationSeparator" w:id="0">
    <w:p w:rsidR="00E076CF" w:rsidRDefault="00E076CF">
      <w:r>
        <w:continuationSeparator/>
      </w:r>
    </w:p>
  </w:footnote>
  <w:footnote w:type="continuationNotice" w:id="1">
    <w:p w:rsidR="00E076CF" w:rsidRDefault="00E076CF"/>
  </w:footnote>
  <w:footnote w:id="2">
    <w:p w:rsidR="00B21A8E" w:rsidRPr="00B51653" w:rsidRDefault="00B21A8E" w:rsidP="00DE1989">
      <w:pPr>
        <w:pStyle w:val="FootnoteText"/>
        <w:spacing w:after="120"/>
        <w:ind w:firstLine="720"/>
        <w:jc w:val="both"/>
        <w:rPr>
          <w:rFonts w:asciiTheme="majorHAnsi" w:hAnsiTheme="majorHAnsi"/>
          <w:sz w:val="16"/>
          <w:szCs w:val="16"/>
          <w:lang w:val="es-ES"/>
        </w:rPr>
      </w:pPr>
      <w:r w:rsidRPr="00B51653">
        <w:rPr>
          <w:rStyle w:val="FootnoteReference"/>
          <w:rFonts w:asciiTheme="majorHAnsi" w:hAnsiTheme="majorHAnsi"/>
          <w:sz w:val="16"/>
          <w:szCs w:val="16"/>
        </w:rPr>
        <w:footnoteRef/>
      </w:r>
      <w:r w:rsidRPr="00B51653">
        <w:rPr>
          <w:rFonts w:asciiTheme="majorHAnsi" w:hAnsiTheme="majorHAnsi"/>
          <w:sz w:val="16"/>
          <w:szCs w:val="16"/>
          <w:lang w:val="es-VE"/>
        </w:rPr>
        <w:t xml:space="preserve"> </w:t>
      </w:r>
      <w:r w:rsidRPr="00B51653">
        <w:rPr>
          <w:rFonts w:asciiTheme="majorHAnsi" w:hAnsiTheme="majorHAnsi"/>
          <w:sz w:val="16"/>
          <w:szCs w:val="16"/>
          <w:lang w:val="es-CO"/>
        </w:rPr>
        <w:t>Conforme a lo dispuesto en el artículo 17.2 del Reglamento de la Comisión, el Comisionado</w:t>
      </w:r>
      <w:r>
        <w:rPr>
          <w:rFonts w:asciiTheme="majorHAnsi" w:hAnsiTheme="majorHAnsi"/>
          <w:sz w:val="16"/>
          <w:szCs w:val="16"/>
          <w:lang w:val="es-CO"/>
        </w:rPr>
        <w:t xml:space="preserve"> Francisco José Egiguren Praeli</w:t>
      </w:r>
      <w:r w:rsidRPr="00B51653">
        <w:rPr>
          <w:rFonts w:asciiTheme="majorHAnsi" w:hAnsiTheme="majorHAnsi"/>
          <w:sz w:val="16"/>
          <w:szCs w:val="16"/>
          <w:lang w:val="es-CO"/>
        </w:rPr>
        <w:t xml:space="preserve">, de nacionalidad </w:t>
      </w:r>
      <w:r>
        <w:rPr>
          <w:rFonts w:asciiTheme="majorHAnsi" w:hAnsiTheme="majorHAnsi"/>
          <w:sz w:val="16"/>
          <w:szCs w:val="16"/>
          <w:lang w:val="es-CO"/>
        </w:rPr>
        <w:t>peruana</w:t>
      </w:r>
      <w:r w:rsidRPr="00B51653">
        <w:rPr>
          <w:rFonts w:asciiTheme="majorHAnsi" w:hAnsiTheme="majorHAnsi"/>
          <w:sz w:val="16"/>
          <w:szCs w:val="16"/>
          <w:lang w:val="es-CO"/>
        </w:rPr>
        <w:t>, no participó en el debate ni en la decisión del presente cas</w:t>
      </w:r>
      <w:r w:rsidRPr="00B51653">
        <w:rPr>
          <w:rFonts w:asciiTheme="majorHAnsi" w:hAnsiTheme="majorHAnsi"/>
          <w:color w:val="auto"/>
          <w:sz w:val="16"/>
          <w:szCs w:val="16"/>
          <w:lang w:val="es-CO"/>
        </w:rPr>
        <w:t>o.</w:t>
      </w:r>
    </w:p>
  </w:footnote>
  <w:footnote w:id="3">
    <w:p w:rsidR="00B21A8E" w:rsidRPr="00A26E51" w:rsidRDefault="00B21A8E" w:rsidP="00DE1989">
      <w:pPr>
        <w:pStyle w:val="FootnoteText"/>
        <w:ind w:firstLine="720"/>
        <w:jc w:val="both"/>
        <w:rPr>
          <w:rFonts w:asciiTheme="majorHAnsi" w:hAnsiTheme="majorHAnsi"/>
          <w:sz w:val="16"/>
          <w:szCs w:val="16"/>
          <w:lang w:val="es-VE"/>
        </w:rPr>
      </w:pPr>
      <w:r w:rsidRPr="00A26E51">
        <w:rPr>
          <w:rStyle w:val="FootnoteReference"/>
          <w:rFonts w:asciiTheme="majorHAnsi" w:hAnsiTheme="majorHAnsi"/>
          <w:sz w:val="16"/>
          <w:szCs w:val="16"/>
        </w:rPr>
        <w:footnoteRef/>
      </w:r>
      <w:r w:rsidRPr="00A26E51">
        <w:rPr>
          <w:rFonts w:asciiTheme="majorHAnsi" w:hAnsiTheme="majorHAnsi"/>
          <w:sz w:val="16"/>
          <w:szCs w:val="16"/>
          <w:lang w:val="es-VE"/>
        </w:rPr>
        <w:t xml:space="preserve"> Con posterioridad se incorporaron como </w:t>
      </w:r>
      <w:proofErr w:type="spellStart"/>
      <w:r w:rsidRPr="00A26E51">
        <w:rPr>
          <w:rFonts w:asciiTheme="majorHAnsi" w:hAnsiTheme="majorHAnsi"/>
          <w:sz w:val="16"/>
          <w:szCs w:val="16"/>
          <w:lang w:val="es-VE"/>
        </w:rPr>
        <w:t>co</w:t>
      </w:r>
      <w:proofErr w:type="spellEnd"/>
      <w:r w:rsidRPr="00A26E51">
        <w:rPr>
          <w:rFonts w:asciiTheme="majorHAnsi" w:hAnsiTheme="majorHAnsi"/>
          <w:sz w:val="16"/>
          <w:szCs w:val="16"/>
          <w:lang w:val="es-VE"/>
        </w:rPr>
        <w:t xml:space="preserve">-peticionarios Carlos Alfonso </w:t>
      </w:r>
      <w:proofErr w:type="spellStart"/>
      <w:r w:rsidRPr="00A26E51">
        <w:rPr>
          <w:rFonts w:asciiTheme="majorHAnsi" w:hAnsiTheme="majorHAnsi"/>
          <w:sz w:val="16"/>
          <w:szCs w:val="16"/>
          <w:lang w:val="es-VE"/>
        </w:rPr>
        <w:t>Rosadio</w:t>
      </w:r>
      <w:proofErr w:type="spellEnd"/>
      <w:r w:rsidRPr="00A26E51">
        <w:rPr>
          <w:rFonts w:asciiTheme="majorHAnsi" w:hAnsiTheme="majorHAnsi"/>
          <w:sz w:val="16"/>
          <w:szCs w:val="16"/>
          <w:lang w:val="es-VE"/>
        </w:rPr>
        <w:t xml:space="preserve"> Villavicencio y César Villacorta Spinner. </w:t>
      </w:r>
      <w:r>
        <w:rPr>
          <w:rFonts w:asciiTheme="majorHAnsi" w:hAnsiTheme="majorHAnsi"/>
          <w:sz w:val="16"/>
          <w:szCs w:val="16"/>
          <w:lang w:val="es-VE"/>
        </w:rPr>
        <w:t xml:space="preserve">El 30 de abril de 1998 la peticionaria Amelia de </w:t>
      </w:r>
      <w:proofErr w:type="spellStart"/>
      <w:r>
        <w:rPr>
          <w:rFonts w:asciiTheme="majorHAnsi" w:hAnsiTheme="majorHAnsi"/>
          <w:sz w:val="16"/>
          <w:szCs w:val="16"/>
          <w:lang w:val="es-VE"/>
        </w:rPr>
        <w:t>Rosadio</w:t>
      </w:r>
      <w:proofErr w:type="spellEnd"/>
      <w:r>
        <w:rPr>
          <w:rFonts w:asciiTheme="majorHAnsi" w:hAnsiTheme="majorHAnsi"/>
          <w:sz w:val="16"/>
          <w:szCs w:val="16"/>
          <w:lang w:val="es-VE"/>
        </w:rPr>
        <w:t xml:space="preserve"> designó como </w:t>
      </w:r>
      <w:proofErr w:type="spellStart"/>
      <w:r>
        <w:rPr>
          <w:rFonts w:asciiTheme="majorHAnsi" w:hAnsiTheme="majorHAnsi"/>
          <w:sz w:val="16"/>
          <w:szCs w:val="16"/>
          <w:lang w:val="es-VE"/>
        </w:rPr>
        <w:t>co</w:t>
      </w:r>
      <w:proofErr w:type="spellEnd"/>
      <w:r>
        <w:rPr>
          <w:rFonts w:asciiTheme="majorHAnsi" w:hAnsiTheme="majorHAnsi"/>
          <w:sz w:val="16"/>
          <w:szCs w:val="16"/>
          <w:lang w:val="es-VE"/>
        </w:rPr>
        <w:t xml:space="preserve">-peticionaria a Carolina Loayza Tamayo quien actuó como </w:t>
      </w:r>
      <w:proofErr w:type="spellStart"/>
      <w:r>
        <w:rPr>
          <w:rFonts w:asciiTheme="majorHAnsi" w:hAnsiTheme="majorHAnsi"/>
          <w:sz w:val="16"/>
          <w:szCs w:val="16"/>
          <w:lang w:val="es-VE"/>
        </w:rPr>
        <w:t>co</w:t>
      </w:r>
      <w:proofErr w:type="spellEnd"/>
      <w:r>
        <w:rPr>
          <w:rFonts w:asciiTheme="majorHAnsi" w:hAnsiTheme="majorHAnsi"/>
          <w:sz w:val="16"/>
          <w:szCs w:val="16"/>
          <w:lang w:val="es-VE"/>
        </w:rPr>
        <w:t xml:space="preserve">-peticionaria hasta el 24 de julio de 2003, cuando remitió un escrito a la CIDH manifestando su decisión de no continuar con la representación de la presunta víctima. </w:t>
      </w:r>
    </w:p>
  </w:footnote>
  <w:footnote w:id="4">
    <w:p w:rsidR="00B21A8E" w:rsidRPr="00153C1B" w:rsidRDefault="00B21A8E" w:rsidP="00DE1989">
      <w:pPr>
        <w:pStyle w:val="FootnoteText"/>
        <w:spacing w:after="120"/>
        <w:ind w:firstLine="720"/>
        <w:jc w:val="both"/>
        <w:rPr>
          <w:rFonts w:asciiTheme="majorHAnsi" w:hAnsiTheme="majorHAnsi"/>
          <w:sz w:val="16"/>
          <w:szCs w:val="16"/>
          <w:lang w:val="es-CO"/>
        </w:rPr>
      </w:pPr>
      <w:r w:rsidRPr="00153C1B">
        <w:rPr>
          <w:rStyle w:val="FootnoteReference"/>
          <w:rFonts w:asciiTheme="majorHAnsi" w:hAnsiTheme="majorHAnsi"/>
          <w:sz w:val="16"/>
          <w:szCs w:val="16"/>
        </w:rPr>
        <w:footnoteRef/>
      </w:r>
      <w:r>
        <w:rPr>
          <w:rFonts w:asciiTheme="majorHAnsi" w:hAnsiTheme="majorHAnsi"/>
          <w:sz w:val="16"/>
          <w:szCs w:val="16"/>
          <w:lang w:val="es-ES"/>
        </w:rPr>
        <w:t xml:space="preserve"> CIDH, Informe No. 13/03, Petición 12.031</w:t>
      </w:r>
      <w:r w:rsidRPr="00153C1B">
        <w:rPr>
          <w:rFonts w:asciiTheme="majorHAnsi" w:hAnsiTheme="majorHAnsi"/>
          <w:sz w:val="16"/>
          <w:szCs w:val="16"/>
          <w:lang w:val="es-ES"/>
        </w:rPr>
        <w:t xml:space="preserve">, Admisibilidad, </w:t>
      </w:r>
      <w:r>
        <w:rPr>
          <w:rFonts w:asciiTheme="majorHAnsi" w:hAnsiTheme="majorHAnsi"/>
          <w:sz w:val="16"/>
          <w:szCs w:val="16"/>
          <w:lang w:val="es-ES"/>
        </w:rPr>
        <w:t>Jorge Rosadio Villavicencio</w:t>
      </w:r>
      <w:r w:rsidRPr="00153C1B">
        <w:rPr>
          <w:rFonts w:asciiTheme="majorHAnsi" w:hAnsiTheme="majorHAnsi"/>
          <w:sz w:val="16"/>
          <w:szCs w:val="16"/>
          <w:lang w:val="es-ES"/>
        </w:rPr>
        <w:t xml:space="preserve">, </w:t>
      </w:r>
      <w:r>
        <w:rPr>
          <w:rFonts w:asciiTheme="majorHAnsi" w:hAnsiTheme="majorHAnsi"/>
          <w:sz w:val="16"/>
          <w:szCs w:val="16"/>
          <w:lang w:val="es-ES"/>
        </w:rPr>
        <w:t xml:space="preserve">Perú, 20 de febrero de 2003, párrs. </w:t>
      </w:r>
      <w:r>
        <w:rPr>
          <w:rFonts w:asciiTheme="majorHAnsi" w:hAnsiTheme="majorHAnsi"/>
          <w:sz w:val="16"/>
          <w:szCs w:val="16"/>
          <w:lang w:val="es-CO"/>
        </w:rPr>
        <w:t>5-8</w:t>
      </w:r>
      <w:r w:rsidRPr="00153C1B">
        <w:rPr>
          <w:rFonts w:asciiTheme="majorHAnsi" w:hAnsiTheme="majorHAnsi"/>
          <w:sz w:val="16"/>
          <w:szCs w:val="16"/>
          <w:lang w:val="es-CO"/>
        </w:rPr>
        <w:t>.</w:t>
      </w:r>
    </w:p>
  </w:footnote>
  <w:footnote w:id="5">
    <w:p w:rsidR="00B21A8E" w:rsidRPr="00153C1B" w:rsidRDefault="00B21A8E">
      <w:pPr>
        <w:pStyle w:val="FootnoteText"/>
        <w:spacing w:after="120"/>
        <w:ind w:firstLine="720"/>
        <w:jc w:val="both"/>
        <w:rPr>
          <w:rFonts w:asciiTheme="majorHAnsi" w:hAnsiTheme="majorHAnsi"/>
          <w:sz w:val="16"/>
          <w:szCs w:val="16"/>
          <w:lang w:val="es-CO"/>
        </w:rPr>
      </w:pPr>
      <w:r w:rsidRPr="000C7F80">
        <w:rPr>
          <w:rStyle w:val="FootnoteReference"/>
          <w:rFonts w:asciiTheme="majorHAnsi" w:hAnsiTheme="majorHAnsi"/>
          <w:sz w:val="16"/>
          <w:szCs w:val="16"/>
        </w:rPr>
        <w:footnoteRef/>
      </w:r>
      <w:r w:rsidRPr="000C7F80">
        <w:rPr>
          <w:rFonts w:asciiTheme="majorHAnsi" w:hAnsiTheme="majorHAnsi"/>
          <w:sz w:val="16"/>
          <w:szCs w:val="16"/>
          <w:lang w:val="es-VE"/>
        </w:rPr>
        <w:t xml:space="preserve"> Por un error material, en el párrafo 4 del Informe No. 13/03, la Comisión indicó que también declaraba admisible el artículo 9 de la Convención Americana, pese a que en su párrafo 38 estimó que “la peticionaria no precisó la violación alegada al artículo 9 de la Convención, no siendo por lo tanto procedente admitir esta violación porque del contexto de su petición en este aspecto no hay hechos que la caractericen como tal”</w:t>
      </w:r>
      <w:r>
        <w:rPr>
          <w:rFonts w:asciiTheme="majorHAnsi" w:hAnsiTheme="majorHAnsi"/>
          <w:sz w:val="16"/>
          <w:szCs w:val="16"/>
          <w:lang w:val="es-VE"/>
        </w:rPr>
        <w:t>.</w:t>
      </w:r>
      <w:r w:rsidRPr="000C7F80">
        <w:rPr>
          <w:rFonts w:asciiTheme="majorHAnsi" w:hAnsiTheme="majorHAnsi"/>
          <w:sz w:val="16"/>
          <w:szCs w:val="16"/>
          <w:lang w:val="es-VE"/>
        </w:rPr>
        <w:t xml:space="preserve"> </w:t>
      </w:r>
      <w:r>
        <w:rPr>
          <w:rFonts w:asciiTheme="majorHAnsi" w:hAnsiTheme="majorHAnsi"/>
          <w:sz w:val="16"/>
          <w:szCs w:val="16"/>
          <w:lang w:val="es-ES"/>
        </w:rPr>
        <w:t>CIDH, Informe No. 13/03, Petición 12.031</w:t>
      </w:r>
      <w:r w:rsidRPr="00153C1B">
        <w:rPr>
          <w:rFonts w:asciiTheme="majorHAnsi" w:hAnsiTheme="majorHAnsi"/>
          <w:sz w:val="16"/>
          <w:szCs w:val="16"/>
          <w:lang w:val="es-ES"/>
        </w:rPr>
        <w:t xml:space="preserve">, Admisibilidad, </w:t>
      </w:r>
      <w:r>
        <w:rPr>
          <w:rFonts w:asciiTheme="majorHAnsi" w:hAnsiTheme="majorHAnsi"/>
          <w:sz w:val="16"/>
          <w:szCs w:val="16"/>
          <w:lang w:val="es-ES"/>
        </w:rPr>
        <w:t>Jorge Rosadio Villavicencio</w:t>
      </w:r>
      <w:r w:rsidRPr="00153C1B">
        <w:rPr>
          <w:rFonts w:asciiTheme="majorHAnsi" w:hAnsiTheme="majorHAnsi"/>
          <w:sz w:val="16"/>
          <w:szCs w:val="16"/>
          <w:lang w:val="es-ES"/>
        </w:rPr>
        <w:t xml:space="preserve">, </w:t>
      </w:r>
      <w:r>
        <w:rPr>
          <w:rFonts w:asciiTheme="majorHAnsi" w:hAnsiTheme="majorHAnsi"/>
          <w:sz w:val="16"/>
          <w:szCs w:val="16"/>
          <w:lang w:val="es-ES"/>
        </w:rPr>
        <w:t>Perú, 20 de febrero de 2003, párrs.4</w:t>
      </w:r>
      <w:r>
        <w:rPr>
          <w:rFonts w:asciiTheme="majorHAnsi" w:hAnsiTheme="majorHAnsi"/>
          <w:sz w:val="16"/>
          <w:szCs w:val="16"/>
          <w:lang w:val="es-CO"/>
        </w:rPr>
        <w:t xml:space="preserve"> y 38</w:t>
      </w:r>
      <w:r w:rsidRPr="00153C1B">
        <w:rPr>
          <w:rFonts w:asciiTheme="majorHAnsi" w:hAnsiTheme="majorHAnsi"/>
          <w:sz w:val="16"/>
          <w:szCs w:val="16"/>
          <w:lang w:val="es-CO"/>
        </w:rPr>
        <w:t>.</w:t>
      </w:r>
    </w:p>
    <w:p w:rsidR="00B21A8E" w:rsidRPr="000C7F80" w:rsidRDefault="00B21A8E">
      <w:pPr>
        <w:pStyle w:val="FootnoteText"/>
        <w:ind w:firstLine="720"/>
        <w:jc w:val="both"/>
        <w:rPr>
          <w:rFonts w:asciiTheme="majorHAnsi" w:hAnsiTheme="majorHAnsi"/>
          <w:sz w:val="16"/>
          <w:szCs w:val="16"/>
          <w:lang w:val="es-VE"/>
        </w:rPr>
      </w:pPr>
    </w:p>
  </w:footnote>
  <w:footnote w:id="6">
    <w:p w:rsidR="00B21A8E" w:rsidRPr="00BC6BCF" w:rsidRDefault="00B21A8E">
      <w:pPr>
        <w:pStyle w:val="FootnoteText"/>
        <w:ind w:firstLine="720"/>
        <w:jc w:val="both"/>
        <w:rPr>
          <w:rFonts w:asciiTheme="majorHAnsi" w:hAnsiTheme="majorHAnsi"/>
          <w:sz w:val="16"/>
          <w:szCs w:val="16"/>
          <w:lang w:val="es-CO"/>
        </w:rPr>
      </w:pPr>
      <w:r w:rsidRPr="00BC6BCF">
        <w:rPr>
          <w:rStyle w:val="FootnoteReference"/>
          <w:rFonts w:asciiTheme="majorHAnsi" w:hAnsiTheme="majorHAnsi"/>
          <w:sz w:val="16"/>
          <w:szCs w:val="16"/>
        </w:rPr>
        <w:footnoteRef/>
      </w:r>
      <w:r w:rsidRPr="00BC6BCF">
        <w:rPr>
          <w:rFonts w:asciiTheme="majorHAnsi" w:hAnsiTheme="majorHAnsi"/>
          <w:sz w:val="16"/>
          <w:szCs w:val="16"/>
          <w:lang w:val="es-CO"/>
        </w:rPr>
        <w:t xml:space="preserve"> Ver nota al pie n</w:t>
      </w:r>
      <w:r>
        <w:rPr>
          <w:rFonts w:asciiTheme="majorHAnsi" w:hAnsiTheme="majorHAnsi"/>
          <w:sz w:val="16"/>
          <w:szCs w:val="16"/>
          <w:lang w:val="es-CO"/>
        </w:rPr>
        <w:t>úmero 4 del presente informe.</w:t>
      </w:r>
    </w:p>
  </w:footnote>
  <w:footnote w:id="7">
    <w:p w:rsidR="00B21A8E" w:rsidRPr="00592E4F" w:rsidRDefault="00B21A8E">
      <w:pPr>
        <w:pStyle w:val="FootnoteText"/>
        <w:ind w:firstLine="720"/>
        <w:jc w:val="both"/>
        <w:rPr>
          <w:rFonts w:ascii="Cambria" w:hAnsi="Cambria"/>
          <w:sz w:val="16"/>
          <w:szCs w:val="16"/>
          <w:lang w:val="es-VE"/>
        </w:rPr>
      </w:pPr>
      <w:r w:rsidRPr="00592E4F">
        <w:rPr>
          <w:rStyle w:val="FootnoteReference"/>
          <w:rFonts w:ascii="Cambria" w:hAnsi="Cambria"/>
          <w:sz w:val="16"/>
          <w:szCs w:val="16"/>
        </w:rPr>
        <w:footnoteRef/>
      </w:r>
      <w:r>
        <w:rPr>
          <w:rFonts w:ascii="Cambria" w:hAnsi="Cambria"/>
          <w:sz w:val="16"/>
          <w:szCs w:val="16"/>
          <w:lang w:val="es-VE"/>
        </w:rPr>
        <w:t xml:space="preserve"> Anexo 1</w:t>
      </w:r>
      <w:r w:rsidRPr="00592E4F">
        <w:rPr>
          <w:rFonts w:ascii="Cambria" w:hAnsi="Cambria"/>
          <w:sz w:val="16"/>
          <w:szCs w:val="16"/>
          <w:lang w:val="es-VE"/>
        </w:rPr>
        <w:t>. Resolución del Comandante General de Comando de Personal del Ejército de 1 de enero de 1994. Anexo al escrito de observaciones del peticionario de 8 de diciembre de 2012.</w:t>
      </w:r>
    </w:p>
  </w:footnote>
  <w:footnote w:id="8">
    <w:p w:rsidR="00B21A8E" w:rsidRPr="00E93074" w:rsidRDefault="00B21A8E">
      <w:pPr>
        <w:pStyle w:val="FootnoteText"/>
        <w:ind w:firstLine="720"/>
        <w:jc w:val="both"/>
        <w:rPr>
          <w:rFonts w:ascii="Cambria" w:hAnsi="Cambria"/>
          <w:sz w:val="16"/>
          <w:szCs w:val="16"/>
          <w:lang w:val="es-CO"/>
        </w:rPr>
      </w:pPr>
      <w:r w:rsidRPr="00E93074">
        <w:rPr>
          <w:rStyle w:val="FootnoteReference"/>
          <w:rFonts w:ascii="Cambria" w:hAnsi="Cambria"/>
          <w:sz w:val="16"/>
          <w:szCs w:val="16"/>
        </w:rPr>
        <w:footnoteRef/>
      </w:r>
      <w:r>
        <w:rPr>
          <w:rFonts w:ascii="Cambria" w:hAnsi="Cambria"/>
          <w:sz w:val="16"/>
          <w:szCs w:val="16"/>
          <w:lang w:val="es-CO"/>
        </w:rPr>
        <w:t xml:space="preserve"> Anexo 2</w:t>
      </w:r>
      <w:r w:rsidRPr="00E93074">
        <w:rPr>
          <w:rFonts w:ascii="Cambria" w:hAnsi="Cambria"/>
          <w:sz w:val="16"/>
          <w:szCs w:val="16"/>
          <w:lang w:val="es-CO"/>
        </w:rPr>
        <w:t xml:space="preserve">. Memorándum del Jefe de Administración de Personal del Ejército a Jorge </w:t>
      </w:r>
      <w:proofErr w:type="spellStart"/>
      <w:r w:rsidRPr="00E93074">
        <w:rPr>
          <w:rFonts w:ascii="Cambria" w:hAnsi="Cambria"/>
          <w:sz w:val="16"/>
          <w:szCs w:val="16"/>
          <w:lang w:val="es-CO"/>
        </w:rPr>
        <w:t>Rosadio</w:t>
      </w:r>
      <w:proofErr w:type="spellEnd"/>
      <w:r w:rsidRPr="00E93074">
        <w:rPr>
          <w:rFonts w:ascii="Cambria" w:hAnsi="Cambria"/>
          <w:sz w:val="16"/>
          <w:szCs w:val="16"/>
          <w:lang w:val="es-CO"/>
        </w:rPr>
        <w:t xml:space="preserve"> Villavicencio, 30 de junio de 1994. Anexo al escrito del peticionario de 27 de febrero de 1998.</w:t>
      </w:r>
    </w:p>
  </w:footnote>
  <w:footnote w:id="9">
    <w:p w:rsidR="00B21A8E" w:rsidRPr="00D302DD" w:rsidRDefault="00B21A8E">
      <w:pPr>
        <w:pStyle w:val="FootnoteText"/>
        <w:ind w:firstLine="720"/>
        <w:jc w:val="both"/>
        <w:rPr>
          <w:lang w:val="es-VE"/>
        </w:rPr>
      </w:pPr>
      <w:r w:rsidRPr="008A68C9">
        <w:rPr>
          <w:rStyle w:val="FootnoteReference"/>
          <w:rFonts w:asciiTheme="majorHAnsi" w:hAnsiTheme="majorHAnsi"/>
          <w:sz w:val="16"/>
          <w:szCs w:val="16"/>
        </w:rPr>
        <w:footnoteRef/>
      </w:r>
      <w:r w:rsidRPr="008A68C9">
        <w:rPr>
          <w:rFonts w:asciiTheme="majorHAnsi" w:hAnsiTheme="majorHAnsi"/>
          <w:sz w:val="16"/>
          <w:szCs w:val="16"/>
          <w:lang w:val="es-VE"/>
        </w:rPr>
        <w:t xml:space="preserve"> </w:t>
      </w:r>
      <w:r>
        <w:rPr>
          <w:rFonts w:asciiTheme="majorHAnsi" w:hAnsiTheme="majorHAnsi"/>
          <w:sz w:val="16"/>
          <w:szCs w:val="16"/>
          <w:lang w:val="es-VE"/>
        </w:rPr>
        <w:t>Anexo 3. Acta</w:t>
      </w:r>
      <w:r w:rsidRPr="003940B2">
        <w:rPr>
          <w:rFonts w:asciiTheme="majorHAnsi" w:hAnsiTheme="majorHAnsi"/>
          <w:sz w:val="16"/>
          <w:szCs w:val="16"/>
          <w:lang w:val="es-VE"/>
        </w:rPr>
        <w:t xml:space="preserve"> de a</w:t>
      </w:r>
      <w:r>
        <w:rPr>
          <w:rFonts w:asciiTheme="majorHAnsi" w:hAnsiTheme="majorHAnsi"/>
          <w:sz w:val="16"/>
          <w:szCs w:val="16"/>
          <w:lang w:val="es-VE"/>
        </w:rPr>
        <w:t>udiencia del juicio oral de 12 de marzo de 1996. Anexo al escrito del Estado de 11 de julio de 2003.</w:t>
      </w:r>
    </w:p>
  </w:footnote>
  <w:footnote w:id="10">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CO"/>
        </w:rPr>
        <w:t xml:space="preserve"> Anexo 4</w:t>
      </w:r>
      <w:r w:rsidRPr="00E93074">
        <w:rPr>
          <w:rFonts w:ascii="Cambria" w:hAnsi="Cambria"/>
          <w:sz w:val="16"/>
          <w:szCs w:val="16"/>
          <w:lang w:val="es-CO"/>
        </w:rPr>
        <w:t>. Copia del Plan de operaciones “Ángel”. Anexo al escrito del peticionario de 27 de febrero de 1998.</w:t>
      </w:r>
    </w:p>
  </w:footnote>
  <w:footnote w:id="11">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CO"/>
        </w:rPr>
        <w:t xml:space="preserve"> Anexo 4</w:t>
      </w:r>
      <w:r w:rsidRPr="00E93074">
        <w:rPr>
          <w:rFonts w:ascii="Cambria" w:hAnsi="Cambria"/>
          <w:sz w:val="16"/>
          <w:szCs w:val="16"/>
          <w:lang w:val="es-CO"/>
        </w:rPr>
        <w:t>. Copia del Plan de operaciones “Ángel”. Anexo al escrito del peticionario de 27 de febrero de 1998.</w:t>
      </w:r>
    </w:p>
  </w:footnote>
  <w:footnote w:id="12">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5</w:t>
      </w:r>
      <w:r w:rsidRPr="00E93074">
        <w:rPr>
          <w:rFonts w:ascii="Cambria" w:hAnsi="Cambria"/>
          <w:sz w:val="16"/>
          <w:szCs w:val="16"/>
          <w:lang w:val="es-VE"/>
        </w:rPr>
        <w:t xml:space="preserve">. Manifestación de Jorge Enrique Rosadio Villavicencio ante el Instructor el 15 de septiembre de 1994. Anexo a observaciones del Estado presentadas el 11 de julio de 2003. </w:t>
      </w:r>
    </w:p>
  </w:footnote>
  <w:footnote w:id="13">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5</w:t>
      </w:r>
      <w:r w:rsidRPr="00E93074">
        <w:rPr>
          <w:rFonts w:ascii="Cambria" w:hAnsi="Cambria"/>
          <w:sz w:val="16"/>
          <w:szCs w:val="16"/>
          <w:lang w:val="es-VE"/>
        </w:rPr>
        <w:t xml:space="preserve">. Manifestación de Jorge Enrique Rosadio Villavicencio ante el Instructor el 15 de septiembre de 1994. Anexo a observaciones del Estado presentadas el 11 de julio de 2003. </w:t>
      </w:r>
    </w:p>
  </w:footnote>
  <w:footnote w:id="14">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5</w:t>
      </w:r>
      <w:r w:rsidRPr="00E93074">
        <w:rPr>
          <w:rFonts w:ascii="Cambria" w:hAnsi="Cambria"/>
          <w:sz w:val="16"/>
          <w:szCs w:val="16"/>
          <w:lang w:val="es-VE"/>
        </w:rPr>
        <w:t xml:space="preserve">. Manifestación de Jorge Enrique Rosadio Villavicencio ante el Instructor el 15 de septiembre de 1994. Anexo a observaciones del Estado presentadas el 11 de julio de 2003. </w:t>
      </w:r>
    </w:p>
  </w:footnote>
  <w:footnote w:id="15">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CO"/>
        </w:rPr>
        <w:t xml:space="preserve"> Anexo 6</w:t>
      </w:r>
      <w:r w:rsidRPr="00E93074">
        <w:rPr>
          <w:rFonts w:ascii="Cambria" w:hAnsi="Cambria"/>
          <w:sz w:val="16"/>
          <w:szCs w:val="16"/>
          <w:lang w:val="es-CO"/>
        </w:rPr>
        <w:t xml:space="preserve">. Declaración de Emilio </w:t>
      </w:r>
      <w:proofErr w:type="spellStart"/>
      <w:r w:rsidRPr="00E93074">
        <w:rPr>
          <w:rFonts w:ascii="Cambria" w:hAnsi="Cambria"/>
          <w:sz w:val="16"/>
          <w:szCs w:val="16"/>
          <w:lang w:val="es-CO"/>
        </w:rPr>
        <w:t>Murgueytio</w:t>
      </w:r>
      <w:proofErr w:type="spellEnd"/>
      <w:r w:rsidRPr="00E93074">
        <w:rPr>
          <w:rFonts w:ascii="Cambria" w:hAnsi="Cambria"/>
          <w:sz w:val="16"/>
          <w:szCs w:val="16"/>
          <w:lang w:val="es-CO"/>
        </w:rPr>
        <w:t xml:space="preserve"> </w:t>
      </w:r>
      <w:proofErr w:type="spellStart"/>
      <w:r w:rsidRPr="00E93074">
        <w:rPr>
          <w:rFonts w:ascii="Cambria" w:hAnsi="Cambria"/>
          <w:sz w:val="16"/>
          <w:szCs w:val="16"/>
          <w:lang w:val="es-CO"/>
        </w:rPr>
        <w:t>Yañez</w:t>
      </w:r>
      <w:proofErr w:type="spellEnd"/>
      <w:r w:rsidRPr="00E93074">
        <w:rPr>
          <w:rFonts w:ascii="Cambria" w:hAnsi="Cambria"/>
          <w:sz w:val="16"/>
          <w:szCs w:val="16"/>
          <w:lang w:val="es-CO"/>
        </w:rPr>
        <w:t xml:space="preserve"> rendida ante el instructor el 22 de septiembre de 1994. Anexo 10 al escrito del peticionario de 30 de abril de 1998.</w:t>
      </w:r>
    </w:p>
  </w:footnote>
  <w:footnote w:id="16">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CO"/>
        </w:rPr>
        <w:t xml:space="preserve"> Anexo 6</w:t>
      </w:r>
      <w:r w:rsidRPr="00E93074">
        <w:rPr>
          <w:rFonts w:ascii="Cambria" w:hAnsi="Cambria"/>
          <w:sz w:val="16"/>
          <w:szCs w:val="16"/>
          <w:lang w:val="es-CO"/>
        </w:rPr>
        <w:t xml:space="preserve">. Declaración de Emilio </w:t>
      </w:r>
      <w:proofErr w:type="spellStart"/>
      <w:r w:rsidRPr="00E93074">
        <w:rPr>
          <w:rFonts w:ascii="Cambria" w:hAnsi="Cambria"/>
          <w:sz w:val="16"/>
          <w:szCs w:val="16"/>
          <w:lang w:val="es-CO"/>
        </w:rPr>
        <w:t>Murgueytio</w:t>
      </w:r>
      <w:proofErr w:type="spellEnd"/>
      <w:r w:rsidRPr="00E93074">
        <w:rPr>
          <w:rFonts w:ascii="Cambria" w:hAnsi="Cambria"/>
          <w:sz w:val="16"/>
          <w:szCs w:val="16"/>
          <w:lang w:val="es-CO"/>
        </w:rPr>
        <w:t xml:space="preserve"> </w:t>
      </w:r>
      <w:proofErr w:type="spellStart"/>
      <w:r w:rsidRPr="00E93074">
        <w:rPr>
          <w:rFonts w:ascii="Cambria" w:hAnsi="Cambria"/>
          <w:sz w:val="16"/>
          <w:szCs w:val="16"/>
          <w:lang w:val="es-CO"/>
        </w:rPr>
        <w:t>Yañez</w:t>
      </w:r>
      <w:proofErr w:type="spellEnd"/>
      <w:r w:rsidRPr="00E93074">
        <w:rPr>
          <w:rFonts w:ascii="Cambria" w:hAnsi="Cambria"/>
          <w:sz w:val="16"/>
          <w:szCs w:val="16"/>
          <w:lang w:val="es-CO"/>
        </w:rPr>
        <w:t xml:space="preserve"> rendida ante el instructor el 22 de septiembre de 1994. Anexo 10 al escrito del peticionario de 30 de abril de 1998.</w:t>
      </w:r>
    </w:p>
  </w:footnote>
  <w:footnote w:id="17">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CO"/>
        </w:rPr>
        <w:t xml:space="preserve"> Anexo 6</w:t>
      </w:r>
      <w:r w:rsidRPr="00E93074">
        <w:rPr>
          <w:rFonts w:ascii="Cambria" w:hAnsi="Cambria"/>
          <w:sz w:val="16"/>
          <w:szCs w:val="16"/>
          <w:lang w:val="es-CO"/>
        </w:rPr>
        <w:t xml:space="preserve">. Declaración de Emilio </w:t>
      </w:r>
      <w:proofErr w:type="spellStart"/>
      <w:r w:rsidRPr="00E93074">
        <w:rPr>
          <w:rFonts w:ascii="Cambria" w:hAnsi="Cambria"/>
          <w:sz w:val="16"/>
          <w:szCs w:val="16"/>
          <w:lang w:val="es-CO"/>
        </w:rPr>
        <w:t>Murgueytio</w:t>
      </w:r>
      <w:proofErr w:type="spellEnd"/>
      <w:r w:rsidRPr="00E93074">
        <w:rPr>
          <w:rFonts w:ascii="Cambria" w:hAnsi="Cambria"/>
          <w:sz w:val="16"/>
          <w:szCs w:val="16"/>
          <w:lang w:val="es-CO"/>
        </w:rPr>
        <w:t xml:space="preserve"> </w:t>
      </w:r>
      <w:proofErr w:type="spellStart"/>
      <w:r w:rsidRPr="00E93074">
        <w:rPr>
          <w:rFonts w:ascii="Cambria" w:hAnsi="Cambria"/>
          <w:sz w:val="16"/>
          <w:szCs w:val="16"/>
          <w:lang w:val="es-CO"/>
        </w:rPr>
        <w:t>Yañez</w:t>
      </w:r>
      <w:proofErr w:type="spellEnd"/>
      <w:r w:rsidRPr="00E93074">
        <w:rPr>
          <w:rFonts w:ascii="Cambria" w:hAnsi="Cambria"/>
          <w:sz w:val="16"/>
          <w:szCs w:val="16"/>
          <w:lang w:val="es-CO"/>
        </w:rPr>
        <w:t xml:space="preserve"> rendida ante el instructor el 22 de septiembre de 1994. Anexo 10 al escrito del peticionario de 30 de abril de 1998.</w:t>
      </w:r>
    </w:p>
  </w:footnote>
  <w:footnote w:id="18">
    <w:p w:rsidR="00B21A8E" w:rsidRPr="00E93074" w:rsidRDefault="00B21A8E">
      <w:pPr>
        <w:pStyle w:val="FootnoteText"/>
        <w:ind w:firstLine="720"/>
        <w:jc w:val="both"/>
        <w:rPr>
          <w:rFonts w:ascii="Cambria" w:hAnsi="Cambria"/>
          <w:sz w:val="16"/>
          <w:szCs w:val="16"/>
          <w:lang w:val="es-CO"/>
        </w:rPr>
      </w:pPr>
      <w:r w:rsidRPr="00E93074">
        <w:rPr>
          <w:rStyle w:val="FootnoteReference"/>
          <w:rFonts w:ascii="Cambria" w:hAnsi="Cambria"/>
          <w:sz w:val="16"/>
          <w:szCs w:val="16"/>
        </w:rPr>
        <w:footnoteRef/>
      </w:r>
      <w:r>
        <w:rPr>
          <w:rFonts w:ascii="Cambria" w:hAnsi="Cambria"/>
          <w:sz w:val="16"/>
          <w:szCs w:val="16"/>
          <w:lang w:val="es-CO"/>
        </w:rPr>
        <w:t xml:space="preserve"> </w:t>
      </w:r>
      <w:r w:rsidRPr="00E93074">
        <w:rPr>
          <w:rFonts w:ascii="Cambria" w:hAnsi="Cambria"/>
          <w:sz w:val="16"/>
          <w:szCs w:val="16"/>
          <w:lang w:val="es-CO"/>
        </w:rPr>
        <w:t>Anexo</w:t>
      </w:r>
      <w:r>
        <w:rPr>
          <w:rFonts w:ascii="Cambria" w:hAnsi="Cambria"/>
          <w:sz w:val="16"/>
          <w:szCs w:val="16"/>
          <w:lang w:val="es-CO"/>
        </w:rPr>
        <w:t xml:space="preserve"> 7</w:t>
      </w:r>
      <w:r w:rsidRPr="00E93074">
        <w:rPr>
          <w:rFonts w:ascii="Cambria" w:hAnsi="Cambria"/>
          <w:sz w:val="16"/>
          <w:szCs w:val="16"/>
          <w:lang w:val="es-CO"/>
        </w:rPr>
        <w:t>. Acta de entrega de din</w:t>
      </w:r>
      <w:r>
        <w:rPr>
          <w:rFonts w:ascii="Cambria" w:hAnsi="Cambria"/>
          <w:sz w:val="16"/>
          <w:szCs w:val="16"/>
          <w:lang w:val="es-CO"/>
        </w:rPr>
        <w:t xml:space="preserve">ero de 30 de agosto de 1994. </w:t>
      </w:r>
      <w:r w:rsidRPr="00E93074">
        <w:rPr>
          <w:rFonts w:ascii="Cambria" w:hAnsi="Cambria"/>
          <w:sz w:val="16"/>
          <w:szCs w:val="16"/>
          <w:lang w:val="es-CO"/>
        </w:rPr>
        <w:t xml:space="preserve">Anexo al escrito del peticionario de 27 de febrero de 1998. </w:t>
      </w:r>
    </w:p>
  </w:footnote>
  <w:footnote w:id="19">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8</w:t>
      </w:r>
      <w:r w:rsidRPr="00E93074">
        <w:rPr>
          <w:rFonts w:ascii="Cambria" w:hAnsi="Cambria"/>
          <w:sz w:val="16"/>
          <w:szCs w:val="16"/>
          <w:lang w:val="es-VE"/>
        </w:rPr>
        <w:t>.  Oficio del Comandante General del Destacamento “Leoncio Prado” a Jorge Rosadio Villavicencio de 25 de septiembre de 1994. Anexo al escrito del peticionario de 27 de febrero de 1998.</w:t>
      </w:r>
    </w:p>
  </w:footnote>
  <w:footnote w:id="20">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9</w:t>
      </w:r>
      <w:r w:rsidRPr="00E93074">
        <w:rPr>
          <w:rFonts w:ascii="Cambria" w:hAnsi="Cambria"/>
          <w:sz w:val="16"/>
          <w:szCs w:val="16"/>
          <w:lang w:val="es-VE"/>
        </w:rPr>
        <w:t>. Informe de la Inspectoría del Destacamento Leoncio Prado de 15 de diciembre de 1994. Anexo a observaciones del Estado de 8 de septiembre de 2011.</w:t>
      </w:r>
    </w:p>
  </w:footnote>
  <w:footnote w:id="21">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9</w:t>
      </w:r>
      <w:r w:rsidRPr="00E93074">
        <w:rPr>
          <w:rFonts w:ascii="Cambria" w:hAnsi="Cambria"/>
          <w:sz w:val="16"/>
          <w:szCs w:val="16"/>
          <w:lang w:val="es-VE"/>
        </w:rPr>
        <w:t>. Informe de la Inspectoría del Destacamento Leoncio Prado de 15 de diciembre de 1994. Anexo a observaciones del Estado de 8 de septiembre de 2011.</w:t>
      </w:r>
    </w:p>
  </w:footnote>
  <w:footnote w:id="22">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9</w:t>
      </w:r>
      <w:r w:rsidRPr="00E93074">
        <w:rPr>
          <w:rFonts w:ascii="Cambria" w:hAnsi="Cambria"/>
          <w:sz w:val="16"/>
          <w:szCs w:val="16"/>
          <w:lang w:val="es-VE"/>
        </w:rPr>
        <w:t>. Informe de la Inspectoría del Destacamento Leoncio Prado de 15 de diciembre de 1994. Anexo a observaciones del Estado de 8 de septiembre de 2011.</w:t>
      </w:r>
    </w:p>
  </w:footnote>
  <w:footnote w:id="23">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10</w:t>
      </w:r>
      <w:r w:rsidRPr="00E93074">
        <w:rPr>
          <w:rFonts w:ascii="Cambria" w:hAnsi="Cambria"/>
          <w:sz w:val="16"/>
          <w:szCs w:val="16"/>
          <w:lang w:val="es-VE"/>
        </w:rPr>
        <w:t>. Acta del Consejo de Investigación para Oficiales Subalternos. Sesión No. 007-95 del 7 de febrero de 1995.</w:t>
      </w:r>
    </w:p>
  </w:footnote>
  <w:footnote w:id="24">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10</w:t>
      </w:r>
      <w:r w:rsidRPr="00E93074">
        <w:rPr>
          <w:rFonts w:ascii="Cambria" w:hAnsi="Cambria"/>
          <w:sz w:val="16"/>
          <w:szCs w:val="16"/>
          <w:lang w:val="es-VE"/>
        </w:rPr>
        <w:t>. Acta del Consejo de Investigación para Oficiales Subalternos. Sesión No. 007-95 del 7 de febrero de 1995.</w:t>
      </w:r>
    </w:p>
  </w:footnote>
  <w:footnote w:id="25">
    <w:p w:rsidR="00B21A8E" w:rsidRPr="00793971" w:rsidRDefault="00B21A8E">
      <w:pPr>
        <w:pStyle w:val="FootnoteText"/>
        <w:ind w:firstLine="720"/>
        <w:jc w:val="both"/>
        <w:rPr>
          <w:rFonts w:asciiTheme="majorHAnsi" w:hAnsiTheme="majorHAnsi"/>
          <w:sz w:val="16"/>
          <w:szCs w:val="16"/>
          <w:lang w:val="es-VE"/>
        </w:rPr>
      </w:pPr>
      <w:r w:rsidRPr="00793971">
        <w:rPr>
          <w:rStyle w:val="FootnoteReference"/>
          <w:rFonts w:asciiTheme="majorHAnsi" w:hAnsiTheme="majorHAnsi"/>
          <w:sz w:val="16"/>
          <w:szCs w:val="16"/>
        </w:rPr>
        <w:footnoteRef/>
      </w:r>
      <w:r>
        <w:rPr>
          <w:rFonts w:asciiTheme="majorHAnsi" w:hAnsiTheme="majorHAnsi"/>
          <w:sz w:val="16"/>
          <w:szCs w:val="16"/>
          <w:lang w:val="es-VE"/>
        </w:rPr>
        <w:t xml:space="preserve"> Anexo 10</w:t>
      </w:r>
      <w:r w:rsidRPr="00793971">
        <w:rPr>
          <w:rFonts w:asciiTheme="majorHAnsi" w:hAnsiTheme="majorHAnsi"/>
          <w:sz w:val="16"/>
          <w:szCs w:val="16"/>
          <w:lang w:val="es-VE"/>
        </w:rPr>
        <w:t>. Acta del Consejo de Investigación para Oficiales Subalternos. Sesión No. 007-95 del 7 de febrero de 1995.</w:t>
      </w:r>
    </w:p>
  </w:footnote>
  <w:footnote w:id="26">
    <w:p w:rsidR="00B21A8E" w:rsidRPr="00793971" w:rsidRDefault="00B21A8E">
      <w:pPr>
        <w:pStyle w:val="FootnoteText"/>
        <w:ind w:firstLine="720"/>
        <w:jc w:val="both"/>
        <w:rPr>
          <w:rFonts w:asciiTheme="majorHAnsi" w:hAnsiTheme="majorHAnsi"/>
          <w:sz w:val="16"/>
          <w:szCs w:val="16"/>
          <w:lang w:val="es-VE"/>
        </w:rPr>
      </w:pPr>
      <w:r w:rsidRPr="00793971">
        <w:rPr>
          <w:rStyle w:val="FootnoteReference"/>
          <w:rFonts w:asciiTheme="majorHAnsi" w:hAnsiTheme="majorHAnsi"/>
          <w:sz w:val="16"/>
          <w:szCs w:val="16"/>
        </w:rPr>
        <w:footnoteRef/>
      </w:r>
      <w:r>
        <w:rPr>
          <w:rFonts w:asciiTheme="majorHAnsi" w:hAnsiTheme="majorHAnsi"/>
          <w:sz w:val="16"/>
          <w:szCs w:val="16"/>
          <w:lang w:val="es-VE"/>
        </w:rPr>
        <w:t xml:space="preserve"> Anexo 10</w:t>
      </w:r>
      <w:r w:rsidRPr="00793971">
        <w:rPr>
          <w:rFonts w:asciiTheme="majorHAnsi" w:hAnsiTheme="majorHAnsi"/>
          <w:sz w:val="16"/>
          <w:szCs w:val="16"/>
          <w:lang w:val="es-VE"/>
        </w:rPr>
        <w:t>. Acta del Consejo de Investigación para Oficiales Subalternos. Sesión No. 007-95 del 7 de febrero de 1995.</w:t>
      </w:r>
    </w:p>
  </w:footnote>
  <w:footnote w:id="27">
    <w:p w:rsidR="00B21A8E" w:rsidRPr="00793971" w:rsidRDefault="00B21A8E">
      <w:pPr>
        <w:pStyle w:val="FootnoteText"/>
        <w:ind w:firstLine="720"/>
        <w:jc w:val="both"/>
        <w:rPr>
          <w:rFonts w:asciiTheme="majorHAnsi" w:hAnsiTheme="majorHAnsi"/>
          <w:sz w:val="16"/>
          <w:szCs w:val="16"/>
          <w:lang w:val="es-VE"/>
        </w:rPr>
      </w:pPr>
      <w:r w:rsidRPr="00793971">
        <w:rPr>
          <w:rStyle w:val="FootnoteReference"/>
          <w:rFonts w:asciiTheme="majorHAnsi" w:hAnsiTheme="majorHAnsi"/>
          <w:sz w:val="16"/>
          <w:szCs w:val="16"/>
        </w:rPr>
        <w:footnoteRef/>
      </w:r>
      <w:r>
        <w:rPr>
          <w:rFonts w:asciiTheme="majorHAnsi" w:hAnsiTheme="majorHAnsi"/>
          <w:sz w:val="16"/>
          <w:szCs w:val="16"/>
          <w:lang w:val="es-VE"/>
        </w:rPr>
        <w:t xml:space="preserve"> Anexo 10</w:t>
      </w:r>
      <w:r w:rsidRPr="00793971">
        <w:rPr>
          <w:rFonts w:asciiTheme="majorHAnsi" w:hAnsiTheme="majorHAnsi"/>
          <w:sz w:val="16"/>
          <w:szCs w:val="16"/>
          <w:lang w:val="es-VE"/>
        </w:rPr>
        <w:t>. Acta del Consejo de Investigación para Oficiales Subalternos. Sesión No. 007-95 del 7 de febrero de 1995.</w:t>
      </w:r>
    </w:p>
  </w:footnote>
  <w:footnote w:id="28">
    <w:p w:rsidR="00B21A8E" w:rsidRPr="00793971" w:rsidRDefault="00B21A8E">
      <w:pPr>
        <w:pStyle w:val="FootnoteText"/>
        <w:ind w:firstLine="720"/>
        <w:jc w:val="both"/>
        <w:rPr>
          <w:rFonts w:asciiTheme="majorHAnsi" w:hAnsiTheme="majorHAnsi"/>
          <w:sz w:val="16"/>
          <w:szCs w:val="16"/>
          <w:lang w:val="es-VE"/>
        </w:rPr>
      </w:pPr>
      <w:r w:rsidRPr="00793971">
        <w:rPr>
          <w:rStyle w:val="FootnoteReference"/>
          <w:rFonts w:asciiTheme="majorHAnsi" w:hAnsiTheme="majorHAnsi"/>
          <w:sz w:val="16"/>
          <w:szCs w:val="16"/>
        </w:rPr>
        <w:footnoteRef/>
      </w:r>
      <w:r w:rsidRPr="00793971">
        <w:rPr>
          <w:rFonts w:asciiTheme="majorHAnsi" w:hAnsiTheme="majorHAnsi"/>
          <w:sz w:val="16"/>
          <w:szCs w:val="16"/>
          <w:lang w:val="es-VE"/>
        </w:rPr>
        <w:t xml:space="preserve"> An</w:t>
      </w:r>
      <w:r>
        <w:rPr>
          <w:rFonts w:asciiTheme="majorHAnsi" w:hAnsiTheme="majorHAnsi"/>
          <w:sz w:val="16"/>
          <w:szCs w:val="16"/>
          <w:lang w:val="es-VE"/>
        </w:rPr>
        <w:t>exo 11. Decreto Supremo No. 09</w:t>
      </w:r>
      <w:r w:rsidRPr="00793971">
        <w:rPr>
          <w:rFonts w:asciiTheme="majorHAnsi" w:hAnsiTheme="majorHAnsi"/>
          <w:sz w:val="16"/>
          <w:szCs w:val="16"/>
          <w:lang w:val="es-VE"/>
        </w:rPr>
        <w:t xml:space="preserve"> de 22 de octubre de 1985. Anexo al escrito de observaciones del Estado de 24 de julio de 2009.</w:t>
      </w:r>
    </w:p>
  </w:footnote>
  <w:footnote w:id="29">
    <w:p w:rsidR="00B21A8E" w:rsidRPr="00793971" w:rsidRDefault="00B21A8E">
      <w:pPr>
        <w:pStyle w:val="FootnoteText"/>
        <w:ind w:firstLine="720"/>
        <w:jc w:val="both"/>
        <w:rPr>
          <w:rFonts w:asciiTheme="majorHAnsi" w:hAnsiTheme="majorHAnsi"/>
          <w:sz w:val="16"/>
          <w:szCs w:val="16"/>
          <w:lang w:val="es-VE"/>
        </w:rPr>
      </w:pPr>
      <w:r w:rsidRPr="00793971">
        <w:rPr>
          <w:rStyle w:val="FootnoteReference"/>
          <w:rFonts w:asciiTheme="majorHAnsi" w:hAnsiTheme="majorHAnsi"/>
          <w:sz w:val="16"/>
          <w:szCs w:val="16"/>
        </w:rPr>
        <w:footnoteRef/>
      </w:r>
      <w:r w:rsidRPr="00793971">
        <w:rPr>
          <w:rFonts w:asciiTheme="majorHAnsi" w:hAnsiTheme="majorHAnsi"/>
          <w:sz w:val="16"/>
          <w:szCs w:val="16"/>
          <w:lang w:val="es-VE"/>
        </w:rPr>
        <w:t xml:space="preserve"> Escrito de observaciones del peticionario de 30 de junio de 2008.  Ver también artículo 61 del </w:t>
      </w:r>
      <w:hyperlink r:id="rId1" w:history="1">
        <w:r w:rsidRPr="005239C1">
          <w:rPr>
            <w:rStyle w:val="Hyperlink"/>
            <w:rFonts w:asciiTheme="majorHAnsi" w:hAnsiTheme="majorHAnsi"/>
            <w:sz w:val="16"/>
            <w:szCs w:val="16"/>
            <w:lang w:val="es-VE"/>
          </w:rPr>
          <w:t>Decreto Legislativo No. 752</w:t>
        </w:r>
      </w:hyperlink>
      <w:r>
        <w:rPr>
          <w:rFonts w:asciiTheme="majorHAnsi" w:hAnsiTheme="majorHAnsi"/>
          <w:sz w:val="16"/>
          <w:szCs w:val="16"/>
          <w:lang w:val="es-VE"/>
        </w:rPr>
        <w:t>.</w:t>
      </w:r>
    </w:p>
  </w:footnote>
  <w:footnote w:id="30">
    <w:p w:rsidR="00B21A8E" w:rsidRPr="003D3CFD" w:rsidRDefault="00B21A8E">
      <w:pPr>
        <w:pStyle w:val="FootnoteText"/>
        <w:ind w:firstLine="720"/>
        <w:jc w:val="both"/>
        <w:rPr>
          <w:rFonts w:asciiTheme="majorHAnsi" w:hAnsiTheme="majorHAnsi"/>
          <w:sz w:val="16"/>
          <w:szCs w:val="16"/>
          <w:lang w:val="es-VE"/>
        </w:rPr>
      </w:pPr>
      <w:r w:rsidRPr="00793971">
        <w:rPr>
          <w:rStyle w:val="FootnoteReference"/>
          <w:rFonts w:asciiTheme="majorHAnsi" w:hAnsiTheme="majorHAnsi"/>
          <w:sz w:val="16"/>
          <w:szCs w:val="16"/>
        </w:rPr>
        <w:footnoteRef/>
      </w:r>
      <w:r w:rsidRPr="00793971">
        <w:rPr>
          <w:rFonts w:asciiTheme="majorHAnsi" w:hAnsiTheme="majorHAnsi"/>
          <w:sz w:val="16"/>
          <w:szCs w:val="16"/>
          <w:lang w:val="es-VE"/>
        </w:rPr>
        <w:t xml:space="preserve"> </w:t>
      </w:r>
      <w:r w:rsidRPr="00BE5571">
        <w:rPr>
          <w:rFonts w:asciiTheme="majorHAnsi" w:hAnsiTheme="majorHAnsi"/>
          <w:sz w:val="16"/>
          <w:szCs w:val="16"/>
          <w:lang w:val="es-VE"/>
        </w:rPr>
        <w:t xml:space="preserve">Según se indica en el escrito de 28 de septiembre de 1994 remitido por los peticionarios, Carlos </w:t>
      </w:r>
      <w:proofErr w:type="spellStart"/>
      <w:r w:rsidRPr="00BE5571">
        <w:rPr>
          <w:rFonts w:asciiTheme="majorHAnsi" w:hAnsiTheme="majorHAnsi"/>
          <w:sz w:val="16"/>
          <w:szCs w:val="16"/>
          <w:lang w:val="es-VE"/>
        </w:rPr>
        <w:t>Cusicanqui</w:t>
      </w:r>
      <w:proofErr w:type="spellEnd"/>
      <w:r w:rsidRPr="00BE5571">
        <w:rPr>
          <w:rFonts w:asciiTheme="majorHAnsi" w:hAnsiTheme="majorHAnsi"/>
          <w:sz w:val="16"/>
          <w:szCs w:val="16"/>
          <w:lang w:val="es-VE"/>
        </w:rPr>
        <w:t xml:space="preserve"> se encontraba privado de libertad “con mandato de detención efectiva” conjuntamente con la presunta víctima, en el Establecimiento Penitenciario de Procesados de </w:t>
      </w:r>
      <w:proofErr w:type="spellStart"/>
      <w:r w:rsidRPr="00BE5571">
        <w:rPr>
          <w:rFonts w:asciiTheme="majorHAnsi" w:hAnsiTheme="majorHAnsi"/>
          <w:sz w:val="16"/>
          <w:szCs w:val="16"/>
          <w:lang w:val="es-VE"/>
        </w:rPr>
        <w:t>Juanjui</w:t>
      </w:r>
      <w:proofErr w:type="spellEnd"/>
      <w:r w:rsidRPr="00BE5571">
        <w:rPr>
          <w:rFonts w:asciiTheme="majorHAnsi" w:hAnsiTheme="majorHAnsi"/>
          <w:sz w:val="16"/>
          <w:szCs w:val="16"/>
          <w:lang w:val="es-VE"/>
        </w:rPr>
        <w:t>. Ver Anexo 12. Escrito de 28 de septiembre de 1994 dirigido al Jefe Militar del Destacamento Leoncio Prado. Anexo al escrito de observaciones del peticionario de 30 de junio de 2008.</w:t>
      </w:r>
    </w:p>
  </w:footnote>
  <w:footnote w:id="31">
    <w:p w:rsidR="00B21A8E" w:rsidRPr="00B605C9" w:rsidRDefault="00B21A8E">
      <w:pPr>
        <w:pStyle w:val="FootnoteText"/>
        <w:ind w:firstLine="720"/>
        <w:jc w:val="both"/>
        <w:rPr>
          <w:rFonts w:asciiTheme="majorHAnsi" w:hAnsiTheme="majorHAnsi"/>
          <w:sz w:val="16"/>
          <w:szCs w:val="16"/>
          <w:lang w:val="es-VE"/>
        </w:rPr>
      </w:pPr>
      <w:r w:rsidRPr="00B605C9">
        <w:rPr>
          <w:rStyle w:val="FootnoteReference"/>
          <w:rFonts w:asciiTheme="majorHAnsi" w:hAnsiTheme="majorHAnsi"/>
          <w:sz w:val="16"/>
          <w:szCs w:val="16"/>
        </w:rPr>
        <w:footnoteRef/>
      </w:r>
      <w:r>
        <w:rPr>
          <w:rFonts w:asciiTheme="majorHAnsi" w:hAnsiTheme="majorHAnsi"/>
          <w:sz w:val="16"/>
          <w:szCs w:val="16"/>
          <w:lang w:val="es-VE"/>
        </w:rPr>
        <w:t xml:space="preserve"> Anexo 13</w:t>
      </w:r>
      <w:r w:rsidRPr="00B605C9">
        <w:rPr>
          <w:rFonts w:asciiTheme="majorHAnsi" w:hAnsiTheme="majorHAnsi"/>
          <w:sz w:val="16"/>
          <w:szCs w:val="16"/>
          <w:lang w:val="es-VE"/>
        </w:rPr>
        <w:t xml:space="preserve">. Acta del Consejo de Investigación para Oficiales Subalternos Sesión No 046-94 del 17 de noviembre de 1994. </w:t>
      </w:r>
      <w:r>
        <w:rPr>
          <w:rFonts w:asciiTheme="majorHAnsi" w:hAnsiTheme="majorHAnsi"/>
          <w:sz w:val="16"/>
          <w:szCs w:val="16"/>
          <w:lang w:val="es-VE"/>
        </w:rPr>
        <w:t xml:space="preserve">Anexo al escrito de observaciones del Estado de 13 de octubre de 2009. </w:t>
      </w:r>
    </w:p>
  </w:footnote>
  <w:footnote w:id="32">
    <w:p w:rsidR="00B21A8E" w:rsidRPr="00E93074" w:rsidRDefault="00B21A8E">
      <w:pPr>
        <w:pStyle w:val="FootnoteText"/>
        <w:ind w:firstLine="720"/>
        <w:jc w:val="both"/>
        <w:rPr>
          <w:rFonts w:ascii="Cambria" w:hAnsi="Cambria"/>
          <w:sz w:val="16"/>
          <w:szCs w:val="16"/>
          <w:lang w:val="es-CO"/>
        </w:rPr>
      </w:pPr>
      <w:r w:rsidRPr="00E93074">
        <w:rPr>
          <w:rStyle w:val="FootnoteReference"/>
          <w:rFonts w:ascii="Cambria" w:hAnsi="Cambria"/>
          <w:sz w:val="16"/>
          <w:szCs w:val="16"/>
        </w:rPr>
        <w:footnoteRef/>
      </w:r>
      <w:r w:rsidRPr="00E93074">
        <w:rPr>
          <w:rFonts w:ascii="Cambria" w:hAnsi="Cambria"/>
          <w:sz w:val="16"/>
          <w:szCs w:val="16"/>
          <w:lang w:val="es-VE"/>
        </w:rPr>
        <w:t xml:space="preserve"> </w:t>
      </w:r>
      <w:r>
        <w:rPr>
          <w:rFonts w:ascii="Cambria" w:hAnsi="Cambria"/>
          <w:sz w:val="16"/>
          <w:szCs w:val="16"/>
          <w:lang w:val="es-CO"/>
        </w:rPr>
        <w:t>Anexo 14</w:t>
      </w:r>
      <w:r w:rsidRPr="00E93074">
        <w:rPr>
          <w:rFonts w:ascii="Cambria" w:hAnsi="Cambria"/>
          <w:sz w:val="16"/>
          <w:szCs w:val="16"/>
          <w:lang w:val="es-CO"/>
        </w:rPr>
        <w:t>. Resolución de la Comandancia General del Ejército de 3 de marzo de 1995. Anexo 15 al escrito del peticionario de 30 de abril de 1998.</w:t>
      </w:r>
    </w:p>
  </w:footnote>
  <w:footnote w:id="33">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15</w:t>
      </w:r>
      <w:r w:rsidRPr="00E93074">
        <w:rPr>
          <w:rFonts w:ascii="Cambria" w:hAnsi="Cambria"/>
          <w:sz w:val="16"/>
          <w:szCs w:val="16"/>
          <w:lang w:val="es-VE"/>
        </w:rPr>
        <w:t xml:space="preserve">. Decisión del Juez Militar abriendo instrucción en contra de la presunta víctima de 7 de noviembre de 1994. Anexo al escrito del Estado de 4 de diciembre de 2012. </w:t>
      </w:r>
    </w:p>
  </w:footnote>
  <w:footnote w:id="34">
    <w:p w:rsidR="00B21A8E" w:rsidRPr="001B7715" w:rsidRDefault="00B21A8E">
      <w:pPr>
        <w:pStyle w:val="FootnoteText"/>
        <w:ind w:firstLine="720"/>
        <w:jc w:val="both"/>
        <w:rPr>
          <w:lang w:val="es-VE"/>
        </w:rPr>
      </w:pPr>
      <w:r w:rsidRPr="00E93074">
        <w:rPr>
          <w:rStyle w:val="FootnoteReference"/>
          <w:rFonts w:ascii="Cambria" w:hAnsi="Cambria"/>
          <w:sz w:val="16"/>
          <w:szCs w:val="16"/>
        </w:rPr>
        <w:footnoteRef/>
      </w:r>
      <w:r>
        <w:rPr>
          <w:rFonts w:ascii="Cambria" w:hAnsi="Cambria"/>
          <w:sz w:val="16"/>
          <w:szCs w:val="16"/>
          <w:lang w:val="es-VE"/>
        </w:rPr>
        <w:t xml:space="preserve"> Anexo 16</w:t>
      </w:r>
      <w:r w:rsidRPr="00E93074">
        <w:rPr>
          <w:rFonts w:ascii="Cambria" w:hAnsi="Cambria"/>
          <w:sz w:val="16"/>
          <w:szCs w:val="16"/>
          <w:lang w:val="es-VE"/>
        </w:rPr>
        <w:t>. Resolución del Juez Militar Permanente Jorge Ramirez Huerta de 12 de marzo de 1995. Anexo a escrito de observaciones del peticionario de 8 de diciembre de 2012.</w:t>
      </w:r>
    </w:p>
  </w:footnote>
  <w:footnote w:id="35">
    <w:p w:rsidR="00B21A8E" w:rsidRPr="004F0EB9" w:rsidRDefault="00B21A8E">
      <w:pPr>
        <w:pStyle w:val="FootnoteText"/>
        <w:ind w:firstLine="720"/>
        <w:jc w:val="both"/>
        <w:rPr>
          <w:rFonts w:asciiTheme="majorHAnsi" w:hAnsiTheme="majorHAnsi"/>
          <w:sz w:val="16"/>
          <w:szCs w:val="16"/>
          <w:lang w:val="es-VE"/>
        </w:rPr>
      </w:pPr>
      <w:r w:rsidRPr="004F0EB9">
        <w:rPr>
          <w:rStyle w:val="FootnoteReference"/>
          <w:rFonts w:asciiTheme="majorHAnsi" w:hAnsiTheme="majorHAnsi"/>
          <w:sz w:val="16"/>
          <w:szCs w:val="16"/>
        </w:rPr>
        <w:footnoteRef/>
      </w:r>
      <w:r>
        <w:rPr>
          <w:rFonts w:asciiTheme="majorHAnsi" w:hAnsiTheme="majorHAnsi"/>
          <w:sz w:val="16"/>
          <w:szCs w:val="16"/>
          <w:lang w:val="es-VE"/>
        </w:rPr>
        <w:t xml:space="preserve"> Anexo 17</w:t>
      </w:r>
      <w:r w:rsidRPr="004F0EB9">
        <w:rPr>
          <w:rFonts w:asciiTheme="majorHAnsi" w:hAnsiTheme="majorHAnsi"/>
          <w:sz w:val="16"/>
          <w:szCs w:val="16"/>
          <w:lang w:val="es-VE"/>
        </w:rPr>
        <w:t xml:space="preserve">. Declaración Instructiva de Jorge Rosadio Villavicencio ante Juez Militar Permanente de 20 de junio de 1995. Anexo 1 al Escrito del Estado de 3 de marzo de 2017. </w:t>
      </w:r>
    </w:p>
  </w:footnote>
  <w:footnote w:id="36">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18. Declaración I</w:t>
      </w:r>
      <w:r w:rsidRPr="00E93074">
        <w:rPr>
          <w:rFonts w:ascii="Cambria" w:hAnsi="Cambria"/>
          <w:sz w:val="16"/>
          <w:szCs w:val="16"/>
          <w:lang w:val="es-VE"/>
        </w:rPr>
        <w:t>nstructiva de Jorge Enrique Rosadio Villavicencio ante Juez Penal de 27 de julio de 1995. Anexo al escrito del Estado de 4 de diciembre de 2012.</w:t>
      </w:r>
    </w:p>
  </w:footnote>
  <w:footnote w:id="37">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18</w:t>
      </w:r>
      <w:r w:rsidRPr="00E93074">
        <w:rPr>
          <w:rFonts w:ascii="Cambria" w:hAnsi="Cambria"/>
          <w:sz w:val="16"/>
          <w:szCs w:val="16"/>
          <w:lang w:val="es-VE"/>
        </w:rPr>
        <w:t xml:space="preserve">. Declaración </w:t>
      </w:r>
      <w:r>
        <w:rPr>
          <w:rFonts w:ascii="Cambria" w:hAnsi="Cambria"/>
          <w:sz w:val="16"/>
          <w:szCs w:val="16"/>
          <w:lang w:val="es-VE"/>
        </w:rPr>
        <w:t>I</w:t>
      </w:r>
      <w:r w:rsidRPr="00E93074">
        <w:rPr>
          <w:rFonts w:ascii="Cambria" w:hAnsi="Cambria"/>
          <w:sz w:val="16"/>
          <w:szCs w:val="16"/>
          <w:lang w:val="es-VE"/>
        </w:rPr>
        <w:t>nstructiva de Jorge Enrique Rosadio Villavicencio ante Juez Penal de 27 de julio de 1995. Anexo al escrito del Estado de 4 de diciembre de 2012.</w:t>
      </w:r>
    </w:p>
  </w:footnote>
  <w:footnote w:id="38">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19</w:t>
      </w:r>
      <w:r w:rsidRPr="00E93074">
        <w:rPr>
          <w:rFonts w:ascii="Cambria" w:hAnsi="Cambria"/>
          <w:sz w:val="16"/>
          <w:szCs w:val="16"/>
          <w:lang w:val="es-VE"/>
        </w:rPr>
        <w:t>.  Dictamen de 14 de octubre de 1995. Anexo al escrito del Estado de 4 de diciembre de 2012.</w:t>
      </w:r>
    </w:p>
  </w:footnote>
  <w:footnote w:id="39">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Pr="00E93074">
        <w:rPr>
          <w:rFonts w:ascii="Cambria" w:hAnsi="Cambria"/>
          <w:sz w:val="16"/>
          <w:szCs w:val="16"/>
          <w:lang w:val="es-VE"/>
        </w:rPr>
        <w:t xml:space="preserve"> Anexo</w:t>
      </w:r>
      <w:r>
        <w:rPr>
          <w:rFonts w:ascii="Cambria" w:hAnsi="Cambria"/>
          <w:sz w:val="16"/>
          <w:szCs w:val="16"/>
          <w:lang w:val="es-VE"/>
        </w:rPr>
        <w:t xml:space="preserve"> 20</w:t>
      </w:r>
      <w:r w:rsidRPr="00E93074">
        <w:rPr>
          <w:rFonts w:ascii="Cambria" w:hAnsi="Cambria"/>
          <w:sz w:val="16"/>
          <w:szCs w:val="16"/>
          <w:lang w:val="es-VE"/>
        </w:rPr>
        <w:t>. Acusación de Fiscalía Militar a Jorge Enrique Rosadio Villavicencio y otras personas. 17 de octubre de 1995. Anexo al escrito del Estado de 4 de diciembre de 2012.</w:t>
      </w:r>
    </w:p>
  </w:footnote>
  <w:footnote w:id="40">
    <w:p w:rsidR="00B21A8E" w:rsidRPr="00592E4F" w:rsidRDefault="00B21A8E">
      <w:pPr>
        <w:pStyle w:val="FootnoteText"/>
        <w:ind w:firstLine="720"/>
        <w:jc w:val="both"/>
        <w:rPr>
          <w:rFonts w:ascii="Cambria" w:hAnsi="Cambria"/>
          <w:sz w:val="16"/>
          <w:szCs w:val="16"/>
          <w:lang w:val="es-VE"/>
        </w:rPr>
      </w:pPr>
      <w:r w:rsidRPr="00592E4F">
        <w:rPr>
          <w:rStyle w:val="FootnoteReference"/>
          <w:rFonts w:ascii="Cambria" w:hAnsi="Cambria"/>
          <w:sz w:val="16"/>
          <w:szCs w:val="16"/>
        </w:rPr>
        <w:footnoteRef/>
      </w:r>
      <w:r>
        <w:rPr>
          <w:rFonts w:ascii="Cambria" w:hAnsi="Cambria"/>
          <w:sz w:val="16"/>
          <w:szCs w:val="16"/>
          <w:lang w:val="es-VE"/>
        </w:rPr>
        <w:t xml:space="preserve"> </w:t>
      </w:r>
      <w:r w:rsidRPr="00592E4F">
        <w:rPr>
          <w:rFonts w:ascii="Cambria" w:hAnsi="Cambria"/>
          <w:sz w:val="16"/>
          <w:szCs w:val="16"/>
          <w:lang w:val="es-VE"/>
        </w:rPr>
        <w:t xml:space="preserve">Escrito de observaciones del peticionario de 26 de junio de 2012. </w:t>
      </w:r>
    </w:p>
  </w:footnote>
  <w:footnote w:id="41">
    <w:p w:rsidR="00B21A8E" w:rsidRPr="00782D8B" w:rsidRDefault="00B21A8E">
      <w:pPr>
        <w:pStyle w:val="FootnoteText"/>
        <w:ind w:firstLine="720"/>
        <w:jc w:val="both"/>
        <w:rPr>
          <w:lang w:val="es-VE"/>
        </w:rPr>
      </w:pPr>
      <w:r w:rsidRPr="00592E4F">
        <w:rPr>
          <w:rStyle w:val="FootnoteReference"/>
          <w:rFonts w:ascii="Cambria" w:hAnsi="Cambria"/>
          <w:sz w:val="16"/>
          <w:szCs w:val="16"/>
        </w:rPr>
        <w:footnoteRef/>
      </w:r>
      <w:r>
        <w:rPr>
          <w:rFonts w:ascii="Cambria" w:hAnsi="Cambria"/>
          <w:sz w:val="16"/>
          <w:szCs w:val="16"/>
          <w:lang w:val="es-VE"/>
        </w:rPr>
        <w:t xml:space="preserve"> </w:t>
      </w:r>
      <w:r w:rsidRPr="00592E4F">
        <w:rPr>
          <w:rFonts w:ascii="Cambria" w:hAnsi="Cambria"/>
          <w:sz w:val="16"/>
          <w:szCs w:val="16"/>
          <w:lang w:val="es-VE"/>
        </w:rPr>
        <w:t>Escrito de observaciones del Estado de 6 de septiembre de 2011.</w:t>
      </w:r>
      <w:r>
        <w:rPr>
          <w:lang w:val="es-VE"/>
        </w:rPr>
        <w:t xml:space="preserve"> </w:t>
      </w:r>
    </w:p>
  </w:footnote>
  <w:footnote w:id="42">
    <w:p w:rsidR="00B21A8E" w:rsidRPr="001A1424" w:rsidRDefault="00B21A8E">
      <w:pPr>
        <w:pStyle w:val="FootnoteText"/>
        <w:ind w:firstLine="720"/>
        <w:jc w:val="both"/>
        <w:rPr>
          <w:rFonts w:ascii="Cambria" w:hAnsi="Cambria"/>
          <w:sz w:val="16"/>
          <w:szCs w:val="16"/>
          <w:lang w:val="es-VE"/>
        </w:rPr>
      </w:pPr>
      <w:r w:rsidRPr="001A1424">
        <w:rPr>
          <w:rStyle w:val="FootnoteReference"/>
          <w:rFonts w:ascii="Cambria" w:hAnsi="Cambria"/>
          <w:sz w:val="16"/>
          <w:szCs w:val="16"/>
        </w:rPr>
        <w:footnoteRef/>
      </w:r>
      <w:r>
        <w:rPr>
          <w:rFonts w:ascii="Cambria" w:hAnsi="Cambria"/>
          <w:sz w:val="16"/>
          <w:szCs w:val="16"/>
          <w:lang w:val="es-VE"/>
        </w:rPr>
        <w:t xml:space="preserve"> Anexo 21</w:t>
      </w:r>
      <w:r w:rsidRPr="001A1424">
        <w:rPr>
          <w:rFonts w:ascii="Cambria" w:hAnsi="Cambria"/>
          <w:sz w:val="16"/>
          <w:szCs w:val="16"/>
          <w:lang w:val="es-VE"/>
        </w:rPr>
        <w:t>.  Resolución del Presidente del Consejo de Guerra Permanente de la 5ta Zona Judicial del Ejército de 4 de diciembre de 1995. Anexo al escrito de observaciones del Estado de 4 de diciembre de 2012.</w:t>
      </w:r>
    </w:p>
  </w:footnote>
  <w:footnote w:id="43">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22</w:t>
      </w:r>
      <w:r w:rsidRPr="00E93074">
        <w:rPr>
          <w:rFonts w:ascii="Cambria" w:hAnsi="Cambria"/>
          <w:sz w:val="16"/>
          <w:szCs w:val="16"/>
          <w:lang w:val="es-VE"/>
        </w:rPr>
        <w:t>. Alegato de la defensa de la presunta víctima de 18 de diciembre de 1995. Anexo al escrito del Estado de 4 de diciembre de 2012.</w:t>
      </w:r>
    </w:p>
  </w:footnote>
  <w:footnote w:id="44">
    <w:p w:rsidR="00B21A8E" w:rsidRPr="00E67768" w:rsidRDefault="00B21A8E">
      <w:pPr>
        <w:pStyle w:val="FootnoteText"/>
        <w:ind w:firstLine="720"/>
        <w:jc w:val="both"/>
        <w:rPr>
          <w:rFonts w:asciiTheme="majorHAnsi" w:hAnsiTheme="majorHAnsi"/>
          <w:sz w:val="16"/>
          <w:szCs w:val="16"/>
          <w:lang w:val="es-VE"/>
        </w:rPr>
      </w:pPr>
      <w:r w:rsidRPr="00E67768">
        <w:rPr>
          <w:rStyle w:val="FootnoteReference"/>
          <w:rFonts w:asciiTheme="majorHAnsi" w:hAnsiTheme="majorHAnsi"/>
          <w:sz w:val="16"/>
          <w:szCs w:val="16"/>
        </w:rPr>
        <w:footnoteRef/>
      </w:r>
      <w:r>
        <w:rPr>
          <w:rFonts w:asciiTheme="majorHAnsi" w:hAnsiTheme="majorHAnsi"/>
          <w:sz w:val="16"/>
          <w:szCs w:val="16"/>
          <w:lang w:val="es-VE"/>
        </w:rPr>
        <w:t xml:space="preserve"> Anexo 23</w:t>
      </w:r>
      <w:r w:rsidRPr="00E67768">
        <w:rPr>
          <w:rFonts w:asciiTheme="majorHAnsi" w:hAnsiTheme="majorHAnsi"/>
          <w:sz w:val="16"/>
          <w:szCs w:val="16"/>
          <w:lang w:val="es-VE"/>
        </w:rPr>
        <w:t xml:space="preserve">. Acta de audiencia pública de 29 de noviembre de 1996. </w:t>
      </w:r>
      <w:r>
        <w:rPr>
          <w:rFonts w:asciiTheme="majorHAnsi" w:hAnsiTheme="majorHAnsi"/>
          <w:sz w:val="16"/>
          <w:szCs w:val="16"/>
          <w:lang w:val="es-VE"/>
        </w:rPr>
        <w:t xml:space="preserve">Anexo al escrito de observaciones del Estado de 16 de abril de 2010. </w:t>
      </w:r>
    </w:p>
  </w:footnote>
  <w:footnote w:id="45">
    <w:p w:rsidR="00B21A8E" w:rsidRPr="00E67768" w:rsidRDefault="00B21A8E">
      <w:pPr>
        <w:pStyle w:val="FootnoteText"/>
        <w:ind w:firstLine="720"/>
        <w:jc w:val="both"/>
        <w:rPr>
          <w:rFonts w:asciiTheme="majorHAnsi" w:hAnsiTheme="majorHAnsi"/>
          <w:sz w:val="16"/>
          <w:szCs w:val="16"/>
          <w:lang w:val="es-VE"/>
        </w:rPr>
      </w:pPr>
      <w:r w:rsidRPr="00E67768">
        <w:rPr>
          <w:rStyle w:val="FootnoteReference"/>
          <w:rFonts w:asciiTheme="majorHAnsi" w:hAnsiTheme="majorHAnsi"/>
          <w:sz w:val="16"/>
          <w:szCs w:val="16"/>
        </w:rPr>
        <w:footnoteRef/>
      </w:r>
      <w:r>
        <w:rPr>
          <w:rFonts w:asciiTheme="majorHAnsi" w:hAnsiTheme="majorHAnsi"/>
          <w:sz w:val="16"/>
          <w:szCs w:val="16"/>
          <w:lang w:val="es-VE"/>
        </w:rPr>
        <w:t xml:space="preserve"> Anexo 23</w:t>
      </w:r>
      <w:r w:rsidRPr="00E67768">
        <w:rPr>
          <w:rFonts w:asciiTheme="majorHAnsi" w:hAnsiTheme="majorHAnsi"/>
          <w:sz w:val="16"/>
          <w:szCs w:val="16"/>
          <w:lang w:val="es-VE"/>
        </w:rPr>
        <w:t xml:space="preserve">. Acta de audiencia pública de 29 de noviembre de 1996. </w:t>
      </w:r>
      <w:r>
        <w:rPr>
          <w:rFonts w:asciiTheme="majorHAnsi" w:hAnsiTheme="majorHAnsi"/>
          <w:sz w:val="16"/>
          <w:szCs w:val="16"/>
          <w:lang w:val="es-VE"/>
        </w:rPr>
        <w:t xml:space="preserve">Anexo al escrito de observaciones del Estado de 16 de abril de 2010. </w:t>
      </w:r>
    </w:p>
  </w:footnote>
  <w:footnote w:id="46">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24. Sentencia </w:t>
      </w:r>
      <w:r w:rsidRPr="00E93074">
        <w:rPr>
          <w:rFonts w:ascii="Cambria" w:hAnsi="Cambria"/>
          <w:sz w:val="16"/>
          <w:szCs w:val="16"/>
          <w:lang w:val="es-VE"/>
        </w:rPr>
        <w:t xml:space="preserve">47-96 del Consejo de Guerra Permanente de la Sexta Zona Judicial del Ejército de 29 de noviembre de 1996. Anexo al escrito del Estado de 16 de abril de 2010. </w:t>
      </w:r>
    </w:p>
  </w:footnote>
  <w:footnote w:id="47">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25</w:t>
      </w:r>
      <w:r w:rsidRPr="00E93074">
        <w:rPr>
          <w:rFonts w:ascii="Cambria" w:hAnsi="Cambria"/>
          <w:sz w:val="16"/>
          <w:szCs w:val="16"/>
          <w:lang w:val="es-VE"/>
        </w:rPr>
        <w:t xml:space="preserve">. Oficio del Presidente de Guerra Permanente a la Procuradora Pública Especializada Supranacional de 7 de enero de 2011. Anexo al escrito de observaciones del Estado de 6 de septiembre de 2011. </w:t>
      </w:r>
    </w:p>
  </w:footnote>
  <w:footnote w:id="48">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26</w:t>
      </w:r>
      <w:r w:rsidRPr="00E93074">
        <w:rPr>
          <w:rFonts w:ascii="Cambria" w:hAnsi="Cambria"/>
          <w:sz w:val="16"/>
          <w:szCs w:val="16"/>
          <w:lang w:val="es-VE"/>
        </w:rPr>
        <w:t>. Resolución del Consejo Supremo de Justicia Militar de 16 de septiembre de 1997. Anexo al escrito del Estado de 4 de diciembre de 2012.</w:t>
      </w:r>
    </w:p>
  </w:footnote>
  <w:footnote w:id="49">
    <w:p w:rsidR="00B21A8E" w:rsidRPr="00ED69D3" w:rsidRDefault="00B21A8E">
      <w:pPr>
        <w:pStyle w:val="FootnoteText"/>
        <w:ind w:firstLine="720"/>
        <w:jc w:val="both"/>
        <w:rPr>
          <w:rFonts w:asciiTheme="majorHAnsi" w:hAnsiTheme="majorHAnsi"/>
          <w:sz w:val="16"/>
          <w:szCs w:val="16"/>
          <w:lang w:val="es-VE"/>
        </w:rPr>
      </w:pPr>
      <w:r w:rsidRPr="00ED69D3">
        <w:rPr>
          <w:rStyle w:val="FootnoteReference"/>
          <w:rFonts w:asciiTheme="majorHAnsi" w:hAnsiTheme="majorHAnsi"/>
          <w:sz w:val="16"/>
          <w:szCs w:val="16"/>
        </w:rPr>
        <w:footnoteRef/>
      </w:r>
      <w:r>
        <w:rPr>
          <w:rFonts w:asciiTheme="majorHAnsi" w:hAnsiTheme="majorHAnsi"/>
          <w:sz w:val="16"/>
          <w:szCs w:val="16"/>
          <w:lang w:val="es-VE"/>
        </w:rPr>
        <w:t xml:space="preserve"> Anexo 27</w:t>
      </w:r>
      <w:r w:rsidRPr="00ED69D3">
        <w:rPr>
          <w:rFonts w:asciiTheme="majorHAnsi" w:hAnsiTheme="majorHAnsi"/>
          <w:sz w:val="16"/>
          <w:szCs w:val="16"/>
          <w:lang w:val="es-VE"/>
        </w:rPr>
        <w:t xml:space="preserve">. Acta de audiencia pública de 15 de diciembre de 1997. Anexo al escrito de observaciones del Estado de 16 de abril de 2010. </w:t>
      </w:r>
    </w:p>
  </w:footnote>
  <w:footnote w:id="50">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28</w:t>
      </w:r>
      <w:r w:rsidRPr="00E93074">
        <w:rPr>
          <w:rFonts w:ascii="Cambria" w:hAnsi="Cambria"/>
          <w:sz w:val="16"/>
          <w:szCs w:val="16"/>
          <w:lang w:val="es-VE"/>
        </w:rPr>
        <w:t xml:space="preserve">. Sentencia 25-97 del Consejo de Guerra Permanente de la Sexta Zona Judicial del Ejército de 15 de diciembre de 1997. Anexo al escrito del Estado de 16 de abril de 2010. </w:t>
      </w:r>
    </w:p>
  </w:footnote>
  <w:footnote w:id="51">
    <w:p w:rsidR="00B21A8E" w:rsidRPr="00130B97" w:rsidRDefault="00B21A8E">
      <w:pPr>
        <w:pStyle w:val="FootnoteText"/>
        <w:ind w:firstLine="720"/>
        <w:jc w:val="both"/>
        <w:rPr>
          <w:lang w:val="es-VE"/>
        </w:rPr>
      </w:pPr>
      <w:r w:rsidRPr="00E93074">
        <w:rPr>
          <w:rStyle w:val="FootnoteReference"/>
          <w:rFonts w:ascii="Cambria" w:hAnsi="Cambria"/>
          <w:sz w:val="16"/>
          <w:szCs w:val="16"/>
        </w:rPr>
        <w:footnoteRef/>
      </w:r>
      <w:r>
        <w:rPr>
          <w:rFonts w:ascii="Cambria" w:hAnsi="Cambria"/>
          <w:sz w:val="16"/>
          <w:szCs w:val="16"/>
          <w:lang w:val="es-VE"/>
        </w:rPr>
        <w:t xml:space="preserve"> </w:t>
      </w:r>
      <w:r w:rsidRPr="00B53E32">
        <w:rPr>
          <w:rFonts w:ascii="Cambria" w:hAnsi="Cambria"/>
          <w:sz w:val="16"/>
          <w:szCs w:val="16"/>
          <w:lang w:val="es-VE"/>
        </w:rPr>
        <w:t>Anexo 28.</w:t>
      </w:r>
      <w:r w:rsidRPr="00E93074">
        <w:rPr>
          <w:rFonts w:ascii="Cambria" w:hAnsi="Cambria"/>
          <w:sz w:val="16"/>
          <w:szCs w:val="16"/>
          <w:lang w:val="es-VE"/>
        </w:rPr>
        <w:t xml:space="preserve"> Sentencia</w:t>
      </w:r>
      <w:r>
        <w:rPr>
          <w:rFonts w:ascii="Cambria" w:hAnsi="Cambria"/>
          <w:sz w:val="16"/>
          <w:szCs w:val="16"/>
          <w:lang w:val="es-VE"/>
        </w:rPr>
        <w:t xml:space="preserve"> 25-97</w:t>
      </w:r>
      <w:r w:rsidRPr="00E93074">
        <w:rPr>
          <w:rFonts w:ascii="Cambria" w:hAnsi="Cambria"/>
          <w:sz w:val="16"/>
          <w:szCs w:val="16"/>
          <w:lang w:val="es-VE"/>
        </w:rPr>
        <w:t xml:space="preserve"> del Consejo de Guerra Permanente de la Sexta Zona Judicial del Ejército de 15 de diciembre de 1997. Anexo al escrito del Estado de 16 de abril de 2010.</w:t>
      </w:r>
      <w:r>
        <w:rPr>
          <w:lang w:val="es-VE"/>
        </w:rPr>
        <w:t xml:space="preserve"> </w:t>
      </w:r>
    </w:p>
  </w:footnote>
  <w:footnote w:id="52">
    <w:p w:rsidR="00B21A8E" w:rsidRPr="00E93074" w:rsidRDefault="00B21A8E">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29</w:t>
      </w:r>
      <w:r w:rsidRPr="00E93074">
        <w:rPr>
          <w:rFonts w:ascii="Cambria" w:hAnsi="Cambria"/>
          <w:sz w:val="16"/>
          <w:szCs w:val="16"/>
          <w:lang w:val="es-VE"/>
        </w:rPr>
        <w:t xml:space="preserve">. Decisión del </w:t>
      </w:r>
      <w:r w:rsidRPr="00E93074">
        <w:rPr>
          <w:rFonts w:ascii="Cambria" w:hAnsi="Cambria"/>
          <w:sz w:val="16"/>
          <w:szCs w:val="16"/>
          <w:lang w:val="es-AR"/>
        </w:rPr>
        <w:t>Consejo Supremo de Justicia Militar</w:t>
      </w:r>
      <w:r w:rsidRPr="00E93074">
        <w:rPr>
          <w:rFonts w:ascii="Cambria" w:hAnsi="Cambria"/>
          <w:sz w:val="16"/>
          <w:szCs w:val="16"/>
          <w:lang w:val="es-VE"/>
        </w:rPr>
        <w:t xml:space="preserve"> del </w:t>
      </w:r>
      <w:r w:rsidRPr="00E93074">
        <w:rPr>
          <w:rFonts w:ascii="Cambria" w:hAnsi="Cambria"/>
          <w:sz w:val="16"/>
          <w:szCs w:val="16"/>
          <w:lang w:val="es-AR"/>
        </w:rPr>
        <w:t xml:space="preserve">30 de junio de 1998. Anexo a la comunicación del Estado de 12 de noviembre de 1998. </w:t>
      </w:r>
    </w:p>
  </w:footnote>
  <w:footnote w:id="53">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30</w:t>
      </w:r>
      <w:r w:rsidRPr="00E93074">
        <w:rPr>
          <w:rFonts w:ascii="Cambria" w:hAnsi="Cambria"/>
          <w:sz w:val="16"/>
          <w:szCs w:val="16"/>
          <w:lang w:val="es-VE"/>
        </w:rPr>
        <w:t>. Denuncia de la F</w:t>
      </w:r>
      <w:r>
        <w:rPr>
          <w:rFonts w:ascii="Cambria" w:hAnsi="Cambria"/>
          <w:sz w:val="16"/>
          <w:szCs w:val="16"/>
          <w:lang w:val="es-VE"/>
        </w:rPr>
        <w:t>iscalía Nacional del Perú del 23</w:t>
      </w:r>
      <w:r w:rsidRPr="00E93074">
        <w:rPr>
          <w:rFonts w:ascii="Cambria" w:hAnsi="Cambria"/>
          <w:sz w:val="16"/>
          <w:szCs w:val="16"/>
          <w:lang w:val="es-VE"/>
        </w:rPr>
        <w:t xml:space="preserve"> de septiembre de 1994. Anexo a observaciones del Estado presentadas el 11 de julio de 2003. </w:t>
      </w:r>
    </w:p>
  </w:footnote>
  <w:footnote w:id="54">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30</w:t>
      </w:r>
      <w:r w:rsidRPr="00E93074">
        <w:rPr>
          <w:rFonts w:ascii="Cambria" w:hAnsi="Cambria"/>
          <w:sz w:val="16"/>
          <w:szCs w:val="16"/>
          <w:lang w:val="es-VE"/>
        </w:rPr>
        <w:t>. Denuncia de la F</w:t>
      </w:r>
      <w:r>
        <w:rPr>
          <w:rFonts w:ascii="Cambria" w:hAnsi="Cambria"/>
          <w:sz w:val="16"/>
          <w:szCs w:val="16"/>
          <w:lang w:val="es-VE"/>
        </w:rPr>
        <w:t>iscalía Nacional del Perú del 23</w:t>
      </w:r>
      <w:r w:rsidRPr="00E93074">
        <w:rPr>
          <w:rFonts w:ascii="Cambria" w:hAnsi="Cambria"/>
          <w:sz w:val="16"/>
          <w:szCs w:val="16"/>
          <w:lang w:val="es-VE"/>
        </w:rPr>
        <w:t xml:space="preserve"> de septiembre de 1994. Anexo a observaciones del Estado presentadas el 11 de julio de 2003. </w:t>
      </w:r>
    </w:p>
  </w:footnote>
  <w:footnote w:id="55">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31</w:t>
      </w:r>
      <w:r w:rsidRPr="00E93074">
        <w:rPr>
          <w:rFonts w:ascii="Cambria" w:hAnsi="Cambria"/>
          <w:sz w:val="16"/>
          <w:szCs w:val="16"/>
          <w:lang w:val="es-VE"/>
        </w:rPr>
        <w:t xml:space="preserve">. Resolución del Juez de Primera Instancia Mixto de 28 de septiembre de 1994. Anexo a observaciones del Estado presentadas el 11 de julio de 2003. </w:t>
      </w:r>
    </w:p>
  </w:footnote>
  <w:footnote w:id="56">
    <w:p w:rsidR="00B21A8E" w:rsidRPr="00793971" w:rsidRDefault="00B21A8E" w:rsidP="00020991">
      <w:pPr>
        <w:pStyle w:val="FootnoteText"/>
        <w:ind w:firstLine="720"/>
        <w:jc w:val="both"/>
        <w:rPr>
          <w:rFonts w:asciiTheme="majorHAnsi" w:hAnsiTheme="majorHAnsi"/>
          <w:sz w:val="16"/>
          <w:szCs w:val="16"/>
          <w:lang w:val="es-VE"/>
        </w:rPr>
      </w:pPr>
      <w:r w:rsidRPr="00793971">
        <w:rPr>
          <w:rStyle w:val="FootnoteReference"/>
          <w:rFonts w:asciiTheme="majorHAnsi" w:hAnsiTheme="majorHAnsi"/>
          <w:sz w:val="16"/>
          <w:szCs w:val="16"/>
        </w:rPr>
        <w:footnoteRef/>
      </w:r>
      <w:r>
        <w:rPr>
          <w:rFonts w:asciiTheme="majorHAnsi" w:hAnsiTheme="majorHAnsi"/>
          <w:sz w:val="16"/>
          <w:szCs w:val="16"/>
          <w:lang w:val="es-VE"/>
        </w:rPr>
        <w:t xml:space="preserve"> Anexo 31</w:t>
      </w:r>
      <w:r w:rsidRPr="00793971">
        <w:rPr>
          <w:rFonts w:asciiTheme="majorHAnsi" w:hAnsiTheme="majorHAnsi"/>
          <w:sz w:val="16"/>
          <w:szCs w:val="16"/>
          <w:lang w:val="es-VE"/>
        </w:rPr>
        <w:t xml:space="preserve">. Resolución del Juez de Primera Instancia Mixto de 28 de septiembre de 1994. Anexo a observaciones del Estado presentadas el 11 de julio de 2003. </w:t>
      </w:r>
    </w:p>
  </w:footnote>
  <w:footnote w:id="57">
    <w:p w:rsidR="00B21A8E" w:rsidRPr="00793971" w:rsidRDefault="00B21A8E" w:rsidP="00020991">
      <w:pPr>
        <w:pStyle w:val="FootnoteText"/>
        <w:ind w:firstLine="720"/>
        <w:jc w:val="both"/>
        <w:rPr>
          <w:rFonts w:asciiTheme="majorHAnsi" w:hAnsiTheme="majorHAnsi"/>
          <w:sz w:val="16"/>
          <w:szCs w:val="16"/>
          <w:lang w:val="es-VE"/>
        </w:rPr>
      </w:pPr>
      <w:r w:rsidRPr="00793971">
        <w:rPr>
          <w:rStyle w:val="FootnoteReference"/>
          <w:rFonts w:asciiTheme="majorHAnsi" w:hAnsiTheme="majorHAnsi"/>
          <w:sz w:val="16"/>
          <w:szCs w:val="16"/>
        </w:rPr>
        <w:footnoteRef/>
      </w:r>
      <w:r w:rsidRPr="00793971">
        <w:rPr>
          <w:rFonts w:asciiTheme="majorHAnsi" w:hAnsiTheme="majorHAnsi"/>
          <w:sz w:val="16"/>
          <w:szCs w:val="16"/>
          <w:lang w:val="es-VE"/>
        </w:rPr>
        <w:t xml:space="preserve"> Anexo</w:t>
      </w:r>
      <w:r>
        <w:rPr>
          <w:rFonts w:asciiTheme="majorHAnsi" w:hAnsiTheme="majorHAnsi"/>
          <w:sz w:val="16"/>
          <w:szCs w:val="16"/>
          <w:lang w:val="es-VE"/>
        </w:rPr>
        <w:t xml:space="preserve"> 32</w:t>
      </w:r>
      <w:r w:rsidRPr="00793971">
        <w:rPr>
          <w:rFonts w:asciiTheme="majorHAnsi" w:hAnsiTheme="majorHAnsi"/>
          <w:sz w:val="16"/>
          <w:szCs w:val="16"/>
          <w:lang w:val="es-VE"/>
        </w:rPr>
        <w:t>. Declaración de Jorge Enrique Rosadio Villavicencio de 14 de diciembre de 1994. Anexo a observaciones del Estado presentadas el 11 de julio de 2003.</w:t>
      </w:r>
    </w:p>
  </w:footnote>
  <w:footnote w:id="58">
    <w:p w:rsidR="00B21A8E" w:rsidRPr="00793971" w:rsidRDefault="00B21A8E" w:rsidP="00020991">
      <w:pPr>
        <w:pStyle w:val="FootnoteText"/>
        <w:ind w:firstLine="720"/>
        <w:jc w:val="both"/>
        <w:rPr>
          <w:rFonts w:asciiTheme="majorHAnsi" w:hAnsiTheme="majorHAnsi"/>
          <w:sz w:val="16"/>
          <w:szCs w:val="16"/>
          <w:lang w:val="es-VE"/>
        </w:rPr>
      </w:pPr>
      <w:r w:rsidRPr="00793971">
        <w:rPr>
          <w:rStyle w:val="FootnoteReference"/>
          <w:rFonts w:asciiTheme="majorHAnsi" w:hAnsiTheme="majorHAnsi"/>
          <w:sz w:val="16"/>
          <w:szCs w:val="16"/>
        </w:rPr>
        <w:footnoteRef/>
      </w:r>
      <w:r>
        <w:rPr>
          <w:rFonts w:asciiTheme="majorHAnsi" w:hAnsiTheme="majorHAnsi"/>
          <w:sz w:val="16"/>
          <w:szCs w:val="16"/>
          <w:lang w:val="es-VE"/>
        </w:rPr>
        <w:t xml:space="preserve"> Anexo 33</w:t>
      </w:r>
      <w:r w:rsidRPr="00793971">
        <w:rPr>
          <w:rFonts w:asciiTheme="majorHAnsi" w:hAnsiTheme="majorHAnsi"/>
          <w:sz w:val="16"/>
          <w:szCs w:val="16"/>
          <w:lang w:val="es-VE"/>
        </w:rPr>
        <w:t>. Dictamen del Ministerio Público de 26 de abril de 1995. Anexo al escrito del Estado de 11 de julio de 2003.</w:t>
      </w:r>
    </w:p>
  </w:footnote>
  <w:footnote w:id="59">
    <w:p w:rsidR="00B21A8E" w:rsidRPr="00793971" w:rsidRDefault="00B21A8E" w:rsidP="00020991">
      <w:pPr>
        <w:pStyle w:val="FootnoteText"/>
        <w:ind w:firstLine="720"/>
        <w:jc w:val="both"/>
        <w:rPr>
          <w:rFonts w:asciiTheme="majorHAnsi" w:hAnsiTheme="majorHAnsi"/>
          <w:sz w:val="16"/>
          <w:szCs w:val="16"/>
          <w:lang w:val="es-VE"/>
        </w:rPr>
      </w:pPr>
      <w:r w:rsidRPr="00793971">
        <w:rPr>
          <w:rStyle w:val="FootnoteReference"/>
          <w:rFonts w:asciiTheme="majorHAnsi" w:hAnsiTheme="majorHAnsi"/>
          <w:sz w:val="16"/>
          <w:szCs w:val="16"/>
        </w:rPr>
        <w:footnoteRef/>
      </w:r>
      <w:r>
        <w:rPr>
          <w:rFonts w:asciiTheme="majorHAnsi" w:hAnsiTheme="majorHAnsi"/>
          <w:sz w:val="16"/>
          <w:szCs w:val="16"/>
          <w:lang w:val="es-VE"/>
        </w:rPr>
        <w:t xml:space="preserve"> Anexo 34</w:t>
      </w:r>
      <w:r w:rsidRPr="00793971">
        <w:rPr>
          <w:rFonts w:asciiTheme="majorHAnsi" w:hAnsiTheme="majorHAnsi"/>
          <w:sz w:val="16"/>
          <w:szCs w:val="16"/>
          <w:lang w:val="es-VE"/>
        </w:rPr>
        <w:t xml:space="preserve">. Dictamen del Juez de Primera Instancia Mixto de 5 de mayo de 1995. Anexo al escrito del Estado de 11 de julio de 2003. </w:t>
      </w:r>
    </w:p>
  </w:footnote>
  <w:footnote w:id="60">
    <w:p w:rsidR="00B21A8E" w:rsidRPr="00793971" w:rsidRDefault="00B21A8E" w:rsidP="00020991">
      <w:pPr>
        <w:pStyle w:val="FootnoteText"/>
        <w:ind w:firstLine="720"/>
        <w:jc w:val="both"/>
        <w:rPr>
          <w:rFonts w:asciiTheme="majorHAnsi" w:hAnsiTheme="majorHAnsi"/>
          <w:sz w:val="16"/>
          <w:szCs w:val="16"/>
          <w:lang w:val="es-VE"/>
        </w:rPr>
      </w:pPr>
      <w:r w:rsidRPr="00793971">
        <w:rPr>
          <w:rStyle w:val="FootnoteReference"/>
          <w:rFonts w:asciiTheme="majorHAnsi" w:hAnsiTheme="majorHAnsi"/>
          <w:sz w:val="16"/>
          <w:szCs w:val="16"/>
        </w:rPr>
        <w:footnoteRef/>
      </w:r>
      <w:r w:rsidRPr="00793971">
        <w:rPr>
          <w:rFonts w:asciiTheme="majorHAnsi" w:hAnsiTheme="majorHAnsi"/>
          <w:sz w:val="16"/>
          <w:szCs w:val="16"/>
          <w:lang w:val="es-VE"/>
        </w:rPr>
        <w:t xml:space="preserve"> </w:t>
      </w:r>
      <w:r>
        <w:rPr>
          <w:rFonts w:asciiTheme="majorHAnsi" w:hAnsiTheme="majorHAnsi"/>
          <w:sz w:val="16"/>
          <w:szCs w:val="16"/>
          <w:lang w:val="es-CO"/>
        </w:rPr>
        <w:t>Anexo 35</w:t>
      </w:r>
      <w:r w:rsidRPr="00793971">
        <w:rPr>
          <w:rFonts w:asciiTheme="majorHAnsi" w:hAnsiTheme="majorHAnsi"/>
          <w:sz w:val="16"/>
          <w:szCs w:val="16"/>
          <w:lang w:val="es-CO"/>
        </w:rPr>
        <w:t>. Informe final del Juez Especializado en lo Civil Edgardo Suazo Mercado de 15 de septiembre de 1995. Anexo 20 al escrito del peticionario de 30 de abril de 1998.</w:t>
      </w:r>
    </w:p>
  </w:footnote>
  <w:footnote w:id="61">
    <w:p w:rsidR="00B21A8E" w:rsidRPr="00793971" w:rsidRDefault="00B21A8E" w:rsidP="00020991">
      <w:pPr>
        <w:pStyle w:val="FootnoteText"/>
        <w:ind w:firstLine="720"/>
        <w:jc w:val="both"/>
        <w:rPr>
          <w:rFonts w:asciiTheme="majorHAnsi" w:hAnsiTheme="majorHAnsi"/>
          <w:sz w:val="16"/>
          <w:szCs w:val="16"/>
          <w:lang w:val="es-VE"/>
        </w:rPr>
      </w:pPr>
      <w:r w:rsidRPr="00793971">
        <w:rPr>
          <w:rStyle w:val="FootnoteReference"/>
          <w:rFonts w:asciiTheme="majorHAnsi" w:hAnsiTheme="majorHAnsi"/>
          <w:sz w:val="16"/>
          <w:szCs w:val="16"/>
        </w:rPr>
        <w:footnoteRef/>
      </w:r>
      <w:r w:rsidRPr="00793971">
        <w:rPr>
          <w:rFonts w:asciiTheme="majorHAnsi" w:hAnsiTheme="majorHAnsi"/>
          <w:sz w:val="16"/>
          <w:szCs w:val="16"/>
          <w:lang w:val="es-VE"/>
        </w:rPr>
        <w:t xml:space="preserve"> </w:t>
      </w:r>
      <w:r>
        <w:rPr>
          <w:rFonts w:asciiTheme="majorHAnsi" w:hAnsiTheme="majorHAnsi"/>
          <w:sz w:val="16"/>
          <w:szCs w:val="16"/>
          <w:lang w:val="es-CO"/>
        </w:rPr>
        <w:t>Anexo 35</w:t>
      </w:r>
      <w:r w:rsidRPr="00793971">
        <w:rPr>
          <w:rFonts w:asciiTheme="majorHAnsi" w:hAnsiTheme="majorHAnsi"/>
          <w:sz w:val="16"/>
          <w:szCs w:val="16"/>
          <w:lang w:val="es-CO"/>
        </w:rPr>
        <w:t>. Informe final del Juez Especializado en lo Civil Edgardo Suazo Mercado de 15 de septiembre de 1995. Anexo 20 al escrito del peticionario de 30 de abril de 1998.</w:t>
      </w:r>
    </w:p>
  </w:footnote>
  <w:footnote w:id="62">
    <w:p w:rsidR="00B21A8E" w:rsidRPr="00793971" w:rsidRDefault="00B21A8E" w:rsidP="00020991">
      <w:pPr>
        <w:pStyle w:val="FootnoteText"/>
        <w:ind w:firstLine="720"/>
        <w:jc w:val="both"/>
        <w:rPr>
          <w:rFonts w:asciiTheme="majorHAnsi" w:hAnsiTheme="majorHAnsi"/>
          <w:sz w:val="16"/>
          <w:szCs w:val="16"/>
          <w:lang w:val="es-CO"/>
        </w:rPr>
      </w:pPr>
      <w:r w:rsidRPr="00793971">
        <w:rPr>
          <w:rStyle w:val="FootnoteReference"/>
          <w:rFonts w:asciiTheme="majorHAnsi" w:hAnsiTheme="majorHAnsi"/>
          <w:sz w:val="16"/>
          <w:szCs w:val="16"/>
        </w:rPr>
        <w:footnoteRef/>
      </w:r>
      <w:r w:rsidRPr="00793971">
        <w:rPr>
          <w:rFonts w:asciiTheme="majorHAnsi" w:hAnsiTheme="majorHAnsi"/>
          <w:sz w:val="16"/>
          <w:szCs w:val="16"/>
          <w:lang w:val="es-VE"/>
        </w:rPr>
        <w:t xml:space="preserve"> </w:t>
      </w:r>
      <w:r>
        <w:rPr>
          <w:rFonts w:asciiTheme="majorHAnsi" w:hAnsiTheme="majorHAnsi"/>
          <w:sz w:val="16"/>
          <w:szCs w:val="16"/>
          <w:lang w:val="es-CO"/>
        </w:rPr>
        <w:t>Anexo 36</w:t>
      </w:r>
      <w:r w:rsidRPr="00793971">
        <w:rPr>
          <w:rFonts w:asciiTheme="majorHAnsi" w:hAnsiTheme="majorHAnsi"/>
          <w:sz w:val="16"/>
          <w:szCs w:val="16"/>
          <w:lang w:val="es-CO"/>
        </w:rPr>
        <w:t>. Excepción de naturaleza de la acción interpuesta por la defensa de la presunta víctima el 23 de octubre de 1995. Anexo 21 al escrito del peticionario de 30 de abril de 1998.</w:t>
      </w:r>
    </w:p>
  </w:footnote>
  <w:footnote w:id="63">
    <w:p w:rsidR="00B21A8E" w:rsidRPr="00793971" w:rsidRDefault="00B21A8E" w:rsidP="00020991">
      <w:pPr>
        <w:pStyle w:val="FootnoteText"/>
        <w:ind w:firstLine="720"/>
        <w:jc w:val="both"/>
        <w:rPr>
          <w:rFonts w:asciiTheme="majorHAnsi" w:hAnsiTheme="majorHAnsi"/>
          <w:sz w:val="16"/>
          <w:szCs w:val="16"/>
          <w:lang w:val="es-VE"/>
        </w:rPr>
      </w:pPr>
      <w:r w:rsidRPr="00793971">
        <w:rPr>
          <w:rStyle w:val="FootnoteReference"/>
          <w:rFonts w:asciiTheme="majorHAnsi" w:hAnsiTheme="majorHAnsi"/>
          <w:sz w:val="16"/>
          <w:szCs w:val="16"/>
        </w:rPr>
        <w:footnoteRef/>
      </w:r>
      <w:r>
        <w:rPr>
          <w:rFonts w:asciiTheme="majorHAnsi" w:hAnsiTheme="majorHAnsi"/>
          <w:sz w:val="16"/>
          <w:szCs w:val="16"/>
          <w:lang w:val="es-VE"/>
        </w:rPr>
        <w:t xml:space="preserve"> Anexo 37</w:t>
      </w:r>
      <w:r w:rsidRPr="00793971">
        <w:rPr>
          <w:rFonts w:asciiTheme="majorHAnsi" w:hAnsiTheme="majorHAnsi"/>
          <w:sz w:val="16"/>
          <w:szCs w:val="16"/>
          <w:lang w:val="es-VE"/>
        </w:rPr>
        <w:t>. Actas de audiencias del juicio oral. Anexo al escrito del Estado de 11 de julio de 2003.</w:t>
      </w:r>
    </w:p>
  </w:footnote>
  <w:footnote w:id="64">
    <w:p w:rsidR="00B21A8E" w:rsidRPr="004E0C9D" w:rsidRDefault="00B21A8E" w:rsidP="00DE19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Times New Roman" w:hAnsiTheme="majorHAnsi"/>
          <w:sz w:val="16"/>
          <w:szCs w:val="16"/>
          <w:lang w:val="es-AR"/>
        </w:rPr>
      </w:pPr>
      <w:r w:rsidRPr="00793971">
        <w:rPr>
          <w:rStyle w:val="FootnoteReference"/>
          <w:rFonts w:asciiTheme="majorHAnsi" w:hAnsiTheme="majorHAnsi"/>
          <w:sz w:val="16"/>
          <w:szCs w:val="16"/>
        </w:rPr>
        <w:footnoteRef/>
      </w:r>
      <w:r w:rsidRPr="00793971">
        <w:rPr>
          <w:rFonts w:asciiTheme="majorHAnsi" w:hAnsiTheme="majorHAnsi"/>
          <w:sz w:val="16"/>
          <w:szCs w:val="16"/>
          <w:lang w:val="es-VE"/>
        </w:rPr>
        <w:t xml:space="preserve"> El abogado Tito Leandro García Alfaro ejercería la defensa de los acusados </w:t>
      </w:r>
      <w:proofErr w:type="spellStart"/>
      <w:r w:rsidRPr="00793971">
        <w:rPr>
          <w:rFonts w:asciiTheme="majorHAnsi" w:eastAsia="Times New Roman" w:hAnsiTheme="majorHAnsi"/>
          <w:sz w:val="16"/>
          <w:szCs w:val="16"/>
          <w:lang w:val="es-AR"/>
        </w:rPr>
        <w:t>Cusicanqui</w:t>
      </w:r>
      <w:proofErr w:type="spellEnd"/>
      <w:r w:rsidRPr="00793971">
        <w:rPr>
          <w:rFonts w:asciiTheme="majorHAnsi" w:eastAsia="Times New Roman" w:hAnsiTheme="majorHAnsi"/>
          <w:sz w:val="16"/>
          <w:szCs w:val="16"/>
          <w:lang w:val="es-AR"/>
        </w:rPr>
        <w:t xml:space="preserve"> Aliaga, </w:t>
      </w:r>
      <w:proofErr w:type="spellStart"/>
      <w:r w:rsidRPr="00793971">
        <w:rPr>
          <w:rFonts w:asciiTheme="majorHAnsi" w:eastAsia="Times New Roman" w:hAnsiTheme="majorHAnsi"/>
          <w:sz w:val="16"/>
          <w:szCs w:val="16"/>
          <w:lang w:val="es-AR"/>
        </w:rPr>
        <w:t>Rosadio</w:t>
      </w:r>
      <w:proofErr w:type="spellEnd"/>
      <w:r w:rsidRPr="00793971">
        <w:rPr>
          <w:rFonts w:asciiTheme="majorHAnsi" w:eastAsia="Times New Roman" w:hAnsiTheme="majorHAnsi"/>
          <w:sz w:val="16"/>
          <w:szCs w:val="16"/>
          <w:lang w:val="es-AR"/>
        </w:rPr>
        <w:t xml:space="preserve"> Villavicencio, Zambrano Hidalgo, Bautista Tongo, </w:t>
      </w:r>
      <w:proofErr w:type="spellStart"/>
      <w:r w:rsidRPr="00793971">
        <w:rPr>
          <w:rFonts w:asciiTheme="majorHAnsi" w:eastAsia="Times New Roman" w:hAnsiTheme="majorHAnsi"/>
          <w:sz w:val="16"/>
          <w:szCs w:val="16"/>
          <w:lang w:val="es-AR"/>
        </w:rPr>
        <w:t>Berthiaume</w:t>
      </w:r>
      <w:proofErr w:type="spellEnd"/>
      <w:r w:rsidRPr="00793971">
        <w:rPr>
          <w:rFonts w:asciiTheme="majorHAnsi" w:eastAsia="Times New Roman" w:hAnsiTheme="majorHAnsi"/>
          <w:sz w:val="16"/>
          <w:szCs w:val="16"/>
          <w:lang w:val="es-AR"/>
        </w:rPr>
        <w:t xml:space="preserve">, España Quiroz, Alvarado Llanos, Gasca Serrano, </w:t>
      </w:r>
      <w:proofErr w:type="spellStart"/>
      <w:r w:rsidRPr="00793971">
        <w:rPr>
          <w:rFonts w:asciiTheme="majorHAnsi" w:eastAsia="Times New Roman" w:hAnsiTheme="majorHAnsi"/>
          <w:sz w:val="16"/>
          <w:szCs w:val="16"/>
          <w:lang w:val="es-AR"/>
        </w:rPr>
        <w:t>Florían</w:t>
      </w:r>
      <w:proofErr w:type="spellEnd"/>
      <w:r w:rsidRPr="00793971">
        <w:rPr>
          <w:rFonts w:asciiTheme="majorHAnsi" w:eastAsia="Times New Roman" w:hAnsiTheme="majorHAnsi"/>
          <w:sz w:val="16"/>
          <w:szCs w:val="16"/>
          <w:lang w:val="es-AR"/>
        </w:rPr>
        <w:t xml:space="preserve"> Caro y Olaya García.</w:t>
      </w:r>
    </w:p>
  </w:footnote>
  <w:footnote w:id="65">
    <w:p w:rsidR="00B21A8E" w:rsidRPr="004E0C9D" w:rsidRDefault="00B21A8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Times New Roman" w:hAnsiTheme="majorHAnsi"/>
          <w:sz w:val="16"/>
          <w:szCs w:val="16"/>
          <w:lang w:val="es-AR"/>
        </w:rPr>
      </w:pPr>
      <w:r w:rsidRPr="004E0C9D">
        <w:rPr>
          <w:rStyle w:val="FootnoteReference"/>
          <w:rFonts w:asciiTheme="majorHAnsi" w:hAnsiTheme="majorHAnsi"/>
          <w:sz w:val="16"/>
          <w:szCs w:val="16"/>
        </w:rPr>
        <w:footnoteRef/>
      </w:r>
      <w:r w:rsidRPr="004E0C9D">
        <w:rPr>
          <w:rFonts w:asciiTheme="majorHAnsi" w:hAnsiTheme="majorHAnsi"/>
          <w:sz w:val="16"/>
          <w:szCs w:val="16"/>
          <w:lang w:val="es-AR"/>
        </w:rPr>
        <w:t xml:space="preserve"> </w:t>
      </w:r>
      <w:r w:rsidRPr="004E0C9D">
        <w:rPr>
          <w:rFonts w:asciiTheme="majorHAnsi" w:eastAsia="Times New Roman" w:hAnsiTheme="majorHAnsi"/>
          <w:sz w:val="16"/>
          <w:szCs w:val="16"/>
          <w:lang w:val="es-AR"/>
        </w:rPr>
        <w:t xml:space="preserve">El Abogado Ruben García Molina ejercería la defensa de los acusados libres Ramos Aranda, Fernández </w:t>
      </w:r>
      <w:proofErr w:type="spellStart"/>
      <w:r w:rsidRPr="004E0C9D">
        <w:rPr>
          <w:rFonts w:asciiTheme="majorHAnsi" w:eastAsia="Times New Roman" w:hAnsiTheme="majorHAnsi"/>
          <w:sz w:val="16"/>
          <w:szCs w:val="16"/>
          <w:lang w:val="es-AR"/>
        </w:rPr>
        <w:t>Pacci</w:t>
      </w:r>
      <w:proofErr w:type="spellEnd"/>
      <w:r w:rsidRPr="004E0C9D">
        <w:rPr>
          <w:rFonts w:asciiTheme="majorHAnsi" w:eastAsia="Times New Roman" w:hAnsiTheme="majorHAnsi"/>
          <w:sz w:val="16"/>
          <w:szCs w:val="16"/>
          <w:lang w:val="es-AR"/>
        </w:rPr>
        <w:t xml:space="preserve">, Zagua </w:t>
      </w:r>
      <w:proofErr w:type="spellStart"/>
      <w:r w:rsidRPr="004E0C9D">
        <w:rPr>
          <w:rFonts w:asciiTheme="majorHAnsi" w:eastAsia="Times New Roman" w:hAnsiTheme="majorHAnsi"/>
          <w:sz w:val="16"/>
          <w:szCs w:val="16"/>
          <w:lang w:val="es-AR"/>
        </w:rPr>
        <w:t>Espezua</w:t>
      </w:r>
      <w:proofErr w:type="spellEnd"/>
      <w:r w:rsidRPr="004E0C9D">
        <w:rPr>
          <w:rFonts w:asciiTheme="majorHAnsi" w:eastAsia="Times New Roman" w:hAnsiTheme="majorHAnsi"/>
          <w:sz w:val="16"/>
          <w:szCs w:val="16"/>
          <w:lang w:val="es-AR"/>
        </w:rPr>
        <w:t xml:space="preserve">, Vázquez Gutiérrez, Jarama Villacorta, </w:t>
      </w:r>
      <w:proofErr w:type="spellStart"/>
      <w:r w:rsidRPr="004E0C9D">
        <w:rPr>
          <w:rFonts w:asciiTheme="majorHAnsi" w:eastAsia="Times New Roman" w:hAnsiTheme="majorHAnsi"/>
          <w:sz w:val="16"/>
          <w:szCs w:val="16"/>
          <w:lang w:val="es-AR"/>
        </w:rPr>
        <w:t>Pinchi</w:t>
      </w:r>
      <w:proofErr w:type="spellEnd"/>
      <w:r w:rsidRPr="004E0C9D">
        <w:rPr>
          <w:rFonts w:asciiTheme="majorHAnsi" w:eastAsia="Times New Roman" w:hAnsiTheme="majorHAnsi"/>
          <w:sz w:val="16"/>
          <w:szCs w:val="16"/>
          <w:lang w:val="es-AR"/>
        </w:rPr>
        <w:t xml:space="preserve"> García y </w:t>
      </w:r>
      <w:proofErr w:type="spellStart"/>
      <w:r w:rsidRPr="004E0C9D">
        <w:rPr>
          <w:rFonts w:asciiTheme="majorHAnsi" w:eastAsia="Times New Roman" w:hAnsiTheme="majorHAnsi"/>
          <w:sz w:val="16"/>
          <w:szCs w:val="16"/>
          <w:lang w:val="es-AR"/>
        </w:rPr>
        <w:t>Sangama</w:t>
      </w:r>
      <w:proofErr w:type="spellEnd"/>
      <w:r w:rsidRPr="004E0C9D">
        <w:rPr>
          <w:rFonts w:asciiTheme="majorHAnsi" w:eastAsia="Times New Roman" w:hAnsiTheme="majorHAnsi"/>
          <w:sz w:val="16"/>
          <w:szCs w:val="16"/>
          <w:lang w:val="es-AR"/>
        </w:rPr>
        <w:t xml:space="preserve"> Piña.</w:t>
      </w:r>
    </w:p>
  </w:footnote>
  <w:footnote w:id="66">
    <w:p w:rsidR="00B21A8E" w:rsidRPr="00D64202" w:rsidRDefault="00B21A8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Times New Roman" w:hAnsiTheme="majorHAnsi"/>
          <w:sz w:val="16"/>
          <w:szCs w:val="16"/>
          <w:lang w:val="es-AR"/>
        </w:rPr>
      </w:pPr>
      <w:r w:rsidRPr="004E0C9D">
        <w:rPr>
          <w:rStyle w:val="FootnoteReference"/>
          <w:rFonts w:asciiTheme="majorHAnsi" w:hAnsiTheme="majorHAnsi"/>
          <w:sz w:val="16"/>
          <w:szCs w:val="16"/>
        </w:rPr>
        <w:footnoteRef/>
      </w:r>
      <w:r w:rsidRPr="004E0C9D">
        <w:rPr>
          <w:rFonts w:asciiTheme="majorHAnsi" w:hAnsiTheme="majorHAnsi"/>
          <w:sz w:val="16"/>
          <w:szCs w:val="16"/>
          <w:lang w:val="es-AR"/>
        </w:rPr>
        <w:t xml:space="preserve"> </w:t>
      </w:r>
      <w:r w:rsidRPr="004E0C9D">
        <w:rPr>
          <w:rFonts w:asciiTheme="majorHAnsi" w:eastAsia="Times New Roman" w:hAnsiTheme="majorHAnsi"/>
          <w:sz w:val="16"/>
          <w:szCs w:val="16"/>
          <w:lang w:val="es-AR"/>
        </w:rPr>
        <w:t xml:space="preserve">La Defensora de Oficio Perla </w:t>
      </w:r>
      <w:proofErr w:type="spellStart"/>
      <w:r w:rsidRPr="004E0C9D">
        <w:rPr>
          <w:rFonts w:asciiTheme="majorHAnsi" w:eastAsia="Times New Roman" w:hAnsiTheme="majorHAnsi"/>
          <w:sz w:val="16"/>
          <w:szCs w:val="16"/>
          <w:lang w:val="es-AR"/>
        </w:rPr>
        <w:t>Gaube</w:t>
      </w:r>
      <w:proofErr w:type="spellEnd"/>
      <w:r w:rsidRPr="004E0C9D">
        <w:rPr>
          <w:rFonts w:asciiTheme="majorHAnsi" w:eastAsia="Times New Roman" w:hAnsiTheme="majorHAnsi"/>
          <w:sz w:val="16"/>
          <w:szCs w:val="16"/>
          <w:lang w:val="es-AR"/>
        </w:rPr>
        <w:t xml:space="preserve"> Ruíz ejercería la representación del acusado contumaz Carlos Alfredo Patrón </w:t>
      </w:r>
      <w:proofErr w:type="spellStart"/>
      <w:r w:rsidRPr="004E0C9D">
        <w:rPr>
          <w:rFonts w:asciiTheme="majorHAnsi" w:eastAsia="Times New Roman" w:hAnsiTheme="majorHAnsi"/>
          <w:sz w:val="16"/>
          <w:szCs w:val="16"/>
          <w:lang w:val="es-AR"/>
        </w:rPr>
        <w:t>Porraz</w:t>
      </w:r>
      <w:proofErr w:type="spellEnd"/>
      <w:r w:rsidRPr="004E0C9D">
        <w:rPr>
          <w:rFonts w:asciiTheme="majorHAnsi" w:eastAsia="Times New Roman" w:hAnsiTheme="majorHAnsi"/>
          <w:sz w:val="16"/>
          <w:szCs w:val="16"/>
          <w:lang w:val="es-AR"/>
        </w:rPr>
        <w:t xml:space="preserve"> y de los acusados ausentes: </w:t>
      </w:r>
      <w:proofErr w:type="spellStart"/>
      <w:r w:rsidRPr="004E0C9D">
        <w:rPr>
          <w:rFonts w:asciiTheme="majorHAnsi" w:eastAsia="Times New Roman" w:hAnsiTheme="majorHAnsi"/>
          <w:sz w:val="16"/>
          <w:szCs w:val="16"/>
          <w:lang w:val="es-AR"/>
        </w:rPr>
        <w:t>Micuna</w:t>
      </w:r>
      <w:proofErr w:type="spellEnd"/>
      <w:r w:rsidRPr="004E0C9D">
        <w:rPr>
          <w:rFonts w:asciiTheme="majorHAnsi" w:eastAsia="Times New Roman" w:hAnsiTheme="majorHAnsi"/>
          <w:sz w:val="16"/>
          <w:szCs w:val="16"/>
          <w:lang w:val="es-AR"/>
        </w:rPr>
        <w:t xml:space="preserve"> </w:t>
      </w:r>
      <w:proofErr w:type="spellStart"/>
      <w:r w:rsidRPr="004E0C9D">
        <w:rPr>
          <w:rFonts w:asciiTheme="majorHAnsi" w:eastAsia="Times New Roman" w:hAnsiTheme="majorHAnsi"/>
          <w:sz w:val="16"/>
          <w:szCs w:val="16"/>
          <w:lang w:val="es-AR"/>
        </w:rPr>
        <w:t>Echevarria</w:t>
      </w:r>
      <w:proofErr w:type="spellEnd"/>
      <w:r w:rsidRPr="004E0C9D">
        <w:rPr>
          <w:rFonts w:asciiTheme="majorHAnsi" w:eastAsia="Times New Roman" w:hAnsiTheme="majorHAnsi"/>
          <w:sz w:val="16"/>
          <w:szCs w:val="16"/>
          <w:lang w:val="es-AR"/>
        </w:rPr>
        <w:t xml:space="preserve"> Montejo, </w:t>
      </w:r>
      <w:proofErr w:type="spellStart"/>
      <w:r w:rsidRPr="004E0C9D">
        <w:rPr>
          <w:rFonts w:asciiTheme="majorHAnsi" w:eastAsia="Times New Roman" w:hAnsiTheme="majorHAnsi"/>
          <w:sz w:val="16"/>
          <w:szCs w:val="16"/>
          <w:lang w:val="es-AR"/>
        </w:rPr>
        <w:t>Eudes</w:t>
      </w:r>
      <w:proofErr w:type="spellEnd"/>
      <w:r w:rsidRPr="004E0C9D">
        <w:rPr>
          <w:rFonts w:asciiTheme="majorHAnsi" w:eastAsia="Times New Roman" w:hAnsiTheme="majorHAnsi"/>
          <w:sz w:val="16"/>
          <w:szCs w:val="16"/>
          <w:lang w:val="es-AR"/>
        </w:rPr>
        <w:t xml:space="preserve"> Ramirez </w:t>
      </w:r>
      <w:proofErr w:type="spellStart"/>
      <w:r w:rsidRPr="004E0C9D">
        <w:rPr>
          <w:rFonts w:asciiTheme="majorHAnsi" w:eastAsia="Times New Roman" w:hAnsiTheme="majorHAnsi"/>
          <w:sz w:val="16"/>
          <w:szCs w:val="16"/>
          <w:lang w:val="es-AR"/>
        </w:rPr>
        <w:t>Mogollon</w:t>
      </w:r>
      <w:proofErr w:type="spellEnd"/>
      <w:r w:rsidRPr="004E0C9D">
        <w:rPr>
          <w:rFonts w:asciiTheme="majorHAnsi" w:eastAsia="Times New Roman" w:hAnsiTheme="majorHAnsi"/>
          <w:sz w:val="16"/>
          <w:szCs w:val="16"/>
          <w:lang w:val="es-AR"/>
        </w:rPr>
        <w:t xml:space="preserve">, Margarita </w:t>
      </w:r>
      <w:proofErr w:type="spellStart"/>
      <w:r w:rsidRPr="004E0C9D">
        <w:rPr>
          <w:rFonts w:asciiTheme="majorHAnsi" w:eastAsia="Times New Roman" w:hAnsiTheme="majorHAnsi"/>
          <w:sz w:val="16"/>
          <w:szCs w:val="16"/>
          <w:lang w:val="es-AR"/>
        </w:rPr>
        <w:t>Chavez</w:t>
      </w:r>
      <w:proofErr w:type="spellEnd"/>
      <w:r w:rsidRPr="004E0C9D">
        <w:rPr>
          <w:rFonts w:asciiTheme="majorHAnsi" w:eastAsia="Times New Roman" w:hAnsiTheme="majorHAnsi"/>
          <w:sz w:val="16"/>
          <w:szCs w:val="16"/>
          <w:lang w:val="es-AR"/>
        </w:rPr>
        <w:t xml:space="preserve"> Pérez, Sabino Quiroz </w:t>
      </w:r>
      <w:proofErr w:type="spellStart"/>
      <w:r w:rsidRPr="004E0C9D">
        <w:rPr>
          <w:rFonts w:asciiTheme="majorHAnsi" w:eastAsia="Times New Roman" w:hAnsiTheme="majorHAnsi"/>
          <w:sz w:val="16"/>
          <w:szCs w:val="16"/>
          <w:lang w:val="es-AR"/>
        </w:rPr>
        <w:t>Morreros</w:t>
      </w:r>
      <w:proofErr w:type="spellEnd"/>
      <w:r w:rsidRPr="004E0C9D">
        <w:rPr>
          <w:rFonts w:asciiTheme="majorHAnsi" w:eastAsia="Times New Roman" w:hAnsiTheme="majorHAnsi"/>
          <w:sz w:val="16"/>
          <w:szCs w:val="16"/>
          <w:lang w:val="es-AR"/>
        </w:rPr>
        <w:t xml:space="preserve">, Lucio Lozano </w:t>
      </w:r>
      <w:proofErr w:type="spellStart"/>
      <w:r w:rsidRPr="004E0C9D">
        <w:rPr>
          <w:rFonts w:asciiTheme="majorHAnsi" w:eastAsia="Times New Roman" w:hAnsiTheme="majorHAnsi"/>
          <w:sz w:val="16"/>
          <w:szCs w:val="16"/>
          <w:lang w:val="es-AR"/>
        </w:rPr>
        <w:t>Perez</w:t>
      </w:r>
      <w:proofErr w:type="spellEnd"/>
      <w:r w:rsidRPr="004E0C9D">
        <w:rPr>
          <w:rFonts w:asciiTheme="majorHAnsi" w:eastAsia="Times New Roman" w:hAnsiTheme="majorHAnsi"/>
          <w:sz w:val="16"/>
          <w:szCs w:val="16"/>
          <w:lang w:val="es-AR"/>
        </w:rPr>
        <w:t xml:space="preserve">, Santiago Noriega Salazar, Walter Flores Torres, Jaime </w:t>
      </w:r>
      <w:proofErr w:type="spellStart"/>
      <w:r w:rsidRPr="004E0C9D">
        <w:rPr>
          <w:rFonts w:asciiTheme="majorHAnsi" w:eastAsia="Times New Roman" w:hAnsiTheme="majorHAnsi"/>
          <w:sz w:val="16"/>
          <w:szCs w:val="16"/>
          <w:lang w:val="es-AR"/>
        </w:rPr>
        <w:t>Sanchez</w:t>
      </w:r>
      <w:proofErr w:type="spellEnd"/>
      <w:r w:rsidRPr="004E0C9D">
        <w:rPr>
          <w:rFonts w:asciiTheme="majorHAnsi" w:eastAsia="Times New Roman" w:hAnsiTheme="majorHAnsi"/>
          <w:sz w:val="16"/>
          <w:szCs w:val="16"/>
          <w:lang w:val="es-AR"/>
        </w:rPr>
        <w:t xml:space="preserve"> </w:t>
      </w:r>
      <w:proofErr w:type="spellStart"/>
      <w:r w:rsidRPr="004E0C9D">
        <w:rPr>
          <w:rFonts w:asciiTheme="majorHAnsi" w:eastAsia="Times New Roman" w:hAnsiTheme="majorHAnsi"/>
          <w:sz w:val="16"/>
          <w:szCs w:val="16"/>
          <w:lang w:val="es-AR"/>
        </w:rPr>
        <w:t>Echeverria</w:t>
      </w:r>
      <w:proofErr w:type="spellEnd"/>
      <w:r w:rsidRPr="004E0C9D">
        <w:rPr>
          <w:rFonts w:asciiTheme="majorHAnsi" w:eastAsia="Times New Roman" w:hAnsiTheme="majorHAnsi"/>
          <w:sz w:val="16"/>
          <w:szCs w:val="16"/>
          <w:lang w:val="es-AR"/>
        </w:rPr>
        <w:t xml:space="preserve">, Gaspar </w:t>
      </w:r>
      <w:proofErr w:type="spellStart"/>
      <w:r w:rsidRPr="004E0C9D">
        <w:rPr>
          <w:rFonts w:asciiTheme="majorHAnsi" w:eastAsia="Times New Roman" w:hAnsiTheme="majorHAnsi"/>
          <w:sz w:val="16"/>
          <w:szCs w:val="16"/>
          <w:lang w:val="es-AR"/>
        </w:rPr>
        <w:t>Fernandez</w:t>
      </w:r>
      <w:proofErr w:type="spellEnd"/>
      <w:r w:rsidRPr="004E0C9D">
        <w:rPr>
          <w:rFonts w:asciiTheme="majorHAnsi" w:eastAsia="Times New Roman" w:hAnsiTheme="majorHAnsi"/>
          <w:sz w:val="16"/>
          <w:szCs w:val="16"/>
          <w:lang w:val="es-AR"/>
        </w:rPr>
        <w:t xml:space="preserve"> </w:t>
      </w:r>
      <w:proofErr w:type="spellStart"/>
      <w:r w:rsidRPr="004E0C9D">
        <w:rPr>
          <w:rFonts w:asciiTheme="majorHAnsi" w:eastAsia="Times New Roman" w:hAnsiTheme="majorHAnsi"/>
          <w:sz w:val="16"/>
          <w:szCs w:val="16"/>
          <w:lang w:val="es-AR"/>
        </w:rPr>
        <w:t>Zuñiga</w:t>
      </w:r>
      <w:proofErr w:type="spellEnd"/>
      <w:r w:rsidRPr="004E0C9D">
        <w:rPr>
          <w:rFonts w:asciiTheme="majorHAnsi" w:eastAsia="Times New Roman" w:hAnsiTheme="majorHAnsi"/>
          <w:sz w:val="16"/>
          <w:szCs w:val="16"/>
          <w:lang w:val="es-AR"/>
        </w:rPr>
        <w:t xml:space="preserve">, Franco </w:t>
      </w:r>
      <w:proofErr w:type="spellStart"/>
      <w:r w:rsidRPr="004E0C9D">
        <w:rPr>
          <w:rFonts w:asciiTheme="majorHAnsi" w:eastAsia="Times New Roman" w:hAnsiTheme="majorHAnsi"/>
          <w:sz w:val="16"/>
          <w:szCs w:val="16"/>
          <w:lang w:val="es-AR"/>
        </w:rPr>
        <w:t>Cordova</w:t>
      </w:r>
      <w:proofErr w:type="spellEnd"/>
      <w:r w:rsidRPr="004E0C9D">
        <w:rPr>
          <w:rFonts w:asciiTheme="majorHAnsi" w:eastAsia="Times New Roman" w:hAnsiTheme="majorHAnsi"/>
          <w:sz w:val="16"/>
          <w:szCs w:val="16"/>
          <w:lang w:val="es-AR"/>
        </w:rPr>
        <w:t xml:space="preserve"> Neira, </w:t>
      </w:r>
      <w:proofErr w:type="spellStart"/>
      <w:r w:rsidRPr="004E0C9D">
        <w:rPr>
          <w:rFonts w:asciiTheme="majorHAnsi" w:eastAsia="Times New Roman" w:hAnsiTheme="majorHAnsi"/>
          <w:sz w:val="16"/>
          <w:szCs w:val="16"/>
          <w:lang w:val="es-AR"/>
        </w:rPr>
        <w:t>Enemias</w:t>
      </w:r>
      <w:proofErr w:type="spellEnd"/>
      <w:r w:rsidRPr="004E0C9D">
        <w:rPr>
          <w:rFonts w:asciiTheme="majorHAnsi" w:eastAsia="Times New Roman" w:hAnsiTheme="majorHAnsi"/>
          <w:sz w:val="16"/>
          <w:szCs w:val="16"/>
          <w:lang w:val="es-AR"/>
        </w:rPr>
        <w:t xml:space="preserve"> Salcedo Becerra, Eleuterio </w:t>
      </w:r>
      <w:proofErr w:type="spellStart"/>
      <w:r w:rsidRPr="004E0C9D">
        <w:rPr>
          <w:rFonts w:asciiTheme="majorHAnsi" w:eastAsia="Times New Roman" w:hAnsiTheme="majorHAnsi"/>
          <w:sz w:val="16"/>
          <w:szCs w:val="16"/>
          <w:lang w:val="es-AR"/>
        </w:rPr>
        <w:t>Cordoba</w:t>
      </w:r>
      <w:proofErr w:type="spellEnd"/>
      <w:r w:rsidRPr="004E0C9D">
        <w:rPr>
          <w:rFonts w:asciiTheme="majorHAnsi" w:eastAsia="Times New Roman" w:hAnsiTheme="majorHAnsi"/>
          <w:sz w:val="16"/>
          <w:szCs w:val="16"/>
          <w:lang w:val="es-AR"/>
        </w:rPr>
        <w:t xml:space="preserve"> </w:t>
      </w:r>
      <w:proofErr w:type="spellStart"/>
      <w:r w:rsidRPr="004E0C9D">
        <w:rPr>
          <w:rFonts w:asciiTheme="majorHAnsi" w:eastAsia="Times New Roman" w:hAnsiTheme="majorHAnsi"/>
          <w:sz w:val="16"/>
          <w:szCs w:val="16"/>
          <w:lang w:val="es-AR"/>
        </w:rPr>
        <w:t>Choquehuanca</w:t>
      </w:r>
      <w:proofErr w:type="spellEnd"/>
      <w:r w:rsidRPr="004E0C9D">
        <w:rPr>
          <w:rFonts w:asciiTheme="majorHAnsi" w:eastAsia="Times New Roman" w:hAnsiTheme="majorHAnsi"/>
          <w:sz w:val="16"/>
          <w:szCs w:val="16"/>
          <w:lang w:val="es-AR"/>
        </w:rPr>
        <w:t xml:space="preserve">, </w:t>
      </w:r>
      <w:proofErr w:type="spellStart"/>
      <w:r w:rsidRPr="004E0C9D">
        <w:rPr>
          <w:rFonts w:asciiTheme="majorHAnsi" w:eastAsia="Times New Roman" w:hAnsiTheme="majorHAnsi"/>
          <w:sz w:val="16"/>
          <w:szCs w:val="16"/>
          <w:lang w:val="es-AR"/>
        </w:rPr>
        <w:t>Benjamin</w:t>
      </w:r>
      <w:proofErr w:type="spellEnd"/>
      <w:r w:rsidRPr="004E0C9D">
        <w:rPr>
          <w:rFonts w:asciiTheme="majorHAnsi" w:eastAsia="Times New Roman" w:hAnsiTheme="majorHAnsi"/>
          <w:sz w:val="16"/>
          <w:szCs w:val="16"/>
          <w:lang w:val="es-AR"/>
        </w:rPr>
        <w:t xml:space="preserve"> </w:t>
      </w:r>
      <w:proofErr w:type="spellStart"/>
      <w:r w:rsidRPr="004E0C9D">
        <w:rPr>
          <w:rFonts w:asciiTheme="majorHAnsi" w:eastAsia="Times New Roman" w:hAnsiTheme="majorHAnsi"/>
          <w:sz w:val="16"/>
          <w:szCs w:val="16"/>
          <w:lang w:val="es-AR"/>
        </w:rPr>
        <w:t>Velazquez</w:t>
      </w:r>
      <w:proofErr w:type="spellEnd"/>
      <w:r w:rsidRPr="004E0C9D">
        <w:rPr>
          <w:rFonts w:asciiTheme="majorHAnsi" w:eastAsia="Times New Roman" w:hAnsiTheme="majorHAnsi"/>
          <w:sz w:val="16"/>
          <w:szCs w:val="16"/>
          <w:lang w:val="es-AR"/>
        </w:rPr>
        <w:t xml:space="preserve"> </w:t>
      </w:r>
      <w:proofErr w:type="spellStart"/>
      <w:r w:rsidRPr="004E0C9D">
        <w:rPr>
          <w:rFonts w:asciiTheme="majorHAnsi" w:eastAsia="Times New Roman" w:hAnsiTheme="majorHAnsi"/>
          <w:sz w:val="16"/>
          <w:szCs w:val="16"/>
          <w:lang w:val="es-AR"/>
        </w:rPr>
        <w:t>Cordo</w:t>
      </w:r>
      <w:proofErr w:type="spellEnd"/>
      <w:r w:rsidRPr="004E0C9D">
        <w:rPr>
          <w:rFonts w:asciiTheme="majorHAnsi" w:eastAsia="Times New Roman" w:hAnsiTheme="majorHAnsi"/>
          <w:sz w:val="16"/>
          <w:szCs w:val="16"/>
          <w:lang w:val="es-AR"/>
        </w:rPr>
        <w:t>.</w:t>
      </w:r>
    </w:p>
  </w:footnote>
  <w:footnote w:id="67">
    <w:p w:rsidR="00B21A8E" w:rsidRPr="003940B2" w:rsidRDefault="00B21A8E" w:rsidP="00020991">
      <w:pPr>
        <w:pStyle w:val="FootnoteText"/>
        <w:ind w:firstLine="720"/>
        <w:jc w:val="both"/>
        <w:rPr>
          <w:rFonts w:asciiTheme="majorHAnsi" w:hAnsiTheme="majorHAnsi"/>
          <w:sz w:val="16"/>
          <w:szCs w:val="16"/>
          <w:lang w:val="es-VE"/>
        </w:rPr>
      </w:pPr>
      <w:r w:rsidRPr="003940B2">
        <w:rPr>
          <w:rStyle w:val="FootnoteReference"/>
          <w:rFonts w:asciiTheme="majorHAnsi" w:hAnsiTheme="majorHAnsi"/>
          <w:sz w:val="16"/>
          <w:szCs w:val="16"/>
        </w:rPr>
        <w:footnoteRef/>
      </w:r>
      <w:r w:rsidRPr="003940B2">
        <w:rPr>
          <w:rFonts w:asciiTheme="majorHAnsi" w:hAnsiTheme="majorHAnsi"/>
          <w:sz w:val="16"/>
          <w:szCs w:val="16"/>
          <w:lang w:val="es-VE"/>
        </w:rPr>
        <w:t xml:space="preserve"> </w:t>
      </w:r>
      <w:r>
        <w:rPr>
          <w:rFonts w:asciiTheme="majorHAnsi" w:hAnsiTheme="majorHAnsi"/>
          <w:sz w:val="16"/>
          <w:szCs w:val="16"/>
          <w:lang w:val="es-VE"/>
        </w:rPr>
        <w:t>Anexo 38. Acta</w:t>
      </w:r>
      <w:r w:rsidRPr="003940B2">
        <w:rPr>
          <w:rFonts w:asciiTheme="majorHAnsi" w:hAnsiTheme="majorHAnsi"/>
          <w:sz w:val="16"/>
          <w:szCs w:val="16"/>
          <w:lang w:val="es-VE"/>
        </w:rPr>
        <w:t xml:space="preserve"> de a</w:t>
      </w:r>
      <w:r>
        <w:rPr>
          <w:rFonts w:asciiTheme="majorHAnsi" w:hAnsiTheme="majorHAnsi"/>
          <w:sz w:val="16"/>
          <w:szCs w:val="16"/>
          <w:lang w:val="es-VE"/>
        </w:rPr>
        <w:t>udiencia del juicio oral de 4 de marzo de 1996. Anexo al escrito del Estado de 11 de julio de 2003.</w:t>
      </w:r>
    </w:p>
  </w:footnote>
  <w:footnote w:id="68">
    <w:p w:rsidR="00B21A8E" w:rsidRPr="003940B2" w:rsidRDefault="00B21A8E" w:rsidP="00020991">
      <w:pPr>
        <w:pStyle w:val="FootnoteText"/>
        <w:ind w:firstLine="720"/>
        <w:jc w:val="both"/>
        <w:rPr>
          <w:rFonts w:asciiTheme="majorHAnsi" w:hAnsiTheme="majorHAnsi"/>
          <w:sz w:val="16"/>
          <w:szCs w:val="16"/>
          <w:lang w:val="es-VE"/>
        </w:rPr>
      </w:pPr>
      <w:r w:rsidRPr="003940B2">
        <w:rPr>
          <w:rStyle w:val="FootnoteReference"/>
          <w:rFonts w:asciiTheme="majorHAnsi" w:hAnsiTheme="majorHAnsi"/>
          <w:sz w:val="16"/>
          <w:szCs w:val="16"/>
        </w:rPr>
        <w:footnoteRef/>
      </w:r>
      <w:r w:rsidRPr="003940B2">
        <w:rPr>
          <w:rFonts w:asciiTheme="majorHAnsi" w:hAnsiTheme="majorHAnsi"/>
          <w:sz w:val="16"/>
          <w:szCs w:val="16"/>
          <w:lang w:val="es-VE"/>
        </w:rPr>
        <w:t xml:space="preserve"> </w:t>
      </w:r>
      <w:r>
        <w:rPr>
          <w:rFonts w:asciiTheme="majorHAnsi" w:hAnsiTheme="majorHAnsi"/>
          <w:sz w:val="16"/>
          <w:szCs w:val="16"/>
          <w:lang w:val="es-VE"/>
        </w:rPr>
        <w:t>Anexo 3. Acta</w:t>
      </w:r>
      <w:r w:rsidRPr="003940B2">
        <w:rPr>
          <w:rFonts w:asciiTheme="majorHAnsi" w:hAnsiTheme="majorHAnsi"/>
          <w:sz w:val="16"/>
          <w:szCs w:val="16"/>
          <w:lang w:val="es-VE"/>
        </w:rPr>
        <w:t xml:space="preserve"> de a</w:t>
      </w:r>
      <w:r>
        <w:rPr>
          <w:rFonts w:asciiTheme="majorHAnsi" w:hAnsiTheme="majorHAnsi"/>
          <w:sz w:val="16"/>
          <w:szCs w:val="16"/>
          <w:lang w:val="es-VE"/>
        </w:rPr>
        <w:t>udiencia del juicio oral de 12 de marzo de 1996. Anexo al escrito del Estado de 11 de julio de 2003.</w:t>
      </w:r>
    </w:p>
  </w:footnote>
  <w:footnote w:id="69">
    <w:p w:rsidR="00B21A8E" w:rsidRPr="003940B2" w:rsidRDefault="00B21A8E" w:rsidP="00020991">
      <w:pPr>
        <w:pStyle w:val="FootnoteText"/>
        <w:ind w:firstLine="720"/>
        <w:jc w:val="both"/>
        <w:rPr>
          <w:rFonts w:asciiTheme="majorHAnsi" w:hAnsiTheme="majorHAnsi"/>
          <w:sz w:val="16"/>
          <w:szCs w:val="16"/>
          <w:lang w:val="es-VE"/>
        </w:rPr>
      </w:pPr>
      <w:r w:rsidRPr="003940B2">
        <w:rPr>
          <w:rStyle w:val="FootnoteReference"/>
          <w:rFonts w:asciiTheme="majorHAnsi" w:hAnsiTheme="majorHAnsi"/>
          <w:sz w:val="16"/>
          <w:szCs w:val="16"/>
        </w:rPr>
        <w:footnoteRef/>
      </w:r>
      <w:r w:rsidRPr="003940B2">
        <w:rPr>
          <w:rFonts w:asciiTheme="majorHAnsi" w:hAnsiTheme="majorHAnsi"/>
          <w:sz w:val="16"/>
          <w:szCs w:val="16"/>
          <w:lang w:val="es-VE"/>
        </w:rPr>
        <w:t xml:space="preserve"> </w:t>
      </w:r>
      <w:r>
        <w:rPr>
          <w:rFonts w:asciiTheme="majorHAnsi" w:hAnsiTheme="majorHAnsi"/>
          <w:sz w:val="16"/>
          <w:szCs w:val="16"/>
          <w:lang w:val="es-VE"/>
        </w:rPr>
        <w:t>Anexo 3. Acta</w:t>
      </w:r>
      <w:r w:rsidRPr="003940B2">
        <w:rPr>
          <w:rFonts w:asciiTheme="majorHAnsi" w:hAnsiTheme="majorHAnsi"/>
          <w:sz w:val="16"/>
          <w:szCs w:val="16"/>
          <w:lang w:val="es-VE"/>
        </w:rPr>
        <w:t xml:space="preserve"> de a</w:t>
      </w:r>
      <w:r>
        <w:rPr>
          <w:rFonts w:asciiTheme="majorHAnsi" w:hAnsiTheme="majorHAnsi"/>
          <w:sz w:val="16"/>
          <w:szCs w:val="16"/>
          <w:lang w:val="es-VE"/>
        </w:rPr>
        <w:t>udiencia del juicio oral de 12 de marzo de 1996. Anexo al escrito del Estado de 11 de julio de 2003.</w:t>
      </w:r>
    </w:p>
  </w:footnote>
  <w:footnote w:id="70">
    <w:p w:rsidR="00B21A8E" w:rsidRPr="003940B2" w:rsidRDefault="00B21A8E" w:rsidP="00020991">
      <w:pPr>
        <w:pStyle w:val="FootnoteText"/>
        <w:ind w:firstLine="720"/>
        <w:jc w:val="both"/>
        <w:rPr>
          <w:rFonts w:asciiTheme="majorHAnsi" w:hAnsiTheme="majorHAnsi"/>
          <w:sz w:val="16"/>
          <w:szCs w:val="16"/>
          <w:lang w:val="es-VE"/>
        </w:rPr>
      </w:pPr>
      <w:r w:rsidRPr="003940B2">
        <w:rPr>
          <w:rStyle w:val="FootnoteReference"/>
          <w:rFonts w:asciiTheme="majorHAnsi" w:hAnsiTheme="majorHAnsi"/>
          <w:sz w:val="16"/>
          <w:szCs w:val="16"/>
        </w:rPr>
        <w:footnoteRef/>
      </w:r>
      <w:r w:rsidRPr="003940B2">
        <w:rPr>
          <w:rFonts w:asciiTheme="majorHAnsi" w:hAnsiTheme="majorHAnsi"/>
          <w:sz w:val="16"/>
          <w:szCs w:val="16"/>
          <w:lang w:val="es-VE"/>
        </w:rPr>
        <w:t xml:space="preserve"> </w:t>
      </w:r>
      <w:r>
        <w:rPr>
          <w:rFonts w:asciiTheme="majorHAnsi" w:hAnsiTheme="majorHAnsi"/>
          <w:sz w:val="16"/>
          <w:szCs w:val="16"/>
          <w:lang w:val="es-VE"/>
        </w:rPr>
        <w:t>Anexo 3. Acta</w:t>
      </w:r>
      <w:r w:rsidRPr="003940B2">
        <w:rPr>
          <w:rFonts w:asciiTheme="majorHAnsi" w:hAnsiTheme="majorHAnsi"/>
          <w:sz w:val="16"/>
          <w:szCs w:val="16"/>
          <w:lang w:val="es-VE"/>
        </w:rPr>
        <w:t xml:space="preserve"> de a</w:t>
      </w:r>
      <w:r>
        <w:rPr>
          <w:rFonts w:asciiTheme="majorHAnsi" w:hAnsiTheme="majorHAnsi"/>
          <w:sz w:val="16"/>
          <w:szCs w:val="16"/>
          <w:lang w:val="es-VE"/>
        </w:rPr>
        <w:t>udiencia del juicio oral de 12 de marzo de 1996. Anexo al escrito del Estado de 11 de julio de 2003.</w:t>
      </w:r>
    </w:p>
  </w:footnote>
  <w:footnote w:id="71">
    <w:p w:rsidR="00B21A8E" w:rsidRPr="003940B2" w:rsidRDefault="00B21A8E" w:rsidP="00020991">
      <w:pPr>
        <w:pStyle w:val="FootnoteText"/>
        <w:ind w:firstLine="720"/>
        <w:jc w:val="both"/>
        <w:rPr>
          <w:rFonts w:asciiTheme="majorHAnsi" w:hAnsiTheme="majorHAnsi"/>
          <w:sz w:val="16"/>
          <w:szCs w:val="16"/>
          <w:lang w:val="es-VE"/>
        </w:rPr>
      </w:pPr>
      <w:r w:rsidRPr="003940B2">
        <w:rPr>
          <w:rStyle w:val="FootnoteReference"/>
          <w:rFonts w:asciiTheme="majorHAnsi" w:hAnsiTheme="majorHAnsi"/>
          <w:sz w:val="16"/>
          <w:szCs w:val="16"/>
        </w:rPr>
        <w:footnoteRef/>
      </w:r>
      <w:r w:rsidRPr="003940B2">
        <w:rPr>
          <w:rFonts w:asciiTheme="majorHAnsi" w:hAnsiTheme="majorHAnsi"/>
          <w:sz w:val="16"/>
          <w:szCs w:val="16"/>
          <w:lang w:val="es-VE"/>
        </w:rPr>
        <w:t xml:space="preserve"> </w:t>
      </w:r>
      <w:r>
        <w:rPr>
          <w:rFonts w:asciiTheme="majorHAnsi" w:hAnsiTheme="majorHAnsi"/>
          <w:sz w:val="16"/>
          <w:szCs w:val="16"/>
          <w:lang w:val="es-VE"/>
        </w:rPr>
        <w:t>Anexo 3. Acta</w:t>
      </w:r>
      <w:r w:rsidRPr="003940B2">
        <w:rPr>
          <w:rFonts w:asciiTheme="majorHAnsi" w:hAnsiTheme="majorHAnsi"/>
          <w:sz w:val="16"/>
          <w:szCs w:val="16"/>
          <w:lang w:val="es-VE"/>
        </w:rPr>
        <w:t xml:space="preserve"> de a</w:t>
      </w:r>
      <w:r>
        <w:rPr>
          <w:rFonts w:asciiTheme="majorHAnsi" w:hAnsiTheme="majorHAnsi"/>
          <w:sz w:val="16"/>
          <w:szCs w:val="16"/>
          <w:lang w:val="es-VE"/>
        </w:rPr>
        <w:t>udiencia del juicio oral de 12 de marzo de 1996. Anexo al escrito del Estado de 11 de julio de 2003.</w:t>
      </w:r>
    </w:p>
  </w:footnote>
  <w:footnote w:id="72">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Pr>
          <w:rFonts w:ascii="Cambria" w:hAnsi="Cambria"/>
          <w:sz w:val="16"/>
          <w:szCs w:val="16"/>
          <w:lang w:val="es-VE"/>
        </w:rPr>
        <w:t xml:space="preserve"> Anexo 39</w:t>
      </w:r>
      <w:r w:rsidRPr="00E93074">
        <w:rPr>
          <w:rFonts w:ascii="Cambria" w:hAnsi="Cambria"/>
          <w:sz w:val="16"/>
          <w:szCs w:val="16"/>
          <w:lang w:val="es-VE"/>
        </w:rPr>
        <w:t xml:space="preserve">. Resolución de 24 de abril de 1996. Anexo 23 de la comunicación del peticionario de 6 de septiembre de 2003. </w:t>
      </w:r>
    </w:p>
  </w:footnote>
  <w:footnote w:id="73">
    <w:p w:rsidR="00B21A8E" w:rsidRPr="00CE3116" w:rsidRDefault="00B21A8E" w:rsidP="00020991">
      <w:pPr>
        <w:pStyle w:val="FootnoteText"/>
        <w:ind w:firstLine="720"/>
        <w:jc w:val="both"/>
        <w:rPr>
          <w:lang w:val="es-VE"/>
        </w:rPr>
      </w:pPr>
      <w:r w:rsidRPr="00E93074">
        <w:rPr>
          <w:rStyle w:val="FootnoteReference"/>
          <w:rFonts w:ascii="Cambria" w:hAnsi="Cambria"/>
          <w:sz w:val="16"/>
          <w:szCs w:val="16"/>
        </w:rPr>
        <w:footnoteRef/>
      </w:r>
      <w:r>
        <w:rPr>
          <w:rFonts w:ascii="Cambria" w:hAnsi="Cambria"/>
          <w:sz w:val="16"/>
          <w:szCs w:val="16"/>
          <w:lang w:val="es-VE"/>
        </w:rPr>
        <w:t xml:space="preserve"> Anexo 40</w:t>
      </w:r>
      <w:r w:rsidRPr="00E93074">
        <w:rPr>
          <w:rFonts w:ascii="Cambria" w:hAnsi="Cambria"/>
          <w:sz w:val="16"/>
          <w:szCs w:val="16"/>
          <w:lang w:val="es-VE"/>
        </w:rPr>
        <w:t>. Dictamen del Fiscal Adjunto Supremo de 6 de enero de 1997. Anexo al escrito del peticionario de 27 de febrero de 1998.</w:t>
      </w:r>
    </w:p>
  </w:footnote>
  <w:footnote w:id="74">
    <w:p w:rsidR="00B21A8E" w:rsidRPr="002E5E68" w:rsidRDefault="00B21A8E" w:rsidP="00020991">
      <w:pPr>
        <w:pStyle w:val="FootnoteText"/>
        <w:ind w:firstLine="720"/>
        <w:jc w:val="both"/>
        <w:rPr>
          <w:lang w:val="es-CO"/>
        </w:rPr>
      </w:pPr>
      <w:r w:rsidRPr="00E93074">
        <w:rPr>
          <w:rStyle w:val="FootnoteReference"/>
          <w:rFonts w:ascii="Cambria" w:hAnsi="Cambria"/>
          <w:sz w:val="16"/>
          <w:szCs w:val="16"/>
        </w:rPr>
        <w:footnoteRef/>
      </w:r>
      <w:r>
        <w:rPr>
          <w:rFonts w:ascii="Cambria" w:hAnsi="Cambria"/>
          <w:sz w:val="16"/>
          <w:szCs w:val="16"/>
          <w:lang w:val="es-CO"/>
        </w:rPr>
        <w:t xml:space="preserve"> Anexo 41</w:t>
      </w:r>
      <w:r w:rsidRPr="00E93074">
        <w:rPr>
          <w:rFonts w:ascii="Cambria" w:hAnsi="Cambria"/>
          <w:sz w:val="16"/>
          <w:szCs w:val="16"/>
          <w:lang w:val="es-CO"/>
        </w:rPr>
        <w:t>. Alegato escrito presentado por Jorge Carlos Vega Fernández ante el Presidente de la Sala Penal de la Corte Suprema de Justicia. Anexo al escrito del peticionario de 27 de febrero de 1998.</w:t>
      </w:r>
      <w:r w:rsidRPr="002E5E68">
        <w:rPr>
          <w:lang w:val="es-CO"/>
        </w:rPr>
        <w:t xml:space="preserve"> </w:t>
      </w:r>
    </w:p>
  </w:footnote>
  <w:footnote w:id="75">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00A5518A">
        <w:rPr>
          <w:rFonts w:ascii="Cambria" w:hAnsi="Cambria"/>
          <w:sz w:val="16"/>
          <w:szCs w:val="16"/>
          <w:lang w:val="es-VE"/>
        </w:rPr>
        <w:t xml:space="preserve"> Anexo 42</w:t>
      </w:r>
      <w:r w:rsidRPr="009F2C05">
        <w:rPr>
          <w:rFonts w:ascii="Cambria" w:hAnsi="Cambria"/>
          <w:sz w:val="16"/>
          <w:szCs w:val="16"/>
          <w:lang w:val="es-VE"/>
        </w:rPr>
        <w:t xml:space="preserve">. </w:t>
      </w:r>
      <w:r w:rsidRPr="00E93074">
        <w:rPr>
          <w:rFonts w:ascii="Cambria" w:hAnsi="Cambria"/>
          <w:sz w:val="16"/>
          <w:szCs w:val="16"/>
          <w:lang w:val="es-VE"/>
        </w:rPr>
        <w:t>Decisión de la II Sala Penal Transitoria de la Corte Suprema de justicia de la República que resu</w:t>
      </w:r>
      <w:r>
        <w:rPr>
          <w:rFonts w:ascii="Cambria" w:hAnsi="Cambria"/>
          <w:sz w:val="16"/>
          <w:szCs w:val="16"/>
          <w:lang w:val="es-VE"/>
        </w:rPr>
        <w:t>elve el recurso de nulidad de 19</w:t>
      </w:r>
      <w:r w:rsidRPr="00E93074">
        <w:rPr>
          <w:rFonts w:ascii="Cambria" w:hAnsi="Cambria"/>
          <w:sz w:val="16"/>
          <w:szCs w:val="16"/>
          <w:lang w:val="es-VE"/>
        </w:rPr>
        <w:t xml:space="preserve"> de junio de 1997. Anexo al escrito del peticionario de 27 de febrero de 1998.</w:t>
      </w:r>
    </w:p>
  </w:footnote>
  <w:footnote w:id="76">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00A5518A">
        <w:rPr>
          <w:rFonts w:ascii="Cambria" w:hAnsi="Cambria"/>
          <w:sz w:val="16"/>
          <w:szCs w:val="16"/>
          <w:lang w:val="es-VE"/>
        </w:rPr>
        <w:t xml:space="preserve"> Anexo 42</w:t>
      </w:r>
      <w:r w:rsidRPr="00E93074">
        <w:rPr>
          <w:rFonts w:ascii="Cambria" w:hAnsi="Cambria"/>
          <w:sz w:val="16"/>
          <w:szCs w:val="16"/>
          <w:lang w:val="es-VE"/>
        </w:rPr>
        <w:t>.</w:t>
      </w:r>
      <w:r>
        <w:rPr>
          <w:rFonts w:ascii="Cambria" w:hAnsi="Cambria"/>
          <w:sz w:val="16"/>
          <w:szCs w:val="16"/>
          <w:lang w:val="es-VE"/>
        </w:rPr>
        <w:t xml:space="preserve"> </w:t>
      </w:r>
      <w:r w:rsidRPr="00E93074">
        <w:rPr>
          <w:rFonts w:ascii="Cambria" w:hAnsi="Cambria"/>
          <w:sz w:val="16"/>
          <w:szCs w:val="16"/>
          <w:lang w:val="es-VE"/>
        </w:rPr>
        <w:t>Decisión de la II Sala Penal Transitoria de la Corte Suprema de justicia de la República que resu</w:t>
      </w:r>
      <w:r>
        <w:rPr>
          <w:rFonts w:ascii="Cambria" w:hAnsi="Cambria"/>
          <w:sz w:val="16"/>
          <w:szCs w:val="16"/>
          <w:lang w:val="es-VE"/>
        </w:rPr>
        <w:t xml:space="preserve">elve el recurso de nulidad de </w:t>
      </w:r>
      <w:r w:rsidRPr="00203929">
        <w:rPr>
          <w:rFonts w:ascii="Cambria" w:hAnsi="Cambria"/>
          <w:sz w:val="16"/>
          <w:szCs w:val="16"/>
          <w:lang w:val="es-VE"/>
        </w:rPr>
        <w:t>19 de junio de 1997</w:t>
      </w:r>
      <w:r w:rsidRPr="00E93074">
        <w:rPr>
          <w:rFonts w:ascii="Cambria" w:hAnsi="Cambria"/>
          <w:sz w:val="16"/>
          <w:szCs w:val="16"/>
          <w:lang w:val="es-VE"/>
        </w:rPr>
        <w:t>. Anexo al escrito del peticionario de 27 de febrero de 1998.</w:t>
      </w:r>
    </w:p>
  </w:footnote>
  <w:footnote w:id="77">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00203929">
        <w:rPr>
          <w:rFonts w:ascii="Cambria" w:hAnsi="Cambria"/>
          <w:sz w:val="16"/>
          <w:szCs w:val="16"/>
          <w:lang w:val="es-VE"/>
        </w:rPr>
        <w:t xml:space="preserve"> Anexo 4</w:t>
      </w:r>
      <w:r w:rsidR="00A5518A">
        <w:rPr>
          <w:rFonts w:ascii="Cambria" w:hAnsi="Cambria"/>
          <w:sz w:val="16"/>
          <w:szCs w:val="16"/>
          <w:lang w:val="es-VE"/>
        </w:rPr>
        <w:t>2</w:t>
      </w:r>
      <w:r w:rsidRPr="009F2C05">
        <w:rPr>
          <w:rFonts w:ascii="Cambria" w:hAnsi="Cambria"/>
          <w:sz w:val="16"/>
          <w:szCs w:val="16"/>
          <w:lang w:val="es-VE"/>
        </w:rPr>
        <w:t xml:space="preserve">. </w:t>
      </w:r>
      <w:r w:rsidRPr="00E93074">
        <w:rPr>
          <w:rFonts w:ascii="Cambria" w:hAnsi="Cambria"/>
          <w:sz w:val="16"/>
          <w:szCs w:val="16"/>
          <w:lang w:val="es-VE"/>
        </w:rPr>
        <w:t xml:space="preserve">Decisión de la II Sala Penal Transitoria de la Corte Suprema de justicia de la República que resuelve el recurso de nulidad de </w:t>
      </w:r>
      <w:r w:rsidR="00203929" w:rsidRPr="00203929">
        <w:rPr>
          <w:rFonts w:ascii="Cambria" w:hAnsi="Cambria"/>
          <w:sz w:val="16"/>
          <w:szCs w:val="16"/>
          <w:lang w:val="es-VE"/>
        </w:rPr>
        <w:t>19</w:t>
      </w:r>
      <w:r w:rsidRPr="00203929">
        <w:rPr>
          <w:rFonts w:ascii="Cambria" w:hAnsi="Cambria"/>
          <w:sz w:val="16"/>
          <w:szCs w:val="16"/>
          <w:lang w:val="es-VE"/>
        </w:rPr>
        <w:t xml:space="preserve"> de junio de 1997</w:t>
      </w:r>
      <w:r w:rsidRPr="00E93074">
        <w:rPr>
          <w:rFonts w:ascii="Cambria" w:hAnsi="Cambria"/>
          <w:sz w:val="16"/>
          <w:szCs w:val="16"/>
          <w:lang w:val="es-VE"/>
        </w:rPr>
        <w:t>. Anexo al escrito del peticionario de 27 de febrero de 1998.</w:t>
      </w:r>
    </w:p>
  </w:footnote>
  <w:footnote w:id="78">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00203929">
        <w:rPr>
          <w:rFonts w:ascii="Cambria" w:hAnsi="Cambria"/>
          <w:sz w:val="16"/>
          <w:szCs w:val="16"/>
          <w:lang w:val="es-VE"/>
        </w:rPr>
        <w:t xml:space="preserve"> Anexo 4</w:t>
      </w:r>
      <w:r w:rsidR="00A5518A">
        <w:rPr>
          <w:rFonts w:ascii="Cambria" w:hAnsi="Cambria"/>
          <w:sz w:val="16"/>
          <w:szCs w:val="16"/>
          <w:lang w:val="es-VE"/>
        </w:rPr>
        <w:t>3</w:t>
      </w:r>
      <w:r w:rsidRPr="009A0E6B">
        <w:rPr>
          <w:rFonts w:ascii="Cambria" w:hAnsi="Cambria"/>
          <w:sz w:val="16"/>
          <w:szCs w:val="16"/>
          <w:lang w:val="es-VE"/>
        </w:rPr>
        <w:t xml:space="preserve">. </w:t>
      </w:r>
      <w:r w:rsidRPr="007E6A68">
        <w:rPr>
          <w:rFonts w:ascii="Cambria" w:hAnsi="Cambria"/>
          <w:sz w:val="16"/>
          <w:szCs w:val="16"/>
          <w:lang w:val="es-VE"/>
        </w:rPr>
        <w:t>Alegato escrito de Jo</w:t>
      </w:r>
      <w:r w:rsidR="007E6A68" w:rsidRPr="007E6A68">
        <w:rPr>
          <w:rFonts w:ascii="Cambria" w:hAnsi="Cambria"/>
          <w:sz w:val="16"/>
          <w:szCs w:val="16"/>
          <w:lang w:val="es-VE"/>
        </w:rPr>
        <w:t>s</w:t>
      </w:r>
      <w:r w:rsidR="007E6A68">
        <w:rPr>
          <w:rFonts w:ascii="Cambria" w:hAnsi="Cambria"/>
          <w:sz w:val="16"/>
          <w:szCs w:val="16"/>
          <w:lang w:val="es-VE"/>
        </w:rPr>
        <w:t xml:space="preserve">é Pablo Castro Mora. </w:t>
      </w:r>
      <w:r w:rsidRPr="00E93074">
        <w:rPr>
          <w:rFonts w:ascii="Cambria" w:hAnsi="Cambria"/>
          <w:sz w:val="16"/>
          <w:szCs w:val="16"/>
          <w:lang w:val="es-VE"/>
        </w:rPr>
        <w:t>Anexo al escrito del peticionario de 27 de febrero de 1998.</w:t>
      </w:r>
    </w:p>
  </w:footnote>
  <w:footnote w:id="79">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00203929">
        <w:rPr>
          <w:rFonts w:ascii="Cambria" w:hAnsi="Cambria"/>
          <w:sz w:val="16"/>
          <w:szCs w:val="16"/>
          <w:lang w:val="pt-BR"/>
        </w:rPr>
        <w:t xml:space="preserve"> </w:t>
      </w:r>
      <w:r w:rsidR="00203929">
        <w:rPr>
          <w:rFonts w:ascii="Cambria" w:hAnsi="Cambria"/>
          <w:sz w:val="16"/>
          <w:szCs w:val="16"/>
          <w:lang w:val="pt-BR"/>
        </w:rPr>
        <w:t>Anexo 4</w:t>
      </w:r>
      <w:r w:rsidR="00A5518A">
        <w:rPr>
          <w:rFonts w:ascii="Cambria" w:hAnsi="Cambria"/>
          <w:sz w:val="16"/>
          <w:szCs w:val="16"/>
          <w:lang w:val="pt-BR"/>
        </w:rPr>
        <w:t>3</w:t>
      </w:r>
      <w:r w:rsidRPr="00550E5A">
        <w:rPr>
          <w:rFonts w:ascii="Cambria" w:hAnsi="Cambria"/>
          <w:sz w:val="16"/>
          <w:szCs w:val="16"/>
          <w:lang w:val="pt-BR"/>
        </w:rPr>
        <w:t xml:space="preserve">. </w:t>
      </w:r>
      <w:r w:rsidRPr="00E93074">
        <w:rPr>
          <w:rFonts w:ascii="Cambria" w:hAnsi="Cambria"/>
          <w:sz w:val="16"/>
          <w:szCs w:val="16"/>
          <w:lang w:val="pt-BR"/>
        </w:rPr>
        <w:t>Alegato escrito de</w:t>
      </w:r>
      <w:r w:rsidR="007E6A68" w:rsidRPr="007E6A68">
        <w:rPr>
          <w:rFonts w:ascii="Cambria" w:hAnsi="Cambria"/>
          <w:sz w:val="16"/>
          <w:szCs w:val="16"/>
          <w:lang w:val="pt-BR"/>
        </w:rPr>
        <w:t xml:space="preserve"> José Pablo Castro Mora</w:t>
      </w:r>
      <w:r w:rsidRPr="00E93074">
        <w:rPr>
          <w:rFonts w:ascii="Cambria" w:hAnsi="Cambria"/>
          <w:sz w:val="16"/>
          <w:szCs w:val="16"/>
          <w:lang w:val="pt-BR"/>
        </w:rPr>
        <w:t xml:space="preserve">. </w:t>
      </w:r>
      <w:r w:rsidRPr="00E93074">
        <w:rPr>
          <w:rFonts w:ascii="Cambria" w:hAnsi="Cambria"/>
          <w:sz w:val="16"/>
          <w:szCs w:val="16"/>
          <w:lang w:val="es-VE"/>
        </w:rPr>
        <w:t>Anexo al escrito del peticionario de 27 de febrero de 1998.</w:t>
      </w:r>
    </w:p>
  </w:footnote>
  <w:footnote w:id="80">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00203929">
        <w:rPr>
          <w:rFonts w:ascii="Cambria" w:hAnsi="Cambria"/>
          <w:sz w:val="16"/>
          <w:szCs w:val="16"/>
          <w:lang w:val="pt-BR"/>
        </w:rPr>
        <w:t xml:space="preserve"> </w:t>
      </w:r>
      <w:r w:rsidR="00203929">
        <w:rPr>
          <w:rFonts w:ascii="Cambria" w:hAnsi="Cambria"/>
          <w:sz w:val="16"/>
          <w:szCs w:val="16"/>
          <w:lang w:val="pt-BR"/>
        </w:rPr>
        <w:t>Anexo 4</w:t>
      </w:r>
      <w:r w:rsidR="00A5518A">
        <w:rPr>
          <w:rFonts w:ascii="Cambria" w:hAnsi="Cambria"/>
          <w:sz w:val="16"/>
          <w:szCs w:val="16"/>
          <w:lang w:val="pt-BR"/>
        </w:rPr>
        <w:t>3</w:t>
      </w:r>
      <w:r w:rsidRPr="009A0E6B">
        <w:rPr>
          <w:rFonts w:ascii="Cambria" w:hAnsi="Cambria"/>
          <w:sz w:val="16"/>
          <w:szCs w:val="16"/>
          <w:lang w:val="pt-BR"/>
        </w:rPr>
        <w:t xml:space="preserve">. </w:t>
      </w:r>
      <w:r w:rsidRPr="00E93074">
        <w:rPr>
          <w:rFonts w:ascii="Cambria" w:hAnsi="Cambria"/>
          <w:sz w:val="16"/>
          <w:szCs w:val="16"/>
          <w:lang w:val="pt-BR"/>
        </w:rPr>
        <w:t xml:space="preserve">Alegato escrito de </w:t>
      </w:r>
      <w:r w:rsidR="007E6A68" w:rsidRPr="007E6A68">
        <w:rPr>
          <w:rFonts w:ascii="Cambria" w:hAnsi="Cambria"/>
          <w:sz w:val="16"/>
          <w:szCs w:val="16"/>
          <w:lang w:val="pt-BR"/>
        </w:rPr>
        <w:t>José Pablo Castro Mora</w:t>
      </w:r>
      <w:r w:rsidRPr="00E93074">
        <w:rPr>
          <w:rFonts w:ascii="Cambria" w:hAnsi="Cambria"/>
          <w:sz w:val="16"/>
          <w:szCs w:val="16"/>
          <w:lang w:val="pt-BR"/>
        </w:rPr>
        <w:t xml:space="preserve">. </w:t>
      </w:r>
      <w:r w:rsidRPr="00E93074">
        <w:rPr>
          <w:rFonts w:ascii="Cambria" w:hAnsi="Cambria"/>
          <w:sz w:val="16"/>
          <w:szCs w:val="16"/>
          <w:lang w:val="es-VE"/>
        </w:rPr>
        <w:t>Anexo al escrito del peticionario de 27 de febrero de 1998.</w:t>
      </w:r>
    </w:p>
  </w:footnote>
  <w:footnote w:id="81">
    <w:p w:rsidR="00B21A8E" w:rsidRPr="001A1424" w:rsidRDefault="00B21A8E" w:rsidP="00020991">
      <w:pPr>
        <w:pStyle w:val="FootnoteText"/>
        <w:ind w:firstLine="720"/>
        <w:jc w:val="both"/>
        <w:rPr>
          <w:rFonts w:ascii="Cambria" w:hAnsi="Cambria"/>
          <w:sz w:val="16"/>
          <w:szCs w:val="16"/>
          <w:lang w:val="es-VE"/>
        </w:rPr>
      </w:pPr>
      <w:r w:rsidRPr="001A1424">
        <w:rPr>
          <w:rStyle w:val="FootnoteReference"/>
          <w:rFonts w:ascii="Cambria" w:hAnsi="Cambria"/>
          <w:sz w:val="16"/>
          <w:szCs w:val="16"/>
        </w:rPr>
        <w:footnoteRef/>
      </w:r>
      <w:r w:rsidR="00A5518A">
        <w:rPr>
          <w:rFonts w:ascii="Cambria" w:hAnsi="Cambria"/>
          <w:sz w:val="16"/>
          <w:szCs w:val="16"/>
          <w:lang w:val="es-VE"/>
        </w:rPr>
        <w:t xml:space="preserve"> Anexo 44</w:t>
      </w:r>
      <w:r w:rsidRPr="001A1424">
        <w:rPr>
          <w:rFonts w:ascii="Cambria" w:hAnsi="Cambria"/>
          <w:sz w:val="16"/>
          <w:szCs w:val="16"/>
          <w:lang w:val="es-VE"/>
        </w:rPr>
        <w:t>. Escrito de acusación del Fiscal Superior de San Martín de 3 de noviembre de 1995.Anexo al escrito del Estado de 15 de enero de 2008.</w:t>
      </w:r>
    </w:p>
  </w:footnote>
  <w:footnote w:id="82">
    <w:p w:rsidR="00B21A8E" w:rsidRPr="00592E4F" w:rsidRDefault="00B21A8E" w:rsidP="00020991">
      <w:pPr>
        <w:pStyle w:val="FootnoteText"/>
        <w:ind w:firstLine="720"/>
        <w:jc w:val="both"/>
        <w:rPr>
          <w:rFonts w:ascii="Cambria" w:hAnsi="Cambria"/>
          <w:sz w:val="16"/>
          <w:szCs w:val="16"/>
          <w:lang w:val="es-VE"/>
        </w:rPr>
      </w:pPr>
      <w:r w:rsidRPr="00592E4F">
        <w:rPr>
          <w:rStyle w:val="FootnoteReference"/>
          <w:rFonts w:ascii="Cambria" w:hAnsi="Cambria"/>
          <w:sz w:val="16"/>
          <w:szCs w:val="16"/>
        </w:rPr>
        <w:footnoteRef/>
      </w:r>
      <w:r>
        <w:rPr>
          <w:rFonts w:ascii="Cambria" w:hAnsi="Cambria"/>
          <w:sz w:val="16"/>
          <w:szCs w:val="16"/>
          <w:lang w:val="es-VE"/>
        </w:rPr>
        <w:t xml:space="preserve"> </w:t>
      </w:r>
      <w:r w:rsidRPr="00592E4F">
        <w:rPr>
          <w:rFonts w:ascii="Cambria" w:hAnsi="Cambria"/>
          <w:sz w:val="16"/>
          <w:szCs w:val="16"/>
          <w:lang w:val="es-VE"/>
        </w:rPr>
        <w:t>Escrito de observaciones del Estado de 15 de octubre de 2012.</w:t>
      </w:r>
    </w:p>
  </w:footnote>
  <w:footnote w:id="83">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00A5518A">
        <w:rPr>
          <w:rFonts w:ascii="Cambria" w:hAnsi="Cambria"/>
          <w:sz w:val="16"/>
          <w:szCs w:val="16"/>
          <w:lang w:val="es-VE"/>
        </w:rPr>
        <w:t xml:space="preserve"> Anexo 45</w:t>
      </w:r>
      <w:r w:rsidRPr="00E93074">
        <w:rPr>
          <w:rFonts w:ascii="Cambria" w:hAnsi="Cambria"/>
          <w:sz w:val="16"/>
          <w:szCs w:val="16"/>
          <w:lang w:val="es-VE"/>
        </w:rPr>
        <w:t xml:space="preserve">. Solicitud de libertad </w:t>
      </w:r>
      <w:r>
        <w:rPr>
          <w:rFonts w:ascii="Cambria" w:hAnsi="Cambria"/>
          <w:sz w:val="16"/>
          <w:szCs w:val="16"/>
          <w:lang w:val="es-VE"/>
        </w:rPr>
        <w:t>in</w:t>
      </w:r>
      <w:r w:rsidRPr="00E93074">
        <w:rPr>
          <w:rFonts w:ascii="Cambria" w:hAnsi="Cambria"/>
          <w:sz w:val="16"/>
          <w:szCs w:val="16"/>
          <w:lang w:val="es-VE"/>
        </w:rPr>
        <w:t>condicional de Jorge Enrique Rosadio Villavicencio y otros. Anexo a observaciones del Estado presentadas el 11 de julio de 2003.</w:t>
      </w:r>
    </w:p>
  </w:footnote>
  <w:footnote w:id="84">
    <w:p w:rsidR="00B21A8E" w:rsidRPr="00B910C5" w:rsidRDefault="00B21A8E" w:rsidP="00020991">
      <w:pPr>
        <w:pStyle w:val="FootnoteText"/>
        <w:ind w:firstLine="720"/>
        <w:jc w:val="both"/>
        <w:rPr>
          <w:rFonts w:asciiTheme="majorHAnsi" w:hAnsiTheme="majorHAnsi"/>
          <w:sz w:val="16"/>
          <w:szCs w:val="16"/>
          <w:lang w:val="es-VE"/>
        </w:rPr>
      </w:pPr>
      <w:r w:rsidRPr="00B910C5">
        <w:rPr>
          <w:rStyle w:val="FootnoteReference"/>
          <w:rFonts w:asciiTheme="majorHAnsi" w:hAnsiTheme="majorHAnsi"/>
          <w:sz w:val="16"/>
          <w:szCs w:val="16"/>
        </w:rPr>
        <w:footnoteRef/>
      </w:r>
      <w:r w:rsidRPr="00B910C5">
        <w:rPr>
          <w:rFonts w:asciiTheme="majorHAnsi" w:hAnsiTheme="majorHAnsi"/>
          <w:sz w:val="16"/>
          <w:szCs w:val="16"/>
          <w:lang w:val="es-VE"/>
        </w:rPr>
        <w:t xml:space="preserve"> </w:t>
      </w:r>
      <w:hyperlink r:id="rId2" w:history="1">
        <w:r w:rsidRPr="00377A59">
          <w:rPr>
            <w:rStyle w:val="Hyperlink"/>
            <w:rFonts w:asciiTheme="majorHAnsi" w:hAnsiTheme="majorHAnsi"/>
            <w:sz w:val="16"/>
            <w:szCs w:val="16"/>
            <w:lang w:val="es-VE"/>
          </w:rPr>
          <w:t>Artículo 201 del Código de Procedimientos Penales</w:t>
        </w:r>
      </w:hyperlink>
      <w:r>
        <w:rPr>
          <w:rFonts w:asciiTheme="majorHAnsi" w:hAnsiTheme="majorHAnsi"/>
          <w:sz w:val="16"/>
          <w:szCs w:val="16"/>
          <w:lang w:val="es-VE"/>
        </w:rPr>
        <w:t>.</w:t>
      </w:r>
    </w:p>
  </w:footnote>
  <w:footnote w:id="85">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00A5518A">
        <w:rPr>
          <w:rFonts w:ascii="Cambria" w:hAnsi="Cambria"/>
          <w:sz w:val="16"/>
          <w:szCs w:val="16"/>
          <w:lang w:val="es-VE"/>
        </w:rPr>
        <w:t xml:space="preserve"> Anexo 46</w:t>
      </w:r>
      <w:r>
        <w:rPr>
          <w:rFonts w:ascii="Cambria" w:hAnsi="Cambria"/>
          <w:sz w:val="16"/>
          <w:szCs w:val="16"/>
          <w:lang w:val="es-VE"/>
        </w:rPr>
        <w:t xml:space="preserve">. </w:t>
      </w:r>
      <w:r w:rsidRPr="00E93074">
        <w:rPr>
          <w:rFonts w:ascii="Cambria" w:hAnsi="Cambria"/>
          <w:sz w:val="16"/>
          <w:szCs w:val="16"/>
          <w:lang w:val="es-VE"/>
        </w:rPr>
        <w:t>Decisión del Juez de Primera Instancia Mixto de 9 de febrero de 1995. Anexo a observaciones del Estado presentadas el 11 de julio de 2003.</w:t>
      </w:r>
    </w:p>
  </w:footnote>
  <w:footnote w:id="86">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00A5518A">
        <w:rPr>
          <w:rFonts w:ascii="Cambria" w:hAnsi="Cambria"/>
          <w:sz w:val="16"/>
          <w:szCs w:val="16"/>
          <w:lang w:val="es-VE"/>
        </w:rPr>
        <w:t xml:space="preserve"> Anexo 47</w:t>
      </w:r>
      <w:r w:rsidRPr="00E93074">
        <w:rPr>
          <w:rFonts w:ascii="Cambria" w:hAnsi="Cambria"/>
          <w:sz w:val="16"/>
          <w:szCs w:val="16"/>
          <w:lang w:val="es-VE"/>
        </w:rPr>
        <w:t>. Recurso de apelación planteado por Jorge Enrique Rosadio Villavicencio y otros. Anexo a observaciones del Estado presentadas el 11 de julio de 2003.</w:t>
      </w:r>
    </w:p>
  </w:footnote>
  <w:footnote w:id="87">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00A5518A">
        <w:rPr>
          <w:rFonts w:ascii="Cambria" w:hAnsi="Cambria"/>
          <w:sz w:val="16"/>
          <w:szCs w:val="16"/>
          <w:lang w:val="es-VE"/>
        </w:rPr>
        <w:t xml:space="preserve"> Anexo 48</w:t>
      </w:r>
      <w:r w:rsidRPr="00E93074">
        <w:rPr>
          <w:rFonts w:ascii="Cambria" w:hAnsi="Cambria"/>
          <w:sz w:val="16"/>
          <w:szCs w:val="16"/>
          <w:lang w:val="es-VE"/>
        </w:rPr>
        <w:t xml:space="preserve">. Opinión del Fiscal Superior de San Martín de 10 de marzo de 1995. Anexo a escrito de observaciones de 8 de septiembre de 2011. </w:t>
      </w:r>
    </w:p>
  </w:footnote>
  <w:footnote w:id="88">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00A5518A">
        <w:rPr>
          <w:rFonts w:ascii="Cambria" w:hAnsi="Cambria"/>
          <w:sz w:val="16"/>
          <w:szCs w:val="16"/>
          <w:lang w:val="es-VE"/>
        </w:rPr>
        <w:t xml:space="preserve"> Anexo 49</w:t>
      </w:r>
      <w:r w:rsidRPr="00E93074">
        <w:rPr>
          <w:rFonts w:ascii="Cambria" w:hAnsi="Cambria"/>
          <w:sz w:val="16"/>
          <w:szCs w:val="16"/>
          <w:lang w:val="es-VE"/>
        </w:rPr>
        <w:t>. Decisión que resuelve recurso de apelación de la Corte Suprema de Justicia de San Martín</w:t>
      </w:r>
      <w:r>
        <w:rPr>
          <w:rFonts w:ascii="Cambria" w:hAnsi="Cambria"/>
          <w:sz w:val="16"/>
          <w:szCs w:val="16"/>
          <w:lang w:val="es-VE"/>
        </w:rPr>
        <w:t xml:space="preserve"> de </w:t>
      </w:r>
      <w:r w:rsidRPr="00E93074">
        <w:rPr>
          <w:rFonts w:ascii="Cambria" w:hAnsi="Cambria"/>
          <w:sz w:val="16"/>
          <w:szCs w:val="16"/>
          <w:lang w:val="es-VE"/>
        </w:rPr>
        <w:t>24 de abril de 1995. Anexo a observaciones del Estado presentadas el 11 de julio de 2003.</w:t>
      </w:r>
    </w:p>
  </w:footnote>
  <w:footnote w:id="89">
    <w:p w:rsidR="00B21A8E" w:rsidRPr="00B00D24" w:rsidRDefault="00B21A8E" w:rsidP="00020991">
      <w:pPr>
        <w:pStyle w:val="FootnoteText"/>
        <w:ind w:firstLine="720"/>
        <w:jc w:val="both"/>
        <w:rPr>
          <w:rFonts w:asciiTheme="majorHAnsi" w:hAnsiTheme="majorHAnsi"/>
          <w:sz w:val="16"/>
          <w:szCs w:val="16"/>
          <w:lang w:val="es-VE"/>
        </w:rPr>
      </w:pPr>
      <w:r w:rsidRPr="00B00D24">
        <w:rPr>
          <w:rStyle w:val="FootnoteReference"/>
          <w:rFonts w:asciiTheme="majorHAnsi" w:hAnsiTheme="majorHAnsi"/>
          <w:sz w:val="16"/>
          <w:szCs w:val="16"/>
        </w:rPr>
        <w:footnoteRef/>
      </w:r>
      <w:r w:rsidRPr="00B00D24">
        <w:rPr>
          <w:rFonts w:asciiTheme="majorHAnsi" w:hAnsiTheme="majorHAnsi"/>
          <w:sz w:val="16"/>
          <w:szCs w:val="16"/>
          <w:lang w:val="es-VE"/>
        </w:rPr>
        <w:t xml:space="preserve"> Artículo 135 del Código Procesal Penal, Decreto Legislativo No. 638 de 25 de abril de 1991.  </w:t>
      </w:r>
    </w:p>
  </w:footnote>
  <w:footnote w:id="90">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Pr="00E93074">
        <w:rPr>
          <w:rFonts w:ascii="Cambria" w:hAnsi="Cambria"/>
          <w:sz w:val="16"/>
          <w:szCs w:val="16"/>
          <w:lang w:val="es-VE"/>
        </w:rPr>
        <w:t xml:space="preserve"> Anexo </w:t>
      </w:r>
      <w:r w:rsidR="00A5518A">
        <w:rPr>
          <w:rFonts w:ascii="Cambria" w:hAnsi="Cambria"/>
          <w:sz w:val="16"/>
          <w:szCs w:val="16"/>
          <w:lang w:val="es-VE"/>
        </w:rPr>
        <w:t>49</w:t>
      </w:r>
      <w:r w:rsidRPr="00E93074">
        <w:rPr>
          <w:rFonts w:ascii="Cambria" w:hAnsi="Cambria"/>
          <w:sz w:val="16"/>
          <w:szCs w:val="16"/>
          <w:lang w:val="es-VE"/>
        </w:rPr>
        <w:t>. Decisión que resuelve recurso de apelación de la Corte Suprema de Justicia de San Martín</w:t>
      </w:r>
      <w:r>
        <w:rPr>
          <w:rFonts w:ascii="Cambria" w:hAnsi="Cambria"/>
          <w:sz w:val="16"/>
          <w:szCs w:val="16"/>
          <w:lang w:val="es-VE"/>
        </w:rPr>
        <w:t xml:space="preserve"> de </w:t>
      </w:r>
      <w:r w:rsidRPr="00E93074">
        <w:rPr>
          <w:rFonts w:ascii="Cambria" w:hAnsi="Cambria"/>
          <w:sz w:val="16"/>
          <w:szCs w:val="16"/>
          <w:lang w:val="es-VE"/>
        </w:rPr>
        <w:t>24 de abril de 1995. Anexo a observaciones del Estado presentadas el 11 de julio de 2003.</w:t>
      </w:r>
    </w:p>
  </w:footnote>
  <w:footnote w:id="91">
    <w:p w:rsidR="00B21A8E" w:rsidRPr="0058282C" w:rsidRDefault="00B21A8E" w:rsidP="00020991">
      <w:pPr>
        <w:pStyle w:val="FootnoteText"/>
        <w:ind w:firstLine="720"/>
        <w:jc w:val="both"/>
        <w:rPr>
          <w:rFonts w:asciiTheme="majorHAnsi" w:hAnsiTheme="majorHAnsi"/>
          <w:sz w:val="16"/>
          <w:szCs w:val="16"/>
          <w:lang w:val="es-VE"/>
        </w:rPr>
      </w:pPr>
      <w:r w:rsidRPr="0058282C">
        <w:rPr>
          <w:rStyle w:val="FootnoteReference"/>
          <w:rFonts w:asciiTheme="majorHAnsi" w:hAnsiTheme="majorHAnsi"/>
          <w:sz w:val="16"/>
          <w:szCs w:val="16"/>
        </w:rPr>
        <w:footnoteRef/>
      </w:r>
      <w:r w:rsidR="00A5518A">
        <w:rPr>
          <w:rFonts w:asciiTheme="majorHAnsi" w:hAnsiTheme="majorHAnsi"/>
          <w:sz w:val="16"/>
          <w:szCs w:val="16"/>
          <w:lang w:val="es-VE"/>
        </w:rPr>
        <w:t xml:space="preserve"> Anexo 50</w:t>
      </w:r>
      <w:r w:rsidRPr="0058282C">
        <w:rPr>
          <w:rFonts w:asciiTheme="majorHAnsi" w:hAnsiTheme="majorHAnsi"/>
          <w:sz w:val="16"/>
          <w:szCs w:val="16"/>
          <w:lang w:val="es-VE"/>
        </w:rPr>
        <w:t xml:space="preserve">. Oficio Dirigido al Comandante General del Destacamento Leoncio Prado de 23 de septiembre de 1994. Anexo al escrito de observaciones del peticionario de 27 </w:t>
      </w:r>
      <w:bookmarkStart w:id="41" w:name="_GoBack"/>
      <w:bookmarkEnd w:id="41"/>
      <w:r w:rsidRPr="0058282C">
        <w:rPr>
          <w:rFonts w:asciiTheme="majorHAnsi" w:hAnsiTheme="majorHAnsi"/>
          <w:sz w:val="16"/>
          <w:szCs w:val="16"/>
          <w:lang w:val="es-VE"/>
        </w:rPr>
        <w:t>de febrero de 1998.</w:t>
      </w:r>
    </w:p>
  </w:footnote>
  <w:footnote w:id="92">
    <w:p w:rsidR="00B21A8E" w:rsidRPr="00E93074" w:rsidRDefault="00B21A8E" w:rsidP="00020991">
      <w:pPr>
        <w:pStyle w:val="FootnoteText"/>
        <w:ind w:firstLine="720"/>
        <w:jc w:val="both"/>
        <w:rPr>
          <w:rFonts w:ascii="Cambria" w:hAnsi="Cambria"/>
          <w:sz w:val="16"/>
          <w:szCs w:val="16"/>
          <w:lang w:val="es-VE"/>
        </w:rPr>
      </w:pPr>
      <w:r w:rsidRPr="00E93074">
        <w:rPr>
          <w:rStyle w:val="FootnoteReference"/>
          <w:rFonts w:ascii="Cambria" w:hAnsi="Cambria"/>
          <w:sz w:val="16"/>
          <w:szCs w:val="16"/>
        </w:rPr>
        <w:footnoteRef/>
      </w:r>
      <w:r w:rsidR="00A5518A">
        <w:rPr>
          <w:rFonts w:ascii="Cambria" w:hAnsi="Cambria"/>
          <w:sz w:val="16"/>
          <w:szCs w:val="16"/>
          <w:lang w:val="es-VE"/>
        </w:rPr>
        <w:t xml:space="preserve"> Anexo 51</w:t>
      </w:r>
      <w:r w:rsidRPr="00E93074">
        <w:rPr>
          <w:rFonts w:ascii="Cambria" w:hAnsi="Cambria"/>
          <w:sz w:val="16"/>
          <w:szCs w:val="16"/>
          <w:lang w:val="es-VE"/>
        </w:rPr>
        <w:t xml:space="preserve">. Decisión del Juez Militar Permanente de 9 de agosto de 1995. Anexo al escrito del Estado de 9 de abril de 2013. </w:t>
      </w:r>
    </w:p>
  </w:footnote>
  <w:footnote w:id="93">
    <w:p w:rsidR="00B21A8E" w:rsidRPr="00263D92" w:rsidRDefault="00B21A8E" w:rsidP="00DE1989">
      <w:pPr>
        <w:pStyle w:val="Default"/>
        <w:spacing w:after="120"/>
        <w:ind w:firstLine="720"/>
        <w:jc w:val="both"/>
        <w:rPr>
          <w:rFonts w:asciiTheme="majorHAnsi" w:hAnsiTheme="majorHAnsi"/>
          <w:color w:val="auto"/>
          <w:sz w:val="16"/>
          <w:szCs w:val="16"/>
          <w:lang w:val="es-ES"/>
        </w:rPr>
      </w:pPr>
      <w:r w:rsidRPr="00263D92">
        <w:rPr>
          <w:rStyle w:val="FootnoteReference"/>
          <w:rFonts w:asciiTheme="majorHAnsi" w:eastAsiaTheme="majorEastAsia" w:hAnsiTheme="majorHAnsi"/>
          <w:color w:val="auto"/>
          <w:sz w:val="16"/>
          <w:szCs w:val="16"/>
          <w:lang w:val="es-ES"/>
        </w:rPr>
        <w:footnoteRef/>
      </w:r>
      <w:r w:rsidRPr="00263D92">
        <w:rPr>
          <w:rFonts w:asciiTheme="majorHAnsi" w:hAnsiTheme="majorHAnsi"/>
          <w:color w:val="auto"/>
          <w:sz w:val="16"/>
          <w:szCs w:val="16"/>
          <w:lang w:val="es-ES"/>
        </w:rPr>
        <w:t xml:space="preserve">CIDH, Informe No. 38/16, Caso 12.768, Fondo, Omar Francisco Canales </w:t>
      </w:r>
      <w:proofErr w:type="spellStart"/>
      <w:r w:rsidRPr="00263D92">
        <w:rPr>
          <w:rFonts w:asciiTheme="majorHAnsi" w:hAnsiTheme="majorHAnsi"/>
          <w:color w:val="auto"/>
          <w:sz w:val="16"/>
          <w:szCs w:val="16"/>
          <w:lang w:val="es-ES"/>
        </w:rPr>
        <w:t>Ciliezar</w:t>
      </w:r>
      <w:proofErr w:type="spellEnd"/>
      <w:r w:rsidRPr="00263D92">
        <w:rPr>
          <w:rFonts w:asciiTheme="majorHAnsi" w:hAnsiTheme="majorHAnsi"/>
          <w:color w:val="auto"/>
          <w:sz w:val="16"/>
          <w:szCs w:val="16"/>
          <w:lang w:val="es-ES"/>
        </w:rPr>
        <w:t xml:space="preserve">, Honduras, 31 de agosto de 2016, párr.43; </w:t>
      </w:r>
      <w:r w:rsidRPr="00263D92">
        <w:rPr>
          <w:rFonts w:asciiTheme="majorHAnsi" w:hAnsiTheme="majorHAnsi"/>
          <w:color w:val="auto"/>
          <w:sz w:val="16"/>
          <w:szCs w:val="16"/>
          <w:lang w:val="es-VE"/>
        </w:rPr>
        <w:t xml:space="preserve"> </w:t>
      </w:r>
      <w:r w:rsidRPr="00263D92">
        <w:rPr>
          <w:rFonts w:asciiTheme="majorHAnsi" w:hAnsiTheme="majorHAnsi"/>
          <w:sz w:val="16"/>
          <w:szCs w:val="16"/>
          <w:lang w:val="es-VE"/>
        </w:rPr>
        <w:t xml:space="preserve">Corte IDH. Caso </w:t>
      </w:r>
      <w:proofErr w:type="spellStart"/>
      <w:r w:rsidRPr="00263D92">
        <w:rPr>
          <w:rFonts w:asciiTheme="majorHAnsi" w:hAnsiTheme="majorHAnsi"/>
          <w:sz w:val="16"/>
          <w:szCs w:val="16"/>
          <w:lang w:val="es-VE"/>
        </w:rPr>
        <w:t>Genie</w:t>
      </w:r>
      <w:proofErr w:type="spellEnd"/>
      <w:r w:rsidRPr="00263D92">
        <w:rPr>
          <w:rFonts w:asciiTheme="majorHAnsi" w:hAnsiTheme="majorHAnsi"/>
          <w:sz w:val="16"/>
          <w:szCs w:val="16"/>
          <w:lang w:val="es-VE"/>
        </w:rPr>
        <w:t xml:space="preserve"> Lacayo Vs. </w:t>
      </w:r>
      <w:r w:rsidRPr="00263D92">
        <w:rPr>
          <w:rFonts w:asciiTheme="majorHAnsi" w:hAnsiTheme="majorHAnsi"/>
          <w:sz w:val="16"/>
          <w:szCs w:val="16"/>
          <w:lang w:val="es-ES"/>
        </w:rPr>
        <w:t>Nicaragua. Sentencia de 29 de enero de 1997. Serie C No. 30</w:t>
      </w:r>
      <w:r w:rsidRPr="00263D92">
        <w:rPr>
          <w:rFonts w:asciiTheme="majorHAnsi" w:hAnsiTheme="majorHAnsi"/>
          <w:color w:val="auto"/>
          <w:sz w:val="16"/>
          <w:szCs w:val="16"/>
          <w:lang w:val="es-ES"/>
        </w:rPr>
        <w:t xml:space="preserve">, párr. 74; Corte IDH. </w:t>
      </w:r>
      <w:r w:rsidRPr="00263D92">
        <w:rPr>
          <w:rFonts w:asciiTheme="majorHAnsi" w:hAnsiTheme="majorHAnsi"/>
          <w:bCs/>
          <w:color w:val="auto"/>
          <w:sz w:val="16"/>
          <w:szCs w:val="16"/>
          <w:lang w:val="es-ES"/>
        </w:rPr>
        <w:t xml:space="preserve">Caso Claude Reyes y otros Vs. Chile. </w:t>
      </w:r>
      <w:r w:rsidRPr="00263D92">
        <w:rPr>
          <w:rFonts w:asciiTheme="majorHAnsi" w:hAnsiTheme="majorHAnsi"/>
          <w:color w:val="auto"/>
          <w:sz w:val="16"/>
          <w:szCs w:val="16"/>
          <w:lang w:val="es-ES"/>
        </w:rPr>
        <w:t xml:space="preserve">Sentencia de 19 de septiembre de 2006. Serie C No. 151, párr. 116; y Corte IDH. </w:t>
      </w:r>
      <w:r w:rsidRPr="00263D92">
        <w:rPr>
          <w:rFonts w:asciiTheme="majorHAnsi" w:hAnsiTheme="majorHAnsi"/>
          <w:bCs/>
          <w:color w:val="auto"/>
          <w:sz w:val="16"/>
          <w:szCs w:val="16"/>
          <w:lang w:val="es-ES"/>
        </w:rPr>
        <w:t xml:space="preserve">Garantías Judiciales en Estados de Emergencia (arts. 27.2, 25 y 8 Convención Americana sobre Derechos Humanos). Opinión Consultiva OC-9/87. 6 de octubre de 1987. </w:t>
      </w:r>
      <w:r w:rsidRPr="00263D92">
        <w:rPr>
          <w:rFonts w:asciiTheme="majorHAnsi" w:hAnsiTheme="majorHAnsi"/>
          <w:color w:val="auto"/>
          <w:sz w:val="16"/>
          <w:szCs w:val="16"/>
          <w:lang w:val="es-ES"/>
        </w:rPr>
        <w:t xml:space="preserve">Serie A No. 9, párr. 27.  </w:t>
      </w:r>
    </w:p>
  </w:footnote>
  <w:footnote w:id="94">
    <w:p w:rsidR="00B21A8E" w:rsidRPr="00263D92" w:rsidRDefault="00B21A8E">
      <w:pPr>
        <w:pStyle w:val="FootnoteText"/>
        <w:spacing w:before="120"/>
        <w:ind w:firstLine="720"/>
        <w:jc w:val="both"/>
        <w:rPr>
          <w:rFonts w:asciiTheme="majorHAnsi" w:hAnsiTheme="majorHAnsi"/>
          <w:sz w:val="16"/>
          <w:szCs w:val="16"/>
          <w:lang w:val="es-ES"/>
        </w:rPr>
      </w:pPr>
      <w:r w:rsidRPr="00263D92">
        <w:rPr>
          <w:rStyle w:val="FootnoteReference"/>
          <w:rFonts w:asciiTheme="majorHAnsi" w:hAnsiTheme="majorHAnsi"/>
          <w:sz w:val="16"/>
          <w:szCs w:val="16"/>
        </w:rPr>
        <w:footnoteRef/>
      </w:r>
      <w:r w:rsidRPr="00263D92">
        <w:rPr>
          <w:rFonts w:asciiTheme="majorHAnsi" w:hAnsiTheme="majorHAnsi"/>
          <w:sz w:val="16"/>
          <w:szCs w:val="16"/>
          <w:lang w:val="es-ES"/>
        </w:rPr>
        <w:t xml:space="preserve"> CIDH, Informe No. 65/11, Caso 12.600, Fondo, Hugo Quintana Coello y otros “Magistrados de la Corte Suprema de Justicia”, Ecuador, 3</w:t>
      </w:r>
      <w:r>
        <w:rPr>
          <w:rFonts w:asciiTheme="majorHAnsi" w:hAnsiTheme="majorHAnsi"/>
          <w:sz w:val="16"/>
          <w:szCs w:val="16"/>
          <w:lang w:val="es-ES"/>
        </w:rPr>
        <w:t xml:space="preserve">1 de marzo de 2011, párr. 102; </w:t>
      </w:r>
      <w:r w:rsidRPr="00263D92">
        <w:rPr>
          <w:rFonts w:asciiTheme="majorHAnsi" w:hAnsiTheme="majorHAnsi"/>
          <w:sz w:val="16"/>
          <w:szCs w:val="16"/>
          <w:lang w:val="es-ES"/>
        </w:rPr>
        <w:t xml:space="preserve">Corte IDH. </w:t>
      </w:r>
      <w:hyperlink r:id="rId3" w:history="1">
        <w:r w:rsidRPr="00263D92">
          <w:rPr>
            <w:rStyle w:val="Hyperlink"/>
            <w:rFonts w:asciiTheme="majorHAnsi" w:hAnsiTheme="majorHAnsi" w:cs="Arial"/>
            <w:color w:val="auto"/>
            <w:sz w:val="16"/>
            <w:szCs w:val="16"/>
            <w:u w:val="none"/>
            <w:shd w:val="clear" w:color="auto" w:fill="FFFFFF"/>
            <w:lang w:val="es-ES"/>
          </w:rPr>
          <w:t>Caso Baena Ricardo y otros Vs. Panamá. Fondo, Reparaciones y Costas. Sentencia de 2 de febrero de 2001. Serie C No. 72</w:t>
        </w:r>
      </w:hyperlink>
      <w:r w:rsidRPr="00263D92">
        <w:rPr>
          <w:rFonts w:asciiTheme="majorHAnsi" w:hAnsiTheme="majorHAnsi"/>
          <w:sz w:val="16"/>
          <w:szCs w:val="16"/>
          <w:lang w:val="es-ES"/>
        </w:rPr>
        <w:t xml:space="preserve">, párrs. 126-127; </w:t>
      </w:r>
      <w:hyperlink r:id="rId4" w:history="1">
        <w:r w:rsidRPr="00263D92">
          <w:rPr>
            <w:rStyle w:val="Hyperlink"/>
            <w:rFonts w:asciiTheme="majorHAnsi" w:hAnsiTheme="majorHAnsi" w:cs="Arial"/>
            <w:color w:val="auto"/>
            <w:sz w:val="16"/>
            <w:szCs w:val="16"/>
            <w:u w:val="none"/>
            <w:shd w:val="clear" w:color="auto" w:fill="FFFFFF"/>
            <w:lang w:val="es-ES"/>
          </w:rPr>
          <w:t>Caso del Tribunal Constitucional Vs. Perú. Fondo, Reparaciones y Costas. Sentencia de 31 de enero de 2001. Serie C No. 71</w:t>
        </w:r>
      </w:hyperlink>
      <w:r w:rsidRPr="00263D92">
        <w:rPr>
          <w:rFonts w:asciiTheme="majorHAnsi" w:hAnsiTheme="majorHAnsi"/>
          <w:sz w:val="16"/>
          <w:szCs w:val="16"/>
          <w:lang w:val="es-ES"/>
        </w:rPr>
        <w:t xml:space="preserve">, párrs. 69-70; y </w:t>
      </w:r>
      <w:hyperlink r:id="rId5" w:history="1">
        <w:r w:rsidRPr="00263D92">
          <w:rPr>
            <w:rStyle w:val="Hyperlink"/>
            <w:rFonts w:asciiTheme="majorHAnsi" w:hAnsiTheme="majorHAnsi" w:cs="Arial"/>
            <w:color w:val="auto"/>
            <w:sz w:val="16"/>
            <w:szCs w:val="16"/>
            <w:u w:val="none"/>
            <w:shd w:val="clear" w:color="auto" w:fill="FFFFFF"/>
            <w:lang w:val="es-ES"/>
          </w:rPr>
          <w:t>Caso López Mendoza Vs. Venezuela. Fondo Reparaciones y Costas. Sentencia de 1 de septiembre de 2011 Serie C No. 233</w:t>
        </w:r>
      </w:hyperlink>
      <w:r w:rsidRPr="00263D92">
        <w:rPr>
          <w:rFonts w:asciiTheme="majorHAnsi" w:hAnsiTheme="majorHAnsi"/>
          <w:sz w:val="16"/>
          <w:szCs w:val="16"/>
          <w:lang w:val="es-ES"/>
        </w:rPr>
        <w:t xml:space="preserve">, párr. 111. </w:t>
      </w:r>
    </w:p>
  </w:footnote>
  <w:footnote w:id="95">
    <w:p w:rsidR="00B21A8E" w:rsidRPr="008C6661" w:rsidRDefault="00B21A8E">
      <w:pPr>
        <w:pStyle w:val="FootnoteText"/>
        <w:spacing w:before="120"/>
        <w:ind w:firstLine="720"/>
        <w:jc w:val="both"/>
        <w:rPr>
          <w:rFonts w:asciiTheme="majorHAnsi" w:hAnsiTheme="majorHAnsi"/>
          <w:sz w:val="16"/>
          <w:szCs w:val="16"/>
          <w:lang w:val="es-ES"/>
        </w:rPr>
      </w:pPr>
      <w:r w:rsidRPr="00263D92">
        <w:rPr>
          <w:rStyle w:val="FootnoteReference"/>
          <w:rFonts w:asciiTheme="majorHAnsi" w:hAnsiTheme="majorHAnsi"/>
          <w:sz w:val="16"/>
          <w:szCs w:val="16"/>
        </w:rPr>
        <w:footnoteRef/>
      </w:r>
      <w:r w:rsidRPr="00263D92">
        <w:rPr>
          <w:rFonts w:asciiTheme="majorHAnsi" w:hAnsiTheme="majorHAnsi"/>
          <w:sz w:val="16"/>
          <w:szCs w:val="16"/>
          <w:lang w:val="es-ES"/>
        </w:rPr>
        <w:t xml:space="preserve"> CIDH. El Acceso a la Justicia como Garantía de los Derechos Económicos, Sociales y Culturales. Estudio de los Estándares Fijados por el Sistema Interamericano de Derechos Humanos. </w:t>
      </w:r>
      <w:r w:rsidRPr="00263D92">
        <w:rPr>
          <w:rFonts w:asciiTheme="majorHAnsi" w:hAnsiTheme="majorHAnsi"/>
          <w:sz w:val="16"/>
          <w:szCs w:val="16"/>
          <w:lang w:val="es-ES_tradnl"/>
        </w:rPr>
        <w:t>OEA/</w:t>
      </w:r>
      <w:proofErr w:type="spellStart"/>
      <w:r w:rsidRPr="00263D92">
        <w:rPr>
          <w:rFonts w:asciiTheme="majorHAnsi" w:hAnsiTheme="majorHAnsi"/>
          <w:sz w:val="16"/>
          <w:szCs w:val="16"/>
          <w:lang w:val="es-ES_tradnl"/>
        </w:rPr>
        <w:t>Ser.L</w:t>
      </w:r>
      <w:proofErr w:type="spellEnd"/>
      <w:r w:rsidRPr="00263D92">
        <w:rPr>
          <w:rFonts w:asciiTheme="majorHAnsi" w:hAnsiTheme="majorHAnsi"/>
          <w:sz w:val="16"/>
          <w:szCs w:val="16"/>
          <w:lang w:val="es-ES_tradnl"/>
        </w:rPr>
        <w:t xml:space="preserve">/V/II.129. 7 de septiembre de 2007, </w:t>
      </w:r>
      <w:proofErr w:type="spellStart"/>
      <w:r w:rsidRPr="00263D92">
        <w:rPr>
          <w:rFonts w:asciiTheme="majorHAnsi" w:hAnsiTheme="majorHAnsi"/>
          <w:sz w:val="16"/>
          <w:szCs w:val="16"/>
          <w:lang w:val="es-ES_tradnl"/>
        </w:rPr>
        <w:t>párrs</w:t>
      </w:r>
      <w:proofErr w:type="spellEnd"/>
      <w:r w:rsidRPr="00263D92">
        <w:rPr>
          <w:rFonts w:asciiTheme="majorHAnsi" w:hAnsiTheme="majorHAnsi"/>
          <w:sz w:val="16"/>
          <w:szCs w:val="16"/>
          <w:lang w:val="es-ES_tradnl"/>
        </w:rPr>
        <w:t xml:space="preserve">. 98-123; y Caso No. 12.828, Informe 112/12, Marcel </w:t>
      </w:r>
      <w:proofErr w:type="spellStart"/>
      <w:r w:rsidRPr="00263D92">
        <w:rPr>
          <w:rFonts w:asciiTheme="majorHAnsi" w:hAnsiTheme="majorHAnsi"/>
          <w:sz w:val="16"/>
          <w:szCs w:val="16"/>
          <w:lang w:val="es-ES_tradnl"/>
        </w:rPr>
        <w:t>Granier</w:t>
      </w:r>
      <w:proofErr w:type="spellEnd"/>
      <w:r w:rsidRPr="00263D92">
        <w:rPr>
          <w:rFonts w:asciiTheme="majorHAnsi" w:hAnsiTheme="majorHAnsi"/>
          <w:sz w:val="16"/>
          <w:szCs w:val="16"/>
          <w:lang w:val="es-ES_tradnl"/>
        </w:rPr>
        <w:t xml:space="preserve"> y otros, Venezuela, Fondo, 9 </w:t>
      </w:r>
      <w:r>
        <w:rPr>
          <w:rFonts w:asciiTheme="majorHAnsi" w:hAnsiTheme="majorHAnsi"/>
          <w:sz w:val="16"/>
          <w:szCs w:val="16"/>
          <w:lang w:val="es-ES_tradnl"/>
        </w:rPr>
        <w:t xml:space="preserve">de noviembre de 2012, párr. 188; </w:t>
      </w:r>
      <w:r w:rsidRPr="00263D92">
        <w:rPr>
          <w:rFonts w:asciiTheme="majorHAnsi" w:hAnsiTheme="majorHAnsi"/>
          <w:sz w:val="16"/>
          <w:szCs w:val="16"/>
          <w:lang w:val="es-ES"/>
        </w:rPr>
        <w:t xml:space="preserve">Corte IDH. </w:t>
      </w:r>
      <w:hyperlink r:id="rId6" w:history="1">
        <w:r w:rsidRPr="00263D92">
          <w:rPr>
            <w:rStyle w:val="Hyperlink"/>
            <w:rFonts w:asciiTheme="majorHAnsi" w:hAnsiTheme="majorHAnsi" w:cs="Arial"/>
            <w:color w:val="auto"/>
            <w:sz w:val="16"/>
            <w:szCs w:val="16"/>
            <w:u w:val="none"/>
            <w:shd w:val="clear" w:color="auto" w:fill="FFFFFF"/>
            <w:lang w:val="es-ES"/>
          </w:rPr>
          <w:t>Caso Baena Ricardo y otros Vs. Panamá. Fondo, Reparaciones y Costas. Sentencia de 2 de febrero de 2001. Serie C No. 72</w:t>
        </w:r>
      </w:hyperlink>
      <w:r w:rsidRPr="00263D92">
        <w:rPr>
          <w:rFonts w:asciiTheme="majorHAnsi" w:hAnsiTheme="majorHAnsi"/>
          <w:sz w:val="16"/>
          <w:szCs w:val="16"/>
          <w:lang w:val="es-ES"/>
        </w:rPr>
        <w:t>, párrs. 126-127</w:t>
      </w:r>
    </w:p>
  </w:footnote>
  <w:footnote w:id="96">
    <w:p w:rsidR="00B21A8E" w:rsidRPr="008C6661" w:rsidRDefault="00B21A8E">
      <w:pPr>
        <w:pStyle w:val="FootnoteText"/>
        <w:spacing w:before="120"/>
        <w:ind w:firstLine="720"/>
        <w:jc w:val="both"/>
        <w:rPr>
          <w:rFonts w:asciiTheme="majorHAnsi" w:hAnsiTheme="majorHAnsi"/>
          <w:sz w:val="16"/>
          <w:szCs w:val="16"/>
          <w:lang w:val="es-ES"/>
        </w:rPr>
      </w:pPr>
      <w:r w:rsidRPr="004961D8">
        <w:rPr>
          <w:rStyle w:val="FootnoteReference"/>
          <w:rFonts w:asciiTheme="majorHAnsi" w:hAnsiTheme="majorHAnsi"/>
          <w:sz w:val="16"/>
          <w:szCs w:val="16"/>
        </w:rPr>
        <w:footnoteRef/>
      </w:r>
      <w:r w:rsidRPr="004961D8">
        <w:rPr>
          <w:rFonts w:asciiTheme="majorHAnsi" w:hAnsiTheme="majorHAnsi"/>
          <w:sz w:val="16"/>
          <w:szCs w:val="16"/>
          <w:lang w:val="es-ES"/>
        </w:rPr>
        <w:t xml:space="preserve"> Corte IDH. </w:t>
      </w:r>
      <w:hyperlink r:id="rId7" w:history="1">
        <w:r w:rsidRPr="008C6661">
          <w:rPr>
            <w:rStyle w:val="Hyperlink"/>
            <w:rFonts w:asciiTheme="majorHAnsi" w:hAnsiTheme="majorHAnsi" w:cs="Arial"/>
            <w:color w:val="auto"/>
            <w:sz w:val="16"/>
            <w:szCs w:val="16"/>
            <w:u w:val="none"/>
            <w:shd w:val="clear" w:color="auto" w:fill="FFFFFF"/>
            <w:lang w:val="es-ES"/>
          </w:rPr>
          <w:t xml:space="preserve">Caso </w:t>
        </w:r>
        <w:proofErr w:type="spellStart"/>
        <w:r w:rsidRPr="008C6661">
          <w:rPr>
            <w:rStyle w:val="Hyperlink"/>
            <w:rFonts w:asciiTheme="majorHAnsi" w:hAnsiTheme="majorHAnsi" w:cs="Arial"/>
            <w:color w:val="auto"/>
            <w:sz w:val="16"/>
            <w:szCs w:val="16"/>
            <w:u w:val="none"/>
            <w:shd w:val="clear" w:color="auto" w:fill="FFFFFF"/>
            <w:lang w:val="es-ES"/>
          </w:rPr>
          <w:t>Barbani</w:t>
        </w:r>
        <w:proofErr w:type="spellEnd"/>
        <w:r w:rsidRPr="008C6661">
          <w:rPr>
            <w:rStyle w:val="Hyperlink"/>
            <w:rFonts w:asciiTheme="majorHAnsi" w:hAnsiTheme="majorHAnsi" w:cs="Arial"/>
            <w:color w:val="auto"/>
            <w:sz w:val="16"/>
            <w:szCs w:val="16"/>
            <w:u w:val="none"/>
            <w:shd w:val="clear" w:color="auto" w:fill="FFFFFF"/>
            <w:lang w:val="es-ES"/>
          </w:rPr>
          <w:t xml:space="preserve"> Duarte y Otros Vs. Uruguay. Fondo Reparaciones y costas. Sentencia de 13 de octubre de 2011. Serie C No. 234</w:t>
        </w:r>
      </w:hyperlink>
      <w:r w:rsidRPr="004961D8">
        <w:rPr>
          <w:rFonts w:asciiTheme="majorHAnsi" w:hAnsiTheme="majorHAnsi"/>
          <w:sz w:val="16"/>
          <w:szCs w:val="16"/>
          <w:lang w:val="es-ES"/>
        </w:rPr>
        <w:t xml:space="preserve">, párr. 118; y </w:t>
      </w:r>
      <w:hyperlink r:id="rId8" w:history="1">
        <w:r w:rsidRPr="008C6661">
          <w:rPr>
            <w:rStyle w:val="Hyperlink"/>
            <w:rFonts w:asciiTheme="majorHAnsi" w:hAnsiTheme="majorHAnsi" w:cs="Arial"/>
            <w:color w:val="auto"/>
            <w:sz w:val="16"/>
            <w:szCs w:val="16"/>
            <w:u w:val="none"/>
            <w:shd w:val="clear" w:color="auto" w:fill="FFFFFF"/>
            <w:lang w:val="es-ES"/>
          </w:rPr>
          <w:t>Caso Claude Reyes y otros Vs. Chile. Fondo, Reparaciones y Costas. Sentencia de 19 de septiembre de 2006. Serie C No. 151</w:t>
        </w:r>
      </w:hyperlink>
      <w:r w:rsidRPr="004961D8">
        <w:rPr>
          <w:rFonts w:asciiTheme="majorHAnsi" w:hAnsiTheme="majorHAnsi"/>
          <w:sz w:val="16"/>
          <w:szCs w:val="16"/>
          <w:lang w:val="es-ES"/>
        </w:rPr>
        <w:t>, párr. 118</w:t>
      </w:r>
      <w:r w:rsidRPr="008C6661">
        <w:rPr>
          <w:rFonts w:asciiTheme="majorHAnsi" w:hAnsiTheme="majorHAnsi"/>
          <w:sz w:val="16"/>
          <w:szCs w:val="16"/>
          <w:lang w:val="es-ES"/>
        </w:rPr>
        <w:t>.</w:t>
      </w:r>
    </w:p>
  </w:footnote>
  <w:footnote w:id="97">
    <w:p w:rsidR="00B21A8E" w:rsidRPr="009F0011" w:rsidRDefault="00B21A8E">
      <w:pPr>
        <w:pStyle w:val="FootnoteText"/>
        <w:spacing w:before="120"/>
        <w:ind w:firstLine="720"/>
        <w:jc w:val="both"/>
        <w:rPr>
          <w:rFonts w:asciiTheme="majorHAnsi" w:hAnsiTheme="majorHAnsi"/>
          <w:sz w:val="16"/>
          <w:szCs w:val="16"/>
          <w:lang w:val="es-ES"/>
        </w:rPr>
      </w:pPr>
      <w:r w:rsidRPr="004961D8">
        <w:rPr>
          <w:rStyle w:val="FootnoteReference"/>
          <w:rFonts w:asciiTheme="majorHAnsi" w:hAnsiTheme="majorHAnsi"/>
          <w:sz w:val="16"/>
          <w:szCs w:val="16"/>
        </w:rPr>
        <w:footnoteRef/>
      </w:r>
      <w:r w:rsidRPr="004961D8">
        <w:rPr>
          <w:rFonts w:asciiTheme="majorHAnsi" w:hAnsiTheme="majorHAnsi"/>
          <w:sz w:val="16"/>
          <w:szCs w:val="16"/>
          <w:lang w:val="es-ES"/>
        </w:rPr>
        <w:t xml:space="preserve"> Corte IDH. </w:t>
      </w:r>
      <w:hyperlink r:id="rId9" w:history="1">
        <w:r w:rsidRPr="008C6661">
          <w:rPr>
            <w:rStyle w:val="Hyperlink"/>
            <w:rFonts w:asciiTheme="majorHAnsi" w:hAnsiTheme="majorHAnsi" w:cs="Arial"/>
            <w:color w:val="auto"/>
            <w:sz w:val="16"/>
            <w:szCs w:val="16"/>
            <w:u w:val="none"/>
            <w:shd w:val="clear" w:color="auto" w:fill="FFFFFF"/>
            <w:lang w:val="es-ES"/>
          </w:rPr>
          <w:t xml:space="preserve">Caso </w:t>
        </w:r>
        <w:proofErr w:type="spellStart"/>
        <w:r w:rsidRPr="008C6661">
          <w:rPr>
            <w:rStyle w:val="Hyperlink"/>
            <w:rFonts w:asciiTheme="majorHAnsi" w:hAnsiTheme="majorHAnsi" w:cs="Arial"/>
            <w:color w:val="auto"/>
            <w:sz w:val="16"/>
            <w:szCs w:val="16"/>
            <w:u w:val="none"/>
            <w:shd w:val="clear" w:color="auto" w:fill="FFFFFF"/>
            <w:lang w:val="es-ES"/>
          </w:rPr>
          <w:t>Barbani</w:t>
        </w:r>
        <w:proofErr w:type="spellEnd"/>
        <w:r w:rsidRPr="008C6661">
          <w:rPr>
            <w:rStyle w:val="Hyperlink"/>
            <w:rFonts w:asciiTheme="majorHAnsi" w:hAnsiTheme="majorHAnsi" w:cs="Arial"/>
            <w:color w:val="auto"/>
            <w:sz w:val="16"/>
            <w:szCs w:val="16"/>
            <w:u w:val="none"/>
            <w:shd w:val="clear" w:color="auto" w:fill="FFFFFF"/>
            <w:lang w:val="es-ES"/>
          </w:rPr>
          <w:t xml:space="preserve"> Duarte y Otros Vs. Uruguay. Fondo Reparaciones y costas. Sentencia de 13 de octubre de 2011. Serie C No. 234</w:t>
        </w:r>
      </w:hyperlink>
      <w:r w:rsidRPr="004961D8">
        <w:rPr>
          <w:rFonts w:asciiTheme="majorHAnsi" w:hAnsiTheme="majorHAnsi"/>
          <w:sz w:val="16"/>
          <w:szCs w:val="16"/>
          <w:lang w:val="es-ES"/>
        </w:rPr>
        <w:t xml:space="preserve">, párrs. </w:t>
      </w:r>
      <w:r w:rsidRPr="009F0011">
        <w:rPr>
          <w:rFonts w:asciiTheme="majorHAnsi" w:hAnsiTheme="majorHAnsi"/>
          <w:sz w:val="16"/>
          <w:szCs w:val="16"/>
          <w:lang w:val="es-ES"/>
        </w:rPr>
        <w:t>118-119.</w:t>
      </w:r>
    </w:p>
  </w:footnote>
  <w:footnote w:id="98">
    <w:p w:rsidR="00B21A8E" w:rsidRPr="008C6661" w:rsidRDefault="00B21A8E">
      <w:pPr>
        <w:spacing w:after="120"/>
        <w:ind w:firstLine="720"/>
        <w:jc w:val="both"/>
        <w:rPr>
          <w:rFonts w:asciiTheme="majorHAnsi" w:hAnsiTheme="majorHAnsi"/>
          <w:sz w:val="16"/>
          <w:szCs w:val="16"/>
          <w:lang w:val="es-VE"/>
        </w:rPr>
      </w:pPr>
      <w:r w:rsidRPr="004961D8">
        <w:rPr>
          <w:rStyle w:val="FootnoteReference"/>
          <w:rFonts w:asciiTheme="majorHAnsi" w:hAnsiTheme="majorHAnsi"/>
          <w:sz w:val="16"/>
          <w:szCs w:val="16"/>
        </w:rPr>
        <w:footnoteRef/>
      </w:r>
      <w:r w:rsidRPr="004961D8">
        <w:rPr>
          <w:rFonts w:asciiTheme="majorHAnsi" w:hAnsiTheme="majorHAnsi"/>
          <w:sz w:val="16"/>
          <w:szCs w:val="16"/>
          <w:lang w:val="es-VE"/>
        </w:rPr>
        <w:t>Comisión Interamericana de Derechos Humanos, Demanda ant</w:t>
      </w:r>
      <w:r w:rsidRPr="008C6661">
        <w:rPr>
          <w:rFonts w:asciiTheme="majorHAnsi" w:hAnsiTheme="majorHAnsi"/>
          <w:sz w:val="16"/>
          <w:szCs w:val="16"/>
          <w:lang w:val="es-VE"/>
        </w:rPr>
        <w:t>e la Corte Interamericana de Derechos Humanos, Oscar Barreto Leiva, Caso 11.663, contra la República Bolivariana de Venezuela, párr.</w:t>
      </w:r>
      <w:r>
        <w:rPr>
          <w:rFonts w:asciiTheme="majorHAnsi" w:hAnsiTheme="majorHAnsi"/>
          <w:sz w:val="16"/>
          <w:szCs w:val="16"/>
          <w:lang w:val="es-VE"/>
        </w:rPr>
        <w:t xml:space="preserve"> </w:t>
      </w:r>
      <w:r w:rsidRPr="008C6661">
        <w:rPr>
          <w:rFonts w:asciiTheme="majorHAnsi" w:hAnsiTheme="majorHAnsi"/>
          <w:sz w:val="16"/>
          <w:szCs w:val="16"/>
          <w:lang w:val="es-VE"/>
        </w:rPr>
        <w:t xml:space="preserve">78; </w:t>
      </w:r>
      <w:r w:rsidRPr="008C6661">
        <w:rPr>
          <w:rFonts w:asciiTheme="majorHAnsi" w:hAnsiTheme="majorHAnsi" w:cs="Times"/>
          <w:sz w:val="16"/>
          <w:szCs w:val="16"/>
          <w:lang w:val="it-IT"/>
        </w:rPr>
        <w:t xml:space="preserve">Corte IDH, </w:t>
      </w:r>
      <w:r w:rsidRPr="008C6661">
        <w:rPr>
          <w:rFonts w:asciiTheme="majorHAnsi" w:hAnsiTheme="majorHAnsi" w:cs="Times"/>
          <w:iCs/>
          <w:sz w:val="16"/>
          <w:szCs w:val="16"/>
          <w:lang w:val="it-IT"/>
        </w:rPr>
        <w:t>Caso</w:t>
      </w:r>
      <w:r w:rsidRPr="008C6661">
        <w:rPr>
          <w:rFonts w:asciiTheme="majorHAnsi" w:hAnsiTheme="majorHAnsi" w:cs="Times"/>
          <w:sz w:val="16"/>
          <w:szCs w:val="16"/>
          <w:lang w:val="it-IT"/>
        </w:rPr>
        <w:t xml:space="preserve"> </w:t>
      </w:r>
      <w:r w:rsidRPr="008C6661">
        <w:rPr>
          <w:rFonts w:asciiTheme="majorHAnsi" w:hAnsiTheme="majorHAnsi" w:cs="Times"/>
          <w:iCs/>
          <w:sz w:val="16"/>
          <w:szCs w:val="16"/>
          <w:lang w:val="it-IT"/>
        </w:rPr>
        <w:t>López Álvarez</w:t>
      </w:r>
      <w:r w:rsidRPr="008C6661">
        <w:rPr>
          <w:rFonts w:asciiTheme="majorHAnsi" w:hAnsiTheme="majorHAnsi" w:cs="Times"/>
          <w:sz w:val="16"/>
          <w:szCs w:val="16"/>
          <w:lang w:val="it-IT"/>
        </w:rPr>
        <w:t>. Sentencia de 1 de febrero de 2006. Serie C No. 141,</w:t>
      </w:r>
      <w:r w:rsidRPr="008C6661">
        <w:rPr>
          <w:rFonts w:asciiTheme="majorHAnsi" w:hAnsiTheme="majorHAnsi"/>
          <w:sz w:val="16"/>
          <w:szCs w:val="16"/>
          <w:lang w:val="it-IT"/>
        </w:rPr>
        <w:t xml:space="preserve"> párr. 149; </w:t>
      </w:r>
      <w:r>
        <w:rPr>
          <w:rFonts w:asciiTheme="majorHAnsi" w:hAnsiTheme="majorHAnsi" w:cs="Times"/>
          <w:sz w:val="16"/>
          <w:szCs w:val="16"/>
          <w:lang w:val="it-IT"/>
        </w:rPr>
        <w:t>Corte IDH</w:t>
      </w:r>
      <w:r w:rsidRPr="008C6661">
        <w:rPr>
          <w:rFonts w:asciiTheme="majorHAnsi" w:hAnsiTheme="majorHAnsi" w:cs="Times"/>
          <w:sz w:val="16"/>
          <w:szCs w:val="16"/>
          <w:lang w:val="it-IT"/>
        </w:rPr>
        <w:t xml:space="preserve">, </w:t>
      </w:r>
      <w:r w:rsidRPr="008C6661">
        <w:rPr>
          <w:rFonts w:asciiTheme="majorHAnsi" w:hAnsiTheme="majorHAnsi" w:cs="Times"/>
          <w:iCs/>
          <w:sz w:val="16"/>
          <w:szCs w:val="16"/>
          <w:lang w:val="it-IT"/>
        </w:rPr>
        <w:t>Caso Palamara Iribarne</w:t>
      </w:r>
      <w:r>
        <w:rPr>
          <w:rFonts w:asciiTheme="majorHAnsi" w:hAnsiTheme="majorHAnsi" w:cs="Times"/>
          <w:sz w:val="16"/>
          <w:szCs w:val="16"/>
          <w:lang w:val="it-IT"/>
        </w:rPr>
        <w:t xml:space="preserve">. </w:t>
      </w:r>
      <w:r w:rsidRPr="008C6661">
        <w:rPr>
          <w:rFonts w:asciiTheme="majorHAnsi" w:hAnsiTheme="majorHAnsi" w:cs="Times"/>
          <w:sz w:val="16"/>
          <w:szCs w:val="16"/>
          <w:lang w:val="it-IT"/>
        </w:rPr>
        <w:t>Sentenc</w:t>
      </w:r>
      <w:r>
        <w:rPr>
          <w:rFonts w:asciiTheme="majorHAnsi" w:hAnsiTheme="majorHAnsi" w:cs="Times"/>
          <w:sz w:val="16"/>
          <w:szCs w:val="16"/>
          <w:lang w:val="it-IT"/>
        </w:rPr>
        <w:t xml:space="preserve">ia de 22 de noviembre de 2005. </w:t>
      </w:r>
      <w:r w:rsidRPr="00C858C1">
        <w:rPr>
          <w:rFonts w:asciiTheme="majorHAnsi" w:hAnsiTheme="majorHAnsi" w:cs="Times"/>
          <w:sz w:val="16"/>
          <w:szCs w:val="16"/>
          <w:lang w:val="it-IT"/>
        </w:rPr>
        <w:t xml:space="preserve">Serie C No. 135, </w:t>
      </w:r>
      <w:r w:rsidRPr="00C858C1">
        <w:rPr>
          <w:rFonts w:asciiTheme="majorHAnsi" w:hAnsiTheme="majorHAnsi"/>
          <w:sz w:val="16"/>
          <w:szCs w:val="16"/>
          <w:lang w:val="it-IT"/>
        </w:rPr>
        <w:t xml:space="preserve">párr. </w:t>
      </w:r>
      <w:r w:rsidRPr="008C6661">
        <w:rPr>
          <w:rFonts w:asciiTheme="majorHAnsi" w:hAnsiTheme="majorHAnsi"/>
          <w:sz w:val="16"/>
          <w:szCs w:val="16"/>
          <w:lang w:val="es-VE"/>
        </w:rPr>
        <w:t xml:space="preserve">225; </w:t>
      </w:r>
      <w:r w:rsidRPr="008C6661">
        <w:rPr>
          <w:rFonts w:asciiTheme="majorHAnsi" w:hAnsiTheme="majorHAnsi" w:cs="Times"/>
          <w:sz w:val="16"/>
          <w:szCs w:val="16"/>
          <w:lang w:val="es-VE"/>
        </w:rPr>
        <w:t xml:space="preserve">Corte IDH, </w:t>
      </w:r>
      <w:r w:rsidRPr="008C6661">
        <w:rPr>
          <w:rFonts w:asciiTheme="majorHAnsi" w:hAnsiTheme="majorHAnsi" w:cs="Times"/>
          <w:iCs/>
          <w:sz w:val="16"/>
          <w:szCs w:val="16"/>
          <w:lang w:val="es-VE"/>
        </w:rPr>
        <w:t>Caso Acosta Calderón</w:t>
      </w:r>
      <w:r w:rsidRPr="008C6661">
        <w:rPr>
          <w:rFonts w:asciiTheme="majorHAnsi" w:hAnsiTheme="majorHAnsi" w:cs="Times"/>
          <w:sz w:val="16"/>
          <w:szCs w:val="16"/>
          <w:lang w:val="es-VE"/>
        </w:rPr>
        <w:t xml:space="preserve">.  Sentencia de 24 de junio de 2005. </w:t>
      </w:r>
      <w:r w:rsidRPr="008C6661">
        <w:rPr>
          <w:rFonts w:asciiTheme="majorHAnsi" w:hAnsiTheme="majorHAnsi" w:cs="Times"/>
          <w:sz w:val="16"/>
          <w:szCs w:val="16"/>
          <w:lang w:val="es-ES_tradnl"/>
        </w:rPr>
        <w:t xml:space="preserve">Serie C No. 129, </w:t>
      </w:r>
      <w:r w:rsidRPr="008C6661">
        <w:rPr>
          <w:rFonts w:asciiTheme="majorHAnsi" w:hAnsiTheme="majorHAnsi"/>
          <w:sz w:val="16"/>
          <w:szCs w:val="16"/>
          <w:lang w:val="es-ES_tradnl"/>
        </w:rPr>
        <w:t xml:space="preserve">párr. 118; y </w:t>
      </w:r>
      <w:r w:rsidRPr="008C6661">
        <w:rPr>
          <w:rFonts w:asciiTheme="majorHAnsi" w:hAnsiTheme="majorHAnsi" w:cs="Times"/>
          <w:sz w:val="16"/>
          <w:szCs w:val="16"/>
          <w:lang w:val="es-VE"/>
        </w:rPr>
        <w:t xml:space="preserve">Corte IDH, </w:t>
      </w:r>
      <w:r w:rsidRPr="008C6661">
        <w:rPr>
          <w:rFonts w:asciiTheme="majorHAnsi" w:hAnsiTheme="majorHAnsi" w:cs="Times"/>
          <w:iCs/>
          <w:sz w:val="16"/>
          <w:szCs w:val="16"/>
          <w:lang w:val="es-ES_tradnl"/>
        </w:rPr>
        <w:t>Caso Tibi</w:t>
      </w:r>
      <w:r w:rsidRPr="008C6661">
        <w:rPr>
          <w:rFonts w:asciiTheme="majorHAnsi" w:hAnsiTheme="majorHAnsi" w:cs="Times"/>
          <w:sz w:val="16"/>
          <w:szCs w:val="16"/>
          <w:lang w:val="es-ES_tradnl"/>
        </w:rPr>
        <w:t xml:space="preserve">.  Sentencia de 7 de septiembre de 2004.  </w:t>
      </w:r>
      <w:r w:rsidRPr="008C6661">
        <w:rPr>
          <w:rFonts w:asciiTheme="majorHAnsi" w:hAnsiTheme="majorHAnsi" w:cs="Times"/>
          <w:sz w:val="16"/>
          <w:szCs w:val="16"/>
          <w:lang w:val="es-VE"/>
        </w:rPr>
        <w:t xml:space="preserve">Serie C No. 114, </w:t>
      </w:r>
      <w:r w:rsidRPr="008C6661">
        <w:rPr>
          <w:rFonts w:asciiTheme="majorHAnsi" w:hAnsiTheme="majorHAnsi"/>
          <w:sz w:val="16"/>
          <w:szCs w:val="16"/>
          <w:lang w:val="es-VE"/>
        </w:rPr>
        <w:t>párr. 187.</w:t>
      </w:r>
    </w:p>
  </w:footnote>
  <w:footnote w:id="99">
    <w:p w:rsidR="00B21A8E" w:rsidRPr="00AD54A2" w:rsidRDefault="00B21A8E">
      <w:pPr>
        <w:pStyle w:val="FootnoteText"/>
        <w:spacing w:after="120"/>
        <w:ind w:firstLine="720"/>
        <w:jc w:val="both"/>
        <w:rPr>
          <w:rFonts w:asciiTheme="majorHAnsi" w:hAnsiTheme="majorHAnsi"/>
          <w:sz w:val="16"/>
          <w:szCs w:val="16"/>
          <w:lang w:val="es-VE"/>
        </w:rPr>
      </w:pPr>
      <w:r w:rsidRPr="00AD54A2">
        <w:rPr>
          <w:rStyle w:val="FootnoteReference"/>
          <w:rFonts w:asciiTheme="majorHAnsi" w:hAnsiTheme="majorHAnsi"/>
          <w:sz w:val="16"/>
          <w:szCs w:val="16"/>
        </w:rPr>
        <w:footnoteRef/>
      </w:r>
      <w:r w:rsidRPr="00AD54A2">
        <w:rPr>
          <w:rFonts w:asciiTheme="majorHAnsi" w:hAnsiTheme="majorHAnsi"/>
          <w:sz w:val="16"/>
          <w:szCs w:val="16"/>
          <w:lang w:val="es-VE"/>
        </w:rPr>
        <w:t xml:space="preserve"> </w:t>
      </w:r>
      <w:r w:rsidRPr="004961D8">
        <w:rPr>
          <w:rFonts w:asciiTheme="majorHAnsi" w:hAnsiTheme="majorHAnsi"/>
          <w:sz w:val="16"/>
          <w:szCs w:val="16"/>
          <w:lang w:val="es-VE"/>
        </w:rPr>
        <w:t>Corte IDH. Caso Barreto Leiva, Fondo, Reparaciones y Costas. Sentencia de 17 de noviembre de 2009. Serie C no. 206, párr. 28.</w:t>
      </w:r>
    </w:p>
  </w:footnote>
  <w:footnote w:id="100">
    <w:p w:rsidR="00B21A8E" w:rsidRPr="00AD54A2" w:rsidRDefault="00B21A8E">
      <w:pPr>
        <w:pStyle w:val="FootnoteText"/>
        <w:spacing w:after="120"/>
        <w:ind w:firstLine="720"/>
        <w:jc w:val="both"/>
        <w:rPr>
          <w:rFonts w:asciiTheme="majorHAnsi" w:hAnsiTheme="majorHAnsi"/>
          <w:sz w:val="16"/>
          <w:szCs w:val="16"/>
          <w:lang w:val="es-VE"/>
        </w:rPr>
      </w:pPr>
      <w:r w:rsidRPr="00AD54A2">
        <w:rPr>
          <w:rStyle w:val="FootnoteReference"/>
          <w:rFonts w:asciiTheme="majorHAnsi" w:hAnsiTheme="majorHAnsi"/>
          <w:sz w:val="16"/>
          <w:szCs w:val="16"/>
        </w:rPr>
        <w:footnoteRef/>
      </w:r>
      <w:r w:rsidRPr="00AD54A2">
        <w:rPr>
          <w:rFonts w:asciiTheme="majorHAnsi" w:hAnsiTheme="majorHAnsi"/>
          <w:sz w:val="16"/>
          <w:szCs w:val="16"/>
          <w:lang w:val="es-VE"/>
        </w:rPr>
        <w:t xml:space="preserve"> </w:t>
      </w:r>
      <w:r w:rsidRPr="004961D8">
        <w:rPr>
          <w:rFonts w:asciiTheme="majorHAnsi" w:hAnsiTheme="majorHAnsi"/>
          <w:sz w:val="16"/>
          <w:szCs w:val="16"/>
          <w:lang w:val="es-VE"/>
        </w:rPr>
        <w:t>Corte IDH. Caso Barreto Leiva, Fondo, Reparaciones y Costas. Sentencia de 17 de noviembre de 2009. Serie C no. 206</w:t>
      </w:r>
      <w:r w:rsidRPr="008C6661">
        <w:rPr>
          <w:rFonts w:asciiTheme="majorHAnsi" w:hAnsiTheme="majorHAnsi"/>
          <w:sz w:val="16"/>
          <w:szCs w:val="16"/>
          <w:lang w:val="es-VE"/>
        </w:rPr>
        <w:t>, párr. 47.</w:t>
      </w:r>
    </w:p>
  </w:footnote>
  <w:footnote w:id="101">
    <w:p w:rsidR="00B21A8E" w:rsidRPr="008C6661" w:rsidRDefault="00B21A8E">
      <w:pPr>
        <w:pStyle w:val="FootnoteText"/>
        <w:ind w:firstLine="720"/>
        <w:jc w:val="both"/>
        <w:rPr>
          <w:rFonts w:asciiTheme="majorHAnsi" w:hAnsiTheme="majorHAnsi"/>
          <w:sz w:val="16"/>
          <w:szCs w:val="16"/>
          <w:lang w:val="es-VE"/>
        </w:rPr>
      </w:pPr>
      <w:r w:rsidRPr="004961D8">
        <w:rPr>
          <w:rStyle w:val="FootnoteReference"/>
          <w:rFonts w:asciiTheme="majorHAnsi" w:hAnsiTheme="majorHAnsi"/>
          <w:sz w:val="16"/>
          <w:szCs w:val="16"/>
        </w:rPr>
        <w:footnoteRef/>
      </w:r>
      <w:r w:rsidRPr="00AD54A2">
        <w:rPr>
          <w:rFonts w:asciiTheme="majorHAnsi" w:hAnsiTheme="majorHAnsi"/>
          <w:sz w:val="16"/>
          <w:szCs w:val="16"/>
          <w:lang w:val="es-VE"/>
        </w:rPr>
        <w:t xml:space="preserve">Corte IDH. Caso Barreto Leiva vs. Venezuela. </w:t>
      </w:r>
      <w:r w:rsidRPr="008C6661">
        <w:rPr>
          <w:rFonts w:asciiTheme="majorHAnsi" w:hAnsiTheme="majorHAnsi"/>
          <w:sz w:val="16"/>
          <w:szCs w:val="16"/>
          <w:lang w:val="es-VE"/>
        </w:rPr>
        <w:t>Fondo, Reparaciones y Costas. Sentencia de 17 de noviembre de 2009, Serie C No. 206, Párr.29.</w:t>
      </w:r>
    </w:p>
  </w:footnote>
  <w:footnote w:id="102">
    <w:p w:rsidR="00B21A8E" w:rsidRPr="00AD54A2" w:rsidRDefault="00B21A8E">
      <w:pPr>
        <w:pStyle w:val="FootnoteText"/>
        <w:ind w:firstLine="720"/>
        <w:jc w:val="both"/>
        <w:rPr>
          <w:rFonts w:asciiTheme="majorHAnsi" w:hAnsiTheme="majorHAnsi"/>
          <w:sz w:val="16"/>
          <w:szCs w:val="16"/>
          <w:lang w:val="es-VE"/>
        </w:rPr>
      </w:pPr>
      <w:r w:rsidRPr="00AD54A2">
        <w:rPr>
          <w:rStyle w:val="FootnoteReference"/>
          <w:rFonts w:asciiTheme="majorHAnsi" w:hAnsiTheme="majorHAnsi"/>
          <w:sz w:val="16"/>
          <w:szCs w:val="16"/>
        </w:rPr>
        <w:footnoteRef/>
      </w:r>
      <w:r w:rsidRPr="00AD54A2">
        <w:rPr>
          <w:rFonts w:asciiTheme="majorHAnsi" w:hAnsiTheme="majorHAnsi"/>
          <w:sz w:val="16"/>
          <w:szCs w:val="16"/>
          <w:lang w:val="es-VE"/>
        </w:rPr>
        <w:t xml:space="preserve"> Corte IDH. Caso </w:t>
      </w:r>
      <w:proofErr w:type="spellStart"/>
      <w:r w:rsidRPr="00AD54A2">
        <w:rPr>
          <w:rFonts w:asciiTheme="majorHAnsi" w:hAnsiTheme="majorHAnsi"/>
          <w:sz w:val="16"/>
          <w:szCs w:val="16"/>
          <w:lang w:val="es-VE"/>
        </w:rPr>
        <w:t>Bulacio</w:t>
      </w:r>
      <w:proofErr w:type="spellEnd"/>
      <w:r w:rsidRPr="00AD54A2">
        <w:rPr>
          <w:rFonts w:asciiTheme="majorHAnsi" w:hAnsiTheme="majorHAnsi"/>
          <w:sz w:val="16"/>
          <w:szCs w:val="16"/>
          <w:lang w:val="es-VE"/>
        </w:rPr>
        <w:t xml:space="preserve"> vs. Argentina. Fondo, Reparaciones y Costas. Sentencia de 18 de septiembre de 2003. Serie C No. 100, párr.32.</w:t>
      </w:r>
    </w:p>
  </w:footnote>
  <w:footnote w:id="103">
    <w:p w:rsidR="00B21A8E" w:rsidRPr="00AD54A2" w:rsidRDefault="00B21A8E">
      <w:pPr>
        <w:pStyle w:val="FootnoteText"/>
        <w:ind w:firstLine="720"/>
        <w:jc w:val="both"/>
        <w:rPr>
          <w:rFonts w:asciiTheme="majorHAnsi" w:hAnsiTheme="majorHAnsi"/>
          <w:sz w:val="16"/>
          <w:szCs w:val="16"/>
          <w:lang w:val="es-VE"/>
        </w:rPr>
      </w:pPr>
      <w:r w:rsidRPr="00AD54A2">
        <w:rPr>
          <w:rStyle w:val="FootnoteReference"/>
          <w:rFonts w:asciiTheme="majorHAnsi" w:hAnsiTheme="majorHAnsi"/>
          <w:sz w:val="16"/>
          <w:szCs w:val="16"/>
        </w:rPr>
        <w:footnoteRef/>
      </w:r>
      <w:r w:rsidRPr="00AD54A2">
        <w:rPr>
          <w:rFonts w:asciiTheme="majorHAnsi" w:hAnsiTheme="majorHAnsi"/>
          <w:sz w:val="16"/>
          <w:szCs w:val="16"/>
          <w:lang w:val="es-VE"/>
        </w:rPr>
        <w:t xml:space="preserve"> Ver Corte IDH. Caso Barreto Leiva vs. Venezuela. Fondo, Reparaciones y Costas. Sentencia de 17 de noviembre de 2009, Serie C No. 206, Párr.29; Corte IDH. Caso Suárez Rosero vs. Ecuador. Fondo. Sentencia de 12 de novi</w:t>
      </w:r>
      <w:r>
        <w:rPr>
          <w:rFonts w:asciiTheme="majorHAnsi" w:hAnsiTheme="majorHAnsi"/>
          <w:sz w:val="16"/>
          <w:szCs w:val="16"/>
          <w:lang w:val="es-VE"/>
        </w:rPr>
        <w:t xml:space="preserve">embre de 1997. Serie C No. 35, </w:t>
      </w:r>
      <w:r w:rsidRPr="00AD54A2">
        <w:rPr>
          <w:rFonts w:asciiTheme="majorHAnsi" w:hAnsiTheme="majorHAnsi"/>
          <w:sz w:val="16"/>
          <w:szCs w:val="16"/>
          <w:lang w:val="es-VE"/>
        </w:rPr>
        <w:t>párr.83.</w:t>
      </w:r>
    </w:p>
  </w:footnote>
  <w:footnote w:id="104">
    <w:p w:rsidR="00B21A8E" w:rsidRPr="00263D92" w:rsidRDefault="00B21A8E">
      <w:pPr>
        <w:pStyle w:val="FootnoteText"/>
        <w:spacing w:after="120"/>
        <w:ind w:firstLine="720"/>
        <w:jc w:val="both"/>
        <w:rPr>
          <w:rFonts w:asciiTheme="majorHAnsi" w:hAnsiTheme="majorHAnsi"/>
          <w:color w:val="auto"/>
          <w:sz w:val="16"/>
          <w:szCs w:val="16"/>
          <w:lang w:val="es-US"/>
        </w:rPr>
      </w:pPr>
      <w:r w:rsidRPr="00263D92">
        <w:rPr>
          <w:rStyle w:val="FootnoteReference"/>
          <w:rFonts w:asciiTheme="majorHAnsi" w:hAnsiTheme="majorHAnsi"/>
          <w:color w:val="auto"/>
          <w:sz w:val="16"/>
          <w:szCs w:val="16"/>
        </w:rPr>
        <w:footnoteRef/>
      </w:r>
      <w:r w:rsidRPr="00263D92">
        <w:rPr>
          <w:rFonts w:asciiTheme="majorHAnsi" w:hAnsiTheme="majorHAnsi"/>
          <w:color w:val="auto"/>
          <w:sz w:val="16"/>
          <w:szCs w:val="16"/>
          <w:lang w:val="es-VE"/>
        </w:rPr>
        <w:t xml:space="preserve"> CIDH. Informe No. 136/11. Caso 12.474. Familia Pacheco Tineo. </w:t>
      </w:r>
      <w:r w:rsidRPr="00263D92">
        <w:rPr>
          <w:rFonts w:asciiTheme="majorHAnsi" w:hAnsiTheme="majorHAnsi"/>
          <w:color w:val="auto"/>
          <w:sz w:val="16"/>
          <w:szCs w:val="16"/>
          <w:lang w:val="es-US"/>
        </w:rPr>
        <w:t xml:space="preserve">Bolivia. 31 de octubre de 2011, párr. 118 citando CIDH. Informe No. 49/99. Caso 11.610. Loren </w:t>
      </w:r>
      <w:proofErr w:type="spellStart"/>
      <w:r w:rsidRPr="00263D92">
        <w:rPr>
          <w:rFonts w:asciiTheme="majorHAnsi" w:hAnsiTheme="majorHAnsi"/>
          <w:color w:val="auto"/>
          <w:sz w:val="16"/>
          <w:szCs w:val="16"/>
          <w:lang w:val="es-US"/>
        </w:rPr>
        <w:t>Laroye</w:t>
      </w:r>
      <w:proofErr w:type="spellEnd"/>
      <w:r w:rsidRPr="00263D92">
        <w:rPr>
          <w:rFonts w:asciiTheme="majorHAnsi" w:hAnsiTheme="majorHAnsi"/>
          <w:color w:val="auto"/>
          <w:sz w:val="16"/>
          <w:szCs w:val="16"/>
          <w:lang w:val="es-US"/>
        </w:rPr>
        <w:t xml:space="preserve"> </w:t>
      </w:r>
      <w:proofErr w:type="spellStart"/>
      <w:r w:rsidRPr="00263D92">
        <w:rPr>
          <w:rFonts w:asciiTheme="majorHAnsi" w:hAnsiTheme="majorHAnsi"/>
          <w:color w:val="auto"/>
          <w:sz w:val="16"/>
          <w:szCs w:val="16"/>
          <w:lang w:val="es-US"/>
        </w:rPr>
        <w:t>Riebe</w:t>
      </w:r>
      <w:proofErr w:type="spellEnd"/>
      <w:r w:rsidRPr="00263D92">
        <w:rPr>
          <w:rFonts w:asciiTheme="majorHAnsi" w:hAnsiTheme="majorHAnsi"/>
          <w:color w:val="auto"/>
          <w:sz w:val="16"/>
          <w:szCs w:val="16"/>
          <w:lang w:val="es-US"/>
        </w:rPr>
        <w:t xml:space="preserve"> </w:t>
      </w:r>
      <w:proofErr w:type="spellStart"/>
      <w:r w:rsidRPr="00263D92">
        <w:rPr>
          <w:rFonts w:asciiTheme="majorHAnsi" w:hAnsiTheme="majorHAnsi"/>
          <w:color w:val="auto"/>
          <w:sz w:val="16"/>
          <w:szCs w:val="16"/>
          <w:lang w:val="es-US"/>
        </w:rPr>
        <w:t>Star</w:t>
      </w:r>
      <w:proofErr w:type="spellEnd"/>
      <w:r w:rsidRPr="00263D92">
        <w:rPr>
          <w:rFonts w:asciiTheme="majorHAnsi" w:hAnsiTheme="majorHAnsi"/>
          <w:color w:val="auto"/>
          <w:sz w:val="16"/>
          <w:szCs w:val="16"/>
          <w:lang w:val="es-US"/>
        </w:rPr>
        <w:t xml:space="preserve">, Jorge Barón </w:t>
      </w:r>
      <w:proofErr w:type="spellStart"/>
      <w:r w:rsidRPr="00263D92">
        <w:rPr>
          <w:rFonts w:asciiTheme="majorHAnsi" w:hAnsiTheme="majorHAnsi"/>
          <w:color w:val="auto"/>
          <w:sz w:val="16"/>
          <w:szCs w:val="16"/>
          <w:lang w:val="es-US"/>
        </w:rPr>
        <w:t>Guttlein</w:t>
      </w:r>
      <w:proofErr w:type="spellEnd"/>
      <w:r w:rsidRPr="00263D92">
        <w:rPr>
          <w:rFonts w:asciiTheme="majorHAnsi" w:hAnsiTheme="majorHAnsi"/>
          <w:color w:val="auto"/>
          <w:sz w:val="16"/>
          <w:szCs w:val="16"/>
          <w:lang w:val="es-US"/>
        </w:rPr>
        <w:t xml:space="preserve"> y Rodolfo Izal </w:t>
      </w:r>
      <w:proofErr w:type="spellStart"/>
      <w:r w:rsidRPr="00263D92">
        <w:rPr>
          <w:rFonts w:asciiTheme="majorHAnsi" w:hAnsiTheme="majorHAnsi"/>
          <w:color w:val="auto"/>
          <w:sz w:val="16"/>
          <w:szCs w:val="16"/>
          <w:lang w:val="es-US"/>
        </w:rPr>
        <w:t>Elorz</w:t>
      </w:r>
      <w:proofErr w:type="spellEnd"/>
      <w:r w:rsidRPr="00263D92">
        <w:rPr>
          <w:rFonts w:asciiTheme="majorHAnsi" w:hAnsiTheme="majorHAnsi"/>
          <w:color w:val="auto"/>
          <w:sz w:val="16"/>
          <w:szCs w:val="16"/>
          <w:lang w:val="es-US"/>
        </w:rPr>
        <w:t xml:space="preserve">. México. 13 de abril de 1999. Párr. 60; CIDH. Informe No. 84/09. Caso 12.525. Nelson Iván Serrano Sáenz. Publicación. Ecuador. 6 de agosto de 2009. </w:t>
      </w:r>
      <w:proofErr w:type="spellStart"/>
      <w:r w:rsidRPr="00263D92">
        <w:rPr>
          <w:rFonts w:asciiTheme="majorHAnsi" w:hAnsiTheme="majorHAnsi"/>
          <w:color w:val="auto"/>
          <w:sz w:val="16"/>
          <w:szCs w:val="16"/>
          <w:lang w:val="es-US"/>
        </w:rPr>
        <w:t>Párrs</w:t>
      </w:r>
      <w:proofErr w:type="spellEnd"/>
      <w:r w:rsidRPr="00263D92">
        <w:rPr>
          <w:rFonts w:asciiTheme="majorHAnsi" w:hAnsiTheme="majorHAnsi"/>
          <w:color w:val="auto"/>
          <w:sz w:val="16"/>
          <w:szCs w:val="16"/>
          <w:lang w:val="es-US"/>
        </w:rPr>
        <w:t xml:space="preserve">. 61 y 62. </w:t>
      </w:r>
    </w:p>
  </w:footnote>
  <w:footnote w:id="105">
    <w:p w:rsidR="00B21A8E" w:rsidRPr="00263D92" w:rsidRDefault="00B21A8E">
      <w:pPr>
        <w:spacing w:after="120"/>
        <w:ind w:firstLine="720"/>
        <w:jc w:val="both"/>
        <w:rPr>
          <w:rFonts w:asciiTheme="majorHAnsi" w:hAnsiTheme="majorHAnsi"/>
          <w:sz w:val="16"/>
          <w:szCs w:val="16"/>
          <w:lang w:val="pt-BR"/>
        </w:rPr>
      </w:pPr>
      <w:r w:rsidRPr="00263D92">
        <w:rPr>
          <w:rStyle w:val="FootnoteReference"/>
          <w:rFonts w:asciiTheme="majorHAnsi" w:hAnsiTheme="majorHAnsi"/>
          <w:sz w:val="16"/>
          <w:szCs w:val="16"/>
        </w:rPr>
        <w:footnoteRef/>
      </w:r>
      <w:r w:rsidRPr="00263D92">
        <w:rPr>
          <w:rFonts w:asciiTheme="majorHAnsi" w:hAnsiTheme="majorHAnsi"/>
          <w:sz w:val="16"/>
          <w:szCs w:val="16"/>
          <w:lang w:val="es-ES"/>
        </w:rPr>
        <w:t xml:space="preserve"> Corte IDH. Condición Jurídica y Derechos de los Migrantes Indocumentados. Opinión Consultiva OC-18/03 de 17 de septiembre  de 2003. Serie A No. 18. párr. </w:t>
      </w:r>
      <w:r w:rsidRPr="00263D92">
        <w:rPr>
          <w:rFonts w:asciiTheme="majorHAnsi" w:hAnsiTheme="majorHAnsi"/>
          <w:sz w:val="16"/>
          <w:szCs w:val="16"/>
          <w:lang w:val="pt-BR"/>
        </w:rPr>
        <w:t>117.</w:t>
      </w:r>
    </w:p>
  </w:footnote>
  <w:footnote w:id="106">
    <w:p w:rsidR="00B21A8E" w:rsidRPr="00263D92" w:rsidRDefault="00B21A8E">
      <w:pPr>
        <w:pStyle w:val="FootnoteText"/>
        <w:spacing w:after="120"/>
        <w:ind w:firstLine="720"/>
        <w:jc w:val="both"/>
        <w:rPr>
          <w:rFonts w:asciiTheme="majorHAnsi" w:hAnsiTheme="majorHAnsi"/>
          <w:sz w:val="16"/>
          <w:szCs w:val="16"/>
          <w:lang w:val="es-ES"/>
        </w:rPr>
      </w:pPr>
      <w:r w:rsidRPr="00263D92">
        <w:rPr>
          <w:rStyle w:val="FootnoteReference"/>
          <w:rFonts w:asciiTheme="majorHAnsi" w:hAnsiTheme="majorHAnsi"/>
          <w:sz w:val="16"/>
          <w:szCs w:val="16"/>
          <w:lang w:val="es-ES"/>
        </w:rPr>
        <w:footnoteRef/>
      </w:r>
      <w:r w:rsidRPr="00263D92">
        <w:rPr>
          <w:rFonts w:asciiTheme="majorHAnsi" w:hAnsiTheme="majorHAnsi"/>
          <w:sz w:val="16"/>
          <w:szCs w:val="16"/>
          <w:lang w:val="pt-BR"/>
        </w:rPr>
        <w:t xml:space="preserve"> Corte IDH. Caso Ricardo Canese Vs. Paraguay. Sentencia de 31 de agosto de 2004. </w:t>
      </w:r>
      <w:r w:rsidRPr="00263D92">
        <w:rPr>
          <w:rFonts w:asciiTheme="majorHAnsi" w:hAnsiTheme="majorHAnsi"/>
          <w:sz w:val="16"/>
          <w:szCs w:val="16"/>
          <w:lang w:val="es-ES"/>
        </w:rPr>
        <w:t>Serie C No. 111, párr. 154.</w:t>
      </w:r>
    </w:p>
  </w:footnote>
  <w:footnote w:id="107">
    <w:p w:rsidR="00B21A8E" w:rsidRPr="009E0561" w:rsidRDefault="00B21A8E">
      <w:pPr>
        <w:pStyle w:val="FootnoteText"/>
        <w:spacing w:after="120"/>
        <w:ind w:firstLine="720"/>
        <w:jc w:val="both"/>
        <w:rPr>
          <w:rFonts w:asciiTheme="majorHAnsi" w:hAnsiTheme="majorHAnsi"/>
          <w:sz w:val="16"/>
          <w:szCs w:val="16"/>
          <w:lang w:val="pt-BR"/>
        </w:rPr>
      </w:pPr>
      <w:r w:rsidRPr="00263D92">
        <w:rPr>
          <w:rStyle w:val="FootnoteReference"/>
          <w:rFonts w:asciiTheme="majorHAnsi" w:hAnsiTheme="majorHAnsi"/>
          <w:sz w:val="16"/>
          <w:szCs w:val="16"/>
          <w:lang w:val="es-ES"/>
        </w:rPr>
        <w:footnoteRef/>
      </w:r>
      <w:r w:rsidRPr="00263D92">
        <w:rPr>
          <w:rFonts w:asciiTheme="majorHAnsi" w:hAnsiTheme="majorHAnsi"/>
          <w:sz w:val="16"/>
          <w:szCs w:val="16"/>
          <w:lang w:val="es-ES"/>
        </w:rPr>
        <w:t xml:space="preserve"> Corte IDH. Cabrera García y Montiel Flores Vs. México. Sentencia de 26 de noviembre de 2010. Serie C No. 220, párr. </w:t>
      </w:r>
      <w:r w:rsidRPr="009E0561">
        <w:rPr>
          <w:rFonts w:asciiTheme="majorHAnsi" w:hAnsiTheme="majorHAnsi"/>
          <w:sz w:val="16"/>
          <w:szCs w:val="16"/>
          <w:lang w:val="pt-BR"/>
        </w:rPr>
        <w:t>182.</w:t>
      </w:r>
    </w:p>
  </w:footnote>
  <w:footnote w:id="108">
    <w:p w:rsidR="00B21A8E" w:rsidRPr="001523BB" w:rsidRDefault="00B21A8E">
      <w:pPr>
        <w:pStyle w:val="FootnoteText"/>
        <w:spacing w:after="120"/>
        <w:ind w:firstLine="720"/>
        <w:jc w:val="both"/>
        <w:rPr>
          <w:rFonts w:asciiTheme="majorHAnsi" w:hAnsiTheme="majorHAnsi"/>
          <w:sz w:val="16"/>
          <w:szCs w:val="16"/>
          <w:lang w:val="es-VE"/>
        </w:rPr>
      </w:pPr>
      <w:r w:rsidRPr="00263D92">
        <w:rPr>
          <w:rStyle w:val="FootnoteReference"/>
          <w:rFonts w:asciiTheme="majorHAnsi" w:hAnsiTheme="majorHAnsi"/>
          <w:sz w:val="16"/>
          <w:szCs w:val="16"/>
          <w:lang w:val="es-ES"/>
        </w:rPr>
        <w:footnoteRef/>
      </w:r>
      <w:r w:rsidRPr="009E0561">
        <w:rPr>
          <w:rFonts w:asciiTheme="majorHAnsi" w:hAnsiTheme="majorHAnsi"/>
          <w:sz w:val="16"/>
          <w:szCs w:val="16"/>
          <w:lang w:val="pt-BR"/>
        </w:rPr>
        <w:t xml:space="preserve"> Corte IDH, Caso Cantoral Benavides Vs. Peru. Sentencia de 18 de agosto de 2000. Serie C No. 69, párr. 120; y Corte I.D.H., Caso Ricardo Canese vs. Paraguay. Sentencia de 31 de agosto de 2004. Serie C No. 111, párr. </w:t>
      </w:r>
      <w:r w:rsidRPr="001523BB">
        <w:rPr>
          <w:rFonts w:asciiTheme="majorHAnsi" w:hAnsiTheme="majorHAnsi"/>
          <w:sz w:val="16"/>
          <w:szCs w:val="16"/>
          <w:lang w:val="es-VE"/>
        </w:rPr>
        <w:t>153.</w:t>
      </w:r>
    </w:p>
  </w:footnote>
  <w:footnote w:id="109">
    <w:p w:rsidR="00B21A8E" w:rsidRPr="00263D92" w:rsidRDefault="00B21A8E">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sz w:val="16"/>
          <w:szCs w:val="16"/>
          <w:lang w:val="es-ES"/>
        </w:rPr>
      </w:pPr>
      <w:r w:rsidRPr="00263D92">
        <w:rPr>
          <w:rStyle w:val="FootnoteReference"/>
          <w:rFonts w:asciiTheme="majorHAnsi" w:hAnsiTheme="majorHAnsi"/>
          <w:sz w:val="16"/>
          <w:szCs w:val="16"/>
        </w:rPr>
        <w:footnoteRef/>
      </w:r>
      <w:r w:rsidRPr="00263D92">
        <w:rPr>
          <w:rFonts w:asciiTheme="majorHAnsi" w:hAnsiTheme="majorHAnsi"/>
          <w:sz w:val="16"/>
          <w:szCs w:val="16"/>
        </w:rPr>
        <w:t xml:space="preserve"> </w:t>
      </w:r>
      <w:r w:rsidRPr="00263D92">
        <w:rPr>
          <w:rFonts w:asciiTheme="majorHAnsi" w:hAnsiTheme="majorHAnsi" w:cs="Verdana"/>
          <w:bCs/>
          <w:sz w:val="16"/>
          <w:szCs w:val="16"/>
          <w:bdr w:val="none" w:sz="0" w:space="0" w:color="auto"/>
        </w:rPr>
        <w:t xml:space="preserve">Corte IDH. Caso </w:t>
      </w:r>
      <w:proofErr w:type="spellStart"/>
      <w:r w:rsidRPr="00263D92">
        <w:rPr>
          <w:rFonts w:asciiTheme="majorHAnsi" w:hAnsiTheme="majorHAnsi" w:cs="Verdana"/>
          <w:bCs/>
          <w:sz w:val="16"/>
          <w:szCs w:val="16"/>
          <w:bdr w:val="none" w:sz="0" w:space="0" w:color="auto"/>
        </w:rPr>
        <w:t>Chocrón</w:t>
      </w:r>
      <w:proofErr w:type="spellEnd"/>
      <w:r w:rsidRPr="00263D92">
        <w:rPr>
          <w:rFonts w:asciiTheme="majorHAnsi" w:hAnsiTheme="majorHAnsi" w:cs="Verdana"/>
          <w:bCs/>
          <w:sz w:val="16"/>
          <w:szCs w:val="16"/>
          <w:bdr w:val="none" w:sz="0" w:space="0" w:color="auto"/>
        </w:rPr>
        <w:t xml:space="preserve"> </w:t>
      </w:r>
      <w:proofErr w:type="spellStart"/>
      <w:r w:rsidRPr="00263D92">
        <w:rPr>
          <w:rFonts w:asciiTheme="majorHAnsi" w:hAnsiTheme="majorHAnsi" w:cs="Verdana"/>
          <w:bCs/>
          <w:sz w:val="16"/>
          <w:szCs w:val="16"/>
          <w:bdr w:val="none" w:sz="0" w:space="0" w:color="auto"/>
        </w:rPr>
        <w:t>Chocrón</w:t>
      </w:r>
      <w:proofErr w:type="spellEnd"/>
      <w:r w:rsidRPr="00263D92">
        <w:rPr>
          <w:rFonts w:asciiTheme="majorHAnsi" w:hAnsiTheme="majorHAnsi" w:cs="Verdana"/>
          <w:bCs/>
          <w:sz w:val="16"/>
          <w:szCs w:val="16"/>
          <w:bdr w:val="none" w:sz="0" w:space="0" w:color="auto"/>
        </w:rPr>
        <w:t xml:space="preserve"> Vs. Venezuela. Excepción Preliminar, Fondo, Reparaciones y Costas. Sentencia de 1 de julio de 2011. Serie C No. 227, párr. 118. </w:t>
      </w:r>
    </w:p>
  </w:footnote>
  <w:footnote w:id="110">
    <w:p w:rsidR="00B21A8E" w:rsidRPr="00263D92" w:rsidRDefault="00B21A8E">
      <w:pPr>
        <w:pStyle w:val="FootnoteText"/>
        <w:spacing w:after="120"/>
        <w:ind w:firstLine="720"/>
        <w:jc w:val="both"/>
        <w:rPr>
          <w:rFonts w:asciiTheme="majorHAnsi" w:hAnsiTheme="majorHAnsi"/>
          <w:sz w:val="16"/>
          <w:szCs w:val="16"/>
          <w:lang w:val="es-CO"/>
        </w:rPr>
      </w:pPr>
      <w:r w:rsidRPr="00263D92">
        <w:rPr>
          <w:rStyle w:val="FootnoteReference"/>
          <w:rFonts w:asciiTheme="majorHAnsi" w:hAnsiTheme="majorHAnsi"/>
          <w:sz w:val="16"/>
          <w:szCs w:val="16"/>
        </w:rPr>
        <w:footnoteRef/>
      </w:r>
      <w:r w:rsidRPr="00263D92">
        <w:rPr>
          <w:rFonts w:asciiTheme="majorHAnsi" w:hAnsiTheme="majorHAnsi"/>
          <w:sz w:val="16"/>
          <w:szCs w:val="16"/>
          <w:lang w:val="es-ES"/>
        </w:rPr>
        <w:t xml:space="preserve"> </w:t>
      </w:r>
      <w:r w:rsidRPr="00263D92">
        <w:rPr>
          <w:rFonts w:asciiTheme="majorHAnsi" w:hAnsiTheme="majorHAnsi" w:cs="Verdana"/>
          <w:bCs/>
          <w:sz w:val="16"/>
          <w:szCs w:val="16"/>
          <w:bdr w:val="none" w:sz="0" w:space="0" w:color="auto"/>
          <w:lang w:val="es-ES"/>
        </w:rPr>
        <w:t xml:space="preserve">Corte IDH. </w:t>
      </w:r>
      <w:r w:rsidRPr="00263D92">
        <w:rPr>
          <w:rFonts w:asciiTheme="majorHAnsi" w:hAnsiTheme="majorHAnsi"/>
          <w:sz w:val="16"/>
          <w:szCs w:val="16"/>
          <w:lang w:val="es-ES"/>
        </w:rPr>
        <w:t xml:space="preserve">Caso Chaparro Álvarez y Lapo Íñiguez. Vs. Ecuador. Excepción Preliminar, Fondo, Reparaciones y Costas. </w:t>
      </w:r>
      <w:r w:rsidRPr="00263D92">
        <w:rPr>
          <w:rFonts w:asciiTheme="majorHAnsi" w:hAnsiTheme="majorHAnsi"/>
          <w:sz w:val="16"/>
          <w:szCs w:val="16"/>
          <w:lang w:val="es-CO"/>
        </w:rPr>
        <w:t>Sentencia de 21 de noviembre de 2007. Serie C No. 170, párr. 107</w:t>
      </w:r>
      <w:r w:rsidRPr="00263D92">
        <w:rPr>
          <w:rFonts w:asciiTheme="majorHAnsi" w:hAnsiTheme="majorHAnsi" w:cs="Arial"/>
          <w:sz w:val="16"/>
          <w:szCs w:val="16"/>
          <w:lang w:val="es-CO"/>
        </w:rPr>
        <w:t>.</w:t>
      </w:r>
    </w:p>
  </w:footnote>
  <w:footnote w:id="111">
    <w:p w:rsidR="00B21A8E" w:rsidRPr="008C6661" w:rsidRDefault="00B21A8E">
      <w:pPr>
        <w:pStyle w:val="FootnoteText"/>
        <w:spacing w:after="120"/>
        <w:ind w:firstLine="720"/>
        <w:jc w:val="both"/>
        <w:rPr>
          <w:rFonts w:asciiTheme="majorHAnsi" w:hAnsiTheme="majorHAnsi"/>
          <w:sz w:val="16"/>
          <w:szCs w:val="16"/>
          <w:lang w:val="es-ES"/>
        </w:rPr>
      </w:pPr>
      <w:r w:rsidRPr="00263D92">
        <w:rPr>
          <w:rStyle w:val="FootnoteReference"/>
          <w:rFonts w:asciiTheme="majorHAnsi" w:hAnsiTheme="majorHAnsi"/>
          <w:sz w:val="16"/>
          <w:szCs w:val="16"/>
        </w:rPr>
        <w:footnoteRef/>
      </w:r>
      <w:r w:rsidRPr="00263D92">
        <w:rPr>
          <w:rFonts w:asciiTheme="majorHAnsi" w:hAnsiTheme="majorHAnsi"/>
          <w:sz w:val="16"/>
          <w:szCs w:val="16"/>
          <w:lang w:val="es-ES"/>
        </w:rPr>
        <w:t xml:space="preserve"> Corte IDH. </w:t>
      </w:r>
      <w:r w:rsidRPr="00263D92">
        <w:rPr>
          <w:rFonts w:asciiTheme="majorHAnsi" w:hAnsiTheme="majorHAnsi"/>
          <w:bCs/>
          <w:sz w:val="16"/>
          <w:szCs w:val="16"/>
          <w:lang w:val="es-ES"/>
        </w:rPr>
        <w:t xml:space="preserve">Caso </w:t>
      </w:r>
      <w:proofErr w:type="spellStart"/>
      <w:r w:rsidRPr="00263D92">
        <w:rPr>
          <w:rFonts w:asciiTheme="majorHAnsi" w:hAnsiTheme="majorHAnsi"/>
          <w:bCs/>
          <w:sz w:val="16"/>
          <w:szCs w:val="16"/>
          <w:lang w:val="es-ES"/>
        </w:rPr>
        <w:t>Chocrón</w:t>
      </w:r>
      <w:proofErr w:type="spellEnd"/>
      <w:r w:rsidRPr="00263D92">
        <w:rPr>
          <w:rFonts w:asciiTheme="majorHAnsi" w:hAnsiTheme="majorHAnsi"/>
          <w:bCs/>
          <w:sz w:val="16"/>
          <w:szCs w:val="16"/>
          <w:lang w:val="es-ES"/>
        </w:rPr>
        <w:t xml:space="preserve"> </w:t>
      </w:r>
      <w:proofErr w:type="spellStart"/>
      <w:r w:rsidRPr="00263D92">
        <w:rPr>
          <w:rFonts w:asciiTheme="majorHAnsi" w:hAnsiTheme="majorHAnsi"/>
          <w:bCs/>
          <w:sz w:val="16"/>
          <w:szCs w:val="16"/>
          <w:lang w:val="es-ES"/>
        </w:rPr>
        <w:t>Chocrón</w:t>
      </w:r>
      <w:proofErr w:type="spellEnd"/>
      <w:r w:rsidRPr="00263D92">
        <w:rPr>
          <w:rFonts w:asciiTheme="majorHAnsi" w:hAnsiTheme="majorHAnsi"/>
          <w:bCs/>
          <w:sz w:val="16"/>
          <w:szCs w:val="16"/>
          <w:lang w:val="es-ES"/>
        </w:rPr>
        <w:t xml:space="preserve"> Vs. Venezuela. </w:t>
      </w:r>
      <w:r w:rsidRPr="00263D92">
        <w:rPr>
          <w:rFonts w:asciiTheme="majorHAnsi" w:hAnsiTheme="majorHAnsi"/>
          <w:sz w:val="16"/>
          <w:szCs w:val="16"/>
          <w:lang w:val="es-ES"/>
        </w:rPr>
        <w:t>Excepción Preliminar, Fondo, Reparaciones y Costas. Sentencia de 1 de julio de 2011. Serie C No. 227, párr.118.</w:t>
      </w:r>
    </w:p>
  </w:footnote>
  <w:footnote w:id="112">
    <w:p w:rsidR="00B21A8E" w:rsidRPr="008C6661" w:rsidRDefault="00B21A8E">
      <w:pPr>
        <w:pStyle w:val="FootnoteText"/>
        <w:spacing w:after="120"/>
        <w:ind w:firstLine="720"/>
        <w:jc w:val="both"/>
        <w:rPr>
          <w:rFonts w:asciiTheme="majorHAnsi" w:hAnsiTheme="majorHAnsi"/>
          <w:sz w:val="16"/>
          <w:szCs w:val="16"/>
          <w:lang w:val="es-ES"/>
        </w:rPr>
      </w:pPr>
      <w:r w:rsidRPr="004961D8">
        <w:rPr>
          <w:rStyle w:val="FootnoteReference"/>
          <w:rFonts w:asciiTheme="majorHAnsi" w:hAnsiTheme="majorHAnsi"/>
          <w:sz w:val="16"/>
          <w:szCs w:val="16"/>
        </w:rPr>
        <w:footnoteRef/>
      </w:r>
      <w:r w:rsidRPr="004961D8">
        <w:rPr>
          <w:rFonts w:asciiTheme="majorHAnsi" w:hAnsiTheme="majorHAnsi"/>
          <w:sz w:val="16"/>
          <w:szCs w:val="16"/>
          <w:lang w:val="es-ES"/>
        </w:rPr>
        <w:t xml:space="preserve"> Corte IDH.</w:t>
      </w:r>
      <w:r w:rsidRPr="008C6661">
        <w:rPr>
          <w:rFonts w:asciiTheme="majorHAnsi" w:hAnsiTheme="majorHAnsi"/>
          <w:bCs/>
          <w:sz w:val="16"/>
          <w:szCs w:val="16"/>
          <w:lang w:val="es-ES"/>
        </w:rPr>
        <w:t xml:space="preserve"> Caso </w:t>
      </w:r>
      <w:proofErr w:type="spellStart"/>
      <w:r w:rsidRPr="008C6661">
        <w:rPr>
          <w:rFonts w:asciiTheme="majorHAnsi" w:hAnsiTheme="majorHAnsi"/>
          <w:bCs/>
          <w:sz w:val="16"/>
          <w:szCs w:val="16"/>
          <w:lang w:val="es-ES"/>
        </w:rPr>
        <w:t>Chocrón</w:t>
      </w:r>
      <w:proofErr w:type="spellEnd"/>
      <w:r w:rsidRPr="008C6661">
        <w:rPr>
          <w:rFonts w:asciiTheme="majorHAnsi" w:hAnsiTheme="majorHAnsi"/>
          <w:bCs/>
          <w:sz w:val="16"/>
          <w:szCs w:val="16"/>
          <w:lang w:val="es-ES"/>
        </w:rPr>
        <w:t xml:space="preserve"> </w:t>
      </w:r>
      <w:proofErr w:type="spellStart"/>
      <w:r w:rsidRPr="008C6661">
        <w:rPr>
          <w:rFonts w:asciiTheme="majorHAnsi" w:hAnsiTheme="majorHAnsi"/>
          <w:bCs/>
          <w:sz w:val="16"/>
          <w:szCs w:val="16"/>
          <w:lang w:val="es-ES"/>
        </w:rPr>
        <w:t>Chocrón</w:t>
      </w:r>
      <w:proofErr w:type="spellEnd"/>
      <w:r w:rsidRPr="008C6661">
        <w:rPr>
          <w:rFonts w:asciiTheme="majorHAnsi" w:hAnsiTheme="majorHAnsi"/>
          <w:bCs/>
          <w:sz w:val="16"/>
          <w:szCs w:val="16"/>
          <w:lang w:val="es-ES"/>
        </w:rPr>
        <w:t xml:space="preserve"> Vs. Venezuela. </w:t>
      </w:r>
      <w:r w:rsidRPr="008C6661">
        <w:rPr>
          <w:rFonts w:asciiTheme="majorHAnsi" w:hAnsiTheme="majorHAnsi"/>
          <w:sz w:val="16"/>
          <w:szCs w:val="16"/>
          <w:lang w:val="es-ES"/>
        </w:rPr>
        <w:t xml:space="preserve">Excepción Preliminar, Fondo, Reparaciones y Costas. Sentencia de 1 de julio de 2011. Serie C No. 227, párr.120. </w:t>
      </w:r>
    </w:p>
  </w:footnote>
  <w:footnote w:id="113">
    <w:p w:rsidR="00B21A8E" w:rsidRPr="008C6661" w:rsidRDefault="00B21A8E">
      <w:pPr>
        <w:pStyle w:val="FootnoteText"/>
        <w:spacing w:after="120"/>
        <w:ind w:firstLine="720"/>
        <w:jc w:val="both"/>
        <w:rPr>
          <w:rFonts w:asciiTheme="majorHAnsi" w:hAnsiTheme="majorHAnsi"/>
          <w:sz w:val="16"/>
          <w:szCs w:val="16"/>
          <w:lang w:val="es-ES"/>
        </w:rPr>
      </w:pPr>
      <w:r w:rsidRPr="004961D8">
        <w:rPr>
          <w:rStyle w:val="FootnoteReference"/>
          <w:rFonts w:asciiTheme="majorHAnsi" w:hAnsiTheme="majorHAnsi"/>
          <w:sz w:val="16"/>
          <w:szCs w:val="16"/>
        </w:rPr>
        <w:footnoteRef/>
      </w:r>
      <w:r w:rsidRPr="004961D8">
        <w:rPr>
          <w:rFonts w:asciiTheme="majorHAnsi" w:hAnsiTheme="majorHAnsi"/>
          <w:sz w:val="16"/>
          <w:szCs w:val="16"/>
          <w:lang w:val="es-ES"/>
        </w:rPr>
        <w:t xml:space="preserve"> Corte IDH. </w:t>
      </w:r>
      <w:r w:rsidRPr="008C6661">
        <w:rPr>
          <w:rFonts w:asciiTheme="majorHAnsi" w:hAnsiTheme="majorHAnsi"/>
          <w:bCs/>
          <w:sz w:val="16"/>
          <w:szCs w:val="16"/>
          <w:lang w:val="es-ES"/>
        </w:rPr>
        <w:t xml:space="preserve">Caso </w:t>
      </w:r>
      <w:proofErr w:type="spellStart"/>
      <w:r w:rsidRPr="008C6661">
        <w:rPr>
          <w:rFonts w:asciiTheme="majorHAnsi" w:hAnsiTheme="majorHAnsi"/>
          <w:bCs/>
          <w:sz w:val="16"/>
          <w:szCs w:val="16"/>
          <w:lang w:val="es-ES"/>
        </w:rPr>
        <w:t>Chocrón</w:t>
      </w:r>
      <w:proofErr w:type="spellEnd"/>
      <w:r w:rsidRPr="008C6661">
        <w:rPr>
          <w:rFonts w:asciiTheme="majorHAnsi" w:hAnsiTheme="majorHAnsi"/>
          <w:bCs/>
          <w:sz w:val="16"/>
          <w:szCs w:val="16"/>
          <w:lang w:val="es-ES"/>
        </w:rPr>
        <w:t xml:space="preserve"> </w:t>
      </w:r>
      <w:proofErr w:type="spellStart"/>
      <w:r w:rsidRPr="008C6661">
        <w:rPr>
          <w:rFonts w:asciiTheme="majorHAnsi" w:hAnsiTheme="majorHAnsi"/>
          <w:bCs/>
          <w:sz w:val="16"/>
          <w:szCs w:val="16"/>
          <w:lang w:val="es-ES"/>
        </w:rPr>
        <w:t>Chocrón</w:t>
      </w:r>
      <w:proofErr w:type="spellEnd"/>
      <w:r w:rsidRPr="008C6661">
        <w:rPr>
          <w:rFonts w:asciiTheme="majorHAnsi" w:hAnsiTheme="majorHAnsi"/>
          <w:bCs/>
          <w:sz w:val="16"/>
          <w:szCs w:val="16"/>
          <w:lang w:val="es-ES"/>
        </w:rPr>
        <w:t xml:space="preserve"> Vs. Venezuela. </w:t>
      </w:r>
      <w:r w:rsidRPr="008C6661">
        <w:rPr>
          <w:rFonts w:asciiTheme="majorHAnsi" w:hAnsiTheme="majorHAnsi"/>
          <w:sz w:val="16"/>
          <w:szCs w:val="16"/>
          <w:lang w:val="es-ES"/>
        </w:rPr>
        <w:t xml:space="preserve">Excepción Preliminar, Fondo, Reparaciones y Costas. Sentencia de 1 de julio de 2011. Serie C No. 227, párr.120. </w:t>
      </w:r>
    </w:p>
  </w:footnote>
  <w:footnote w:id="114">
    <w:p w:rsidR="00B21A8E" w:rsidRPr="00AD54A2" w:rsidRDefault="00B21A8E">
      <w:pPr>
        <w:pStyle w:val="FootnoteText"/>
        <w:spacing w:after="120"/>
        <w:ind w:firstLine="720"/>
        <w:jc w:val="both"/>
        <w:rPr>
          <w:rFonts w:asciiTheme="majorHAnsi" w:hAnsiTheme="majorHAnsi"/>
          <w:sz w:val="16"/>
          <w:szCs w:val="16"/>
          <w:lang w:val="es-ES"/>
        </w:rPr>
      </w:pPr>
      <w:r w:rsidRPr="004961D8">
        <w:rPr>
          <w:rStyle w:val="FootnoteReference"/>
          <w:rFonts w:asciiTheme="majorHAnsi" w:hAnsiTheme="majorHAnsi"/>
          <w:sz w:val="16"/>
          <w:szCs w:val="16"/>
        </w:rPr>
        <w:footnoteRef/>
      </w:r>
      <w:r w:rsidRPr="004961D8">
        <w:rPr>
          <w:rFonts w:asciiTheme="majorHAnsi" w:hAnsiTheme="majorHAnsi"/>
          <w:sz w:val="16"/>
          <w:szCs w:val="16"/>
          <w:lang w:val="es-ES"/>
        </w:rPr>
        <w:t xml:space="preserve"> Corte IDH. </w:t>
      </w:r>
      <w:hyperlink r:id="rId10" w:history="1">
        <w:r w:rsidRPr="008C6661">
          <w:rPr>
            <w:rStyle w:val="Hyperlink"/>
            <w:rFonts w:asciiTheme="majorHAnsi" w:hAnsiTheme="majorHAnsi" w:cs="Arial"/>
            <w:color w:val="auto"/>
            <w:sz w:val="16"/>
            <w:szCs w:val="16"/>
            <w:u w:val="none"/>
            <w:shd w:val="clear" w:color="auto" w:fill="FFFFFF"/>
            <w:lang w:val="es-ES"/>
          </w:rPr>
          <w:t>Caso De la Cruz Flores Vs. Perú. Fondo, Reparaciones y Costas. Sentencia de 18 de noviembre de 2004. Serie C No. 115</w:t>
        </w:r>
      </w:hyperlink>
      <w:r w:rsidRPr="004961D8">
        <w:rPr>
          <w:rFonts w:asciiTheme="majorHAnsi" w:hAnsiTheme="majorHAnsi"/>
          <w:sz w:val="16"/>
          <w:szCs w:val="16"/>
          <w:lang w:val="es-ES"/>
        </w:rPr>
        <w:t>, párr. 84.</w:t>
      </w:r>
    </w:p>
  </w:footnote>
  <w:footnote w:id="115">
    <w:p w:rsidR="00B21A8E" w:rsidRPr="00AD54A2" w:rsidRDefault="00B21A8E">
      <w:pPr>
        <w:pStyle w:val="FootnoteText"/>
        <w:ind w:firstLine="720"/>
        <w:jc w:val="both"/>
        <w:rPr>
          <w:rFonts w:asciiTheme="majorHAnsi" w:hAnsiTheme="majorHAnsi"/>
          <w:sz w:val="16"/>
          <w:szCs w:val="16"/>
          <w:lang w:val="es-CO"/>
        </w:rPr>
      </w:pPr>
      <w:r w:rsidRPr="00AD54A2">
        <w:rPr>
          <w:rStyle w:val="FootnoteReference"/>
          <w:rFonts w:asciiTheme="majorHAnsi" w:hAnsiTheme="majorHAnsi"/>
          <w:sz w:val="16"/>
          <w:szCs w:val="16"/>
        </w:rPr>
        <w:footnoteRef/>
      </w:r>
      <w:r w:rsidRPr="00AD54A2">
        <w:rPr>
          <w:rFonts w:asciiTheme="majorHAnsi" w:hAnsiTheme="majorHAnsi"/>
          <w:sz w:val="16"/>
          <w:szCs w:val="16"/>
          <w:lang w:val="es-CO"/>
        </w:rPr>
        <w:t xml:space="preserve"> CIDH. Informe No. 42/14. Caso 12.453. Informe de fondo. Olga Yolanda Maldonado Ordoñez. Guatemala. 14 de julio de 2014. Párr. 98. </w:t>
      </w:r>
    </w:p>
  </w:footnote>
  <w:footnote w:id="116">
    <w:p w:rsidR="00B21A8E" w:rsidRPr="004961D8" w:rsidRDefault="00B21A8E">
      <w:pPr>
        <w:pStyle w:val="FootnoteText"/>
        <w:ind w:firstLine="720"/>
        <w:jc w:val="both"/>
        <w:rPr>
          <w:rFonts w:asciiTheme="majorHAnsi" w:hAnsiTheme="majorHAnsi"/>
          <w:sz w:val="16"/>
          <w:szCs w:val="16"/>
          <w:lang w:val="es-VE"/>
        </w:rPr>
      </w:pPr>
      <w:r w:rsidRPr="004961D8">
        <w:rPr>
          <w:rStyle w:val="FootnoteReference"/>
          <w:rFonts w:asciiTheme="majorHAnsi" w:hAnsiTheme="majorHAnsi"/>
          <w:sz w:val="16"/>
          <w:szCs w:val="16"/>
        </w:rPr>
        <w:footnoteRef/>
      </w:r>
      <w:r w:rsidRPr="004961D8">
        <w:rPr>
          <w:rFonts w:asciiTheme="majorHAnsi" w:hAnsiTheme="majorHAnsi"/>
          <w:sz w:val="16"/>
          <w:szCs w:val="16"/>
          <w:lang w:val="es-VE"/>
        </w:rPr>
        <w:t xml:space="preserve"> CIDH, Informe sobre el Uso de la Prisión Preventiva en las Américas, OEA/</w:t>
      </w:r>
      <w:proofErr w:type="spellStart"/>
      <w:r w:rsidRPr="004961D8">
        <w:rPr>
          <w:rFonts w:asciiTheme="majorHAnsi" w:hAnsiTheme="majorHAnsi"/>
          <w:sz w:val="16"/>
          <w:szCs w:val="16"/>
          <w:lang w:val="es-VE"/>
        </w:rPr>
        <w:t>Ser.L</w:t>
      </w:r>
      <w:proofErr w:type="spellEnd"/>
      <w:r w:rsidRPr="004961D8">
        <w:rPr>
          <w:rFonts w:asciiTheme="majorHAnsi" w:hAnsiTheme="majorHAnsi"/>
          <w:sz w:val="16"/>
          <w:szCs w:val="16"/>
          <w:lang w:val="es-VE"/>
        </w:rPr>
        <w:t>/V/II.Doc.46/13, 30 de diciembre de 2013, párr.132.</w:t>
      </w:r>
    </w:p>
  </w:footnote>
  <w:footnote w:id="117">
    <w:p w:rsidR="00B21A8E" w:rsidRPr="00162E98" w:rsidRDefault="00B21A8E" w:rsidP="00020991">
      <w:pPr>
        <w:pStyle w:val="FootnoteText"/>
        <w:ind w:firstLine="720"/>
        <w:jc w:val="both"/>
        <w:rPr>
          <w:rFonts w:asciiTheme="majorHAnsi" w:hAnsiTheme="majorHAnsi"/>
          <w:sz w:val="16"/>
          <w:szCs w:val="16"/>
          <w:lang w:val="pt-BR"/>
        </w:rPr>
      </w:pPr>
      <w:r w:rsidRPr="00162E98">
        <w:rPr>
          <w:rStyle w:val="FootnoteReference"/>
          <w:rFonts w:asciiTheme="majorHAnsi" w:hAnsiTheme="majorHAnsi"/>
          <w:sz w:val="16"/>
          <w:szCs w:val="16"/>
        </w:rPr>
        <w:footnoteRef/>
      </w:r>
      <w:r w:rsidRPr="00162E98">
        <w:rPr>
          <w:rFonts w:asciiTheme="majorHAnsi" w:hAnsiTheme="majorHAnsi"/>
          <w:sz w:val="16"/>
          <w:szCs w:val="16"/>
          <w:lang w:val="pt-BR"/>
        </w:rPr>
        <w:t xml:space="preserve"> Daktaras v. Lithuania, no. 42095/98 (Sect. 3) (bil.), ECHR 2000-X – (10.10.00), § 30.</w:t>
      </w:r>
    </w:p>
  </w:footnote>
  <w:footnote w:id="118">
    <w:p w:rsidR="00B21A8E" w:rsidRPr="008C6661" w:rsidRDefault="00B21A8E" w:rsidP="00DE1989">
      <w:pPr>
        <w:pStyle w:val="FootnoteText"/>
        <w:ind w:firstLine="720"/>
        <w:jc w:val="both"/>
        <w:rPr>
          <w:rFonts w:asciiTheme="majorHAnsi" w:hAnsiTheme="majorHAnsi"/>
          <w:sz w:val="16"/>
          <w:szCs w:val="16"/>
          <w:lang w:val="es-VE"/>
        </w:rPr>
      </w:pPr>
      <w:r w:rsidRPr="004961D8">
        <w:rPr>
          <w:rStyle w:val="FootnoteReference"/>
          <w:rFonts w:asciiTheme="majorHAnsi" w:hAnsiTheme="majorHAnsi"/>
          <w:sz w:val="16"/>
          <w:szCs w:val="16"/>
        </w:rPr>
        <w:footnoteRef/>
      </w:r>
      <w:r w:rsidRPr="00162E98">
        <w:rPr>
          <w:rFonts w:asciiTheme="majorHAnsi" w:hAnsiTheme="majorHAnsi"/>
          <w:sz w:val="16"/>
          <w:szCs w:val="16"/>
          <w:lang w:val="pt-BR"/>
        </w:rPr>
        <w:t xml:space="preserve"> Corte IDH. </w:t>
      </w:r>
      <w:r w:rsidRPr="004961D8">
        <w:rPr>
          <w:rFonts w:asciiTheme="majorHAnsi" w:hAnsiTheme="majorHAnsi"/>
          <w:sz w:val="16"/>
          <w:szCs w:val="16"/>
          <w:lang w:val="es-VE"/>
        </w:rPr>
        <w:t xml:space="preserve">Caso </w:t>
      </w:r>
      <w:proofErr w:type="spellStart"/>
      <w:r w:rsidRPr="004961D8">
        <w:rPr>
          <w:rFonts w:asciiTheme="majorHAnsi" w:hAnsiTheme="majorHAnsi"/>
          <w:sz w:val="16"/>
          <w:szCs w:val="16"/>
          <w:lang w:val="es-VE"/>
        </w:rPr>
        <w:t>Apitz</w:t>
      </w:r>
      <w:proofErr w:type="spellEnd"/>
      <w:r w:rsidRPr="004961D8">
        <w:rPr>
          <w:rFonts w:asciiTheme="majorHAnsi" w:hAnsiTheme="majorHAnsi"/>
          <w:sz w:val="16"/>
          <w:szCs w:val="16"/>
          <w:lang w:val="es-VE"/>
        </w:rPr>
        <w:t xml:space="preserve"> Barbera y otros (“Corte Primera de lo Contencioso Administrativo”) vs. Venezuela.</w:t>
      </w:r>
      <w:r>
        <w:rPr>
          <w:rFonts w:asciiTheme="majorHAnsi" w:hAnsiTheme="majorHAnsi"/>
          <w:sz w:val="16"/>
          <w:szCs w:val="16"/>
          <w:lang w:val="es-VE"/>
        </w:rPr>
        <w:t xml:space="preserve"> </w:t>
      </w:r>
      <w:r w:rsidRPr="004961D8">
        <w:rPr>
          <w:rFonts w:asciiTheme="majorHAnsi" w:hAnsiTheme="majorHAnsi"/>
          <w:sz w:val="16"/>
          <w:szCs w:val="16"/>
          <w:lang w:val="es-VE"/>
        </w:rPr>
        <w:t xml:space="preserve">Excepción Preliminar, Fondo, Reparaciones y Costas. Sentencia de 5 de agosto de 2008. Serie C No. 182, </w:t>
      </w:r>
      <w:r w:rsidRPr="008C6661">
        <w:rPr>
          <w:rFonts w:asciiTheme="majorHAnsi" w:hAnsiTheme="majorHAnsi"/>
          <w:sz w:val="16"/>
          <w:szCs w:val="16"/>
          <w:lang w:val="es-VE"/>
        </w:rPr>
        <w:t xml:space="preserve">párr.55 y 56; CIDH. Informe No. 64/06, caso 12.489, Fondo, Ana Maria </w:t>
      </w:r>
      <w:proofErr w:type="spellStart"/>
      <w:r w:rsidRPr="008C6661">
        <w:rPr>
          <w:rFonts w:asciiTheme="majorHAnsi" w:hAnsiTheme="majorHAnsi"/>
          <w:sz w:val="16"/>
          <w:szCs w:val="16"/>
          <w:lang w:val="es-VE"/>
        </w:rPr>
        <w:t>Ruggeri</w:t>
      </w:r>
      <w:proofErr w:type="spellEnd"/>
      <w:r w:rsidRPr="008C6661">
        <w:rPr>
          <w:rFonts w:asciiTheme="majorHAnsi" w:hAnsiTheme="majorHAnsi"/>
          <w:sz w:val="16"/>
          <w:szCs w:val="16"/>
          <w:lang w:val="es-VE"/>
        </w:rPr>
        <w:t xml:space="preserve"> </w:t>
      </w:r>
      <w:proofErr w:type="spellStart"/>
      <w:r w:rsidRPr="008C6661">
        <w:rPr>
          <w:rFonts w:asciiTheme="majorHAnsi" w:hAnsiTheme="majorHAnsi"/>
          <w:sz w:val="16"/>
          <w:szCs w:val="16"/>
          <w:lang w:val="es-VE"/>
        </w:rPr>
        <w:t>Cova</w:t>
      </w:r>
      <w:proofErr w:type="spellEnd"/>
      <w:r w:rsidRPr="008C6661">
        <w:rPr>
          <w:rFonts w:asciiTheme="majorHAnsi" w:hAnsiTheme="majorHAnsi"/>
          <w:sz w:val="16"/>
          <w:szCs w:val="16"/>
          <w:lang w:val="es-VE"/>
        </w:rPr>
        <w:t xml:space="preserve">, </w:t>
      </w:r>
      <w:proofErr w:type="spellStart"/>
      <w:r w:rsidRPr="008C6661">
        <w:rPr>
          <w:rFonts w:asciiTheme="majorHAnsi" w:hAnsiTheme="majorHAnsi"/>
          <w:sz w:val="16"/>
          <w:szCs w:val="16"/>
          <w:lang w:val="es-VE"/>
        </w:rPr>
        <w:t>Perkins</w:t>
      </w:r>
      <w:proofErr w:type="spellEnd"/>
      <w:r w:rsidRPr="008C6661">
        <w:rPr>
          <w:rFonts w:asciiTheme="majorHAnsi" w:hAnsiTheme="majorHAnsi"/>
          <w:sz w:val="16"/>
          <w:szCs w:val="16"/>
          <w:lang w:val="es-VE"/>
        </w:rPr>
        <w:t xml:space="preserve"> Rocha Contreras y Juan Carlos </w:t>
      </w:r>
      <w:proofErr w:type="spellStart"/>
      <w:r w:rsidRPr="008C6661">
        <w:rPr>
          <w:rFonts w:asciiTheme="majorHAnsi" w:hAnsiTheme="majorHAnsi"/>
          <w:sz w:val="16"/>
          <w:szCs w:val="16"/>
          <w:lang w:val="es-VE"/>
        </w:rPr>
        <w:t>Apitz</w:t>
      </w:r>
      <w:proofErr w:type="spellEnd"/>
      <w:r w:rsidRPr="008C6661">
        <w:rPr>
          <w:rFonts w:asciiTheme="majorHAnsi" w:hAnsiTheme="majorHAnsi"/>
          <w:sz w:val="16"/>
          <w:szCs w:val="16"/>
          <w:lang w:val="es-VE"/>
        </w:rPr>
        <w:t>, “Corte Primera de lo Contencioso Administrativo”, Venezuela, 20 de julio de 2006, párr.108 y 109</w:t>
      </w:r>
      <w:r>
        <w:rPr>
          <w:rFonts w:asciiTheme="majorHAnsi" w:hAnsiTheme="majorHAnsi"/>
          <w:sz w:val="16"/>
          <w:szCs w:val="16"/>
          <w:lang w:val="es-VE"/>
        </w:rPr>
        <w:t>.</w:t>
      </w:r>
    </w:p>
  </w:footnote>
  <w:footnote w:id="119">
    <w:p w:rsidR="00B21A8E" w:rsidRPr="00444405" w:rsidRDefault="00B21A8E" w:rsidP="00020991">
      <w:pPr>
        <w:pStyle w:val="FootnoteText"/>
        <w:ind w:firstLine="720"/>
        <w:jc w:val="both"/>
        <w:rPr>
          <w:rFonts w:asciiTheme="majorHAnsi" w:hAnsiTheme="majorHAnsi"/>
          <w:sz w:val="16"/>
          <w:szCs w:val="16"/>
          <w:lang w:val="es-VE"/>
        </w:rPr>
      </w:pPr>
      <w:r w:rsidRPr="00444405">
        <w:rPr>
          <w:rStyle w:val="FootnoteReference"/>
          <w:rFonts w:asciiTheme="majorHAnsi" w:hAnsiTheme="majorHAnsi"/>
          <w:sz w:val="16"/>
          <w:szCs w:val="16"/>
        </w:rPr>
        <w:footnoteRef/>
      </w:r>
      <w:r w:rsidRPr="00C858C1">
        <w:rPr>
          <w:rFonts w:asciiTheme="majorHAnsi" w:hAnsiTheme="majorHAnsi"/>
          <w:sz w:val="16"/>
          <w:szCs w:val="16"/>
          <w:lang w:val="es-CO"/>
        </w:rPr>
        <w:t xml:space="preserve"> Corte IDH. </w:t>
      </w:r>
      <w:r w:rsidRPr="00444405">
        <w:rPr>
          <w:rFonts w:asciiTheme="majorHAnsi" w:hAnsiTheme="majorHAnsi"/>
          <w:sz w:val="16"/>
          <w:szCs w:val="16"/>
          <w:lang w:val="es-VE"/>
        </w:rPr>
        <w:t>Caso Chaparro Álvarez y Lapo Íñiguez vs.</w:t>
      </w:r>
      <w:r>
        <w:rPr>
          <w:rFonts w:asciiTheme="majorHAnsi" w:hAnsiTheme="majorHAnsi"/>
          <w:sz w:val="16"/>
          <w:szCs w:val="16"/>
          <w:lang w:val="es-VE"/>
        </w:rPr>
        <w:t xml:space="preserve"> Ecuador. Excepciones Preliminares, Fondo, Reparaciones y Costas. Sentencia de 21 de noviembre de 2007. Serie C No. 170,</w:t>
      </w:r>
      <w:r w:rsidRPr="00444405">
        <w:rPr>
          <w:rFonts w:asciiTheme="majorHAnsi" w:hAnsiTheme="majorHAnsi"/>
          <w:sz w:val="16"/>
          <w:szCs w:val="16"/>
          <w:lang w:val="es-VE"/>
        </w:rPr>
        <w:t xml:space="preserve"> párr.73</w:t>
      </w:r>
      <w:r>
        <w:rPr>
          <w:rFonts w:asciiTheme="majorHAnsi" w:hAnsiTheme="majorHAnsi"/>
          <w:sz w:val="16"/>
          <w:szCs w:val="16"/>
          <w:lang w:val="es-VE"/>
        </w:rPr>
        <w:t>.</w:t>
      </w:r>
    </w:p>
  </w:footnote>
  <w:footnote w:id="120">
    <w:p w:rsidR="00B21A8E" w:rsidRPr="00263D92" w:rsidRDefault="00B21A8E" w:rsidP="00DE1989">
      <w:pPr>
        <w:pStyle w:val="FootnoteText"/>
        <w:ind w:firstLine="720"/>
        <w:jc w:val="both"/>
        <w:rPr>
          <w:rFonts w:asciiTheme="majorHAnsi" w:hAnsiTheme="majorHAnsi"/>
          <w:sz w:val="16"/>
          <w:szCs w:val="16"/>
          <w:lang w:val="es-VE"/>
        </w:rPr>
      </w:pPr>
      <w:r w:rsidRPr="00263D92">
        <w:rPr>
          <w:rStyle w:val="FootnoteReference"/>
          <w:rFonts w:asciiTheme="majorHAnsi" w:hAnsiTheme="majorHAnsi"/>
          <w:sz w:val="16"/>
          <w:szCs w:val="16"/>
        </w:rPr>
        <w:footnoteRef/>
      </w:r>
      <w:r w:rsidRPr="00263D92">
        <w:rPr>
          <w:rFonts w:asciiTheme="majorHAnsi" w:hAnsiTheme="majorHAnsi"/>
          <w:sz w:val="16"/>
          <w:szCs w:val="16"/>
          <w:lang w:val="es-VE"/>
        </w:rPr>
        <w:t xml:space="preserve"> CIDH, Informe sobre Terrorismo y Derechos Humanos, OEA/SER.L/V/II.116, Doc. 5 </w:t>
      </w:r>
      <w:proofErr w:type="spellStart"/>
      <w:r w:rsidRPr="00263D92">
        <w:rPr>
          <w:rFonts w:asciiTheme="majorHAnsi" w:hAnsiTheme="majorHAnsi"/>
          <w:sz w:val="16"/>
          <w:szCs w:val="16"/>
          <w:lang w:val="es-VE"/>
        </w:rPr>
        <w:t>rev.</w:t>
      </w:r>
      <w:proofErr w:type="spellEnd"/>
      <w:r w:rsidRPr="00263D92">
        <w:rPr>
          <w:rFonts w:asciiTheme="majorHAnsi" w:hAnsiTheme="majorHAnsi"/>
          <w:sz w:val="16"/>
          <w:szCs w:val="16"/>
          <w:lang w:val="es-VE"/>
        </w:rPr>
        <w:t xml:space="preserve"> 1, </w:t>
      </w:r>
      <w:proofErr w:type="spellStart"/>
      <w:r w:rsidRPr="00263D92">
        <w:rPr>
          <w:rFonts w:asciiTheme="majorHAnsi" w:hAnsiTheme="majorHAnsi"/>
          <w:sz w:val="16"/>
          <w:szCs w:val="16"/>
          <w:lang w:val="es-VE"/>
        </w:rPr>
        <w:t>c</w:t>
      </w:r>
      <w:r w:rsidRPr="00C858C1">
        <w:rPr>
          <w:rFonts w:asciiTheme="majorHAnsi" w:hAnsiTheme="majorHAnsi"/>
          <w:sz w:val="16"/>
          <w:szCs w:val="16"/>
          <w:lang w:val="es-VE"/>
        </w:rPr>
        <w:t>orr</w:t>
      </w:r>
      <w:proofErr w:type="spellEnd"/>
      <w:r w:rsidRPr="00C858C1">
        <w:rPr>
          <w:rFonts w:asciiTheme="majorHAnsi" w:hAnsiTheme="majorHAnsi"/>
          <w:sz w:val="16"/>
          <w:szCs w:val="16"/>
          <w:lang w:val="es-VE"/>
        </w:rPr>
        <w:t xml:space="preserve">., 22 de octubre de 2002, </w:t>
      </w:r>
      <w:r w:rsidRPr="00263D92">
        <w:rPr>
          <w:rFonts w:asciiTheme="majorHAnsi" w:hAnsiTheme="majorHAnsi"/>
          <w:sz w:val="16"/>
          <w:szCs w:val="16"/>
          <w:lang w:val="es-ES_tradnl"/>
        </w:rPr>
        <w:t>párr. 218.</w:t>
      </w:r>
    </w:p>
  </w:footnote>
  <w:footnote w:id="121">
    <w:p w:rsidR="00B21A8E" w:rsidRPr="00263D92" w:rsidRDefault="00B21A8E">
      <w:pPr>
        <w:pStyle w:val="FootnoteText"/>
        <w:spacing w:after="120"/>
        <w:ind w:firstLine="720"/>
        <w:jc w:val="both"/>
        <w:rPr>
          <w:rFonts w:asciiTheme="majorHAnsi" w:hAnsiTheme="majorHAnsi"/>
          <w:sz w:val="16"/>
          <w:szCs w:val="16"/>
          <w:lang w:val="es-ES_tradnl"/>
        </w:rPr>
      </w:pPr>
      <w:r w:rsidRPr="00263D92">
        <w:rPr>
          <w:rStyle w:val="FootnoteReference"/>
          <w:rFonts w:asciiTheme="majorHAnsi" w:hAnsiTheme="majorHAnsi"/>
          <w:sz w:val="16"/>
          <w:szCs w:val="16"/>
        </w:rPr>
        <w:footnoteRef/>
      </w:r>
      <w:r w:rsidRPr="00263D92">
        <w:rPr>
          <w:rFonts w:asciiTheme="majorHAnsi" w:hAnsiTheme="majorHAnsi"/>
          <w:sz w:val="16"/>
          <w:szCs w:val="16"/>
          <w:lang w:val="es-ES_tradnl"/>
        </w:rPr>
        <w:t xml:space="preserve"> CIDH, Informe No 176/10, Caso 12.576, 12.611 y 12.612, Segundo Aniceto </w:t>
      </w:r>
      <w:proofErr w:type="spellStart"/>
      <w:r w:rsidRPr="00263D92">
        <w:rPr>
          <w:rFonts w:asciiTheme="majorHAnsi" w:hAnsiTheme="majorHAnsi"/>
          <w:sz w:val="16"/>
          <w:szCs w:val="16"/>
          <w:lang w:val="es-ES_tradnl"/>
        </w:rPr>
        <w:t>Norin</w:t>
      </w:r>
      <w:proofErr w:type="spellEnd"/>
      <w:r w:rsidRPr="00263D92">
        <w:rPr>
          <w:rFonts w:asciiTheme="majorHAnsi" w:hAnsiTheme="majorHAnsi"/>
          <w:sz w:val="16"/>
          <w:szCs w:val="16"/>
          <w:lang w:val="es-ES_tradnl"/>
        </w:rPr>
        <w:t xml:space="preserve"> </w:t>
      </w:r>
      <w:proofErr w:type="spellStart"/>
      <w:r w:rsidRPr="00263D92">
        <w:rPr>
          <w:rFonts w:asciiTheme="majorHAnsi" w:hAnsiTheme="majorHAnsi"/>
          <w:sz w:val="16"/>
          <w:szCs w:val="16"/>
          <w:lang w:val="es-ES_tradnl"/>
        </w:rPr>
        <w:t>Catriman</w:t>
      </w:r>
      <w:proofErr w:type="spellEnd"/>
      <w:r w:rsidRPr="00263D92">
        <w:rPr>
          <w:rFonts w:asciiTheme="majorHAnsi" w:hAnsiTheme="majorHAnsi"/>
          <w:sz w:val="16"/>
          <w:szCs w:val="16"/>
          <w:lang w:val="es-ES_tradnl"/>
        </w:rPr>
        <w:t xml:space="preserve">, Juan Patricio </w:t>
      </w:r>
      <w:proofErr w:type="spellStart"/>
      <w:r w:rsidRPr="00263D92">
        <w:rPr>
          <w:rFonts w:asciiTheme="majorHAnsi" w:hAnsiTheme="majorHAnsi"/>
          <w:sz w:val="16"/>
          <w:szCs w:val="16"/>
          <w:lang w:val="es-ES_tradnl"/>
        </w:rPr>
        <w:t>Marileo</w:t>
      </w:r>
      <w:proofErr w:type="spellEnd"/>
      <w:r w:rsidRPr="00263D92">
        <w:rPr>
          <w:rFonts w:asciiTheme="majorHAnsi" w:hAnsiTheme="majorHAnsi"/>
          <w:sz w:val="16"/>
          <w:szCs w:val="16"/>
          <w:lang w:val="es-ES_tradnl"/>
        </w:rPr>
        <w:t xml:space="preserve"> Saravia, </w:t>
      </w:r>
      <w:proofErr w:type="spellStart"/>
      <w:r w:rsidRPr="00263D92">
        <w:rPr>
          <w:rFonts w:asciiTheme="majorHAnsi" w:hAnsiTheme="majorHAnsi"/>
          <w:sz w:val="16"/>
          <w:szCs w:val="16"/>
          <w:lang w:val="es-ES_tradnl"/>
        </w:rPr>
        <w:t>Victor</w:t>
      </w:r>
      <w:proofErr w:type="spellEnd"/>
      <w:r w:rsidRPr="00263D92">
        <w:rPr>
          <w:rFonts w:asciiTheme="majorHAnsi" w:hAnsiTheme="majorHAnsi"/>
          <w:sz w:val="16"/>
          <w:szCs w:val="16"/>
          <w:lang w:val="es-ES_tradnl"/>
        </w:rPr>
        <w:t xml:space="preserve"> </w:t>
      </w:r>
      <w:proofErr w:type="spellStart"/>
      <w:r w:rsidRPr="00263D92">
        <w:rPr>
          <w:rFonts w:asciiTheme="majorHAnsi" w:hAnsiTheme="majorHAnsi"/>
          <w:sz w:val="16"/>
          <w:szCs w:val="16"/>
          <w:lang w:val="es-ES_tradnl"/>
        </w:rPr>
        <w:t>Ancalaf</w:t>
      </w:r>
      <w:proofErr w:type="spellEnd"/>
      <w:r w:rsidRPr="00263D92">
        <w:rPr>
          <w:rFonts w:asciiTheme="majorHAnsi" w:hAnsiTheme="majorHAnsi"/>
          <w:sz w:val="16"/>
          <w:szCs w:val="16"/>
          <w:lang w:val="es-ES_tradnl"/>
        </w:rPr>
        <w:t xml:space="preserve"> </w:t>
      </w:r>
      <w:proofErr w:type="spellStart"/>
      <w:r w:rsidRPr="00263D92">
        <w:rPr>
          <w:rFonts w:asciiTheme="majorHAnsi" w:hAnsiTheme="majorHAnsi"/>
          <w:sz w:val="16"/>
          <w:szCs w:val="16"/>
          <w:lang w:val="es-ES_tradnl"/>
        </w:rPr>
        <w:t>Llaupe</w:t>
      </w:r>
      <w:proofErr w:type="spellEnd"/>
      <w:r w:rsidRPr="00263D92">
        <w:rPr>
          <w:rFonts w:asciiTheme="majorHAnsi" w:hAnsiTheme="majorHAnsi"/>
          <w:sz w:val="16"/>
          <w:szCs w:val="16"/>
          <w:lang w:val="es-ES_tradnl"/>
        </w:rPr>
        <w:t xml:space="preserve"> y otros, fondo, Chile, 5 de noviembre de 2010, Párr.284. </w:t>
      </w:r>
    </w:p>
  </w:footnote>
  <w:footnote w:id="122">
    <w:p w:rsidR="00B21A8E" w:rsidRPr="00263D92" w:rsidRDefault="00B21A8E">
      <w:pPr>
        <w:pStyle w:val="FootnoteText"/>
        <w:spacing w:after="120"/>
        <w:ind w:firstLine="720"/>
        <w:jc w:val="both"/>
        <w:rPr>
          <w:rFonts w:asciiTheme="majorHAnsi" w:hAnsiTheme="majorHAnsi"/>
          <w:sz w:val="16"/>
          <w:szCs w:val="16"/>
          <w:lang w:val="es-ES_tradnl"/>
        </w:rPr>
      </w:pPr>
      <w:r w:rsidRPr="00263D92">
        <w:rPr>
          <w:rStyle w:val="FootnoteReference"/>
          <w:rFonts w:asciiTheme="majorHAnsi" w:hAnsiTheme="majorHAnsi"/>
          <w:sz w:val="16"/>
          <w:szCs w:val="16"/>
        </w:rPr>
        <w:footnoteRef/>
      </w:r>
      <w:r w:rsidRPr="00263D92">
        <w:rPr>
          <w:rFonts w:asciiTheme="majorHAnsi" w:hAnsiTheme="majorHAnsi"/>
          <w:sz w:val="16"/>
          <w:szCs w:val="16"/>
          <w:lang w:val="es-ES_tradnl"/>
        </w:rPr>
        <w:t xml:space="preserve"> Corte IDH, Caso Cantoral Benavides v. Perú, sentencia del 18 de agosto de 2000 (fondo), Serie C No. 69, párr. 137. Ver también </w:t>
      </w:r>
      <w:r w:rsidRPr="00263D92">
        <w:rPr>
          <w:rFonts w:asciiTheme="majorHAnsi" w:hAnsiTheme="majorHAnsi"/>
          <w:sz w:val="16"/>
          <w:szCs w:val="16"/>
          <w:lang w:val="es-VE"/>
        </w:rPr>
        <w:t xml:space="preserve">CIDH, Informe No 1/95, Caso 11.006, Perú, 7 de febrero de 1995; Corte IDH, Caso Mohamed vs. Argentina. Excepción Preliminar, Fondo, Reparaciones y Costas. Sentencia de 23 de noviembre de 2012. Serie C No. 255, párr. 120. La Corte IDH también ha indicado que el principio del non bis in ídem, “aun cuando es un derecho humano reconocido en el artículo 8.4 de la Convención Americana, no es un derecho absoluto y , por tanto, no resulta aplicable cuando: i) la actuación del tribunal que conoció el caso y decidió sobreseer o absolver al responsable de una violación a los derechos humanos o al derecho internacional obedeció al propósito de sustraer al acusado de su responsabilidad penal; ii) el procedimiento no fue instruido independiente o imparcialmente de conformidad con las debidas garantías procesales, o iii) no hubo la intención real de someter al responsable a la acción de la justicia. Ver. Corte IDH, Caso </w:t>
      </w:r>
      <w:proofErr w:type="spellStart"/>
      <w:r w:rsidRPr="00263D92">
        <w:rPr>
          <w:rFonts w:asciiTheme="majorHAnsi" w:hAnsiTheme="majorHAnsi"/>
          <w:sz w:val="16"/>
          <w:szCs w:val="16"/>
          <w:lang w:val="es-VE"/>
        </w:rPr>
        <w:t>Almonacid</w:t>
      </w:r>
      <w:proofErr w:type="spellEnd"/>
      <w:r w:rsidRPr="00263D92">
        <w:rPr>
          <w:rFonts w:asciiTheme="majorHAnsi" w:hAnsiTheme="majorHAnsi"/>
          <w:sz w:val="16"/>
          <w:szCs w:val="16"/>
          <w:lang w:val="es-VE"/>
        </w:rPr>
        <w:t xml:space="preserve"> Arellano y otros vs. Chile, Excepciones Preliminares, Fondo, Reparaciones y Costas. Sentencia de 26 de septiembre de 2006, Serie C No. 154, párr. 154.</w:t>
      </w:r>
    </w:p>
  </w:footnote>
  <w:footnote w:id="123">
    <w:p w:rsidR="00B21A8E" w:rsidRPr="004961D8" w:rsidRDefault="00B21A8E">
      <w:pPr>
        <w:pStyle w:val="FootnoteText"/>
        <w:ind w:firstLine="720"/>
        <w:jc w:val="both"/>
        <w:rPr>
          <w:rFonts w:asciiTheme="majorHAnsi" w:hAnsiTheme="majorHAnsi"/>
          <w:sz w:val="16"/>
          <w:szCs w:val="16"/>
          <w:lang w:val="es-VE"/>
        </w:rPr>
      </w:pPr>
      <w:r w:rsidRPr="00263D92">
        <w:rPr>
          <w:rStyle w:val="FootnoteReference"/>
          <w:rFonts w:asciiTheme="majorHAnsi" w:hAnsiTheme="majorHAnsi"/>
          <w:sz w:val="16"/>
          <w:szCs w:val="16"/>
        </w:rPr>
        <w:footnoteRef/>
      </w:r>
      <w:r w:rsidRPr="00263D92">
        <w:rPr>
          <w:rFonts w:asciiTheme="majorHAnsi" w:hAnsiTheme="majorHAnsi"/>
          <w:sz w:val="16"/>
          <w:szCs w:val="16"/>
          <w:lang w:val="es-VE"/>
        </w:rPr>
        <w:t xml:space="preserve"> Estatuto de Roma de la Corte Penal Internacional.</w:t>
      </w:r>
      <w:r w:rsidRPr="004961D8">
        <w:rPr>
          <w:rFonts w:asciiTheme="majorHAnsi" w:hAnsiTheme="majorHAnsi"/>
          <w:sz w:val="16"/>
          <w:szCs w:val="16"/>
          <w:lang w:val="es-VE"/>
        </w:rPr>
        <w:t xml:space="preserve"> </w:t>
      </w:r>
    </w:p>
  </w:footnote>
  <w:footnote w:id="124">
    <w:p w:rsidR="00B21A8E" w:rsidRPr="004961D8" w:rsidRDefault="00B21A8E">
      <w:pPr>
        <w:pStyle w:val="FootnoteText"/>
        <w:ind w:firstLine="720"/>
        <w:jc w:val="both"/>
        <w:rPr>
          <w:rFonts w:asciiTheme="majorHAnsi" w:hAnsiTheme="majorHAnsi"/>
          <w:sz w:val="16"/>
          <w:szCs w:val="16"/>
          <w:lang w:val="es-VE"/>
        </w:rPr>
      </w:pPr>
      <w:r w:rsidRPr="004961D8">
        <w:rPr>
          <w:rStyle w:val="FootnoteReference"/>
          <w:rFonts w:asciiTheme="majorHAnsi" w:hAnsiTheme="majorHAnsi"/>
          <w:sz w:val="16"/>
          <w:szCs w:val="16"/>
        </w:rPr>
        <w:footnoteRef/>
      </w:r>
      <w:r w:rsidRPr="00263D92">
        <w:rPr>
          <w:rFonts w:asciiTheme="majorHAnsi" w:hAnsiTheme="majorHAnsi"/>
          <w:sz w:val="16"/>
          <w:szCs w:val="16"/>
          <w:lang w:val="es-VE"/>
        </w:rPr>
        <w:t xml:space="preserve">Carta de los Derechos Fundamentales de </w:t>
      </w:r>
      <w:r>
        <w:rPr>
          <w:rFonts w:asciiTheme="majorHAnsi" w:hAnsiTheme="majorHAnsi"/>
          <w:sz w:val="16"/>
          <w:szCs w:val="16"/>
          <w:lang w:val="es-VE"/>
        </w:rPr>
        <w:t>la Unión Europea (200/C 364/01).</w:t>
      </w:r>
    </w:p>
  </w:footnote>
  <w:footnote w:id="125">
    <w:p w:rsidR="00B21A8E" w:rsidRPr="00C858C1" w:rsidRDefault="00E076CF">
      <w:pPr>
        <w:pStyle w:val="FootnoteText"/>
        <w:ind w:firstLine="720"/>
        <w:jc w:val="both"/>
        <w:rPr>
          <w:rFonts w:asciiTheme="majorHAnsi" w:hAnsiTheme="majorHAnsi"/>
          <w:sz w:val="16"/>
          <w:szCs w:val="16"/>
          <w:lang w:val="es-CO"/>
        </w:rPr>
      </w:pPr>
      <w:hyperlink r:id="rId11" w:history="1">
        <w:r w:rsidR="00B21A8E" w:rsidRPr="00263D92">
          <w:rPr>
            <w:rStyle w:val="Hyperlink"/>
            <w:rFonts w:asciiTheme="majorHAnsi" w:hAnsiTheme="majorHAnsi"/>
            <w:sz w:val="16"/>
            <w:szCs w:val="16"/>
            <w:vertAlign w:val="superscript"/>
          </w:rPr>
          <w:footnoteRef/>
        </w:r>
        <w:r w:rsidR="00B21A8E" w:rsidRPr="00263D92">
          <w:rPr>
            <w:rStyle w:val="Hyperlink"/>
            <w:rFonts w:asciiTheme="majorHAnsi" w:hAnsiTheme="majorHAnsi"/>
            <w:sz w:val="16"/>
            <w:szCs w:val="16"/>
            <w:lang w:val="es-VE"/>
          </w:rPr>
          <w:t xml:space="preserve"> Protocolo no</w:t>
        </w:r>
        <w:r w:rsidR="00B21A8E">
          <w:rPr>
            <w:rStyle w:val="Hyperlink"/>
            <w:rFonts w:asciiTheme="majorHAnsi" w:hAnsiTheme="majorHAnsi"/>
            <w:sz w:val="16"/>
            <w:szCs w:val="16"/>
            <w:lang w:val="es-VE"/>
          </w:rPr>
          <w:t>.</w:t>
        </w:r>
        <w:r w:rsidR="00B21A8E" w:rsidRPr="00263D92">
          <w:rPr>
            <w:rStyle w:val="Hyperlink"/>
            <w:rFonts w:asciiTheme="majorHAnsi" w:hAnsiTheme="majorHAnsi"/>
            <w:sz w:val="16"/>
            <w:szCs w:val="16"/>
            <w:lang w:val="es-VE"/>
          </w:rPr>
          <w:t xml:space="preserve"> 7 al Convenio para la Protección de los Derechos Humanos y de las Libertad Fundamentales</w:t>
        </w:r>
      </w:hyperlink>
      <w:r w:rsidR="00B21A8E" w:rsidRPr="004961D8">
        <w:rPr>
          <w:rFonts w:asciiTheme="majorHAnsi" w:hAnsiTheme="majorHAnsi"/>
          <w:sz w:val="16"/>
          <w:szCs w:val="16"/>
          <w:lang w:val="es-VE"/>
        </w:rPr>
        <w:t xml:space="preserve">; ver también Consejo de Europa, </w:t>
      </w:r>
      <w:proofErr w:type="spellStart"/>
      <w:r w:rsidR="00B21A8E" w:rsidRPr="004961D8">
        <w:rPr>
          <w:rFonts w:asciiTheme="majorHAnsi" w:hAnsiTheme="majorHAnsi"/>
          <w:sz w:val="16"/>
          <w:szCs w:val="16"/>
          <w:lang w:val="es-VE"/>
        </w:rPr>
        <w:t>E</w:t>
      </w:r>
      <w:hyperlink r:id="rId12" w:history="1">
        <w:r w:rsidR="00B21A8E" w:rsidRPr="00263D92">
          <w:rPr>
            <w:rStyle w:val="Hyperlink"/>
            <w:rFonts w:asciiTheme="majorHAnsi" w:hAnsiTheme="majorHAnsi"/>
            <w:sz w:val="16"/>
            <w:szCs w:val="16"/>
            <w:lang w:val="es-VE"/>
          </w:rPr>
          <w:t>xplanatory</w:t>
        </w:r>
        <w:proofErr w:type="spellEnd"/>
        <w:r w:rsidR="00B21A8E" w:rsidRPr="00263D92">
          <w:rPr>
            <w:rStyle w:val="Hyperlink"/>
            <w:rFonts w:asciiTheme="majorHAnsi" w:hAnsiTheme="majorHAnsi"/>
            <w:sz w:val="16"/>
            <w:szCs w:val="16"/>
            <w:lang w:val="es-VE"/>
          </w:rPr>
          <w:t xml:space="preserve"> </w:t>
        </w:r>
        <w:proofErr w:type="spellStart"/>
        <w:r w:rsidR="00B21A8E" w:rsidRPr="00263D92">
          <w:rPr>
            <w:rStyle w:val="Hyperlink"/>
            <w:rFonts w:asciiTheme="majorHAnsi" w:hAnsiTheme="majorHAnsi"/>
            <w:sz w:val="16"/>
            <w:szCs w:val="16"/>
            <w:lang w:val="es-VE"/>
          </w:rPr>
          <w:t>Report</w:t>
        </w:r>
        <w:proofErr w:type="spellEnd"/>
        <w:r w:rsidR="00B21A8E" w:rsidRPr="00263D92">
          <w:rPr>
            <w:rStyle w:val="Hyperlink"/>
            <w:rFonts w:asciiTheme="majorHAnsi" w:hAnsiTheme="majorHAnsi"/>
            <w:sz w:val="16"/>
            <w:szCs w:val="16"/>
            <w:lang w:val="es-VE"/>
          </w:rPr>
          <w:t xml:space="preserve"> to </w:t>
        </w:r>
        <w:proofErr w:type="spellStart"/>
        <w:r w:rsidR="00B21A8E" w:rsidRPr="00263D92">
          <w:rPr>
            <w:rStyle w:val="Hyperlink"/>
            <w:rFonts w:asciiTheme="majorHAnsi" w:hAnsiTheme="majorHAnsi"/>
            <w:sz w:val="16"/>
            <w:szCs w:val="16"/>
            <w:lang w:val="es-VE"/>
          </w:rPr>
          <w:t>the</w:t>
        </w:r>
        <w:proofErr w:type="spellEnd"/>
        <w:r w:rsidR="00B21A8E" w:rsidRPr="00263D92">
          <w:rPr>
            <w:rStyle w:val="Hyperlink"/>
            <w:rFonts w:asciiTheme="majorHAnsi" w:hAnsiTheme="majorHAnsi"/>
            <w:sz w:val="16"/>
            <w:szCs w:val="16"/>
            <w:lang w:val="es-VE"/>
          </w:rPr>
          <w:t xml:space="preserve"> </w:t>
        </w:r>
        <w:proofErr w:type="spellStart"/>
        <w:r w:rsidR="00B21A8E" w:rsidRPr="00263D92">
          <w:rPr>
            <w:rStyle w:val="Hyperlink"/>
            <w:rFonts w:asciiTheme="majorHAnsi" w:hAnsiTheme="majorHAnsi"/>
            <w:sz w:val="16"/>
            <w:szCs w:val="16"/>
            <w:lang w:val="es-VE"/>
          </w:rPr>
          <w:t>Protocol</w:t>
        </w:r>
        <w:proofErr w:type="spellEnd"/>
        <w:r w:rsidR="00B21A8E" w:rsidRPr="00263D92">
          <w:rPr>
            <w:rStyle w:val="Hyperlink"/>
            <w:rFonts w:asciiTheme="majorHAnsi" w:hAnsiTheme="majorHAnsi"/>
            <w:sz w:val="16"/>
            <w:szCs w:val="16"/>
            <w:lang w:val="es-VE"/>
          </w:rPr>
          <w:t xml:space="preserve"> No.7 to </w:t>
        </w:r>
        <w:proofErr w:type="spellStart"/>
        <w:r w:rsidR="00B21A8E" w:rsidRPr="00263D92">
          <w:rPr>
            <w:rStyle w:val="Hyperlink"/>
            <w:rFonts w:asciiTheme="majorHAnsi" w:hAnsiTheme="majorHAnsi"/>
            <w:sz w:val="16"/>
            <w:szCs w:val="16"/>
            <w:lang w:val="es-VE"/>
          </w:rPr>
          <w:t>the</w:t>
        </w:r>
        <w:proofErr w:type="spellEnd"/>
        <w:r w:rsidR="00B21A8E" w:rsidRPr="00263D92">
          <w:rPr>
            <w:rStyle w:val="Hyperlink"/>
            <w:rFonts w:asciiTheme="majorHAnsi" w:hAnsiTheme="majorHAnsi"/>
            <w:sz w:val="16"/>
            <w:szCs w:val="16"/>
            <w:lang w:val="es-VE"/>
          </w:rPr>
          <w:t xml:space="preserve"> </w:t>
        </w:r>
        <w:proofErr w:type="spellStart"/>
        <w:r w:rsidR="00B21A8E" w:rsidRPr="00263D92">
          <w:rPr>
            <w:rStyle w:val="Hyperlink"/>
            <w:rFonts w:asciiTheme="majorHAnsi" w:hAnsiTheme="majorHAnsi"/>
            <w:sz w:val="16"/>
            <w:szCs w:val="16"/>
            <w:lang w:val="es-VE"/>
          </w:rPr>
          <w:t>Convention</w:t>
        </w:r>
        <w:proofErr w:type="spellEnd"/>
        <w:r w:rsidR="00B21A8E" w:rsidRPr="00263D92">
          <w:rPr>
            <w:rStyle w:val="Hyperlink"/>
            <w:rFonts w:asciiTheme="majorHAnsi" w:hAnsiTheme="majorHAnsi"/>
            <w:sz w:val="16"/>
            <w:szCs w:val="16"/>
            <w:lang w:val="es-VE"/>
          </w:rPr>
          <w:t xml:space="preserve"> </w:t>
        </w:r>
        <w:proofErr w:type="spellStart"/>
        <w:r w:rsidR="00B21A8E" w:rsidRPr="00263D92">
          <w:rPr>
            <w:rStyle w:val="Hyperlink"/>
            <w:rFonts w:asciiTheme="majorHAnsi" w:hAnsiTheme="majorHAnsi"/>
            <w:sz w:val="16"/>
            <w:szCs w:val="16"/>
            <w:lang w:val="es-VE"/>
          </w:rPr>
          <w:t>for</w:t>
        </w:r>
        <w:proofErr w:type="spellEnd"/>
        <w:r w:rsidR="00B21A8E" w:rsidRPr="00263D92">
          <w:rPr>
            <w:rStyle w:val="Hyperlink"/>
            <w:rFonts w:asciiTheme="majorHAnsi" w:hAnsiTheme="majorHAnsi"/>
            <w:sz w:val="16"/>
            <w:szCs w:val="16"/>
            <w:lang w:val="es-VE"/>
          </w:rPr>
          <w:t xml:space="preserve"> </w:t>
        </w:r>
        <w:proofErr w:type="spellStart"/>
        <w:r w:rsidR="00B21A8E" w:rsidRPr="00263D92">
          <w:rPr>
            <w:rStyle w:val="Hyperlink"/>
            <w:rFonts w:asciiTheme="majorHAnsi" w:hAnsiTheme="majorHAnsi"/>
            <w:sz w:val="16"/>
            <w:szCs w:val="16"/>
            <w:lang w:val="es-VE"/>
          </w:rPr>
          <w:t>the</w:t>
        </w:r>
        <w:proofErr w:type="spellEnd"/>
        <w:r w:rsidR="00B21A8E" w:rsidRPr="00263D92">
          <w:rPr>
            <w:rStyle w:val="Hyperlink"/>
            <w:rFonts w:asciiTheme="majorHAnsi" w:hAnsiTheme="majorHAnsi"/>
            <w:sz w:val="16"/>
            <w:szCs w:val="16"/>
            <w:lang w:val="es-VE"/>
          </w:rPr>
          <w:t xml:space="preserve"> </w:t>
        </w:r>
        <w:proofErr w:type="spellStart"/>
        <w:r w:rsidR="00B21A8E" w:rsidRPr="00263D92">
          <w:rPr>
            <w:rStyle w:val="Hyperlink"/>
            <w:rFonts w:asciiTheme="majorHAnsi" w:hAnsiTheme="majorHAnsi"/>
            <w:sz w:val="16"/>
            <w:szCs w:val="16"/>
            <w:lang w:val="es-VE"/>
          </w:rPr>
          <w:t>Protection</w:t>
        </w:r>
        <w:proofErr w:type="spellEnd"/>
        <w:r w:rsidR="00B21A8E" w:rsidRPr="00263D92">
          <w:rPr>
            <w:rStyle w:val="Hyperlink"/>
            <w:rFonts w:asciiTheme="majorHAnsi" w:hAnsiTheme="majorHAnsi"/>
            <w:sz w:val="16"/>
            <w:szCs w:val="16"/>
            <w:lang w:val="es-VE"/>
          </w:rPr>
          <w:t xml:space="preserve"> of Human </w:t>
        </w:r>
        <w:proofErr w:type="spellStart"/>
        <w:r w:rsidR="00B21A8E" w:rsidRPr="00263D92">
          <w:rPr>
            <w:rStyle w:val="Hyperlink"/>
            <w:rFonts w:asciiTheme="majorHAnsi" w:hAnsiTheme="majorHAnsi"/>
            <w:sz w:val="16"/>
            <w:szCs w:val="16"/>
            <w:lang w:val="es-VE"/>
          </w:rPr>
          <w:t>Rights</w:t>
        </w:r>
        <w:proofErr w:type="spellEnd"/>
        <w:r w:rsidR="00B21A8E" w:rsidRPr="00263D92">
          <w:rPr>
            <w:rStyle w:val="Hyperlink"/>
            <w:rFonts w:asciiTheme="majorHAnsi" w:hAnsiTheme="majorHAnsi"/>
            <w:sz w:val="16"/>
            <w:szCs w:val="16"/>
            <w:lang w:val="es-VE"/>
          </w:rPr>
          <w:t xml:space="preserve"> and Fundamental </w:t>
        </w:r>
        <w:proofErr w:type="spellStart"/>
        <w:r w:rsidR="00B21A8E" w:rsidRPr="00263D92">
          <w:rPr>
            <w:rStyle w:val="Hyperlink"/>
            <w:rFonts w:asciiTheme="majorHAnsi" w:hAnsiTheme="majorHAnsi"/>
            <w:sz w:val="16"/>
            <w:szCs w:val="16"/>
            <w:lang w:val="es-VE"/>
          </w:rPr>
          <w:t>Freedoms</w:t>
        </w:r>
        <w:proofErr w:type="spellEnd"/>
      </w:hyperlink>
      <w:r w:rsidR="00B21A8E" w:rsidRPr="00246539">
        <w:rPr>
          <w:rFonts w:asciiTheme="majorHAnsi" w:hAnsiTheme="majorHAnsi"/>
          <w:sz w:val="16"/>
          <w:szCs w:val="16"/>
          <w:lang w:val="es-VE"/>
        </w:rPr>
        <w:t xml:space="preserve">, Párr.29. </w:t>
      </w:r>
    </w:p>
  </w:footnote>
  <w:footnote w:id="126">
    <w:p w:rsidR="00B21A8E" w:rsidRPr="00AD54A2" w:rsidRDefault="00B21A8E">
      <w:pPr>
        <w:pStyle w:val="FootnoteText"/>
        <w:ind w:firstLine="720"/>
        <w:jc w:val="both"/>
        <w:rPr>
          <w:rFonts w:asciiTheme="majorHAnsi" w:hAnsiTheme="majorHAnsi"/>
          <w:sz w:val="16"/>
          <w:szCs w:val="16"/>
        </w:rPr>
      </w:pPr>
      <w:r w:rsidRPr="004961D8">
        <w:rPr>
          <w:rStyle w:val="FootnoteReference"/>
          <w:rFonts w:asciiTheme="majorHAnsi" w:hAnsiTheme="majorHAnsi"/>
          <w:sz w:val="16"/>
          <w:szCs w:val="16"/>
        </w:rPr>
        <w:footnoteRef/>
      </w:r>
      <w:r w:rsidRPr="004961D8">
        <w:rPr>
          <w:rFonts w:asciiTheme="majorHAnsi" w:hAnsiTheme="majorHAnsi"/>
          <w:sz w:val="16"/>
          <w:szCs w:val="16"/>
        </w:rPr>
        <w:t xml:space="preserve"> </w:t>
      </w:r>
      <w:proofErr w:type="gramStart"/>
      <w:r w:rsidRPr="004961D8">
        <w:rPr>
          <w:rFonts w:asciiTheme="majorHAnsi" w:hAnsiTheme="majorHAnsi"/>
          <w:sz w:val="16"/>
          <w:szCs w:val="16"/>
        </w:rPr>
        <w:t xml:space="preserve">Affaire </w:t>
      </w:r>
      <w:proofErr w:type="spellStart"/>
      <w:r w:rsidRPr="004961D8">
        <w:rPr>
          <w:rFonts w:asciiTheme="majorHAnsi" w:hAnsiTheme="majorHAnsi"/>
          <w:sz w:val="16"/>
          <w:szCs w:val="16"/>
        </w:rPr>
        <w:t>Gra</w:t>
      </w:r>
      <w:r w:rsidRPr="00246539">
        <w:rPr>
          <w:rFonts w:asciiTheme="majorHAnsi" w:hAnsiTheme="majorHAnsi"/>
          <w:sz w:val="16"/>
          <w:szCs w:val="16"/>
        </w:rPr>
        <w:t>dinger</w:t>
      </w:r>
      <w:proofErr w:type="spellEnd"/>
      <w:r w:rsidRPr="00246539">
        <w:rPr>
          <w:rFonts w:asciiTheme="majorHAnsi" w:hAnsiTheme="majorHAnsi"/>
          <w:sz w:val="16"/>
          <w:szCs w:val="16"/>
        </w:rPr>
        <w:t xml:space="preserve"> v Austria (33/1994/480/562) Judgment of 23 October 1995, para.53.</w:t>
      </w:r>
      <w:proofErr w:type="gramEnd"/>
    </w:p>
  </w:footnote>
  <w:footnote w:id="127">
    <w:p w:rsidR="00B21A8E" w:rsidRPr="00FA0F86" w:rsidRDefault="00B21A8E" w:rsidP="00020991">
      <w:pPr>
        <w:pStyle w:val="FootnoteText"/>
        <w:ind w:firstLine="720"/>
        <w:jc w:val="both"/>
        <w:rPr>
          <w:rFonts w:asciiTheme="majorHAnsi" w:hAnsiTheme="majorHAnsi"/>
          <w:sz w:val="16"/>
          <w:szCs w:val="16"/>
        </w:rPr>
      </w:pPr>
      <w:r w:rsidRPr="00FA0F86">
        <w:rPr>
          <w:rStyle w:val="FootnoteReference"/>
          <w:rFonts w:asciiTheme="majorHAnsi" w:hAnsiTheme="majorHAnsi"/>
          <w:sz w:val="16"/>
          <w:szCs w:val="16"/>
        </w:rPr>
        <w:footnoteRef/>
      </w:r>
      <w:r w:rsidRPr="00FA0F86">
        <w:rPr>
          <w:rFonts w:asciiTheme="majorHAnsi" w:hAnsiTheme="majorHAnsi"/>
          <w:sz w:val="16"/>
          <w:szCs w:val="16"/>
        </w:rPr>
        <w:t xml:space="preserve"> </w:t>
      </w:r>
      <w:proofErr w:type="gramStart"/>
      <w:r w:rsidRPr="00FA0F86">
        <w:rPr>
          <w:rFonts w:asciiTheme="majorHAnsi" w:hAnsiTheme="majorHAnsi"/>
          <w:sz w:val="16"/>
          <w:szCs w:val="16"/>
        </w:rPr>
        <w:t>TEDH, Engel and others v. the Netherlands, judgment of 8 June 1976.</w:t>
      </w:r>
      <w:proofErr w:type="gramEnd"/>
      <w:r w:rsidRPr="00FA0F86">
        <w:rPr>
          <w:rFonts w:asciiTheme="majorHAnsi" w:hAnsiTheme="majorHAnsi"/>
          <w:sz w:val="16"/>
          <w:szCs w:val="16"/>
        </w:rPr>
        <w:t xml:space="preserve"> </w:t>
      </w:r>
    </w:p>
  </w:footnote>
  <w:footnote w:id="128">
    <w:p w:rsidR="00B21A8E" w:rsidRPr="004961D8" w:rsidRDefault="00B21A8E" w:rsidP="00DE1989">
      <w:pPr>
        <w:pStyle w:val="FootnoteText"/>
        <w:ind w:firstLine="720"/>
        <w:jc w:val="both"/>
        <w:rPr>
          <w:rFonts w:asciiTheme="majorHAnsi" w:hAnsiTheme="majorHAnsi"/>
          <w:sz w:val="16"/>
          <w:szCs w:val="16"/>
        </w:rPr>
      </w:pPr>
      <w:r w:rsidRPr="004961D8">
        <w:rPr>
          <w:rStyle w:val="FootnoteReference"/>
          <w:rFonts w:asciiTheme="majorHAnsi" w:hAnsiTheme="majorHAnsi"/>
          <w:sz w:val="16"/>
          <w:szCs w:val="16"/>
        </w:rPr>
        <w:footnoteRef/>
      </w:r>
      <w:proofErr w:type="gramStart"/>
      <w:r w:rsidRPr="004961D8">
        <w:rPr>
          <w:rFonts w:asciiTheme="majorHAnsi" w:hAnsiTheme="majorHAnsi"/>
          <w:sz w:val="16"/>
          <w:szCs w:val="16"/>
        </w:rPr>
        <w:t xml:space="preserve">TEDH, Case of Sergey </w:t>
      </w:r>
      <w:proofErr w:type="spellStart"/>
      <w:r w:rsidRPr="004961D8">
        <w:rPr>
          <w:rFonts w:asciiTheme="majorHAnsi" w:hAnsiTheme="majorHAnsi"/>
          <w:sz w:val="16"/>
          <w:szCs w:val="16"/>
        </w:rPr>
        <w:t>Zolotukhin</w:t>
      </w:r>
      <w:proofErr w:type="spellEnd"/>
      <w:r w:rsidRPr="004961D8">
        <w:rPr>
          <w:rFonts w:asciiTheme="majorHAnsi" w:hAnsiTheme="majorHAnsi"/>
          <w:sz w:val="16"/>
          <w:szCs w:val="16"/>
        </w:rPr>
        <w:t xml:space="preserve"> v. Russia, Grand Chamber, 10 </w:t>
      </w:r>
      <w:proofErr w:type="spellStart"/>
      <w:r w:rsidRPr="004961D8">
        <w:rPr>
          <w:rFonts w:asciiTheme="majorHAnsi" w:hAnsiTheme="majorHAnsi"/>
          <w:sz w:val="16"/>
          <w:szCs w:val="16"/>
        </w:rPr>
        <w:t>febrero</w:t>
      </w:r>
      <w:proofErr w:type="spellEnd"/>
      <w:r w:rsidRPr="004961D8">
        <w:rPr>
          <w:rFonts w:asciiTheme="majorHAnsi" w:hAnsiTheme="majorHAnsi"/>
          <w:sz w:val="16"/>
          <w:szCs w:val="16"/>
        </w:rPr>
        <w:t xml:space="preserve"> de 2009, Párr.81.</w:t>
      </w:r>
      <w:proofErr w:type="gramEnd"/>
      <w:r w:rsidRPr="004961D8">
        <w:rPr>
          <w:rFonts w:asciiTheme="majorHAnsi" w:hAnsiTheme="majorHAnsi"/>
          <w:sz w:val="16"/>
          <w:szCs w:val="16"/>
        </w:rPr>
        <w:t xml:space="preserve"> </w:t>
      </w:r>
    </w:p>
  </w:footnote>
  <w:footnote w:id="129">
    <w:p w:rsidR="00B21A8E" w:rsidRPr="00615C80" w:rsidRDefault="00B21A8E">
      <w:pPr>
        <w:pStyle w:val="FootnoteText"/>
        <w:ind w:firstLine="720"/>
        <w:jc w:val="both"/>
        <w:rPr>
          <w:rFonts w:asciiTheme="majorHAnsi" w:hAnsiTheme="majorHAnsi"/>
        </w:rPr>
      </w:pPr>
      <w:r w:rsidRPr="004961D8">
        <w:rPr>
          <w:rStyle w:val="FootnoteReference"/>
          <w:rFonts w:asciiTheme="majorHAnsi" w:hAnsiTheme="majorHAnsi"/>
          <w:sz w:val="16"/>
          <w:szCs w:val="16"/>
        </w:rPr>
        <w:footnoteRef/>
      </w:r>
      <w:proofErr w:type="gramStart"/>
      <w:r w:rsidRPr="004961D8">
        <w:rPr>
          <w:rFonts w:asciiTheme="majorHAnsi" w:hAnsiTheme="majorHAnsi"/>
          <w:sz w:val="16"/>
          <w:szCs w:val="16"/>
        </w:rPr>
        <w:t xml:space="preserve">TEDH, Case of Sergey </w:t>
      </w:r>
      <w:proofErr w:type="spellStart"/>
      <w:r w:rsidRPr="004961D8">
        <w:rPr>
          <w:rFonts w:asciiTheme="majorHAnsi" w:hAnsiTheme="majorHAnsi"/>
          <w:sz w:val="16"/>
          <w:szCs w:val="16"/>
        </w:rPr>
        <w:t>Zolotukhin</w:t>
      </w:r>
      <w:proofErr w:type="spellEnd"/>
      <w:r w:rsidRPr="004961D8">
        <w:rPr>
          <w:rFonts w:asciiTheme="majorHAnsi" w:hAnsiTheme="majorHAnsi"/>
          <w:sz w:val="16"/>
          <w:szCs w:val="16"/>
        </w:rPr>
        <w:t xml:space="preserve"> v. Russia, Grand Cham</w:t>
      </w:r>
      <w:r>
        <w:rPr>
          <w:rFonts w:asciiTheme="majorHAnsi" w:hAnsiTheme="majorHAnsi"/>
          <w:sz w:val="16"/>
          <w:szCs w:val="16"/>
        </w:rPr>
        <w:t xml:space="preserve">ber, 10 </w:t>
      </w:r>
      <w:proofErr w:type="spellStart"/>
      <w:r>
        <w:rPr>
          <w:rFonts w:asciiTheme="majorHAnsi" w:hAnsiTheme="majorHAnsi"/>
          <w:sz w:val="16"/>
          <w:szCs w:val="16"/>
        </w:rPr>
        <w:t>febrero</w:t>
      </w:r>
      <w:proofErr w:type="spellEnd"/>
      <w:r>
        <w:rPr>
          <w:rFonts w:asciiTheme="majorHAnsi" w:hAnsiTheme="majorHAnsi"/>
          <w:sz w:val="16"/>
          <w:szCs w:val="16"/>
        </w:rPr>
        <w:t xml:space="preserve"> de 2009, Párr.82</w:t>
      </w:r>
      <w:r w:rsidRPr="004961D8">
        <w:rPr>
          <w:rFonts w:asciiTheme="majorHAnsi" w:hAnsiTheme="majorHAnsi"/>
          <w:sz w:val="16"/>
          <w:szCs w:val="16"/>
        </w:rPr>
        <w:t>.</w:t>
      </w:r>
      <w:proofErr w:type="gramEnd"/>
      <w:r w:rsidRPr="004961D8">
        <w:rPr>
          <w:rFonts w:asciiTheme="majorHAnsi" w:hAnsiTheme="majorHAnsi"/>
          <w:sz w:val="16"/>
          <w:szCs w:val="16"/>
        </w:rPr>
        <w:t xml:space="preserve"> </w:t>
      </w:r>
      <w:r>
        <w:rPr>
          <w:rFonts w:asciiTheme="majorHAnsi" w:hAnsiTheme="majorHAnsi"/>
          <w:sz w:val="16"/>
          <w:szCs w:val="16"/>
        </w:rPr>
        <w:t xml:space="preserve"> </w:t>
      </w:r>
      <w:r w:rsidRPr="00B75B92">
        <w:rPr>
          <w:rFonts w:asciiTheme="majorHAnsi" w:hAnsiTheme="majorHAnsi"/>
          <w:sz w:val="16"/>
          <w:szCs w:val="16"/>
          <w:lang w:val="es-VE"/>
        </w:rPr>
        <w:t xml:space="preserve">En dicha decisión el Tribunal Europeo también hizo referencia a otras </w:t>
      </w:r>
      <w:r>
        <w:rPr>
          <w:rFonts w:asciiTheme="majorHAnsi" w:hAnsiTheme="majorHAnsi"/>
          <w:sz w:val="16"/>
          <w:szCs w:val="16"/>
          <w:lang w:val="es-VE"/>
        </w:rPr>
        <w:t xml:space="preserve">decisiones relacionadas con el principio non bis in ídem en el derecho nacional. En particular se refirió a las decisiones de la Suprema Corte de Estados Unidos en los casos </w:t>
      </w:r>
      <w:proofErr w:type="spellStart"/>
      <w:r>
        <w:rPr>
          <w:rFonts w:asciiTheme="majorHAnsi" w:hAnsiTheme="majorHAnsi"/>
          <w:sz w:val="16"/>
          <w:szCs w:val="16"/>
          <w:lang w:val="es-VE"/>
        </w:rPr>
        <w:t>Blockburger</w:t>
      </w:r>
      <w:proofErr w:type="spellEnd"/>
      <w:r>
        <w:rPr>
          <w:rFonts w:asciiTheme="majorHAnsi" w:hAnsiTheme="majorHAnsi"/>
          <w:sz w:val="16"/>
          <w:szCs w:val="16"/>
          <w:lang w:val="es-VE"/>
        </w:rPr>
        <w:t xml:space="preserve"> y Dixon.  Refirió que en el caso </w:t>
      </w:r>
      <w:proofErr w:type="spellStart"/>
      <w:r>
        <w:rPr>
          <w:rFonts w:asciiTheme="majorHAnsi" w:hAnsiTheme="majorHAnsi"/>
          <w:sz w:val="16"/>
          <w:szCs w:val="16"/>
          <w:lang w:val="es-VE"/>
        </w:rPr>
        <w:t>Blockburger</w:t>
      </w:r>
      <w:proofErr w:type="spellEnd"/>
      <w:r>
        <w:rPr>
          <w:rFonts w:asciiTheme="majorHAnsi" w:hAnsiTheme="majorHAnsi"/>
          <w:sz w:val="16"/>
          <w:szCs w:val="16"/>
          <w:lang w:val="es-VE"/>
        </w:rPr>
        <w:t xml:space="preserve">, </w:t>
      </w:r>
      <w:r w:rsidRPr="00B75B92">
        <w:rPr>
          <w:rFonts w:asciiTheme="majorHAnsi" w:hAnsiTheme="majorHAnsi"/>
          <w:sz w:val="16"/>
          <w:szCs w:val="16"/>
          <w:lang w:val="es-CL"/>
        </w:rPr>
        <w:t xml:space="preserve">en el que la persona procesada </w:t>
      </w:r>
      <w:r w:rsidRPr="00B75B92">
        <w:rPr>
          <w:rFonts w:asciiTheme="majorHAnsi" w:hAnsiTheme="majorHAnsi"/>
          <w:sz w:val="16"/>
          <w:szCs w:val="16"/>
          <w:lang w:val="es-VE"/>
        </w:rPr>
        <w:t>había vendido drogas que no estaban en el envase original y sin orden escrita del comprador, y en el que la venta se caracterizó como dos delitos distintos, la Corte Suprema adoptó la siguiente interpretación sobre el principio del doble enjuiciamiento:</w:t>
      </w:r>
      <w:r>
        <w:rPr>
          <w:rFonts w:asciiTheme="majorHAnsi" w:hAnsiTheme="majorHAnsi"/>
          <w:sz w:val="16"/>
          <w:szCs w:val="16"/>
          <w:lang w:val="es-VE"/>
        </w:rPr>
        <w:t xml:space="preserve"> </w:t>
      </w:r>
      <w:r w:rsidRPr="00B75B92">
        <w:rPr>
          <w:rFonts w:asciiTheme="majorHAnsi" w:hAnsiTheme="majorHAnsi"/>
          <w:sz w:val="16"/>
          <w:szCs w:val="16"/>
          <w:lang w:val="es-VE"/>
        </w:rPr>
        <w:t>Cada uno de los delitos creados requiere la prueba de un elemento diferente. La regla aplicable es que si el mismo acto o transacción constituye una violación de dos disposiciones legales distintas, el criterio que debe aplicarse para determinar si hay dos delitos o sólo uno es si cada disposición requiere la prueba de un hecho adicional que el otro no (...) Un solo acto puede ser un delito respecto de dos disposiciones legales. Si cada disposición legal requiere prueba de un hecho adicional que el otro, una absolución o convicción bajo cualquiera de los estatutos no exime al acusado de enjuiciamiento y castigo bajo el otro”.</w:t>
      </w:r>
      <w:r>
        <w:rPr>
          <w:rFonts w:asciiTheme="majorHAnsi" w:hAnsiTheme="majorHAnsi"/>
          <w:sz w:val="16"/>
          <w:szCs w:val="16"/>
          <w:lang w:val="es-VE"/>
        </w:rPr>
        <w:t xml:space="preserve">  Asimismo, indicó que con posterioridad, en el caso Dixon la Corte Suprema adoptó el “test de </w:t>
      </w:r>
      <w:proofErr w:type="spellStart"/>
      <w:r>
        <w:rPr>
          <w:rFonts w:asciiTheme="majorHAnsi" w:hAnsiTheme="majorHAnsi"/>
          <w:sz w:val="16"/>
          <w:szCs w:val="16"/>
          <w:lang w:val="es-VE"/>
        </w:rPr>
        <w:t>Blockburger</w:t>
      </w:r>
      <w:proofErr w:type="spellEnd"/>
      <w:r>
        <w:rPr>
          <w:rFonts w:asciiTheme="majorHAnsi" w:hAnsiTheme="majorHAnsi"/>
          <w:sz w:val="16"/>
          <w:szCs w:val="16"/>
          <w:lang w:val="es-VE"/>
        </w:rPr>
        <w:t xml:space="preserve">” e indicó que </w:t>
      </w:r>
      <w:r>
        <w:rPr>
          <w:rFonts w:asciiTheme="majorHAnsi" w:hAnsiTheme="majorHAnsi" w:cs="Arial"/>
          <w:shd w:val="clear" w:color="auto" w:fill="FFFFFF"/>
          <w:lang w:val="es-VE"/>
        </w:rPr>
        <w:t xml:space="preserve"> </w:t>
      </w:r>
      <w:r w:rsidRPr="009021AC">
        <w:rPr>
          <w:rFonts w:asciiTheme="majorHAnsi" w:hAnsiTheme="majorHAnsi" w:cs="Arial"/>
          <w:sz w:val="16"/>
          <w:szCs w:val="16"/>
          <w:shd w:val="clear" w:color="auto" w:fill="FFFFFF"/>
          <w:lang w:val="es-VE"/>
        </w:rPr>
        <w:t>(</w:t>
      </w:r>
      <w:proofErr w:type="gramStart"/>
      <w:r w:rsidRPr="009021AC">
        <w:rPr>
          <w:rFonts w:asciiTheme="majorHAnsi" w:hAnsiTheme="majorHAnsi" w:cs="Arial"/>
          <w:sz w:val="16"/>
          <w:szCs w:val="16"/>
          <w:shd w:val="clear" w:color="auto" w:fill="FFFFFF"/>
          <w:lang w:val="es-VE"/>
        </w:rPr>
        <w:t>..)</w:t>
      </w:r>
      <w:proofErr w:type="gramEnd"/>
      <w:r w:rsidRPr="009021AC">
        <w:rPr>
          <w:rFonts w:asciiTheme="majorHAnsi" w:hAnsiTheme="majorHAnsi" w:cs="Arial"/>
          <w:sz w:val="16"/>
          <w:szCs w:val="16"/>
          <w:shd w:val="clear" w:color="auto" w:fill="FFFFFF"/>
          <w:lang w:val="es-VE"/>
        </w:rPr>
        <w:t xml:space="preserve"> En el contexto de los castigos múltiples y de la persecución sucesiva, la prohibición de doble enjuiciamiento se aplica si los dos delitos respecto de los cuales el acusado es castigado o juzgado no pueden sobrevivir a los "mismos elementos" o test </w:t>
      </w:r>
      <w:proofErr w:type="spellStart"/>
      <w:r w:rsidRPr="009021AC">
        <w:rPr>
          <w:rFonts w:asciiTheme="majorHAnsi" w:hAnsiTheme="majorHAnsi" w:cs="Arial"/>
          <w:sz w:val="16"/>
          <w:szCs w:val="16"/>
          <w:shd w:val="clear" w:color="auto" w:fill="FFFFFF"/>
          <w:lang w:val="es-VE"/>
        </w:rPr>
        <w:t>Blockburger</w:t>
      </w:r>
      <w:proofErr w:type="spellEnd"/>
      <w:r w:rsidRPr="009021AC">
        <w:rPr>
          <w:rFonts w:asciiTheme="majorHAnsi" w:hAnsiTheme="majorHAnsi" w:cs="Arial"/>
          <w:sz w:val="16"/>
          <w:szCs w:val="16"/>
          <w:shd w:val="clear" w:color="auto" w:fill="FFFFFF"/>
          <w:lang w:val="es-VE"/>
        </w:rPr>
        <w:t xml:space="preserve"> (…) Ese test analiza si cada delito requiere un elemento que el otro no. Si no lo requiere, se trata de la misma ofensa y la cláusula prohíbe el doble castigo o procesamiento.</w:t>
      </w:r>
      <w:r>
        <w:rPr>
          <w:rFonts w:asciiTheme="majorHAnsi" w:hAnsiTheme="majorHAnsi" w:cs="Arial"/>
          <w:sz w:val="16"/>
          <w:szCs w:val="16"/>
          <w:shd w:val="clear" w:color="auto" w:fill="FFFFFF"/>
          <w:lang w:val="es-VE"/>
        </w:rPr>
        <w:t xml:space="preserve"> La Comisión también nota que en el ámbito nacional, el Tribunal Constitucional </w:t>
      </w:r>
      <w:r w:rsidRPr="00B809F6">
        <w:rPr>
          <w:rFonts w:asciiTheme="majorHAnsi" w:hAnsiTheme="majorHAnsi" w:cs="Arial"/>
          <w:sz w:val="16"/>
          <w:szCs w:val="16"/>
          <w:shd w:val="clear" w:color="auto" w:fill="FFFFFF"/>
          <w:lang w:val="es-VE"/>
        </w:rPr>
        <w:t xml:space="preserve">Español se ha </w:t>
      </w:r>
      <w:r>
        <w:rPr>
          <w:rFonts w:asciiTheme="majorHAnsi" w:hAnsiTheme="majorHAnsi" w:cs="Arial"/>
          <w:sz w:val="16"/>
          <w:szCs w:val="16"/>
          <w:shd w:val="clear" w:color="auto" w:fill="FFFFFF"/>
          <w:lang w:val="es-VE"/>
        </w:rPr>
        <w:t xml:space="preserve">pronunciado sobre el principio de non bis in ídem. </w:t>
      </w:r>
      <w:r>
        <w:rPr>
          <w:rFonts w:asciiTheme="majorHAnsi" w:hAnsiTheme="majorHAnsi"/>
          <w:sz w:val="16"/>
          <w:szCs w:val="16"/>
          <w:lang w:val="es-CL"/>
        </w:rPr>
        <w:t>E</w:t>
      </w:r>
      <w:r w:rsidRPr="00B809F6">
        <w:rPr>
          <w:rFonts w:asciiTheme="majorHAnsi" w:hAnsiTheme="majorHAnsi"/>
          <w:sz w:val="16"/>
          <w:szCs w:val="16"/>
          <w:lang w:val="es-CL"/>
        </w:rPr>
        <w:t xml:space="preserve">n su sentencia de 11 de octubre de 1999, analizó la correlación entre las sanciones administrativas y penales a la luz del principio de </w:t>
      </w:r>
      <w:r w:rsidRPr="00B809F6">
        <w:rPr>
          <w:rFonts w:asciiTheme="majorHAnsi" w:hAnsiTheme="majorHAnsi"/>
          <w:i/>
          <w:sz w:val="16"/>
          <w:szCs w:val="16"/>
          <w:lang w:val="es-CL"/>
        </w:rPr>
        <w:t>non bis in ídem</w:t>
      </w:r>
      <w:r w:rsidRPr="00B809F6">
        <w:rPr>
          <w:rFonts w:asciiTheme="majorHAnsi" w:hAnsiTheme="majorHAnsi"/>
          <w:sz w:val="16"/>
          <w:szCs w:val="16"/>
          <w:lang w:val="es-CL"/>
        </w:rPr>
        <w:t xml:space="preserve"> y estimó que “irrogada una sanción, sea ésta de índole penal o administrativa, no cabe, sin vulnerar el mencionado derecho fundamental, superponer o adicionar otra distinta, siempre que concurran las tan repetidas identidades de sujeto, hechos y fundamento. Es este núcleo esencial el que ha de ser respetado en el ámbito de la potestad punitiva genéricamente considerada, para evitar que una única conducta infractora reciba un doble </w:t>
      </w:r>
      <w:r>
        <w:rPr>
          <w:rFonts w:asciiTheme="majorHAnsi" w:hAnsiTheme="majorHAnsi"/>
          <w:sz w:val="16"/>
          <w:szCs w:val="16"/>
          <w:lang w:val="es-CL"/>
        </w:rPr>
        <w:t xml:space="preserve">reproche aflictivo. </w:t>
      </w:r>
      <w:r w:rsidRPr="004961D8">
        <w:rPr>
          <w:rFonts w:asciiTheme="majorHAnsi" w:hAnsiTheme="majorHAnsi"/>
          <w:sz w:val="16"/>
          <w:szCs w:val="16"/>
        </w:rPr>
        <w:t xml:space="preserve">Tribunal </w:t>
      </w:r>
      <w:proofErr w:type="spellStart"/>
      <w:r w:rsidRPr="004961D8">
        <w:rPr>
          <w:rFonts w:asciiTheme="majorHAnsi" w:hAnsiTheme="majorHAnsi"/>
          <w:sz w:val="16"/>
          <w:szCs w:val="16"/>
        </w:rPr>
        <w:t>Constitucional</w:t>
      </w:r>
      <w:proofErr w:type="spellEnd"/>
      <w:r w:rsidRPr="004961D8">
        <w:rPr>
          <w:rFonts w:asciiTheme="majorHAnsi" w:hAnsiTheme="majorHAnsi"/>
          <w:sz w:val="16"/>
          <w:szCs w:val="16"/>
        </w:rPr>
        <w:t xml:space="preserve"> de</w:t>
      </w:r>
      <w:r w:rsidRPr="00246539">
        <w:rPr>
          <w:rFonts w:asciiTheme="majorHAnsi" w:hAnsiTheme="majorHAnsi"/>
          <w:sz w:val="16"/>
          <w:szCs w:val="16"/>
        </w:rPr>
        <w:t xml:space="preserve"> </w:t>
      </w:r>
      <w:proofErr w:type="spellStart"/>
      <w:r w:rsidRPr="00246539">
        <w:rPr>
          <w:rFonts w:asciiTheme="majorHAnsi" w:hAnsiTheme="majorHAnsi"/>
          <w:sz w:val="16"/>
          <w:szCs w:val="16"/>
        </w:rPr>
        <w:t>España</w:t>
      </w:r>
      <w:proofErr w:type="spellEnd"/>
      <w:r w:rsidRPr="00246539">
        <w:rPr>
          <w:rFonts w:asciiTheme="majorHAnsi" w:hAnsiTheme="majorHAnsi"/>
          <w:sz w:val="16"/>
          <w:szCs w:val="16"/>
        </w:rPr>
        <w:t xml:space="preserve">, </w:t>
      </w:r>
      <w:proofErr w:type="spellStart"/>
      <w:r w:rsidRPr="00246539">
        <w:rPr>
          <w:rFonts w:asciiTheme="majorHAnsi" w:hAnsiTheme="majorHAnsi"/>
          <w:sz w:val="16"/>
          <w:szCs w:val="16"/>
        </w:rPr>
        <w:t>Sentencia</w:t>
      </w:r>
      <w:proofErr w:type="spellEnd"/>
      <w:r w:rsidRPr="00246539">
        <w:rPr>
          <w:rFonts w:asciiTheme="majorHAnsi" w:hAnsiTheme="majorHAnsi"/>
          <w:sz w:val="16"/>
          <w:szCs w:val="16"/>
        </w:rPr>
        <w:t xml:space="preserve"> 177/1999 de 11 de </w:t>
      </w:r>
      <w:proofErr w:type="spellStart"/>
      <w:r w:rsidRPr="00246539">
        <w:rPr>
          <w:rFonts w:asciiTheme="majorHAnsi" w:hAnsiTheme="majorHAnsi"/>
          <w:sz w:val="16"/>
          <w:szCs w:val="16"/>
        </w:rPr>
        <w:t>octubre</w:t>
      </w:r>
      <w:proofErr w:type="spellEnd"/>
      <w:r w:rsidRPr="00246539">
        <w:rPr>
          <w:rFonts w:asciiTheme="majorHAnsi" w:hAnsiTheme="majorHAnsi"/>
          <w:sz w:val="16"/>
          <w:szCs w:val="16"/>
        </w:rPr>
        <w:t xml:space="preserve"> (</w:t>
      </w:r>
      <w:proofErr w:type="spellStart"/>
      <w:r w:rsidRPr="00246539">
        <w:rPr>
          <w:rFonts w:asciiTheme="majorHAnsi" w:hAnsiTheme="majorHAnsi"/>
          <w:sz w:val="16"/>
          <w:szCs w:val="16"/>
        </w:rPr>
        <w:t>Boe</w:t>
      </w:r>
      <w:proofErr w:type="spellEnd"/>
      <w:r w:rsidRPr="00246539">
        <w:rPr>
          <w:rFonts w:asciiTheme="majorHAnsi" w:hAnsiTheme="majorHAnsi"/>
          <w:sz w:val="16"/>
          <w:szCs w:val="16"/>
        </w:rPr>
        <w:t xml:space="preserve"> </w:t>
      </w:r>
      <w:proofErr w:type="spellStart"/>
      <w:r w:rsidRPr="00246539">
        <w:rPr>
          <w:rFonts w:asciiTheme="majorHAnsi" w:hAnsiTheme="majorHAnsi"/>
          <w:sz w:val="16"/>
          <w:szCs w:val="16"/>
        </w:rPr>
        <w:t>núm</w:t>
      </w:r>
      <w:proofErr w:type="spellEnd"/>
      <w:r w:rsidRPr="00246539">
        <w:rPr>
          <w:rFonts w:asciiTheme="majorHAnsi" w:hAnsiTheme="majorHAnsi"/>
          <w:sz w:val="16"/>
          <w:szCs w:val="16"/>
        </w:rPr>
        <w:t xml:space="preserve">. 276, de 18 de </w:t>
      </w:r>
      <w:proofErr w:type="spellStart"/>
      <w:r w:rsidRPr="00246539">
        <w:rPr>
          <w:rFonts w:asciiTheme="majorHAnsi" w:hAnsiTheme="majorHAnsi"/>
          <w:sz w:val="16"/>
          <w:szCs w:val="16"/>
        </w:rPr>
        <w:t>noviembre</w:t>
      </w:r>
      <w:proofErr w:type="spellEnd"/>
      <w:r w:rsidRPr="00246539">
        <w:rPr>
          <w:rFonts w:asciiTheme="majorHAnsi" w:hAnsiTheme="majorHAnsi"/>
          <w:sz w:val="16"/>
          <w:szCs w:val="16"/>
        </w:rPr>
        <w:t xml:space="preserve"> de 1999).</w:t>
      </w:r>
    </w:p>
  </w:footnote>
  <w:footnote w:id="130">
    <w:p w:rsidR="00B21A8E" w:rsidRPr="00B75B92" w:rsidRDefault="00B21A8E" w:rsidP="00214D26">
      <w:pPr>
        <w:pStyle w:val="FootnoteText"/>
        <w:ind w:firstLine="720"/>
        <w:jc w:val="both"/>
        <w:rPr>
          <w:rFonts w:asciiTheme="majorHAnsi" w:hAnsiTheme="majorHAnsi"/>
          <w:sz w:val="16"/>
          <w:szCs w:val="16"/>
        </w:rPr>
      </w:pPr>
      <w:r w:rsidRPr="00AA41EE">
        <w:rPr>
          <w:rStyle w:val="FootnoteReference"/>
          <w:rFonts w:asciiTheme="majorHAnsi" w:hAnsiTheme="majorHAnsi"/>
          <w:sz w:val="16"/>
          <w:szCs w:val="16"/>
        </w:rPr>
        <w:footnoteRef/>
      </w:r>
      <w:r w:rsidRPr="00AA41EE">
        <w:rPr>
          <w:rFonts w:asciiTheme="majorHAnsi" w:hAnsiTheme="majorHAnsi"/>
          <w:sz w:val="16"/>
          <w:szCs w:val="16"/>
        </w:rPr>
        <w:t xml:space="preserve"> </w:t>
      </w:r>
      <w:r>
        <w:rPr>
          <w:rFonts w:asciiTheme="majorHAnsi" w:hAnsiTheme="majorHAnsi"/>
          <w:sz w:val="16"/>
          <w:szCs w:val="16"/>
        </w:rPr>
        <w:t xml:space="preserve">La </w:t>
      </w:r>
      <w:proofErr w:type="spellStart"/>
      <w:r>
        <w:rPr>
          <w:rFonts w:asciiTheme="majorHAnsi" w:hAnsiTheme="majorHAnsi"/>
          <w:sz w:val="16"/>
          <w:szCs w:val="16"/>
        </w:rPr>
        <w:t>traducción</w:t>
      </w:r>
      <w:proofErr w:type="spellEnd"/>
      <w:r>
        <w:rPr>
          <w:rFonts w:asciiTheme="majorHAnsi" w:hAnsiTheme="majorHAnsi"/>
          <w:sz w:val="16"/>
          <w:szCs w:val="16"/>
        </w:rPr>
        <w:t xml:space="preserve"> al </w:t>
      </w:r>
      <w:proofErr w:type="spellStart"/>
      <w:r>
        <w:rPr>
          <w:rFonts w:asciiTheme="majorHAnsi" w:hAnsiTheme="majorHAnsi"/>
          <w:sz w:val="16"/>
          <w:szCs w:val="16"/>
        </w:rPr>
        <w:t>inglés</w:t>
      </w:r>
      <w:proofErr w:type="spellEnd"/>
      <w:r>
        <w:rPr>
          <w:rFonts w:asciiTheme="majorHAnsi" w:hAnsiTheme="majorHAnsi"/>
          <w:sz w:val="16"/>
          <w:szCs w:val="16"/>
        </w:rPr>
        <w:t xml:space="preserve"> del Tribunal </w:t>
      </w:r>
      <w:proofErr w:type="spellStart"/>
      <w:r>
        <w:rPr>
          <w:rFonts w:asciiTheme="majorHAnsi" w:hAnsiTheme="majorHAnsi"/>
          <w:sz w:val="16"/>
          <w:szCs w:val="16"/>
        </w:rPr>
        <w:t>Europeo</w:t>
      </w:r>
      <w:proofErr w:type="spellEnd"/>
      <w:r>
        <w:rPr>
          <w:rFonts w:asciiTheme="majorHAnsi" w:hAnsiTheme="majorHAnsi"/>
          <w:sz w:val="16"/>
          <w:szCs w:val="16"/>
        </w:rPr>
        <w:t xml:space="preserve"> </w:t>
      </w:r>
      <w:proofErr w:type="spellStart"/>
      <w:r>
        <w:rPr>
          <w:rFonts w:asciiTheme="majorHAnsi" w:hAnsiTheme="majorHAnsi"/>
          <w:sz w:val="16"/>
          <w:szCs w:val="16"/>
        </w:rPr>
        <w:t>es</w:t>
      </w:r>
      <w:proofErr w:type="spellEnd"/>
      <w:r>
        <w:rPr>
          <w:rFonts w:asciiTheme="majorHAnsi" w:hAnsiTheme="majorHAnsi"/>
          <w:sz w:val="16"/>
          <w:szCs w:val="16"/>
        </w:rPr>
        <w:t xml:space="preserve"> la </w:t>
      </w:r>
      <w:proofErr w:type="spellStart"/>
      <w:r>
        <w:rPr>
          <w:rFonts w:asciiTheme="majorHAnsi" w:hAnsiTheme="majorHAnsi"/>
          <w:sz w:val="16"/>
          <w:szCs w:val="16"/>
        </w:rPr>
        <w:t>siguiente</w:t>
      </w:r>
      <w:proofErr w:type="spellEnd"/>
      <w:r>
        <w:rPr>
          <w:rFonts w:asciiTheme="majorHAnsi" w:hAnsiTheme="majorHAnsi"/>
          <w:sz w:val="16"/>
          <w:szCs w:val="16"/>
        </w:rPr>
        <w:t>:</w:t>
      </w:r>
      <w:r w:rsidRPr="00AA41EE">
        <w:rPr>
          <w:rFonts w:asciiTheme="majorHAnsi" w:hAnsiTheme="majorHAnsi"/>
          <w:sz w:val="16"/>
          <w:szCs w:val="16"/>
        </w:rPr>
        <w:t xml:space="preserve"> “the facts forming the basis of both sets of proceedings against the applicant had been identical, but noted that the </w:t>
      </w:r>
      <w:proofErr w:type="spellStart"/>
      <w:r w:rsidRPr="00AA41EE">
        <w:rPr>
          <w:rFonts w:asciiTheme="majorHAnsi" w:hAnsiTheme="majorHAnsi"/>
          <w:sz w:val="16"/>
          <w:szCs w:val="16"/>
        </w:rPr>
        <w:t>licence</w:t>
      </w:r>
      <w:proofErr w:type="spellEnd"/>
      <w:r w:rsidRPr="00AA41EE">
        <w:rPr>
          <w:rFonts w:asciiTheme="majorHAnsi" w:hAnsiTheme="majorHAnsi"/>
          <w:sz w:val="16"/>
          <w:szCs w:val="16"/>
        </w:rPr>
        <w:t xml:space="preserve"> withdrawal procedure was a kind of additional penalty complementing the criminal conviction (a fine). The Court therefore concluded that there wa</w:t>
      </w:r>
      <w:r>
        <w:rPr>
          <w:rFonts w:asciiTheme="majorHAnsi" w:hAnsiTheme="majorHAnsi"/>
          <w:sz w:val="16"/>
          <w:szCs w:val="16"/>
        </w:rPr>
        <w:t>s</w:t>
      </w:r>
      <w:r w:rsidRPr="00AA41EE">
        <w:rPr>
          <w:rFonts w:asciiTheme="majorHAnsi" w:hAnsiTheme="majorHAnsi"/>
          <w:sz w:val="16"/>
          <w:szCs w:val="16"/>
        </w:rPr>
        <w:t xml:space="preserve"> a sufficiently close material and temporal link between the administrative and criminal proceedings to consider them as two aspects of a single system, and therefore held that there had not been two sets of proceedings”.</w:t>
      </w:r>
      <w:r>
        <w:rPr>
          <w:rFonts w:asciiTheme="majorHAnsi" w:hAnsiTheme="majorHAnsi"/>
          <w:sz w:val="16"/>
          <w:szCs w:val="16"/>
        </w:rPr>
        <w:t xml:space="preserve"> </w:t>
      </w:r>
      <w:proofErr w:type="spellStart"/>
      <w:proofErr w:type="gramStart"/>
      <w:r w:rsidRPr="00B75B92">
        <w:rPr>
          <w:rFonts w:asciiTheme="majorHAnsi" w:hAnsiTheme="majorHAnsi"/>
          <w:sz w:val="16"/>
          <w:szCs w:val="16"/>
        </w:rPr>
        <w:t>Ver</w:t>
      </w:r>
      <w:proofErr w:type="spellEnd"/>
      <w:r w:rsidRPr="00B75B92">
        <w:rPr>
          <w:rFonts w:asciiTheme="majorHAnsi" w:hAnsiTheme="majorHAnsi"/>
          <w:sz w:val="16"/>
          <w:szCs w:val="16"/>
        </w:rPr>
        <w:t xml:space="preserve"> TEDH, </w:t>
      </w:r>
      <w:hyperlink r:id="rId13" w:history="1">
        <w:r w:rsidRPr="00B75B92">
          <w:rPr>
            <w:rStyle w:val="Hyperlink"/>
            <w:rFonts w:asciiTheme="majorHAnsi" w:hAnsiTheme="majorHAnsi"/>
            <w:sz w:val="16"/>
            <w:szCs w:val="16"/>
          </w:rPr>
          <w:t xml:space="preserve">Factsheet-non </w:t>
        </w:r>
        <w:proofErr w:type="spellStart"/>
        <w:r w:rsidRPr="00B75B92">
          <w:rPr>
            <w:rStyle w:val="Hyperlink"/>
            <w:rFonts w:asciiTheme="majorHAnsi" w:hAnsiTheme="majorHAnsi"/>
            <w:sz w:val="16"/>
            <w:szCs w:val="16"/>
          </w:rPr>
          <w:t>bis</w:t>
        </w:r>
        <w:proofErr w:type="spellEnd"/>
        <w:r w:rsidRPr="00B75B92">
          <w:rPr>
            <w:rStyle w:val="Hyperlink"/>
            <w:rFonts w:asciiTheme="majorHAnsi" w:hAnsiTheme="majorHAnsi"/>
            <w:sz w:val="16"/>
            <w:szCs w:val="16"/>
          </w:rPr>
          <w:t xml:space="preserve"> in idem</w:t>
        </w:r>
      </w:hyperlink>
      <w:r w:rsidRPr="00B75B92">
        <w:rPr>
          <w:rFonts w:asciiTheme="majorHAnsi" w:hAnsiTheme="majorHAnsi"/>
          <w:sz w:val="16"/>
          <w:szCs w:val="16"/>
        </w:rPr>
        <w:t xml:space="preserve">; </w:t>
      </w:r>
      <w:r w:rsidRPr="00B75B92">
        <w:rPr>
          <w:rFonts w:asciiTheme="majorHAnsi" w:hAnsiTheme="majorHAnsi"/>
          <w:color w:val="auto"/>
          <w:sz w:val="16"/>
          <w:szCs w:val="16"/>
        </w:rPr>
        <w:t xml:space="preserve">TEDH, Affaire </w:t>
      </w:r>
      <w:proofErr w:type="spellStart"/>
      <w:r w:rsidRPr="00B75B92">
        <w:rPr>
          <w:rFonts w:asciiTheme="majorHAnsi" w:hAnsiTheme="majorHAnsi"/>
          <w:color w:val="auto"/>
          <w:sz w:val="16"/>
          <w:szCs w:val="16"/>
        </w:rPr>
        <w:t>Rivard</w:t>
      </w:r>
      <w:proofErr w:type="spellEnd"/>
      <w:r w:rsidRPr="00B75B92">
        <w:rPr>
          <w:rFonts w:asciiTheme="majorHAnsi" w:hAnsiTheme="majorHAnsi"/>
          <w:color w:val="auto"/>
          <w:sz w:val="16"/>
          <w:szCs w:val="16"/>
        </w:rPr>
        <w:t xml:space="preserve"> c. Suisse, </w:t>
      </w:r>
      <w:proofErr w:type="spellStart"/>
      <w:r w:rsidRPr="00B75B92">
        <w:rPr>
          <w:rStyle w:val="s6b621b36"/>
          <w:rFonts w:asciiTheme="majorHAnsi" w:hAnsiTheme="majorHAnsi" w:cs="Arial"/>
          <w:iCs/>
          <w:color w:val="auto"/>
          <w:sz w:val="16"/>
          <w:szCs w:val="16"/>
          <w:shd w:val="clear" w:color="auto" w:fill="FFFFFF"/>
        </w:rPr>
        <w:t>Requête</w:t>
      </w:r>
      <w:proofErr w:type="spellEnd"/>
      <w:r w:rsidRPr="00B75B92">
        <w:rPr>
          <w:rStyle w:val="s6b621b36"/>
          <w:rFonts w:asciiTheme="majorHAnsi" w:hAnsiTheme="majorHAnsi" w:cs="Arial"/>
          <w:iCs/>
          <w:color w:val="auto"/>
          <w:sz w:val="16"/>
          <w:szCs w:val="16"/>
          <w:shd w:val="clear" w:color="auto" w:fill="FFFFFF"/>
        </w:rPr>
        <w:t xml:space="preserve"> n</w:t>
      </w:r>
      <w:r w:rsidRPr="00B75B92">
        <w:rPr>
          <w:rStyle w:val="sf1c7242d"/>
          <w:rFonts w:asciiTheme="majorHAnsi" w:hAnsiTheme="majorHAnsi" w:cs="Arial"/>
          <w:iCs/>
          <w:color w:val="auto"/>
          <w:sz w:val="16"/>
          <w:szCs w:val="16"/>
          <w:shd w:val="clear" w:color="auto" w:fill="FFFFFF"/>
        </w:rPr>
        <w:t>o</w:t>
      </w:r>
      <w:r w:rsidRPr="00B75B92">
        <w:rPr>
          <w:rStyle w:val="apple-converted-space"/>
          <w:rFonts w:asciiTheme="majorHAnsi" w:hAnsiTheme="majorHAnsi" w:cs="Arial"/>
          <w:iCs/>
          <w:color w:val="auto"/>
          <w:sz w:val="16"/>
          <w:szCs w:val="16"/>
          <w:shd w:val="clear" w:color="auto" w:fill="FFFFFF"/>
        </w:rPr>
        <w:t> </w:t>
      </w:r>
      <w:hyperlink r:id="rId14" w:anchor="{&quot;appno&quot;:[&quot;21563/12&quot;]}" w:tgtFrame="_blank" w:history="1">
        <w:r w:rsidRPr="00B75B92">
          <w:rPr>
            <w:rStyle w:val="Hyperlink"/>
            <w:rFonts w:asciiTheme="majorHAnsi" w:hAnsiTheme="majorHAnsi" w:cs="Arial"/>
            <w:iCs/>
            <w:color w:val="auto"/>
            <w:sz w:val="16"/>
            <w:szCs w:val="16"/>
            <w:u w:val="none"/>
            <w:shd w:val="clear" w:color="auto" w:fill="FFFFFF"/>
          </w:rPr>
          <w:t>21563/12</w:t>
        </w:r>
      </w:hyperlink>
      <w:r w:rsidRPr="00B75B92">
        <w:rPr>
          <w:rStyle w:val="s6b621b36"/>
          <w:rFonts w:asciiTheme="majorHAnsi" w:hAnsiTheme="majorHAnsi" w:cs="Arial"/>
          <w:iCs/>
          <w:color w:val="auto"/>
          <w:sz w:val="16"/>
          <w:szCs w:val="16"/>
          <w:shd w:val="clear" w:color="auto" w:fill="FFFFFF"/>
        </w:rPr>
        <w:t xml:space="preserve">, </w:t>
      </w:r>
      <w:r w:rsidRPr="00B75B92">
        <w:rPr>
          <w:rFonts w:asciiTheme="majorHAnsi" w:hAnsiTheme="majorHAnsi" w:cs="Arial"/>
          <w:color w:val="auto"/>
          <w:sz w:val="16"/>
          <w:szCs w:val="16"/>
          <w:shd w:val="clear" w:color="auto" w:fill="FFFFFF"/>
        </w:rPr>
        <w:t xml:space="preserve">4 </w:t>
      </w:r>
      <w:proofErr w:type="spellStart"/>
      <w:r w:rsidRPr="00B75B92">
        <w:rPr>
          <w:rFonts w:asciiTheme="majorHAnsi" w:hAnsiTheme="majorHAnsi" w:cs="Arial"/>
          <w:color w:val="auto"/>
          <w:sz w:val="16"/>
          <w:szCs w:val="16"/>
          <w:shd w:val="clear" w:color="auto" w:fill="FFFFFF"/>
        </w:rPr>
        <w:t>octobre</w:t>
      </w:r>
      <w:proofErr w:type="spellEnd"/>
      <w:r w:rsidRPr="00B75B92">
        <w:rPr>
          <w:rFonts w:asciiTheme="majorHAnsi" w:hAnsiTheme="majorHAnsi" w:cs="Arial"/>
          <w:color w:val="auto"/>
          <w:sz w:val="16"/>
          <w:szCs w:val="16"/>
          <w:shd w:val="clear" w:color="auto" w:fill="FFFFFF"/>
        </w:rPr>
        <w:t xml:space="preserve"> 2016, </w:t>
      </w:r>
      <w:proofErr w:type="spellStart"/>
      <w:r w:rsidRPr="00B75B92">
        <w:rPr>
          <w:rFonts w:asciiTheme="majorHAnsi" w:hAnsiTheme="majorHAnsi" w:cs="Arial"/>
          <w:color w:val="auto"/>
          <w:sz w:val="16"/>
          <w:szCs w:val="16"/>
          <w:shd w:val="clear" w:color="auto" w:fill="FFFFFF"/>
        </w:rPr>
        <w:t>párrs</w:t>
      </w:r>
      <w:proofErr w:type="spellEnd"/>
      <w:r>
        <w:rPr>
          <w:rFonts w:asciiTheme="majorHAnsi" w:hAnsiTheme="majorHAnsi" w:cs="Arial"/>
          <w:color w:val="auto"/>
          <w:sz w:val="16"/>
          <w:szCs w:val="16"/>
          <w:shd w:val="clear" w:color="auto" w:fill="FFFFFF"/>
        </w:rPr>
        <w:t>.</w:t>
      </w:r>
      <w:proofErr w:type="gramEnd"/>
      <w:r w:rsidRPr="00B75B92">
        <w:rPr>
          <w:rFonts w:asciiTheme="majorHAnsi" w:hAnsiTheme="majorHAnsi" w:cs="Arial"/>
          <w:color w:val="auto"/>
          <w:sz w:val="16"/>
          <w:szCs w:val="16"/>
          <w:shd w:val="clear" w:color="auto" w:fill="FFFFFF"/>
        </w:rPr>
        <w:t xml:space="preserve"> 31 y ss.</w:t>
      </w:r>
    </w:p>
  </w:footnote>
  <w:footnote w:id="131">
    <w:p w:rsidR="00B21A8E" w:rsidRPr="004961D8" w:rsidRDefault="00B21A8E" w:rsidP="00DE1989">
      <w:pPr>
        <w:pStyle w:val="FootnoteText"/>
        <w:ind w:firstLine="720"/>
        <w:jc w:val="both"/>
        <w:rPr>
          <w:rFonts w:asciiTheme="majorHAnsi" w:hAnsiTheme="majorHAnsi"/>
          <w:sz w:val="16"/>
          <w:szCs w:val="16"/>
          <w:lang w:val="es-VE"/>
        </w:rPr>
      </w:pPr>
      <w:r w:rsidRPr="004961D8">
        <w:rPr>
          <w:rStyle w:val="FootnoteReference"/>
          <w:rFonts w:asciiTheme="majorHAnsi" w:hAnsiTheme="majorHAnsi"/>
          <w:sz w:val="16"/>
          <w:szCs w:val="16"/>
        </w:rPr>
        <w:footnoteRef/>
      </w:r>
      <w:r w:rsidRPr="00203929">
        <w:rPr>
          <w:rFonts w:asciiTheme="majorHAnsi" w:hAnsiTheme="majorHAnsi"/>
          <w:sz w:val="16"/>
          <w:szCs w:val="16"/>
        </w:rPr>
        <w:t xml:space="preserve"> </w:t>
      </w:r>
      <w:proofErr w:type="spellStart"/>
      <w:r w:rsidRPr="00203929">
        <w:rPr>
          <w:rFonts w:asciiTheme="majorHAnsi" w:hAnsiTheme="majorHAnsi"/>
          <w:sz w:val="16"/>
          <w:szCs w:val="16"/>
        </w:rPr>
        <w:t>Ver</w:t>
      </w:r>
      <w:proofErr w:type="spellEnd"/>
      <w:r w:rsidRPr="00203929">
        <w:rPr>
          <w:rFonts w:asciiTheme="majorHAnsi" w:hAnsiTheme="majorHAnsi"/>
          <w:sz w:val="16"/>
          <w:szCs w:val="16"/>
        </w:rPr>
        <w:t xml:space="preserve"> </w:t>
      </w:r>
      <w:proofErr w:type="spellStart"/>
      <w:r w:rsidRPr="00203929">
        <w:rPr>
          <w:rFonts w:asciiTheme="majorHAnsi" w:hAnsiTheme="majorHAnsi"/>
          <w:sz w:val="16"/>
          <w:szCs w:val="16"/>
        </w:rPr>
        <w:t>por</w:t>
      </w:r>
      <w:proofErr w:type="spellEnd"/>
      <w:r w:rsidRPr="00203929">
        <w:rPr>
          <w:rFonts w:asciiTheme="majorHAnsi" w:hAnsiTheme="majorHAnsi"/>
          <w:sz w:val="16"/>
          <w:szCs w:val="16"/>
        </w:rPr>
        <w:t xml:space="preserve"> </w:t>
      </w:r>
      <w:proofErr w:type="spellStart"/>
      <w:r w:rsidRPr="00203929">
        <w:rPr>
          <w:rFonts w:asciiTheme="majorHAnsi" w:hAnsiTheme="majorHAnsi"/>
          <w:sz w:val="16"/>
          <w:szCs w:val="16"/>
        </w:rPr>
        <w:t>ejemplo</w:t>
      </w:r>
      <w:proofErr w:type="spellEnd"/>
      <w:r w:rsidRPr="00203929">
        <w:rPr>
          <w:rFonts w:asciiTheme="majorHAnsi" w:hAnsiTheme="majorHAnsi"/>
          <w:sz w:val="16"/>
          <w:szCs w:val="16"/>
        </w:rPr>
        <w:t xml:space="preserve"> </w:t>
      </w:r>
      <w:proofErr w:type="spellStart"/>
      <w:r w:rsidRPr="00203929">
        <w:rPr>
          <w:rFonts w:asciiTheme="majorHAnsi" w:hAnsiTheme="majorHAnsi"/>
          <w:sz w:val="16"/>
          <w:szCs w:val="16"/>
        </w:rPr>
        <w:t>Voto</w:t>
      </w:r>
      <w:proofErr w:type="spellEnd"/>
      <w:r w:rsidRPr="00203929">
        <w:rPr>
          <w:rFonts w:asciiTheme="majorHAnsi" w:hAnsiTheme="majorHAnsi"/>
          <w:sz w:val="16"/>
          <w:szCs w:val="16"/>
        </w:rPr>
        <w:t xml:space="preserve"> </w:t>
      </w:r>
      <w:proofErr w:type="spellStart"/>
      <w:r w:rsidRPr="00203929">
        <w:rPr>
          <w:rFonts w:asciiTheme="majorHAnsi" w:hAnsiTheme="majorHAnsi"/>
          <w:sz w:val="16"/>
          <w:szCs w:val="16"/>
        </w:rPr>
        <w:t>Concurrente</w:t>
      </w:r>
      <w:proofErr w:type="spellEnd"/>
      <w:r w:rsidRPr="00203929">
        <w:rPr>
          <w:rFonts w:asciiTheme="majorHAnsi" w:hAnsiTheme="majorHAnsi"/>
          <w:sz w:val="16"/>
          <w:szCs w:val="16"/>
        </w:rPr>
        <w:t xml:space="preserve"> </w:t>
      </w:r>
      <w:proofErr w:type="gramStart"/>
      <w:r w:rsidRPr="00203929">
        <w:rPr>
          <w:rFonts w:asciiTheme="majorHAnsi" w:hAnsiTheme="majorHAnsi"/>
          <w:sz w:val="16"/>
          <w:szCs w:val="16"/>
        </w:rPr>
        <w:t>del</w:t>
      </w:r>
      <w:proofErr w:type="gramEnd"/>
      <w:r w:rsidRPr="00203929">
        <w:rPr>
          <w:rFonts w:asciiTheme="majorHAnsi" w:hAnsiTheme="majorHAnsi"/>
          <w:sz w:val="16"/>
          <w:szCs w:val="16"/>
        </w:rPr>
        <w:t xml:space="preserve"> </w:t>
      </w:r>
      <w:proofErr w:type="spellStart"/>
      <w:r w:rsidRPr="00203929">
        <w:rPr>
          <w:rFonts w:asciiTheme="majorHAnsi" w:hAnsiTheme="majorHAnsi"/>
          <w:sz w:val="16"/>
          <w:szCs w:val="16"/>
        </w:rPr>
        <w:t>Juez</w:t>
      </w:r>
      <w:proofErr w:type="spellEnd"/>
      <w:r w:rsidRPr="00203929">
        <w:rPr>
          <w:rFonts w:asciiTheme="majorHAnsi" w:hAnsiTheme="majorHAnsi"/>
          <w:sz w:val="16"/>
          <w:szCs w:val="16"/>
        </w:rPr>
        <w:t xml:space="preserve"> Humberto Antonio Sierra Porto, </w:t>
      </w:r>
      <w:proofErr w:type="spellStart"/>
      <w:r w:rsidRPr="00203929">
        <w:rPr>
          <w:rFonts w:asciiTheme="majorHAnsi" w:hAnsiTheme="majorHAnsi"/>
          <w:sz w:val="16"/>
          <w:szCs w:val="16"/>
        </w:rPr>
        <w:t>Sentencia</w:t>
      </w:r>
      <w:proofErr w:type="spellEnd"/>
      <w:r w:rsidRPr="00203929">
        <w:rPr>
          <w:rFonts w:asciiTheme="majorHAnsi" w:hAnsiTheme="majorHAnsi"/>
          <w:sz w:val="16"/>
          <w:szCs w:val="16"/>
        </w:rPr>
        <w:t xml:space="preserve"> de la Corte </w:t>
      </w:r>
      <w:proofErr w:type="spellStart"/>
      <w:r w:rsidRPr="00203929">
        <w:rPr>
          <w:rFonts w:asciiTheme="majorHAnsi" w:hAnsiTheme="majorHAnsi"/>
          <w:sz w:val="16"/>
          <w:szCs w:val="16"/>
        </w:rPr>
        <w:t>Interamericana</w:t>
      </w:r>
      <w:proofErr w:type="spellEnd"/>
      <w:r w:rsidRPr="00203929">
        <w:rPr>
          <w:rFonts w:asciiTheme="majorHAnsi" w:hAnsiTheme="majorHAnsi"/>
          <w:sz w:val="16"/>
          <w:szCs w:val="16"/>
        </w:rPr>
        <w:t xml:space="preserve"> de Derechos </w:t>
      </w:r>
      <w:proofErr w:type="spellStart"/>
      <w:r w:rsidRPr="00203929">
        <w:rPr>
          <w:rFonts w:asciiTheme="majorHAnsi" w:hAnsiTheme="majorHAnsi"/>
          <w:sz w:val="16"/>
          <w:szCs w:val="16"/>
        </w:rPr>
        <w:t>Humanos</w:t>
      </w:r>
      <w:proofErr w:type="spellEnd"/>
      <w:r w:rsidRPr="00203929">
        <w:rPr>
          <w:rFonts w:asciiTheme="majorHAnsi" w:hAnsiTheme="majorHAnsi"/>
          <w:sz w:val="16"/>
          <w:szCs w:val="16"/>
        </w:rPr>
        <w:t xml:space="preserve">, </w:t>
      </w:r>
      <w:proofErr w:type="spellStart"/>
      <w:r w:rsidRPr="00203929">
        <w:rPr>
          <w:rFonts w:asciiTheme="majorHAnsi" w:hAnsiTheme="majorHAnsi"/>
          <w:sz w:val="16"/>
          <w:szCs w:val="16"/>
        </w:rPr>
        <w:t>Caso</w:t>
      </w:r>
      <w:proofErr w:type="spellEnd"/>
      <w:r w:rsidRPr="00203929">
        <w:rPr>
          <w:rFonts w:asciiTheme="majorHAnsi" w:hAnsiTheme="majorHAnsi"/>
          <w:sz w:val="16"/>
          <w:szCs w:val="16"/>
        </w:rPr>
        <w:t xml:space="preserve"> Maldonado </w:t>
      </w:r>
      <w:proofErr w:type="spellStart"/>
      <w:r w:rsidRPr="00203929">
        <w:rPr>
          <w:rFonts w:asciiTheme="majorHAnsi" w:hAnsiTheme="majorHAnsi"/>
          <w:sz w:val="16"/>
          <w:szCs w:val="16"/>
        </w:rPr>
        <w:t>Ordoñez</w:t>
      </w:r>
      <w:proofErr w:type="spellEnd"/>
      <w:r w:rsidRPr="00203929">
        <w:rPr>
          <w:rFonts w:asciiTheme="majorHAnsi" w:hAnsiTheme="majorHAnsi"/>
          <w:sz w:val="16"/>
          <w:szCs w:val="16"/>
        </w:rPr>
        <w:t xml:space="preserve"> vs. Guatemala. </w:t>
      </w:r>
      <w:r w:rsidRPr="004961D8">
        <w:rPr>
          <w:rFonts w:asciiTheme="majorHAnsi" w:hAnsiTheme="majorHAnsi"/>
          <w:sz w:val="16"/>
          <w:szCs w:val="16"/>
          <w:lang w:val="es-VE"/>
        </w:rPr>
        <w:t xml:space="preserve">Sentencia de 3 de mayo de 2016. Excepción Preliminar, Fondo, Reparaciones y Costas. </w:t>
      </w:r>
    </w:p>
  </w:footnote>
  <w:footnote w:id="132">
    <w:p w:rsidR="00B21A8E" w:rsidRPr="008C6661" w:rsidRDefault="00B21A8E" w:rsidP="00DE1989">
      <w:pPr>
        <w:spacing w:after="120"/>
        <w:ind w:firstLine="720"/>
        <w:jc w:val="both"/>
        <w:rPr>
          <w:rFonts w:asciiTheme="majorHAnsi" w:hAnsiTheme="majorHAnsi"/>
          <w:sz w:val="16"/>
          <w:szCs w:val="16"/>
          <w:lang w:val="es-CO"/>
        </w:rPr>
      </w:pPr>
      <w:r w:rsidRPr="004961D8">
        <w:rPr>
          <w:rStyle w:val="FootnoteReference"/>
          <w:rFonts w:asciiTheme="majorHAnsi" w:hAnsiTheme="majorHAnsi"/>
          <w:sz w:val="16"/>
          <w:szCs w:val="16"/>
        </w:rPr>
        <w:footnoteRef/>
      </w:r>
      <w:r w:rsidRPr="004961D8">
        <w:rPr>
          <w:rFonts w:asciiTheme="majorHAnsi" w:hAnsiTheme="majorHAnsi"/>
          <w:sz w:val="16"/>
          <w:szCs w:val="16"/>
          <w:lang w:val="es-CO"/>
        </w:rPr>
        <w:t xml:space="preserve"> CIDH. Informe sobre el uso de la prisión preventiva en las Américas. OEA/</w:t>
      </w:r>
      <w:proofErr w:type="spellStart"/>
      <w:r w:rsidRPr="004961D8">
        <w:rPr>
          <w:rFonts w:asciiTheme="majorHAnsi" w:hAnsiTheme="majorHAnsi"/>
          <w:sz w:val="16"/>
          <w:szCs w:val="16"/>
          <w:lang w:val="es-CO"/>
        </w:rPr>
        <w:t>Ser.L</w:t>
      </w:r>
      <w:proofErr w:type="spellEnd"/>
      <w:r w:rsidRPr="004961D8">
        <w:rPr>
          <w:rFonts w:asciiTheme="majorHAnsi" w:hAnsiTheme="majorHAnsi"/>
          <w:sz w:val="16"/>
          <w:szCs w:val="16"/>
          <w:lang w:val="es-CO"/>
        </w:rPr>
        <w:t xml:space="preserve">/V/II. 30 de diciembre de 2013. Párr. 20; </w:t>
      </w:r>
      <w:r w:rsidRPr="008C6661">
        <w:rPr>
          <w:rFonts w:asciiTheme="majorHAnsi" w:hAnsiTheme="majorHAnsi" w:cs="Times"/>
          <w:sz w:val="16"/>
          <w:szCs w:val="16"/>
          <w:lang w:val="it-IT"/>
        </w:rPr>
        <w:t xml:space="preserve">Corte I.D.H., </w:t>
      </w:r>
      <w:r w:rsidRPr="008C6661">
        <w:rPr>
          <w:rFonts w:asciiTheme="majorHAnsi" w:hAnsiTheme="majorHAnsi" w:cs="Times"/>
          <w:iCs/>
          <w:sz w:val="16"/>
          <w:szCs w:val="16"/>
          <w:lang w:val="it-IT"/>
        </w:rPr>
        <w:t>Caso</w:t>
      </w:r>
      <w:r w:rsidRPr="008C6661">
        <w:rPr>
          <w:rFonts w:asciiTheme="majorHAnsi" w:hAnsiTheme="majorHAnsi" w:cs="Times"/>
          <w:sz w:val="16"/>
          <w:szCs w:val="16"/>
          <w:lang w:val="it-IT"/>
        </w:rPr>
        <w:t xml:space="preserve"> </w:t>
      </w:r>
      <w:r w:rsidRPr="008C6661">
        <w:rPr>
          <w:rFonts w:asciiTheme="majorHAnsi" w:hAnsiTheme="majorHAnsi" w:cs="Times"/>
          <w:iCs/>
          <w:sz w:val="16"/>
          <w:szCs w:val="16"/>
          <w:lang w:val="it-IT"/>
        </w:rPr>
        <w:t>López Álvarez</w:t>
      </w:r>
      <w:r w:rsidRPr="008C6661">
        <w:rPr>
          <w:rFonts w:asciiTheme="majorHAnsi" w:hAnsiTheme="majorHAnsi" w:cs="Times"/>
          <w:sz w:val="16"/>
          <w:szCs w:val="16"/>
          <w:lang w:val="it-IT"/>
        </w:rPr>
        <w:t xml:space="preserve">. </w:t>
      </w:r>
      <w:r w:rsidRPr="008C6661">
        <w:rPr>
          <w:rFonts w:asciiTheme="majorHAnsi" w:hAnsiTheme="majorHAnsi" w:cs="Times"/>
          <w:sz w:val="16"/>
          <w:szCs w:val="16"/>
          <w:lang w:val="es-CO"/>
        </w:rPr>
        <w:t xml:space="preserve">Sentencia de 1º de febrero de 2006. Serie C No. 141, </w:t>
      </w:r>
      <w:r w:rsidRPr="008C6661">
        <w:rPr>
          <w:rFonts w:asciiTheme="majorHAnsi" w:hAnsiTheme="majorHAnsi"/>
          <w:sz w:val="16"/>
          <w:szCs w:val="16"/>
          <w:lang w:val="es-CO"/>
        </w:rPr>
        <w:t xml:space="preserve">párr. 67; </w:t>
      </w:r>
      <w:r w:rsidRPr="008C6661">
        <w:rPr>
          <w:rFonts w:asciiTheme="majorHAnsi" w:hAnsiTheme="majorHAnsi" w:cs="Times"/>
          <w:iCs/>
          <w:sz w:val="16"/>
          <w:szCs w:val="16"/>
          <w:lang w:val="es-CO"/>
        </w:rPr>
        <w:t xml:space="preserve">Caso García </w:t>
      </w:r>
      <w:proofErr w:type="spellStart"/>
      <w:r w:rsidRPr="008C6661">
        <w:rPr>
          <w:rFonts w:asciiTheme="majorHAnsi" w:hAnsiTheme="majorHAnsi" w:cs="Times"/>
          <w:iCs/>
          <w:sz w:val="16"/>
          <w:szCs w:val="16"/>
          <w:lang w:val="es-CO"/>
        </w:rPr>
        <w:t>Asto</w:t>
      </w:r>
      <w:proofErr w:type="spellEnd"/>
      <w:r w:rsidRPr="008C6661">
        <w:rPr>
          <w:rFonts w:asciiTheme="majorHAnsi" w:hAnsiTheme="majorHAnsi" w:cs="Times"/>
          <w:iCs/>
          <w:sz w:val="16"/>
          <w:szCs w:val="16"/>
          <w:lang w:val="es-CO"/>
        </w:rPr>
        <w:t xml:space="preserve"> y Ramírez Rojas</w:t>
      </w:r>
      <w:r w:rsidRPr="008C6661">
        <w:rPr>
          <w:rFonts w:asciiTheme="majorHAnsi" w:hAnsiTheme="majorHAnsi" w:cs="Times"/>
          <w:sz w:val="16"/>
          <w:szCs w:val="16"/>
          <w:lang w:val="es-CO"/>
        </w:rPr>
        <w:t xml:space="preserve">. Sentencia de 25 de noviembre de 2005. Serie C No. 137, </w:t>
      </w:r>
      <w:r w:rsidRPr="008C6661">
        <w:rPr>
          <w:rFonts w:asciiTheme="majorHAnsi" w:hAnsiTheme="majorHAnsi"/>
          <w:sz w:val="16"/>
          <w:szCs w:val="16"/>
          <w:lang w:val="es-CO"/>
        </w:rPr>
        <w:t xml:space="preserve">párr. 106; </w:t>
      </w:r>
      <w:r w:rsidRPr="008C6661">
        <w:rPr>
          <w:rFonts w:asciiTheme="majorHAnsi" w:hAnsiTheme="majorHAnsi" w:cs="Times"/>
          <w:iCs/>
          <w:sz w:val="16"/>
          <w:szCs w:val="16"/>
          <w:lang w:val="es-CO"/>
        </w:rPr>
        <w:t xml:space="preserve">Caso </w:t>
      </w:r>
      <w:proofErr w:type="spellStart"/>
      <w:r w:rsidRPr="008C6661">
        <w:rPr>
          <w:rFonts w:asciiTheme="majorHAnsi" w:hAnsiTheme="majorHAnsi" w:cs="Times"/>
          <w:iCs/>
          <w:sz w:val="16"/>
          <w:szCs w:val="16"/>
          <w:lang w:val="es-CO"/>
        </w:rPr>
        <w:t>Palamara</w:t>
      </w:r>
      <w:proofErr w:type="spellEnd"/>
      <w:r w:rsidRPr="008C6661">
        <w:rPr>
          <w:rFonts w:asciiTheme="majorHAnsi" w:hAnsiTheme="majorHAnsi" w:cs="Times"/>
          <w:iCs/>
          <w:sz w:val="16"/>
          <w:szCs w:val="16"/>
          <w:lang w:val="es-CO"/>
        </w:rPr>
        <w:t xml:space="preserve"> Iribarne</w:t>
      </w:r>
      <w:r w:rsidRPr="008C6661">
        <w:rPr>
          <w:rFonts w:asciiTheme="majorHAnsi" w:hAnsiTheme="majorHAnsi" w:cs="Times"/>
          <w:sz w:val="16"/>
          <w:szCs w:val="16"/>
          <w:lang w:val="es-CO"/>
        </w:rPr>
        <w:t xml:space="preserve">. Sentencia de 22 de noviembre de 2005. Serie C No. 135, </w:t>
      </w:r>
      <w:r w:rsidRPr="008C6661">
        <w:rPr>
          <w:rFonts w:asciiTheme="majorHAnsi" w:hAnsiTheme="majorHAnsi"/>
          <w:sz w:val="16"/>
          <w:szCs w:val="16"/>
          <w:lang w:val="es-CO"/>
        </w:rPr>
        <w:t>párr</w:t>
      </w:r>
      <w:r w:rsidRPr="008C6661">
        <w:rPr>
          <w:rFonts w:asciiTheme="majorHAnsi" w:hAnsiTheme="majorHAnsi"/>
          <w:color w:val="000000"/>
          <w:sz w:val="16"/>
          <w:szCs w:val="16"/>
          <w:lang w:val="es-CO"/>
        </w:rPr>
        <w:t xml:space="preserve">. 197; y </w:t>
      </w:r>
      <w:r w:rsidRPr="008C6661">
        <w:rPr>
          <w:rFonts w:asciiTheme="majorHAnsi" w:hAnsiTheme="majorHAnsi" w:cs="Times"/>
          <w:iCs/>
          <w:sz w:val="16"/>
          <w:szCs w:val="16"/>
          <w:lang w:val="es-CO"/>
        </w:rPr>
        <w:t>Caso Acosta Calderón</w:t>
      </w:r>
      <w:r>
        <w:rPr>
          <w:rFonts w:asciiTheme="majorHAnsi" w:hAnsiTheme="majorHAnsi" w:cs="Times"/>
          <w:sz w:val="16"/>
          <w:szCs w:val="16"/>
          <w:lang w:val="es-CO"/>
        </w:rPr>
        <w:t xml:space="preserve">. </w:t>
      </w:r>
      <w:r w:rsidRPr="008C6661">
        <w:rPr>
          <w:rFonts w:asciiTheme="majorHAnsi" w:hAnsiTheme="majorHAnsi" w:cs="Times"/>
          <w:sz w:val="16"/>
          <w:szCs w:val="16"/>
          <w:lang w:val="es-CO"/>
        </w:rPr>
        <w:t>Sentencia de 24 de junio de 2005.  Serie C No. 129, p</w:t>
      </w:r>
      <w:r w:rsidRPr="008C6661">
        <w:rPr>
          <w:rFonts w:asciiTheme="majorHAnsi" w:hAnsiTheme="majorHAnsi"/>
          <w:sz w:val="16"/>
          <w:szCs w:val="16"/>
          <w:lang w:val="es-CO"/>
        </w:rPr>
        <w:t>árr</w:t>
      </w:r>
      <w:r w:rsidRPr="008C6661">
        <w:rPr>
          <w:rFonts w:asciiTheme="majorHAnsi" w:hAnsiTheme="majorHAnsi"/>
          <w:color w:val="000000"/>
          <w:sz w:val="16"/>
          <w:szCs w:val="16"/>
          <w:lang w:val="es-CO"/>
        </w:rPr>
        <w:t>. 74.</w:t>
      </w:r>
    </w:p>
  </w:footnote>
  <w:footnote w:id="133">
    <w:p w:rsidR="00B21A8E" w:rsidRPr="004961D8" w:rsidRDefault="00B21A8E">
      <w:pPr>
        <w:spacing w:after="120"/>
        <w:ind w:firstLine="720"/>
        <w:jc w:val="both"/>
        <w:rPr>
          <w:rFonts w:asciiTheme="majorHAnsi" w:hAnsiTheme="majorHAnsi"/>
          <w:sz w:val="16"/>
          <w:szCs w:val="16"/>
          <w:lang w:val="es-CO"/>
        </w:rPr>
      </w:pPr>
      <w:r w:rsidRPr="004961D8">
        <w:rPr>
          <w:rStyle w:val="FootnoteReference"/>
          <w:rFonts w:asciiTheme="majorHAnsi" w:hAnsiTheme="majorHAnsi"/>
          <w:sz w:val="16"/>
          <w:szCs w:val="16"/>
        </w:rPr>
        <w:footnoteRef/>
      </w:r>
      <w:r w:rsidRPr="004961D8">
        <w:rPr>
          <w:rFonts w:asciiTheme="majorHAnsi" w:hAnsiTheme="majorHAnsi"/>
          <w:sz w:val="16"/>
          <w:szCs w:val="16"/>
          <w:lang w:val="es-CO"/>
        </w:rPr>
        <w:t xml:space="preserve"> Corte IDH, Caso Suárez Rosero Vs. Ecuador. Sentencia de 12 de noviembre de 1997. Serie C No. 35, párr. 77.</w:t>
      </w:r>
    </w:p>
  </w:footnote>
  <w:footnote w:id="134">
    <w:p w:rsidR="00B21A8E" w:rsidRPr="008C6661" w:rsidRDefault="00B21A8E">
      <w:pPr>
        <w:spacing w:after="120"/>
        <w:ind w:firstLine="720"/>
        <w:jc w:val="both"/>
        <w:rPr>
          <w:rFonts w:asciiTheme="majorHAnsi" w:hAnsiTheme="majorHAnsi"/>
          <w:sz w:val="16"/>
          <w:szCs w:val="16"/>
          <w:lang w:val="es-CO"/>
        </w:rPr>
      </w:pPr>
      <w:r w:rsidRPr="004961D8">
        <w:rPr>
          <w:rStyle w:val="FootnoteReference"/>
          <w:rFonts w:asciiTheme="majorHAnsi" w:hAnsiTheme="majorHAnsi"/>
          <w:sz w:val="16"/>
          <w:szCs w:val="16"/>
        </w:rPr>
        <w:footnoteRef/>
      </w:r>
      <w:r w:rsidRPr="004961D8">
        <w:rPr>
          <w:rFonts w:asciiTheme="majorHAnsi" w:hAnsiTheme="majorHAnsi"/>
          <w:sz w:val="16"/>
          <w:szCs w:val="16"/>
          <w:lang w:val="es-CO"/>
        </w:rPr>
        <w:t xml:space="preserve"> </w:t>
      </w:r>
      <w:r w:rsidRPr="00246539">
        <w:rPr>
          <w:rFonts w:asciiTheme="majorHAnsi" w:hAnsiTheme="majorHAnsi"/>
          <w:sz w:val="16"/>
          <w:szCs w:val="16"/>
          <w:lang w:val="es-CO"/>
        </w:rPr>
        <w:t>CIDH. Informe sobre el uso de la prisión preventiva en las Américas. OEA/</w:t>
      </w:r>
      <w:proofErr w:type="spellStart"/>
      <w:r w:rsidRPr="00246539">
        <w:rPr>
          <w:rFonts w:asciiTheme="majorHAnsi" w:hAnsiTheme="majorHAnsi"/>
          <w:sz w:val="16"/>
          <w:szCs w:val="16"/>
          <w:lang w:val="es-CO"/>
        </w:rPr>
        <w:t>Ser.L</w:t>
      </w:r>
      <w:proofErr w:type="spellEnd"/>
      <w:r w:rsidRPr="00246539">
        <w:rPr>
          <w:rFonts w:asciiTheme="majorHAnsi" w:hAnsiTheme="majorHAnsi"/>
          <w:sz w:val="16"/>
          <w:szCs w:val="16"/>
          <w:lang w:val="es-CO"/>
        </w:rPr>
        <w:t xml:space="preserve">/V/II. 30 de diciembre de 2013. Párr. 21; </w:t>
      </w:r>
      <w:r>
        <w:rPr>
          <w:rFonts w:asciiTheme="majorHAnsi" w:hAnsiTheme="majorHAnsi" w:cs="Times"/>
          <w:sz w:val="16"/>
          <w:szCs w:val="16"/>
          <w:lang w:val="it-IT"/>
        </w:rPr>
        <w:t>Corte IDH</w:t>
      </w:r>
      <w:r w:rsidRPr="008C6661">
        <w:rPr>
          <w:rFonts w:asciiTheme="majorHAnsi" w:hAnsiTheme="majorHAnsi" w:cs="Times"/>
          <w:sz w:val="16"/>
          <w:szCs w:val="16"/>
          <w:lang w:val="it-IT"/>
        </w:rPr>
        <w:t xml:space="preserve">, </w:t>
      </w:r>
      <w:r w:rsidRPr="008C6661">
        <w:rPr>
          <w:rFonts w:asciiTheme="majorHAnsi" w:hAnsiTheme="majorHAnsi" w:cs="Times"/>
          <w:iCs/>
          <w:sz w:val="16"/>
          <w:szCs w:val="16"/>
          <w:lang w:val="it-IT"/>
        </w:rPr>
        <w:t>Caso</w:t>
      </w:r>
      <w:r w:rsidRPr="008C6661">
        <w:rPr>
          <w:rFonts w:asciiTheme="majorHAnsi" w:hAnsiTheme="majorHAnsi" w:cs="Times"/>
          <w:sz w:val="16"/>
          <w:szCs w:val="16"/>
          <w:lang w:val="it-IT"/>
        </w:rPr>
        <w:t xml:space="preserve"> </w:t>
      </w:r>
      <w:r w:rsidRPr="008C6661">
        <w:rPr>
          <w:rFonts w:asciiTheme="majorHAnsi" w:hAnsiTheme="majorHAnsi" w:cs="Times"/>
          <w:iCs/>
          <w:sz w:val="16"/>
          <w:szCs w:val="16"/>
          <w:lang w:val="it-IT"/>
        </w:rPr>
        <w:t>López Álvarez</w:t>
      </w:r>
      <w:r w:rsidRPr="008C6661">
        <w:rPr>
          <w:rFonts w:asciiTheme="majorHAnsi" w:hAnsiTheme="majorHAnsi" w:cs="Times"/>
          <w:sz w:val="16"/>
          <w:szCs w:val="16"/>
          <w:lang w:val="it-IT"/>
        </w:rPr>
        <w:t xml:space="preserve">. </w:t>
      </w:r>
      <w:r w:rsidRPr="008C6661">
        <w:rPr>
          <w:rFonts w:asciiTheme="majorHAnsi" w:hAnsiTheme="majorHAnsi" w:cs="Times"/>
          <w:sz w:val="16"/>
          <w:szCs w:val="16"/>
          <w:lang w:val="es-CO"/>
        </w:rPr>
        <w:t xml:space="preserve">Sentencia de 1º de febrero de 2006. </w:t>
      </w:r>
      <w:r w:rsidRPr="008C6661">
        <w:rPr>
          <w:rFonts w:asciiTheme="majorHAnsi" w:hAnsiTheme="majorHAnsi" w:cs="Times"/>
          <w:sz w:val="16"/>
          <w:szCs w:val="16"/>
          <w:lang w:val="pt-BR"/>
        </w:rPr>
        <w:t xml:space="preserve">Serie C No. 141, </w:t>
      </w:r>
      <w:r w:rsidRPr="008C6661">
        <w:rPr>
          <w:rFonts w:asciiTheme="majorHAnsi" w:hAnsiTheme="majorHAnsi"/>
          <w:sz w:val="16"/>
          <w:szCs w:val="16"/>
          <w:lang w:val="pt-BR"/>
        </w:rPr>
        <w:t xml:space="preserve">párr. 67; Corte I.D.H., Caso Palamara Iribarne Vs. </w:t>
      </w:r>
      <w:r w:rsidRPr="008C6661">
        <w:rPr>
          <w:rFonts w:asciiTheme="majorHAnsi" w:hAnsiTheme="majorHAnsi"/>
          <w:sz w:val="16"/>
          <w:szCs w:val="16"/>
          <w:lang w:val="es-CO"/>
        </w:rPr>
        <w:t>Chile. Sentencia de 22 de noviembre de 2005. Serie C No. 135. Párr. 196; y Corte I.D.H., Caso Acosta Calderón Vs. Ecuador. Sentencia de 24 de junio de 2005. Serie C No. 129. Párr. 74.</w:t>
      </w:r>
    </w:p>
  </w:footnote>
  <w:footnote w:id="135">
    <w:p w:rsidR="00B21A8E" w:rsidRPr="008C6661" w:rsidRDefault="00B21A8E">
      <w:pPr>
        <w:spacing w:after="120"/>
        <w:ind w:firstLine="720"/>
        <w:jc w:val="both"/>
        <w:rPr>
          <w:rFonts w:asciiTheme="majorHAnsi" w:hAnsiTheme="majorHAnsi"/>
          <w:sz w:val="16"/>
          <w:szCs w:val="16"/>
          <w:lang w:val="es-CO"/>
        </w:rPr>
      </w:pPr>
      <w:r w:rsidRPr="004961D8">
        <w:rPr>
          <w:rStyle w:val="FootnoteReference"/>
          <w:rFonts w:asciiTheme="majorHAnsi" w:hAnsiTheme="majorHAnsi"/>
          <w:sz w:val="16"/>
          <w:szCs w:val="16"/>
        </w:rPr>
        <w:footnoteRef/>
      </w:r>
      <w:r w:rsidRPr="004961D8">
        <w:rPr>
          <w:rFonts w:asciiTheme="majorHAnsi" w:hAnsiTheme="majorHAnsi"/>
          <w:sz w:val="16"/>
          <w:szCs w:val="16"/>
          <w:lang w:val="es-CO"/>
        </w:rPr>
        <w:t xml:space="preserve"> CIDH. Inf</w:t>
      </w:r>
      <w:r w:rsidRPr="00246539">
        <w:rPr>
          <w:rFonts w:asciiTheme="majorHAnsi" w:hAnsiTheme="majorHAnsi"/>
          <w:sz w:val="16"/>
          <w:szCs w:val="16"/>
          <w:lang w:val="es-CO"/>
        </w:rPr>
        <w:t>orme sobre el uso de la prisión preventiva en las Américas. OEA/</w:t>
      </w:r>
      <w:proofErr w:type="spellStart"/>
      <w:r w:rsidRPr="00246539">
        <w:rPr>
          <w:rFonts w:asciiTheme="majorHAnsi" w:hAnsiTheme="majorHAnsi"/>
          <w:sz w:val="16"/>
          <w:szCs w:val="16"/>
          <w:lang w:val="es-CO"/>
        </w:rPr>
        <w:t>Ser.L</w:t>
      </w:r>
      <w:proofErr w:type="spellEnd"/>
      <w:r w:rsidRPr="00246539">
        <w:rPr>
          <w:rFonts w:asciiTheme="majorHAnsi" w:hAnsiTheme="majorHAnsi"/>
          <w:sz w:val="16"/>
          <w:szCs w:val="16"/>
          <w:lang w:val="es-CO"/>
        </w:rPr>
        <w:t xml:space="preserve">/V/II. 30 de diciembre de 2013. Párr. 21; </w:t>
      </w:r>
      <w:r w:rsidRPr="008C6661">
        <w:rPr>
          <w:rFonts w:asciiTheme="majorHAnsi" w:hAnsiTheme="majorHAnsi" w:cs="Times"/>
          <w:sz w:val="16"/>
          <w:szCs w:val="16"/>
          <w:lang w:val="es-CO"/>
        </w:rPr>
        <w:t xml:space="preserve">Corte I.D.H., </w:t>
      </w:r>
      <w:r w:rsidRPr="008C6661">
        <w:rPr>
          <w:rFonts w:asciiTheme="majorHAnsi" w:hAnsiTheme="majorHAnsi" w:cs="Times"/>
          <w:iCs/>
          <w:sz w:val="16"/>
          <w:szCs w:val="16"/>
          <w:lang w:val="es-CO"/>
        </w:rPr>
        <w:t>Caso</w:t>
      </w:r>
      <w:r w:rsidRPr="008C6661">
        <w:rPr>
          <w:rFonts w:asciiTheme="majorHAnsi" w:hAnsiTheme="majorHAnsi" w:cs="Times"/>
          <w:sz w:val="16"/>
          <w:szCs w:val="16"/>
          <w:lang w:val="es-CO"/>
        </w:rPr>
        <w:t xml:space="preserve"> </w:t>
      </w:r>
      <w:r w:rsidRPr="008C6661">
        <w:rPr>
          <w:rFonts w:asciiTheme="majorHAnsi" w:hAnsiTheme="majorHAnsi" w:cs="Times"/>
          <w:iCs/>
          <w:sz w:val="16"/>
          <w:szCs w:val="16"/>
          <w:lang w:val="es-CO"/>
        </w:rPr>
        <w:t>López Álvarez</w:t>
      </w:r>
      <w:r w:rsidRPr="008C6661">
        <w:rPr>
          <w:rFonts w:asciiTheme="majorHAnsi" w:hAnsiTheme="majorHAnsi" w:cs="Times"/>
          <w:sz w:val="16"/>
          <w:szCs w:val="16"/>
          <w:lang w:val="es-CO"/>
        </w:rPr>
        <w:t xml:space="preserve">. Sentencia de 1º de febrero de 2006. Serie C No. 141, </w:t>
      </w:r>
      <w:r w:rsidRPr="008C6661">
        <w:rPr>
          <w:rFonts w:asciiTheme="majorHAnsi" w:hAnsiTheme="majorHAnsi"/>
          <w:sz w:val="16"/>
          <w:szCs w:val="16"/>
          <w:lang w:val="es-CO"/>
        </w:rPr>
        <w:t xml:space="preserve">párr. 69; </w:t>
      </w:r>
      <w:r w:rsidRPr="008C6661">
        <w:rPr>
          <w:rFonts w:asciiTheme="majorHAnsi" w:hAnsiTheme="majorHAnsi" w:cs="Times"/>
          <w:iCs/>
          <w:sz w:val="16"/>
          <w:szCs w:val="16"/>
          <w:lang w:val="es-CO"/>
        </w:rPr>
        <w:t xml:space="preserve">Caso García </w:t>
      </w:r>
      <w:proofErr w:type="spellStart"/>
      <w:r w:rsidRPr="008C6661">
        <w:rPr>
          <w:rFonts w:asciiTheme="majorHAnsi" w:hAnsiTheme="majorHAnsi" w:cs="Times"/>
          <w:iCs/>
          <w:sz w:val="16"/>
          <w:szCs w:val="16"/>
          <w:lang w:val="es-CO"/>
        </w:rPr>
        <w:t>Asto</w:t>
      </w:r>
      <w:proofErr w:type="spellEnd"/>
      <w:r w:rsidRPr="008C6661">
        <w:rPr>
          <w:rFonts w:asciiTheme="majorHAnsi" w:hAnsiTheme="majorHAnsi" w:cs="Times"/>
          <w:iCs/>
          <w:sz w:val="16"/>
          <w:szCs w:val="16"/>
          <w:lang w:val="es-CO"/>
        </w:rPr>
        <w:t xml:space="preserve"> y Ramírez Rojas</w:t>
      </w:r>
      <w:r w:rsidRPr="008C6661">
        <w:rPr>
          <w:rFonts w:asciiTheme="majorHAnsi" w:hAnsiTheme="majorHAnsi" w:cs="Times"/>
          <w:sz w:val="16"/>
          <w:szCs w:val="16"/>
          <w:lang w:val="es-CO"/>
        </w:rPr>
        <w:t xml:space="preserve">. Sentencia de 25 de noviembre de 2005. Serie C No. 137, </w:t>
      </w:r>
      <w:r w:rsidRPr="008C6661">
        <w:rPr>
          <w:rFonts w:asciiTheme="majorHAnsi" w:hAnsiTheme="majorHAnsi"/>
          <w:sz w:val="16"/>
          <w:szCs w:val="16"/>
          <w:lang w:val="es-CO"/>
        </w:rPr>
        <w:t xml:space="preserve">párr. 106; </w:t>
      </w:r>
      <w:r w:rsidRPr="008C6661">
        <w:rPr>
          <w:rFonts w:asciiTheme="majorHAnsi" w:hAnsiTheme="majorHAnsi" w:cs="Times"/>
          <w:iCs/>
          <w:sz w:val="16"/>
          <w:szCs w:val="16"/>
          <w:lang w:val="es-CO"/>
        </w:rPr>
        <w:t>Caso Acosta Calderón</w:t>
      </w:r>
      <w:r w:rsidRPr="008C6661">
        <w:rPr>
          <w:rFonts w:asciiTheme="majorHAnsi" w:hAnsiTheme="majorHAnsi" w:cs="Times"/>
          <w:sz w:val="16"/>
          <w:szCs w:val="16"/>
          <w:lang w:val="es-CO"/>
        </w:rPr>
        <w:t>. Sentencia de 24 de junio de 2005. Serie C No. 129, p</w:t>
      </w:r>
      <w:r w:rsidRPr="008C6661">
        <w:rPr>
          <w:rFonts w:asciiTheme="majorHAnsi" w:hAnsiTheme="majorHAnsi"/>
          <w:sz w:val="16"/>
          <w:szCs w:val="16"/>
          <w:lang w:val="es-CO"/>
        </w:rPr>
        <w:t>árr</w:t>
      </w:r>
      <w:r w:rsidRPr="008C6661">
        <w:rPr>
          <w:rFonts w:asciiTheme="majorHAnsi" w:hAnsiTheme="majorHAnsi"/>
          <w:color w:val="000000"/>
          <w:sz w:val="16"/>
          <w:szCs w:val="16"/>
          <w:lang w:val="es-CO"/>
        </w:rPr>
        <w:t xml:space="preserve">. 75; </w:t>
      </w:r>
      <w:r w:rsidRPr="008C6661">
        <w:rPr>
          <w:rFonts w:asciiTheme="majorHAnsi" w:hAnsiTheme="majorHAnsi" w:cs="Times"/>
          <w:sz w:val="16"/>
          <w:szCs w:val="16"/>
          <w:lang w:val="es-CO"/>
        </w:rPr>
        <w:t xml:space="preserve">y </w:t>
      </w:r>
      <w:r w:rsidRPr="008C6661">
        <w:rPr>
          <w:rFonts w:asciiTheme="majorHAnsi" w:hAnsiTheme="majorHAnsi" w:cs="Times"/>
          <w:iCs/>
          <w:sz w:val="16"/>
          <w:szCs w:val="16"/>
          <w:lang w:val="es-CO"/>
        </w:rPr>
        <w:t>Caso Tibi</w:t>
      </w:r>
      <w:r w:rsidRPr="008C6661">
        <w:rPr>
          <w:rFonts w:asciiTheme="majorHAnsi" w:hAnsiTheme="majorHAnsi" w:cs="Times"/>
          <w:sz w:val="16"/>
          <w:szCs w:val="16"/>
          <w:lang w:val="es-CO"/>
        </w:rPr>
        <w:t>. Sentenc</w:t>
      </w:r>
      <w:r>
        <w:rPr>
          <w:rFonts w:asciiTheme="majorHAnsi" w:hAnsiTheme="majorHAnsi" w:cs="Times"/>
          <w:sz w:val="16"/>
          <w:szCs w:val="16"/>
          <w:lang w:val="es-CO"/>
        </w:rPr>
        <w:t xml:space="preserve">ia de 7 de septiembre de 2004. </w:t>
      </w:r>
      <w:r w:rsidRPr="008C6661">
        <w:rPr>
          <w:rFonts w:asciiTheme="majorHAnsi" w:hAnsiTheme="majorHAnsi" w:cs="Times"/>
          <w:sz w:val="16"/>
          <w:szCs w:val="16"/>
          <w:lang w:val="es-CO"/>
        </w:rPr>
        <w:t xml:space="preserve">Serie C No. 114, </w:t>
      </w:r>
      <w:r w:rsidRPr="008C6661">
        <w:rPr>
          <w:rFonts w:asciiTheme="majorHAnsi" w:hAnsiTheme="majorHAnsi"/>
          <w:sz w:val="16"/>
          <w:szCs w:val="16"/>
          <w:lang w:val="es-CO"/>
        </w:rPr>
        <w:t>párr.</w:t>
      </w:r>
      <w:r w:rsidRPr="008C6661">
        <w:rPr>
          <w:rFonts w:asciiTheme="majorHAnsi" w:hAnsiTheme="majorHAnsi"/>
          <w:color w:val="000000"/>
          <w:sz w:val="16"/>
          <w:szCs w:val="16"/>
          <w:lang w:val="es-CO"/>
        </w:rPr>
        <w:t xml:space="preserve"> 180.</w:t>
      </w:r>
    </w:p>
  </w:footnote>
  <w:footnote w:id="136">
    <w:p w:rsidR="00B21A8E" w:rsidRPr="009E0561" w:rsidRDefault="00B21A8E">
      <w:pPr>
        <w:pStyle w:val="FootnoteText"/>
        <w:spacing w:after="120"/>
        <w:ind w:firstLine="720"/>
        <w:jc w:val="both"/>
        <w:rPr>
          <w:rFonts w:asciiTheme="majorHAnsi" w:hAnsiTheme="majorHAnsi"/>
          <w:sz w:val="16"/>
          <w:szCs w:val="16"/>
          <w:lang w:val="pt-BR"/>
        </w:rPr>
      </w:pPr>
      <w:r w:rsidRPr="004961D8">
        <w:rPr>
          <w:rStyle w:val="FootnoteReference"/>
          <w:rFonts w:asciiTheme="majorHAnsi" w:hAnsiTheme="majorHAnsi"/>
          <w:sz w:val="16"/>
          <w:szCs w:val="16"/>
        </w:rPr>
        <w:footnoteRef/>
      </w:r>
      <w:r w:rsidRPr="004961D8">
        <w:rPr>
          <w:rFonts w:asciiTheme="majorHAnsi" w:hAnsiTheme="majorHAnsi"/>
          <w:sz w:val="16"/>
          <w:szCs w:val="16"/>
          <w:lang w:val="es-CO"/>
        </w:rPr>
        <w:t xml:space="preserve"> Corte IDH. </w:t>
      </w:r>
      <w:r w:rsidRPr="00246539">
        <w:rPr>
          <w:rFonts w:asciiTheme="majorHAnsi" w:hAnsiTheme="majorHAnsi"/>
          <w:bCs/>
          <w:sz w:val="16"/>
          <w:szCs w:val="16"/>
          <w:lang w:val="es-CO"/>
        </w:rPr>
        <w:t>Caso Barreto Leiva Vs. Venez</w:t>
      </w:r>
      <w:r w:rsidRPr="008C6661">
        <w:rPr>
          <w:rFonts w:asciiTheme="majorHAnsi" w:hAnsiTheme="majorHAnsi"/>
          <w:bCs/>
          <w:sz w:val="16"/>
          <w:szCs w:val="16"/>
          <w:lang w:val="es-CO"/>
        </w:rPr>
        <w:t xml:space="preserve">uela. </w:t>
      </w:r>
      <w:r w:rsidRPr="008C6661">
        <w:rPr>
          <w:rFonts w:asciiTheme="majorHAnsi" w:hAnsiTheme="majorHAnsi"/>
          <w:sz w:val="16"/>
          <w:szCs w:val="16"/>
          <w:lang w:val="es-CO"/>
        </w:rPr>
        <w:t xml:space="preserve">Fondo, Reparaciones y Costas. Sentencia de 17 de noviembre de 2009. Serie C No. 206. Párr. 111. Citando. </w:t>
      </w:r>
      <w:r w:rsidRPr="008C6661">
        <w:rPr>
          <w:rFonts w:asciiTheme="majorHAnsi" w:hAnsiTheme="majorHAnsi"/>
          <w:bCs/>
          <w:sz w:val="16"/>
          <w:szCs w:val="16"/>
          <w:lang w:val="es-CO"/>
        </w:rPr>
        <w:t xml:space="preserve">Caso Chaparro Álvarez y Lapo Íñiguez Vs. Ecuador. </w:t>
      </w:r>
      <w:r w:rsidRPr="008C6661">
        <w:rPr>
          <w:rFonts w:asciiTheme="majorHAnsi" w:hAnsiTheme="majorHAnsi"/>
          <w:sz w:val="16"/>
          <w:szCs w:val="16"/>
          <w:lang w:val="es-CO"/>
        </w:rPr>
        <w:t xml:space="preserve">Excepciones Preliminares, Fondo, Reparaciones y Costas. Sentencia de 21 de noviembre de 2007. Serie C No. 170, párr. 101 y Caso </w:t>
      </w:r>
      <w:proofErr w:type="spellStart"/>
      <w:r w:rsidRPr="008C6661">
        <w:rPr>
          <w:rFonts w:asciiTheme="majorHAnsi" w:hAnsiTheme="majorHAnsi"/>
          <w:sz w:val="16"/>
          <w:szCs w:val="16"/>
          <w:lang w:val="es-CO"/>
        </w:rPr>
        <w:t>Servellón</w:t>
      </w:r>
      <w:proofErr w:type="spellEnd"/>
      <w:r w:rsidRPr="008C6661">
        <w:rPr>
          <w:rFonts w:asciiTheme="majorHAnsi" w:hAnsiTheme="majorHAnsi"/>
          <w:sz w:val="16"/>
          <w:szCs w:val="16"/>
          <w:lang w:val="es-CO"/>
        </w:rPr>
        <w:t xml:space="preserve"> García y otros Vs. Honduras. Fondo, Reparaciones y Costas. Sentencia de 21 de septiembre de 2006. </w:t>
      </w:r>
      <w:r w:rsidRPr="009E0561">
        <w:rPr>
          <w:rFonts w:asciiTheme="majorHAnsi" w:hAnsiTheme="majorHAnsi"/>
          <w:sz w:val="16"/>
          <w:szCs w:val="16"/>
          <w:lang w:val="pt-BR"/>
        </w:rPr>
        <w:t>Serie C No. 152, párr. 90.</w:t>
      </w:r>
    </w:p>
  </w:footnote>
  <w:footnote w:id="137">
    <w:p w:rsidR="00B21A8E" w:rsidRPr="009E0561" w:rsidRDefault="00B21A8E">
      <w:pPr>
        <w:pStyle w:val="FootnoteText"/>
        <w:spacing w:after="120"/>
        <w:ind w:firstLine="720"/>
        <w:jc w:val="both"/>
        <w:rPr>
          <w:rFonts w:asciiTheme="majorHAnsi" w:hAnsiTheme="majorHAnsi"/>
          <w:sz w:val="16"/>
          <w:szCs w:val="16"/>
          <w:lang w:val="pt-BR"/>
        </w:rPr>
      </w:pPr>
      <w:r w:rsidRPr="004961D8">
        <w:rPr>
          <w:rStyle w:val="FootnoteReference"/>
          <w:rFonts w:asciiTheme="majorHAnsi" w:hAnsiTheme="majorHAnsi"/>
          <w:sz w:val="16"/>
          <w:szCs w:val="16"/>
        </w:rPr>
        <w:footnoteRef/>
      </w:r>
      <w:r w:rsidRPr="009E0561">
        <w:rPr>
          <w:rFonts w:asciiTheme="majorHAnsi" w:hAnsiTheme="majorHAnsi"/>
          <w:sz w:val="16"/>
          <w:szCs w:val="16"/>
          <w:lang w:val="pt-BR"/>
        </w:rPr>
        <w:t xml:space="preserve"> Corte IDH. </w:t>
      </w:r>
      <w:r w:rsidRPr="009E0561">
        <w:rPr>
          <w:rFonts w:asciiTheme="majorHAnsi" w:hAnsiTheme="majorHAnsi"/>
          <w:bCs/>
          <w:sz w:val="16"/>
          <w:szCs w:val="16"/>
          <w:lang w:val="pt-BR"/>
        </w:rPr>
        <w:t xml:space="preserve">Caso Barreto Leiva Vs. </w:t>
      </w:r>
      <w:r w:rsidRPr="008C6661">
        <w:rPr>
          <w:rFonts w:asciiTheme="majorHAnsi" w:hAnsiTheme="majorHAnsi"/>
          <w:bCs/>
          <w:sz w:val="16"/>
          <w:szCs w:val="16"/>
          <w:lang w:val="es-VE"/>
        </w:rPr>
        <w:t xml:space="preserve">Venezuela. </w:t>
      </w:r>
      <w:r w:rsidRPr="008C6661">
        <w:rPr>
          <w:rFonts w:asciiTheme="majorHAnsi" w:hAnsiTheme="majorHAnsi"/>
          <w:sz w:val="16"/>
          <w:szCs w:val="16"/>
          <w:lang w:val="es-VE"/>
        </w:rPr>
        <w:t xml:space="preserve">Fondo, Reparaciones y Costas. Sentencia de 17 de noviembre de 2009. Serie C No. 206. Párr. 111. Citando: </w:t>
      </w:r>
      <w:r w:rsidRPr="008C6661">
        <w:rPr>
          <w:rFonts w:asciiTheme="majorHAnsi" w:hAnsiTheme="majorHAnsi"/>
          <w:bCs/>
          <w:sz w:val="16"/>
          <w:szCs w:val="16"/>
          <w:lang w:val="es-VE"/>
        </w:rPr>
        <w:t>Caso Chapar</w:t>
      </w:r>
      <w:r w:rsidRPr="008C6661">
        <w:rPr>
          <w:rFonts w:asciiTheme="majorHAnsi" w:hAnsiTheme="majorHAnsi"/>
          <w:bCs/>
          <w:sz w:val="16"/>
          <w:szCs w:val="16"/>
          <w:lang w:val="es-CO"/>
        </w:rPr>
        <w:t xml:space="preserve">ro Álvarez y Lapo Íñiguez Vs. Ecuador. </w:t>
      </w:r>
      <w:r w:rsidRPr="008C6661">
        <w:rPr>
          <w:rFonts w:asciiTheme="majorHAnsi" w:hAnsiTheme="majorHAnsi"/>
          <w:sz w:val="16"/>
          <w:szCs w:val="16"/>
          <w:lang w:val="es-CO"/>
        </w:rPr>
        <w:t xml:space="preserve">Excepciones Preliminares, Fondo, Reparaciones y Costas. Sentencia de 21 de noviembre de 2007. Serie C No. 170, párr. 103; y Caso </w:t>
      </w:r>
      <w:proofErr w:type="spellStart"/>
      <w:r w:rsidRPr="008C6661">
        <w:rPr>
          <w:rFonts w:asciiTheme="majorHAnsi" w:hAnsiTheme="majorHAnsi"/>
          <w:sz w:val="16"/>
          <w:szCs w:val="16"/>
          <w:lang w:val="es-CO"/>
        </w:rPr>
        <w:t>Servellón</w:t>
      </w:r>
      <w:proofErr w:type="spellEnd"/>
      <w:r w:rsidRPr="008C6661">
        <w:rPr>
          <w:rFonts w:asciiTheme="majorHAnsi" w:hAnsiTheme="majorHAnsi"/>
          <w:sz w:val="16"/>
          <w:szCs w:val="16"/>
          <w:lang w:val="es-CO"/>
        </w:rPr>
        <w:t xml:space="preserve"> García y otros Vs. Honduras. Fondo, Reparaciones y Costas. Sentencia de 21 de septiembre de 2006. </w:t>
      </w:r>
      <w:r w:rsidRPr="009E0561">
        <w:rPr>
          <w:rFonts w:asciiTheme="majorHAnsi" w:hAnsiTheme="majorHAnsi"/>
          <w:sz w:val="16"/>
          <w:szCs w:val="16"/>
          <w:lang w:val="pt-BR"/>
        </w:rPr>
        <w:t>Serie C No. 152, párr. 90.</w:t>
      </w:r>
    </w:p>
  </w:footnote>
  <w:footnote w:id="138">
    <w:p w:rsidR="00B21A8E" w:rsidRPr="00246539" w:rsidRDefault="00B21A8E">
      <w:pPr>
        <w:pStyle w:val="FootnoteText"/>
        <w:spacing w:after="120"/>
        <w:ind w:firstLine="720"/>
        <w:jc w:val="both"/>
        <w:rPr>
          <w:rFonts w:asciiTheme="majorHAnsi" w:hAnsiTheme="majorHAnsi"/>
          <w:sz w:val="16"/>
          <w:szCs w:val="16"/>
          <w:lang w:val="es-VE"/>
        </w:rPr>
      </w:pPr>
      <w:r w:rsidRPr="004961D8">
        <w:rPr>
          <w:rStyle w:val="FootnoteReference"/>
          <w:rFonts w:asciiTheme="majorHAnsi" w:hAnsiTheme="majorHAnsi"/>
          <w:sz w:val="16"/>
          <w:szCs w:val="16"/>
        </w:rPr>
        <w:footnoteRef/>
      </w:r>
      <w:r w:rsidRPr="009E0561">
        <w:rPr>
          <w:rFonts w:asciiTheme="majorHAnsi" w:hAnsiTheme="majorHAnsi"/>
          <w:sz w:val="16"/>
          <w:szCs w:val="16"/>
          <w:lang w:val="pt-BR"/>
        </w:rPr>
        <w:t xml:space="preserve"> Corte IDH. Caso Barreto Leiva vs Venezuela. </w:t>
      </w:r>
      <w:r w:rsidRPr="00246539">
        <w:rPr>
          <w:rFonts w:asciiTheme="majorHAnsi" w:hAnsiTheme="majorHAnsi"/>
          <w:sz w:val="16"/>
          <w:szCs w:val="16"/>
          <w:lang w:val="es-VE"/>
        </w:rPr>
        <w:t>Fondo, Reparaciones y Costas. Sentencia de 17 de noviembre de2009</w:t>
      </w:r>
      <w:r>
        <w:rPr>
          <w:rFonts w:asciiTheme="majorHAnsi" w:hAnsiTheme="majorHAnsi"/>
          <w:sz w:val="16"/>
          <w:szCs w:val="16"/>
          <w:lang w:val="es-VE"/>
        </w:rPr>
        <w:t>.</w:t>
      </w:r>
      <w:r w:rsidRPr="00246539">
        <w:rPr>
          <w:rFonts w:asciiTheme="majorHAnsi" w:hAnsiTheme="majorHAnsi"/>
          <w:sz w:val="16"/>
          <w:szCs w:val="16"/>
          <w:lang w:val="es-VE"/>
        </w:rPr>
        <w:t xml:space="preserve"> Serie C No. 206</w:t>
      </w:r>
      <w:r>
        <w:rPr>
          <w:rFonts w:asciiTheme="majorHAnsi" w:hAnsiTheme="majorHAnsi"/>
          <w:sz w:val="16"/>
          <w:szCs w:val="16"/>
          <w:lang w:val="es-VE"/>
        </w:rPr>
        <w:t>,</w:t>
      </w:r>
      <w:r w:rsidRPr="00246539">
        <w:rPr>
          <w:rFonts w:asciiTheme="majorHAnsi" w:hAnsiTheme="majorHAnsi"/>
          <w:sz w:val="16"/>
          <w:szCs w:val="16"/>
          <w:lang w:val="es-VE"/>
        </w:rPr>
        <w:t xml:space="preserve"> párr.120.</w:t>
      </w:r>
    </w:p>
  </w:footnote>
  <w:footnote w:id="139">
    <w:p w:rsidR="00B21A8E" w:rsidRPr="008C6661" w:rsidRDefault="00B21A8E">
      <w:pPr>
        <w:pStyle w:val="FootnoteText"/>
        <w:spacing w:after="120"/>
        <w:ind w:firstLine="720"/>
        <w:jc w:val="both"/>
        <w:rPr>
          <w:rFonts w:asciiTheme="majorHAnsi" w:hAnsiTheme="majorHAnsi"/>
          <w:b/>
          <w:sz w:val="16"/>
          <w:szCs w:val="16"/>
          <w:lang w:val="es-CO"/>
        </w:rPr>
      </w:pPr>
      <w:r w:rsidRPr="004961D8">
        <w:rPr>
          <w:rStyle w:val="FootnoteReference"/>
          <w:rFonts w:asciiTheme="majorHAnsi" w:hAnsiTheme="majorHAnsi"/>
          <w:sz w:val="16"/>
          <w:szCs w:val="16"/>
        </w:rPr>
        <w:footnoteRef/>
      </w:r>
      <w:r w:rsidRPr="004961D8">
        <w:rPr>
          <w:rFonts w:asciiTheme="majorHAnsi" w:hAnsiTheme="majorHAnsi"/>
          <w:sz w:val="16"/>
          <w:szCs w:val="16"/>
          <w:lang w:val="es-CO"/>
        </w:rPr>
        <w:t xml:space="preserve"> </w:t>
      </w:r>
      <w:r w:rsidRPr="00246539">
        <w:rPr>
          <w:rStyle w:val="Strong"/>
          <w:rFonts w:asciiTheme="majorHAnsi" w:hAnsiTheme="majorHAnsi"/>
          <w:b w:val="0"/>
          <w:sz w:val="16"/>
          <w:szCs w:val="16"/>
          <w:lang w:val="es-CO"/>
        </w:rPr>
        <w:t>Corte IDH. Caso Argüelles y otros Vs. Argentina. Excepciones Pr</w:t>
      </w:r>
      <w:r w:rsidRPr="008C6661">
        <w:rPr>
          <w:rStyle w:val="Strong"/>
          <w:rFonts w:asciiTheme="majorHAnsi" w:hAnsiTheme="majorHAnsi"/>
          <w:b w:val="0"/>
          <w:sz w:val="16"/>
          <w:szCs w:val="16"/>
          <w:lang w:val="es-CO"/>
        </w:rPr>
        <w:t>eliminares, Fondo, Reparaciones y Costas. Sentencia de 20 de noviembre de 2014</w:t>
      </w:r>
      <w:r>
        <w:rPr>
          <w:rStyle w:val="Strong"/>
          <w:rFonts w:asciiTheme="majorHAnsi" w:hAnsiTheme="majorHAnsi"/>
          <w:b w:val="0"/>
          <w:sz w:val="16"/>
          <w:szCs w:val="16"/>
          <w:lang w:val="es-CO"/>
        </w:rPr>
        <w:t>.</w:t>
      </w:r>
      <w:r w:rsidRPr="008C6661">
        <w:rPr>
          <w:rStyle w:val="Strong"/>
          <w:rFonts w:asciiTheme="majorHAnsi" w:hAnsiTheme="majorHAnsi"/>
          <w:b w:val="0"/>
          <w:sz w:val="16"/>
          <w:szCs w:val="16"/>
          <w:lang w:val="es-CO"/>
        </w:rPr>
        <w:t>Serie C No. 288</w:t>
      </w:r>
      <w:r>
        <w:rPr>
          <w:rStyle w:val="Strong"/>
          <w:rFonts w:asciiTheme="majorHAnsi" w:hAnsiTheme="majorHAnsi"/>
          <w:b w:val="0"/>
          <w:sz w:val="16"/>
          <w:szCs w:val="16"/>
          <w:lang w:val="es-CO"/>
        </w:rPr>
        <w:t>,</w:t>
      </w:r>
      <w:r w:rsidRPr="008C6661">
        <w:rPr>
          <w:rStyle w:val="Strong"/>
          <w:rFonts w:asciiTheme="majorHAnsi" w:hAnsiTheme="majorHAnsi"/>
          <w:b w:val="0"/>
          <w:sz w:val="16"/>
          <w:szCs w:val="16"/>
          <w:lang w:val="es-CO"/>
        </w:rPr>
        <w:t xml:space="preserve"> </w:t>
      </w:r>
      <w:r>
        <w:rPr>
          <w:rStyle w:val="Strong"/>
          <w:rFonts w:asciiTheme="majorHAnsi" w:hAnsiTheme="majorHAnsi"/>
          <w:b w:val="0"/>
          <w:sz w:val="16"/>
          <w:szCs w:val="16"/>
          <w:lang w:val="es-CO"/>
        </w:rPr>
        <w:t>p</w:t>
      </w:r>
      <w:r w:rsidRPr="008C6661">
        <w:rPr>
          <w:rStyle w:val="Strong"/>
          <w:rFonts w:asciiTheme="majorHAnsi" w:hAnsiTheme="majorHAnsi"/>
          <w:b w:val="0"/>
          <w:sz w:val="16"/>
          <w:szCs w:val="16"/>
          <w:lang w:val="es-CO"/>
        </w:rPr>
        <w:t xml:space="preserve">árr. 122. </w:t>
      </w:r>
    </w:p>
  </w:footnote>
  <w:footnote w:id="140">
    <w:p w:rsidR="00B21A8E" w:rsidRPr="008C6661" w:rsidRDefault="00B21A8E">
      <w:pPr>
        <w:pStyle w:val="FootnoteText"/>
        <w:spacing w:after="120"/>
        <w:ind w:firstLine="720"/>
        <w:jc w:val="both"/>
        <w:rPr>
          <w:rFonts w:asciiTheme="majorHAnsi" w:hAnsiTheme="majorHAnsi"/>
          <w:sz w:val="16"/>
          <w:szCs w:val="16"/>
          <w:lang w:val="es-VE"/>
        </w:rPr>
      </w:pPr>
      <w:r w:rsidRPr="004961D8">
        <w:rPr>
          <w:rStyle w:val="FootnoteReference"/>
          <w:rFonts w:asciiTheme="majorHAnsi" w:hAnsiTheme="majorHAnsi"/>
          <w:sz w:val="16"/>
          <w:szCs w:val="16"/>
        </w:rPr>
        <w:footnoteRef/>
      </w:r>
      <w:r w:rsidRPr="004961D8">
        <w:rPr>
          <w:rFonts w:asciiTheme="majorHAnsi" w:hAnsiTheme="majorHAnsi"/>
          <w:sz w:val="16"/>
          <w:szCs w:val="16"/>
          <w:lang w:val="es-VE"/>
        </w:rPr>
        <w:t xml:space="preserve"> Corte IDH. Caso Arguelles y otros vs. Argentina. Excepciones Preliminares, Fondo, Reparaciones y Costas. Sentencia de 20 de noviembre de 2014. Se</w:t>
      </w:r>
      <w:r w:rsidRPr="008C6661">
        <w:rPr>
          <w:rFonts w:asciiTheme="majorHAnsi" w:hAnsiTheme="majorHAnsi"/>
          <w:sz w:val="16"/>
          <w:szCs w:val="16"/>
          <w:lang w:val="es-VE"/>
        </w:rPr>
        <w:t>rie C No. 288, párr.</w:t>
      </w:r>
      <w:r>
        <w:rPr>
          <w:rFonts w:asciiTheme="majorHAnsi" w:hAnsiTheme="majorHAnsi"/>
          <w:sz w:val="16"/>
          <w:szCs w:val="16"/>
          <w:lang w:val="es-VE"/>
        </w:rPr>
        <w:t xml:space="preserve"> </w:t>
      </w:r>
      <w:r w:rsidRPr="008C6661">
        <w:rPr>
          <w:rFonts w:asciiTheme="majorHAnsi" w:hAnsiTheme="majorHAnsi"/>
          <w:sz w:val="16"/>
          <w:szCs w:val="16"/>
          <w:lang w:val="es-VE"/>
        </w:rPr>
        <w:t>121.</w:t>
      </w:r>
    </w:p>
  </w:footnote>
  <w:footnote w:id="141">
    <w:p w:rsidR="00B21A8E" w:rsidRPr="008C6661" w:rsidRDefault="00B21A8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Theme="majorHAnsi" w:hAnsiTheme="majorHAnsi"/>
          <w:sz w:val="16"/>
          <w:szCs w:val="16"/>
          <w:lang w:val="es-CO"/>
        </w:rPr>
      </w:pPr>
      <w:r w:rsidRPr="004961D8">
        <w:rPr>
          <w:rStyle w:val="FootnoteReference"/>
          <w:rFonts w:asciiTheme="majorHAnsi" w:hAnsiTheme="majorHAnsi"/>
          <w:sz w:val="16"/>
          <w:szCs w:val="16"/>
        </w:rPr>
        <w:footnoteRef/>
      </w:r>
      <w:r w:rsidRPr="004961D8">
        <w:rPr>
          <w:rFonts w:asciiTheme="majorHAnsi" w:hAnsiTheme="majorHAnsi"/>
          <w:sz w:val="16"/>
          <w:szCs w:val="16"/>
          <w:lang w:val="es-VE"/>
        </w:rPr>
        <w:t xml:space="preserve"> </w:t>
      </w:r>
      <w:r w:rsidRPr="00246539">
        <w:rPr>
          <w:rFonts w:asciiTheme="majorHAnsi" w:hAnsiTheme="majorHAnsi" w:cs="Calibri"/>
          <w:sz w:val="16"/>
          <w:szCs w:val="16"/>
          <w:lang w:val="es-VE" w:eastAsia="es-ES"/>
        </w:rPr>
        <w:t xml:space="preserve">CIDH. Informe No. 86/09, Caso 12.553, Fondo, José, Jorge y Dante </w:t>
      </w:r>
      <w:proofErr w:type="spellStart"/>
      <w:r w:rsidRPr="00246539">
        <w:rPr>
          <w:rFonts w:asciiTheme="majorHAnsi" w:hAnsiTheme="majorHAnsi" w:cs="Calibri"/>
          <w:sz w:val="16"/>
          <w:szCs w:val="16"/>
          <w:lang w:val="es-VE" w:eastAsia="es-ES"/>
        </w:rPr>
        <w:t>Peirano</w:t>
      </w:r>
      <w:proofErr w:type="spellEnd"/>
      <w:r w:rsidRPr="00246539">
        <w:rPr>
          <w:rFonts w:asciiTheme="majorHAnsi" w:hAnsiTheme="majorHAnsi" w:cs="Calibri"/>
          <w:sz w:val="16"/>
          <w:szCs w:val="16"/>
          <w:lang w:val="es-VE" w:eastAsia="es-ES"/>
        </w:rPr>
        <w:t xml:space="preserve"> Basso, Uruguay, 6 de agosto de 2009, párr. </w:t>
      </w:r>
      <w:r w:rsidRPr="008C6661">
        <w:rPr>
          <w:rFonts w:asciiTheme="majorHAnsi" w:hAnsiTheme="majorHAnsi" w:cs="Calibri"/>
          <w:sz w:val="16"/>
          <w:szCs w:val="16"/>
          <w:lang w:val="es-CO" w:eastAsia="es-ES"/>
        </w:rPr>
        <w:t xml:space="preserve">133; CIDH. informe No. 2/97, Caso 11.205, Fondo, Jorge Luis </w:t>
      </w:r>
      <w:proofErr w:type="spellStart"/>
      <w:r w:rsidRPr="008C6661">
        <w:rPr>
          <w:rFonts w:asciiTheme="majorHAnsi" w:hAnsiTheme="majorHAnsi" w:cs="Calibri"/>
          <w:sz w:val="16"/>
          <w:szCs w:val="16"/>
          <w:lang w:val="es-CO" w:eastAsia="es-ES"/>
        </w:rPr>
        <w:t>Bronstein</w:t>
      </w:r>
      <w:proofErr w:type="spellEnd"/>
      <w:r w:rsidRPr="008C6661">
        <w:rPr>
          <w:rFonts w:asciiTheme="majorHAnsi" w:hAnsiTheme="majorHAnsi" w:cs="Calibri"/>
          <w:sz w:val="16"/>
          <w:szCs w:val="16"/>
          <w:lang w:val="es-CO" w:eastAsia="es-ES"/>
        </w:rPr>
        <w:t xml:space="preserve"> y otros, Argentina, 11 de marzo de 1997, párr. 12; CIDH. </w:t>
      </w:r>
      <w:r w:rsidRPr="008C6661">
        <w:rPr>
          <w:rFonts w:asciiTheme="majorHAnsi" w:hAnsiTheme="majorHAnsi" w:cs="Calibri-Italic"/>
          <w:iCs/>
          <w:sz w:val="16"/>
          <w:szCs w:val="16"/>
          <w:lang w:val="es-CO" w:eastAsia="es-ES"/>
        </w:rPr>
        <w:t>Tercer informe sobre la situación de los derechos humanos en Paraguay</w:t>
      </w:r>
      <w:r w:rsidRPr="008C6661">
        <w:rPr>
          <w:rFonts w:asciiTheme="majorHAnsi" w:hAnsiTheme="majorHAnsi" w:cs="Calibri"/>
          <w:sz w:val="16"/>
          <w:szCs w:val="16"/>
          <w:lang w:val="es-CO" w:eastAsia="es-ES"/>
        </w:rPr>
        <w:t xml:space="preserve">, OEA/Ser./L/VII.110. Doc. 52, adoptado el 9 de marzo de 2001. Cap. IV, párr. 34. Ver también: Corte IDH. </w:t>
      </w:r>
      <w:r w:rsidRPr="008C6661">
        <w:rPr>
          <w:rFonts w:asciiTheme="majorHAnsi" w:hAnsiTheme="majorHAnsi" w:cs="Calibri-Italic"/>
          <w:iCs/>
          <w:sz w:val="16"/>
          <w:szCs w:val="16"/>
          <w:lang w:val="es-CO" w:eastAsia="es-ES"/>
        </w:rPr>
        <w:t>Caso López Álvarez Vs. Honduras</w:t>
      </w:r>
      <w:r w:rsidRPr="008C6661">
        <w:rPr>
          <w:rFonts w:asciiTheme="majorHAnsi" w:hAnsiTheme="majorHAnsi" w:cs="Calibri"/>
          <w:sz w:val="16"/>
          <w:szCs w:val="16"/>
          <w:lang w:val="es-CO" w:eastAsia="es-ES"/>
        </w:rPr>
        <w:t xml:space="preserve">. Sentencia de 1 de febrero de 2006. Serie C No. 141, párr. 69; Corte IDH. </w:t>
      </w:r>
      <w:r w:rsidRPr="008C6661">
        <w:rPr>
          <w:rFonts w:asciiTheme="majorHAnsi" w:hAnsiTheme="majorHAnsi" w:cs="Calibri-Italic"/>
          <w:iCs/>
          <w:sz w:val="16"/>
          <w:szCs w:val="16"/>
          <w:lang w:val="es-CO" w:eastAsia="es-ES"/>
        </w:rPr>
        <w:t>Caso Acosta Calderón Vs. Ecuador</w:t>
      </w:r>
      <w:r w:rsidRPr="008C6661">
        <w:rPr>
          <w:rFonts w:asciiTheme="majorHAnsi" w:hAnsiTheme="majorHAnsi" w:cs="Calibri"/>
          <w:sz w:val="16"/>
          <w:szCs w:val="16"/>
          <w:lang w:val="es-CO" w:eastAsia="es-ES"/>
        </w:rPr>
        <w:t xml:space="preserve">. Sentencia de 24 de junio de 2005. Serie C No. 129, párr. 111; Corte IDH. </w:t>
      </w:r>
      <w:r w:rsidRPr="008C6661">
        <w:rPr>
          <w:rFonts w:asciiTheme="majorHAnsi" w:hAnsiTheme="majorHAnsi" w:cs="Calibri-Italic"/>
          <w:iCs/>
          <w:sz w:val="16"/>
          <w:szCs w:val="16"/>
          <w:lang w:val="es-CO" w:eastAsia="es-ES"/>
        </w:rPr>
        <w:t>Caso Tibi Vs. Ecuador</w:t>
      </w:r>
      <w:r w:rsidRPr="008C6661">
        <w:rPr>
          <w:rFonts w:asciiTheme="majorHAnsi" w:hAnsiTheme="majorHAnsi" w:cs="Calibri"/>
          <w:sz w:val="16"/>
          <w:szCs w:val="16"/>
          <w:lang w:val="es-CO" w:eastAsia="es-ES"/>
        </w:rPr>
        <w:t xml:space="preserve">. Sentencia de 7 de septiembre de 2004. Serie C No. 114, párr. 180; Corte IDH. </w:t>
      </w:r>
      <w:r w:rsidRPr="008C6661">
        <w:rPr>
          <w:rFonts w:asciiTheme="majorHAnsi" w:hAnsiTheme="majorHAnsi" w:cs="Calibri-Italic"/>
          <w:iCs/>
          <w:sz w:val="16"/>
          <w:szCs w:val="16"/>
          <w:lang w:val="es-CO" w:eastAsia="es-ES"/>
        </w:rPr>
        <w:t>Caso “Instituto de Reeducación del Menor” Vs. Paraguay</w:t>
      </w:r>
      <w:r w:rsidRPr="008C6661">
        <w:rPr>
          <w:rFonts w:asciiTheme="majorHAnsi" w:hAnsiTheme="majorHAnsi" w:cs="Calibri"/>
          <w:sz w:val="16"/>
          <w:szCs w:val="16"/>
          <w:lang w:val="es-CO" w:eastAsia="es-ES"/>
        </w:rPr>
        <w:t xml:space="preserve">. Sentencia de 2 de septiembre de 2004. Serie C No. 112, párr. 229; Corte IDH. </w:t>
      </w:r>
      <w:r w:rsidRPr="008C6661">
        <w:rPr>
          <w:rFonts w:asciiTheme="majorHAnsi" w:hAnsiTheme="majorHAnsi" w:cs="Calibri-Italic"/>
          <w:iCs/>
          <w:sz w:val="16"/>
          <w:szCs w:val="16"/>
          <w:lang w:val="es-CO" w:eastAsia="es-ES"/>
        </w:rPr>
        <w:t>Caso Suárez Rosero Vs. Ecuador</w:t>
      </w:r>
      <w:r w:rsidRPr="008C6661">
        <w:rPr>
          <w:rFonts w:asciiTheme="majorHAnsi" w:hAnsiTheme="majorHAnsi" w:cs="Calibri"/>
          <w:sz w:val="16"/>
          <w:szCs w:val="16"/>
          <w:lang w:val="es-CO" w:eastAsia="es-ES"/>
        </w:rPr>
        <w:t xml:space="preserve">. Sentencia de 12 de noviembre de 1997. Serie C No. 35, párr. 77. </w:t>
      </w:r>
    </w:p>
  </w:footnote>
  <w:footnote w:id="142">
    <w:p w:rsidR="00B21A8E" w:rsidRPr="008C6661" w:rsidRDefault="00B21A8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Theme="majorHAnsi" w:hAnsiTheme="majorHAnsi" w:cs="Calibri"/>
          <w:sz w:val="16"/>
          <w:szCs w:val="16"/>
          <w:lang w:val="es-CO" w:eastAsia="es-ES"/>
        </w:rPr>
      </w:pPr>
      <w:r w:rsidRPr="004961D8">
        <w:rPr>
          <w:rStyle w:val="FootnoteReference"/>
          <w:rFonts w:asciiTheme="majorHAnsi" w:hAnsiTheme="majorHAnsi"/>
          <w:sz w:val="16"/>
          <w:szCs w:val="16"/>
        </w:rPr>
        <w:footnoteRef/>
      </w:r>
      <w:r w:rsidRPr="004961D8">
        <w:rPr>
          <w:rFonts w:asciiTheme="majorHAnsi" w:hAnsiTheme="majorHAnsi"/>
          <w:sz w:val="16"/>
          <w:szCs w:val="16"/>
          <w:lang w:val="es-CO"/>
        </w:rPr>
        <w:t xml:space="preserve"> </w:t>
      </w:r>
      <w:r w:rsidRPr="00246539">
        <w:rPr>
          <w:rFonts w:asciiTheme="majorHAnsi" w:hAnsiTheme="majorHAnsi" w:cs="Calibri"/>
          <w:sz w:val="16"/>
          <w:szCs w:val="16"/>
          <w:lang w:val="es-CO" w:eastAsia="es-ES"/>
        </w:rPr>
        <w:t xml:space="preserve">Corte IDH. </w:t>
      </w:r>
      <w:r w:rsidRPr="008C6661">
        <w:rPr>
          <w:rFonts w:asciiTheme="majorHAnsi" w:hAnsiTheme="majorHAnsi" w:cs="Calibri-Italic"/>
          <w:iCs/>
          <w:sz w:val="16"/>
          <w:szCs w:val="16"/>
          <w:lang w:val="es-CO" w:eastAsia="es-ES"/>
        </w:rPr>
        <w:t xml:space="preserve">Caso </w:t>
      </w:r>
      <w:proofErr w:type="spellStart"/>
      <w:r w:rsidRPr="008C6661">
        <w:rPr>
          <w:rFonts w:asciiTheme="majorHAnsi" w:hAnsiTheme="majorHAnsi" w:cs="Calibri-Italic"/>
          <w:iCs/>
          <w:sz w:val="16"/>
          <w:szCs w:val="16"/>
          <w:lang w:val="es-CO" w:eastAsia="es-ES"/>
        </w:rPr>
        <w:t>Usón</w:t>
      </w:r>
      <w:proofErr w:type="spellEnd"/>
      <w:r w:rsidRPr="008C6661">
        <w:rPr>
          <w:rFonts w:asciiTheme="majorHAnsi" w:hAnsiTheme="majorHAnsi" w:cs="Calibri-Italic"/>
          <w:iCs/>
          <w:sz w:val="16"/>
          <w:szCs w:val="16"/>
          <w:lang w:val="es-CO" w:eastAsia="es-ES"/>
        </w:rPr>
        <w:t xml:space="preserve"> Ramírez Vs. Venezuela. </w:t>
      </w:r>
      <w:r w:rsidRPr="008C6661">
        <w:rPr>
          <w:rFonts w:asciiTheme="majorHAnsi" w:hAnsiTheme="majorHAnsi" w:cs="Calibri"/>
          <w:sz w:val="16"/>
          <w:szCs w:val="16"/>
          <w:lang w:val="es-CO" w:eastAsia="es-ES"/>
        </w:rPr>
        <w:t>Excepción Preliminar, Fondo, Reparaciones y Costas. Sentencia de 20 de noviembre de 2009. Serie C No. 207, párr. 144.</w:t>
      </w:r>
    </w:p>
  </w:footnote>
  <w:footnote w:id="143">
    <w:p w:rsidR="00B21A8E" w:rsidRPr="004961D8" w:rsidRDefault="00B21A8E">
      <w:pPr>
        <w:pStyle w:val="FootnoteText"/>
        <w:spacing w:after="120"/>
        <w:ind w:firstLine="720"/>
        <w:jc w:val="both"/>
        <w:rPr>
          <w:rFonts w:asciiTheme="majorHAnsi" w:hAnsiTheme="majorHAnsi"/>
          <w:sz w:val="16"/>
          <w:szCs w:val="16"/>
          <w:lang w:val="es-CO"/>
        </w:rPr>
      </w:pPr>
      <w:r w:rsidRPr="004961D8">
        <w:rPr>
          <w:rStyle w:val="FootnoteReference"/>
          <w:rFonts w:asciiTheme="majorHAnsi" w:eastAsia="Arial Unicode MS" w:hAnsiTheme="majorHAnsi" w:cs="Times New Roman"/>
          <w:color w:val="auto"/>
          <w:sz w:val="16"/>
          <w:szCs w:val="16"/>
          <w:lang w:eastAsia="en-US"/>
        </w:rPr>
        <w:footnoteRef/>
      </w:r>
      <w:r w:rsidRPr="004961D8">
        <w:rPr>
          <w:rFonts w:asciiTheme="majorHAnsi" w:hAnsiTheme="majorHAnsi"/>
          <w:sz w:val="16"/>
          <w:szCs w:val="16"/>
          <w:lang w:val="es-CO"/>
        </w:rPr>
        <w:t xml:space="preserve"> CIDH. Informe sobre el uso de la prisión preventiva en las Américas. OEA/</w:t>
      </w:r>
      <w:proofErr w:type="spellStart"/>
      <w:r w:rsidRPr="004961D8">
        <w:rPr>
          <w:rFonts w:asciiTheme="majorHAnsi" w:hAnsiTheme="majorHAnsi"/>
          <w:sz w:val="16"/>
          <w:szCs w:val="16"/>
          <w:lang w:val="es-CO"/>
        </w:rPr>
        <w:t>Ser.L</w:t>
      </w:r>
      <w:proofErr w:type="spellEnd"/>
      <w:r w:rsidRPr="004961D8">
        <w:rPr>
          <w:rFonts w:asciiTheme="majorHAnsi" w:hAnsiTheme="majorHAnsi"/>
          <w:sz w:val="16"/>
          <w:szCs w:val="16"/>
          <w:lang w:val="es-CO"/>
        </w:rPr>
        <w:t>/V/II. 30 de diciembre de 2013</w:t>
      </w:r>
      <w:r>
        <w:rPr>
          <w:rFonts w:asciiTheme="majorHAnsi" w:hAnsiTheme="majorHAnsi"/>
          <w:sz w:val="16"/>
          <w:szCs w:val="16"/>
          <w:lang w:val="es-CO"/>
        </w:rPr>
        <w:t>,</w:t>
      </w:r>
      <w:r w:rsidRPr="004961D8">
        <w:rPr>
          <w:rFonts w:asciiTheme="majorHAnsi" w:hAnsiTheme="majorHAnsi"/>
          <w:sz w:val="16"/>
          <w:szCs w:val="16"/>
          <w:lang w:val="es-CO"/>
        </w:rPr>
        <w:t xml:space="preserve"> </w:t>
      </w:r>
      <w:r>
        <w:rPr>
          <w:rFonts w:asciiTheme="majorHAnsi" w:hAnsiTheme="majorHAnsi"/>
          <w:sz w:val="16"/>
          <w:szCs w:val="16"/>
          <w:lang w:val="es-CO"/>
        </w:rPr>
        <w:t>p</w:t>
      </w:r>
      <w:r w:rsidRPr="004961D8">
        <w:rPr>
          <w:rFonts w:asciiTheme="majorHAnsi" w:hAnsiTheme="majorHAnsi"/>
          <w:sz w:val="16"/>
          <w:szCs w:val="16"/>
          <w:lang w:val="es-CO"/>
        </w:rPr>
        <w:t>árr. 137.</w:t>
      </w:r>
    </w:p>
  </w:footnote>
  <w:footnote w:id="144">
    <w:p w:rsidR="00B21A8E" w:rsidRPr="008C6661" w:rsidRDefault="00B21A8E">
      <w:pPr>
        <w:pStyle w:val="FootnoteText"/>
        <w:spacing w:after="120"/>
        <w:ind w:firstLine="720"/>
        <w:jc w:val="both"/>
        <w:rPr>
          <w:rFonts w:asciiTheme="majorHAnsi" w:hAnsiTheme="majorHAnsi"/>
          <w:sz w:val="16"/>
          <w:szCs w:val="16"/>
          <w:lang w:val="es-VE"/>
        </w:rPr>
      </w:pPr>
      <w:r w:rsidRPr="004961D8">
        <w:rPr>
          <w:rStyle w:val="FootnoteReference"/>
          <w:rFonts w:asciiTheme="majorHAnsi" w:hAnsiTheme="majorHAnsi"/>
          <w:sz w:val="16"/>
          <w:szCs w:val="16"/>
        </w:rPr>
        <w:footnoteRef/>
      </w:r>
      <w:r w:rsidRPr="004961D8">
        <w:rPr>
          <w:rFonts w:asciiTheme="majorHAnsi" w:hAnsiTheme="majorHAnsi"/>
          <w:sz w:val="16"/>
          <w:szCs w:val="16"/>
          <w:lang w:val="es-VE"/>
        </w:rPr>
        <w:t>Corte IDH, Caso Espinoza Gonzáles vs. Perú. Excepciones Preliminares, Fondo, Repara</w:t>
      </w:r>
      <w:r w:rsidRPr="00246539">
        <w:rPr>
          <w:rFonts w:asciiTheme="majorHAnsi" w:hAnsiTheme="majorHAnsi"/>
          <w:sz w:val="16"/>
          <w:szCs w:val="16"/>
          <w:lang w:val="es-VE"/>
        </w:rPr>
        <w:t xml:space="preserve">ciones y Costas. Sentencia de 20 de noviembre de 2014, Serie C No. 289, </w:t>
      </w:r>
      <w:r>
        <w:rPr>
          <w:rFonts w:asciiTheme="majorHAnsi" w:hAnsiTheme="majorHAnsi"/>
          <w:sz w:val="16"/>
          <w:szCs w:val="16"/>
          <w:lang w:val="es-VE"/>
        </w:rPr>
        <w:t>p</w:t>
      </w:r>
      <w:r w:rsidRPr="00246539">
        <w:rPr>
          <w:rFonts w:asciiTheme="majorHAnsi" w:hAnsiTheme="majorHAnsi"/>
          <w:sz w:val="16"/>
          <w:szCs w:val="16"/>
          <w:lang w:val="es-VE"/>
        </w:rPr>
        <w:t>árr.135;  Corte IDH, El Hábeas Corpus bajo Suspensión de Garantías (arts. 27.2, 25.1y 7.6 Convención Americana sobre Derechos Humanos). Opinión Consultiva OC-8/87 del 30 de enero de 1</w:t>
      </w:r>
      <w:r w:rsidRPr="008C6661">
        <w:rPr>
          <w:rFonts w:asciiTheme="majorHAnsi" w:hAnsiTheme="majorHAnsi"/>
          <w:sz w:val="16"/>
          <w:szCs w:val="16"/>
          <w:lang w:val="es-VE"/>
        </w:rPr>
        <w:t>987. Serie A No. 8, párr. 33.</w:t>
      </w:r>
    </w:p>
  </w:footnote>
  <w:footnote w:id="145">
    <w:p w:rsidR="00B21A8E" w:rsidRPr="004961D8" w:rsidRDefault="00B21A8E">
      <w:pPr>
        <w:pStyle w:val="FootnoteText"/>
        <w:spacing w:after="120"/>
        <w:ind w:firstLine="720"/>
        <w:jc w:val="both"/>
        <w:rPr>
          <w:rFonts w:asciiTheme="majorHAnsi" w:hAnsiTheme="majorHAnsi"/>
          <w:sz w:val="16"/>
          <w:szCs w:val="16"/>
          <w:lang w:val="es-VE"/>
        </w:rPr>
      </w:pPr>
      <w:r w:rsidRPr="004961D8">
        <w:rPr>
          <w:rStyle w:val="FootnoteReference"/>
          <w:rFonts w:asciiTheme="majorHAnsi" w:hAnsiTheme="majorHAnsi"/>
          <w:sz w:val="16"/>
          <w:szCs w:val="16"/>
        </w:rPr>
        <w:footnoteRef/>
      </w:r>
      <w:r w:rsidRPr="004961D8">
        <w:rPr>
          <w:rFonts w:asciiTheme="majorHAnsi" w:hAnsiTheme="majorHAnsi"/>
          <w:sz w:val="16"/>
          <w:szCs w:val="16"/>
          <w:lang w:val="es-VE"/>
        </w:rPr>
        <w:t xml:space="preserve"> Corte IDH. Caso Acosta Calderón vs. Ecuador. Fondo, Reparaciones y Costas.  Serie C No. 129, párr.</w:t>
      </w:r>
      <w:r>
        <w:rPr>
          <w:rFonts w:asciiTheme="majorHAnsi" w:hAnsiTheme="majorHAnsi"/>
          <w:sz w:val="16"/>
          <w:szCs w:val="16"/>
          <w:lang w:val="es-VE"/>
        </w:rPr>
        <w:t xml:space="preserve"> </w:t>
      </w:r>
      <w:r w:rsidRPr="004961D8">
        <w:rPr>
          <w:rFonts w:asciiTheme="majorHAnsi" w:hAnsiTheme="majorHAnsi"/>
          <w:sz w:val="16"/>
          <w:szCs w:val="16"/>
          <w:lang w:val="es-VE"/>
        </w:rPr>
        <w:t xml:space="preserve">93. </w:t>
      </w:r>
    </w:p>
  </w:footnote>
  <w:footnote w:id="146">
    <w:p w:rsidR="00B21A8E" w:rsidRPr="00E87451" w:rsidRDefault="00B21A8E">
      <w:pPr>
        <w:spacing w:after="120"/>
        <w:ind w:firstLine="720"/>
        <w:jc w:val="both"/>
        <w:rPr>
          <w:rFonts w:asciiTheme="majorHAnsi" w:hAnsiTheme="majorHAnsi"/>
          <w:sz w:val="16"/>
          <w:szCs w:val="16"/>
          <w:lang w:val="pt-BR"/>
        </w:rPr>
      </w:pPr>
      <w:r w:rsidRPr="004961D8">
        <w:rPr>
          <w:rStyle w:val="FootnoteReference"/>
          <w:rFonts w:asciiTheme="majorHAnsi" w:hAnsiTheme="majorHAnsi"/>
          <w:sz w:val="16"/>
          <w:szCs w:val="16"/>
        </w:rPr>
        <w:footnoteRef/>
      </w:r>
      <w:r w:rsidRPr="004961D8">
        <w:rPr>
          <w:rFonts w:asciiTheme="majorHAnsi" w:hAnsiTheme="majorHAnsi"/>
          <w:sz w:val="16"/>
          <w:szCs w:val="16"/>
          <w:lang w:val="es-VE"/>
        </w:rPr>
        <w:t xml:space="preserve"> Corte IDH. Caso López Álvarez. Fondo, Reparaciones y Costas. Sentencia de 1 de febrero de 2006. Serie C No. 141, párr.9</w:t>
      </w:r>
      <w:r w:rsidRPr="00246539">
        <w:rPr>
          <w:rFonts w:asciiTheme="majorHAnsi" w:hAnsiTheme="majorHAnsi"/>
          <w:sz w:val="16"/>
          <w:szCs w:val="16"/>
          <w:lang w:val="es-VE"/>
        </w:rPr>
        <w:t>6; Ver también CIDH, Informe No. 67/11, Caso 11.157, Admisibilidad y Fondo, Gladys Carol Espinoza Gonzales, Perú, 31 de marzo de 2011 párr.</w:t>
      </w:r>
      <w:r>
        <w:rPr>
          <w:rFonts w:asciiTheme="majorHAnsi" w:hAnsiTheme="majorHAnsi"/>
          <w:sz w:val="16"/>
          <w:szCs w:val="16"/>
          <w:lang w:val="es-VE"/>
        </w:rPr>
        <w:t xml:space="preserve"> </w:t>
      </w:r>
      <w:r w:rsidRPr="00E87451">
        <w:rPr>
          <w:rFonts w:asciiTheme="majorHAnsi" w:hAnsiTheme="majorHAnsi"/>
          <w:sz w:val="16"/>
          <w:szCs w:val="16"/>
          <w:lang w:val="pt-BR"/>
        </w:rPr>
        <w:t>165.</w:t>
      </w:r>
    </w:p>
  </w:footnote>
  <w:footnote w:id="147">
    <w:p w:rsidR="00B21A8E" w:rsidRPr="004961D8" w:rsidRDefault="00B21A8E">
      <w:pPr>
        <w:pStyle w:val="FootnoteText"/>
        <w:spacing w:after="120"/>
        <w:ind w:firstLine="720"/>
        <w:jc w:val="both"/>
        <w:rPr>
          <w:rFonts w:asciiTheme="majorHAnsi" w:hAnsiTheme="majorHAnsi"/>
          <w:sz w:val="16"/>
          <w:szCs w:val="16"/>
          <w:lang w:val="es-VE"/>
        </w:rPr>
      </w:pPr>
      <w:r w:rsidRPr="004961D8">
        <w:rPr>
          <w:rStyle w:val="FootnoteReference"/>
          <w:rFonts w:asciiTheme="majorHAnsi" w:hAnsiTheme="majorHAnsi"/>
          <w:sz w:val="16"/>
          <w:szCs w:val="16"/>
        </w:rPr>
        <w:footnoteRef/>
      </w:r>
      <w:r w:rsidRPr="004961D8">
        <w:rPr>
          <w:rFonts w:asciiTheme="majorHAnsi" w:hAnsiTheme="majorHAnsi"/>
          <w:sz w:val="16"/>
          <w:szCs w:val="16"/>
          <w:lang w:val="pt-BR"/>
        </w:rPr>
        <w:t xml:space="preserve"> CIDH. Informe No. 86/09, Caso 12.553, Fondo, José, Jorge y Dante Peirano Basso, Uruguay, 6 de agosto de 2009, </w:t>
      </w:r>
      <w:r w:rsidRPr="00246539">
        <w:rPr>
          <w:rFonts w:asciiTheme="majorHAnsi" w:hAnsiTheme="majorHAnsi"/>
          <w:sz w:val="16"/>
          <w:szCs w:val="16"/>
          <w:lang w:val="pt-BR"/>
        </w:rPr>
        <w:t xml:space="preserve">párrs. </w:t>
      </w:r>
      <w:r w:rsidRPr="008C6661">
        <w:rPr>
          <w:rFonts w:asciiTheme="majorHAnsi" w:hAnsiTheme="majorHAnsi"/>
          <w:sz w:val="16"/>
          <w:szCs w:val="16"/>
          <w:lang w:val="es-VE"/>
        </w:rPr>
        <w:t xml:space="preserve">118.  Ver también por ejemplo las </w:t>
      </w:r>
      <w:hyperlink r:id="rId15" w:history="1">
        <w:r w:rsidRPr="00263D92">
          <w:rPr>
            <w:rStyle w:val="Hyperlink"/>
            <w:rFonts w:asciiTheme="majorHAnsi" w:hAnsiTheme="majorHAnsi"/>
            <w:sz w:val="16"/>
            <w:szCs w:val="16"/>
            <w:lang w:val="es-VE"/>
          </w:rPr>
          <w:t>Reglas de Tokio</w:t>
        </w:r>
      </w:hyperlink>
      <w:r w:rsidRPr="008C6661">
        <w:rPr>
          <w:rFonts w:asciiTheme="majorHAnsi" w:hAnsiTheme="majorHAnsi"/>
          <w:sz w:val="16"/>
          <w:szCs w:val="16"/>
          <w:lang w:val="es-VE"/>
        </w:rPr>
        <w:t xml:space="preserve"> cuya regla 6.3 establece que el acusado “tendrá derecho a apelar ante una autoridad judicial u otra autoridad independiente y competente en los casos en que</w:t>
      </w:r>
      <w:r>
        <w:rPr>
          <w:rFonts w:asciiTheme="majorHAnsi" w:hAnsiTheme="majorHAnsi"/>
          <w:sz w:val="16"/>
          <w:szCs w:val="16"/>
          <w:lang w:val="es-VE"/>
        </w:rPr>
        <w:t xml:space="preserve"> se imponga prisión preventiva”.</w:t>
      </w:r>
      <w:r w:rsidRPr="004961D8">
        <w:rPr>
          <w:rFonts w:asciiTheme="majorHAnsi" w:hAnsiTheme="majorHAnsi"/>
          <w:sz w:val="16"/>
          <w:szCs w:val="16"/>
          <w:lang w:val="es-VE"/>
        </w:rPr>
        <w:t xml:space="preserve"> </w:t>
      </w:r>
    </w:p>
  </w:footnote>
  <w:footnote w:id="148">
    <w:p w:rsidR="00B21A8E" w:rsidRPr="008C6661" w:rsidRDefault="00B21A8E">
      <w:pPr>
        <w:pStyle w:val="FootnoteText"/>
        <w:ind w:firstLine="720"/>
        <w:jc w:val="both"/>
        <w:rPr>
          <w:rFonts w:asciiTheme="majorHAnsi" w:hAnsiTheme="majorHAnsi"/>
          <w:sz w:val="16"/>
          <w:szCs w:val="16"/>
          <w:lang w:val="es-VE"/>
        </w:rPr>
      </w:pPr>
      <w:r w:rsidRPr="004961D8">
        <w:rPr>
          <w:rStyle w:val="FootnoteReference"/>
          <w:rFonts w:asciiTheme="majorHAnsi" w:hAnsiTheme="majorHAnsi"/>
          <w:sz w:val="16"/>
          <w:szCs w:val="16"/>
        </w:rPr>
        <w:footnoteRef/>
      </w:r>
      <w:r w:rsidRPr="004961D8">
        <w:rPr>
          <w:rFonts w:asciiTheme="majorHAnsi" w:hAnsiTheme="majorHAnsi"/>
          <w:sz w:val="16"/>
          <w:szCs w:val="16"/>
          <w:lang w:val="es-VE"/>
        </w:rPr>
        <w:t xml:space="preserve"> La Comisión recuerda que conforme a sus estándares, entiende la “prisión o detención preventiva” abarca todo el periodo de privación de libertad de una persona sospechosa de haber cometi</w:t>
      </w:r>
      <w:r w:rsidRPr="008C6661">
        <w:rPr>
          <w:rFonts w:asciiTheme="majorHAnsi" w:hAnsiTheme="majorHAnsi"/>
          <w:sz w:val="16"/>
          <w:szCs w:val="16"/>
          <w:lang w:val="es-VE"/>
        </w:rPr>
        <w:t>do un delito, ordenado por autoridad judicial hasta una sentencia firme.  CIDH, Informe Sobre el Uso de la Prisión Preventiva en las Américas, OEA/</w:t>
      </w:r>
      <w:proofErr w:type="spellStart"/>
      <w:r w:rsidRPr="008C6661">
        <w:rPr>
          <w:rFonts w:asciiTheme="majorHAnsi" w:hAnsiTheme="majorHAnsi"/>
          <w:sz w:val="16"/>
          <w:szCs w:val="16"/>
          <w:lang w:val="es-VE"/>
        </w:rPr>
        <w:t>Ser.L</w:t>
      </w:r>
      <w:proofErr w:type="spellEnd"/>
      <w:r w:rsidRPr="008C6661">
        <w:rPr>
          <w:rFonts w:asciiTheme="majorHAnsi" w:hAnsiTheme="majorHAnsi"/>
          <w:sz w:val="16"/>
          <w:szCs w:val="16"/>
          <w:lang w:val="es-VE"/>
        </w:rPr>
        <w:t xml:space="preserve">/V/II.Doc.46/13, 30 de diciembre de 2013, </w:t>
      </w:r>
      <w:r>
        <w:rPr>
          <w:rFonts w:asciiTheme="majorHAnsi" w:hAnsiTheme="majorHAnsi"/>
          <w:sz w:val="16"/>
          <w:szCs w:val="16"/>
          <w:lang w:val="es-VE"/>
        </w:rPr>
        <w:t>p</w:t>
      </w:r>
      <w:r w:rsidRPr="008C6661">
        <w:rPr>
          <w:rFonts w:asciiTheme="majorHAnsi" w:hAnsiTheme="majorHAnsi"/>
          <w:sz w:val="16"/>
          <w:szCs w:val="16"/>
          <w:lang w:val="es-VE"/>
        </w:rPr>
        <w:t xml:space="preserve">árr.37.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8E" w:rsidRDefault="00B21A8E"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21A8E" w:rsidRDefault="00B21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8E" w:rsidRDefault="00B21A8E" w:rsidP="00A50FCF">
    <w:pPr>
      <w:pStyle w:val="Header"/>
      <w:tabs>
        <w:tab w:val="clear" w:pos="4320"/>
        <w:tab w:val="clear" w:pos="8640"/>
      </w:tabs>
      <w:jc w:val="center"/>
      <w:rPr>
        <w:sz w:val="22"/>
        <w:szCs w:val="22"/>
      </w:rPr>
    </w:pPr>
    <w:r>
      <w:rPr>
        <w:noProof/>
        <w:sz w:val="22"/>
        <w:szCs w:val="22"/>
      </w:rPr>
      <w:drawing>
        <wp:inline distT="0" distB="0" distL="0" distR="0" wp14:anchorId="6BBAD41A" wp14:editId="7967D08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21A8E" w:rsidRPr="00EC7D62" w:rsidRDefault="00E076CF" w:rsidP="00A50FCF">
    <w:pPr>
      <w:pStyle w:val="Header"/>
      <w:tabs>
        <w:tab w:val="clear" w:pos="4320"/>
        <w:tab w:val="clear" w:pos="8640"/>
      </w:tabs>
      <w:jc w:val="center"/>
      <w:rPr>
        <w:sz w:val="22"/>
        <w:szCs w:val="22"/>
      </w:rPr>
    </w:pPr>
    <w:r>
      <w:rPr>
        <w:sz w:val="22"/>
        <w:szCs w:val="22"/>
      </w:rPr>
      <w:pict w14:anchorId="4A33DB3E">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8457ED5"/>
    <w:multiLevelType w:val="multilevel"/>
    <w:tmpl w:val="14F8AF4E"/>
    <w:lvl w:ilvl="0">
      <w:start w:val="1"/>
      <w:numFmt w:val="decimal"/>
      <w:lvlText w:val="%1."/>
      <w:lvlJc w:val="left"/>
      <w:pPr>
        <w:tabs>
          <w:tab w:val="num" w:pos="1800"/>
        </w:tabs>
        <w:ind w:left="1800" w:hanging="360"/>
      </w:pPr>
      <w:rPr>
        <w:rFonts w:cs="Times New Roman" w:hint="default"/>
        <w:b/>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ABC7331"/>
    <w:multiLevelType w:val="hybridMultilevel"/>
    <w:tmpl w:val="6CF0BF22"/>
    <w:lvl w:ilvl="0" w:tplc="7AF21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1ED6EB2"/>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471679E"/>
    <w:multiLevelType w:val="multilevel"/>
    <w:tmpl w:val="14F8AF4E"/>
    <w:lvl w:ilvl="0">
      <w:start w:val="1"/>
      <w:numFmt w:val="decimal"/>
      <w:lvlText w:val="%1."/>
      <w:lvlJc w:val="left"/>
      <w:pPr>
        <w:tabs>
          <w:tab w:val="num" w:pos="1800"/>
        </w:tabs>
        <w:ind w:left="1800" w:hanging="360"/>
      </w:pPr>
      <w:rPr>
        <w:rFonts w:cs="Times New Roman" w:hint="default"/>
        <w:b/>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19C968C7"/>
    <w:multiLevelType w:val="hybridMultilevel"/>
    <w:tmpl w:val="BC8E02EA"/>
    <w:lvl w:ilvl="0" w:tplc="D5E2ED6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C61D90"/>
    <w:multiLevelType w:val="hybridMultilevel"/>
    <w:tmpl w:val="9D80A4A8"/>
    <w:lvl w:ilvl="0" w:tplc="9A0C65BE">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DC4859"/>
    <w:multiLevelType w:val="hybridMultilevel"/>
    <w:tmpl w:val="28EC4CF0"/>
    <w:lvl w:ilvl="0" w:tplc="16B68AC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3303A37"/>
    <w:multiLevelType w:val="hybridMultilevel"/>
    <w:tmpl w:val="6CF0BF22"/>
    <w:lvl w:ilvl="0" w:tplc="7AF21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3B54B69"/>
    <w:multiLevelType w:val="hybridMultilevel"/>
    <w:tmpl w:val="8E2A8D26"/>
    <w:lvl w:ilvl="0" w:tplc="F71EC95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4986D5C"/>
    <w:multiLevelType w:val="multilevel"/>
    <w:tmpl w:val="3D900ACA"/>
    <w:lvl w:ilvl="0">
      <w:start w:val="1"/>
      <w:numFmt w:val="decimal"/>
      <w:lvlText w:val="%1."/>
      <w:lvlJc w:val="left"/>
      <w:pPr>
        <w:tabs>
          <w:tab w:val="num" w:pos="1800"/>
        </w:tabs>
        <w:ind w:left="1800" w:hanging="360"/>
      </w:pPr>
      <w:rPr>
        <w:rFonts w:cs="Times New Roman" w:hint="default"/>
        <w:b/>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66A101BB"/>
    <w:multiLevelType w:val="hybridMultilevel"/>
    <w:tmpl w:val="279AC5B0"/>
    <w:lvl w:ilvl="0" w:tplc="CB3E82CC">
      <w:start w:val="1"/>
      <w:numFmt w:val="upperRoman"/>
      <w:lvlText w:val="%1."/>
      <w:lvlJc w:val="left"/>
      <w:pPr>
        <w:tabs>
          <w:tab w:val="num" w:pos="1440"/>
        </w:tabs>
        <w:ind w:left="1440" w:hanging="720"/>
      </w:pPr>
      <w:rPr>
        <w:rFonts w:cs="Times New Roman" w:hint="default"/>
        <w:b/>
      </w:rPr>
    </w:lvl>
    <w:lvl w:ilvl="1" w:tplc="A8DA3D3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66BE5E6A"/>
    <w:multiLevelType w:val="hybridMultilevel"/>
    <w:tmpl w:val="05FA9F38"/>
    <w:lvl w:ilvl="0" w:tplc="D27A5198">
      <w:start w:val="1"/>
      <w:numFmt w:val="decimal"/>
      <w:lvlText w:val="%1."/>
      <w:lvlJc w:val="left"/>
      <w:pPr>
        <w:tabs>
          <w:tab w:val="num" w:pos="72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4EA17DC"/>
    <w:multiLevelType w:val="hybridMultilevel"/>
    <w:tmpl w:val="01D80408"/>
    <w:lvl w:ilvl="0" w:tplc="A8DA3D38">
      <w:start w:val="1"/>
      <w:numFmt w:val="decimal"/>
      <w:lvlText w:val="%1."/>
      <w:lvlJc w:val="left"/>
      <w:pPr>
        <w:tabs>
          <w:tab w:val="num" w:pos="1800"/>
        </w:tabs>
        <w:ind w:left="180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63"/>
  </w:num>
  <w:num w:numId="4">
    <w:abstractNumId w:val="25"/>
  </w:num>
  <w:num w:numId="5">
    <w:abstractNumId w:val="55"/>
  </w:num>
  <w:num w:numId="6">
    <w:abstractNumId w:val="30"/>
  </w:num>
  <w:num w:numId="7">
    <w:abstractNumId w:val="11"/>
  </w:num>
  <w:num w:numId="8">
    <w:abstractNumId w:val="21"/>
  </w:num>
  <w:num w:numId="9">
    <w:abstractNumId w:val="50"/>
  </w:num>
  <w:num w:numId="10">
    <w:abstractNumId w:val="1"/>
  </w:num>
  <w:num w:numId="11">
    <w:abstractNumId w:val="44"/>
  </w:num>
  <w:num w:numId="12">
    <w:abstractNumId w:val="45"/>
  </w:num>
  <w:num w:numId="13">
    <w:abstractNumId w:val="51"/>
  </w:num>
  <w:num w:numId="14">
    <w:abstractNumId w:val="2"/>
  </w:num>
  <w:num w:numId="15">
    <w:abstractNumId w:val="4"/>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6"/>
  </w:num>
  <w:num w:numId="28">
    <w:abstractNumId w:val="27"/>
  </w:num>
  <w:num w:numId="29">
    <w:abstractNumId w:val="28"/>
  </w:num>
  <w:num w:numId="30">
    <w:abstractNumId w:val="29"/>
  </w:num>
  <w:num w:numId="31">
    <w:abstractNumId w:val="31"/>
  </w:num>
  <w:num w:numId="32">
    <w:abstractNumId w:val="35"/>
  </w:num>
  <w:num w:numId="33">
    <w:abstractNumId w:val="36"/>
  </w:num>
  <w:num w:numId="34">
    <w:abstractNumId w:val="37"/>
  </w:num>
  <w:num w:numId="35">
    <w:abstractNumId w:val="40"/>
  </w:num>
  <w:num w:numId="36">
    <w:abstractNumId w:val="41"/>
  </w:num>
  <w:num w:numId="37">
    <w:abstractNumId w:val="42"/>
  </w:num>
  <w:num w:numId="38">
    <w:abstractNumId w:val="43"/>
  </w:num>
  <w:num w:numId="39">
    <w:abstractNumId w:val="47"/>
  </w:num>
  <w:num w:numId="40">
    <w:abstractNumId w:val="48"/>
  </w:num>
  <w:num w:numId="41">
    <w:abstractNumId w:val="53"/>
  </w:num>
  <w:num w:numId="42">
    <w:abstractNumId w:val="58"/>
  </w:num>
  <w:num w:numId="43">
    <w:abstractNumId w:val="59"/>
  </w:num>
  <w:num w:numId="44">
    <w:abstractNumId w:val="60"/>
  </w:num>
  <w:num w:numId="45">
    <w:abstractNumId w:val="62"/>
  </w:num>
  <w:num w:numId="46">
    <w:abstractNumId w:val="64"/>
  </w:num>
  <w:num w:numId="47">
    <w:abstractNumId w:val="65"/>
  </w:num>
  <w:num w:numId="48">
    <w:abstractNumId w:val="66"/>
  </w:num>
  <w:num w:numId="49">
    <w:abstractNumId w:val="68"/>
  </w:num>
  <w:num w:numId="50">
    <w:abstractNumId w:val="69"/>
  </w:num>
  <w:num w:numId="51">
    <w:abstractNumId w:val="24"/>
  </w:num>
  <w:num w:numId="52">
    <w:abstractNumId w:val="49"/>
  </w:num>
  <w:num w:numId="53">
    <w:abstractNumId w:val="52"/>
  </w:num>
  <w:num w:numId="54">
    <w:abstractNumId w:val="46"/>
  </w:num>
  <w:num w:numId="55">
    <w:abstractNumId w:val="56"/>
  </w:num>
  <w:num w:numId="56">
    <w:abstractNumId w:val="0"/>
  </w:num>
  <w:num w:numId="57">
    <w:abstractNumId w:val="67"/>
  </w:num>
  <w:num w:numId="58">
    <w:abstractNumId w:val="33"/>
  </w:num>
  <w:num w:numId="59">
    <w:abstractNumId w:val="32"/>
  </w:num>
  <w:num w:numId="60">
    <w:abstractNumId w:val="34"/>
  </w:num>
  <w:num w:numId="61">
    <w:abstractNumId w:val="7"/>
  </w:num>
  <w:num w:numId="62">
    <w:abstractNumId w:val="61"/>
  </w:num>
  <w:num w:numId="63">
    <w:abstractNumId w:val="54"/>
  </w:num>
  <w:num w:numId="64">
    <w:abstractNumId w:val="5"/>
  </w:num>
  <w:num w:numId="65">
    <w:abstractNumId w:val="38"/>
  </w:num>
  <w:num w:numId="66">
    <w:abstractNumId w:val="39"/>
  </w:num>
  <w:num w:numId="67">
    <w:abstractNumId w:val="10"/>
  </w:num>
  <w:num w:numId="68">
    <w:abstractNumId w:val="57"/>
  </w:num>
  <w:num w:numId="69">
    <w:abstractNumId w:val="3"/>
  </w:num>
  <w:num w:numId="70">
    <w:abstractNumId w:val="9"/>
  </w:num>
  <w:numIdMacAtCleanup w:val="7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Serrano">
    <w15:presenceInfo w15:providerId="Windows Live" w15:userId="54b24af38b9fa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C8"/>
    <w:rsid w:val="0000032A"/>
    <w:rsid w:val="0000036F"/>
    <w:rsid w:val="00000472"/>
    <w:rsid w:val="00000645"/>
    <w:rsid w:val="00000B26"/>
    <w:rsid w:val="00000CDA"/>
    <w:rsid w:val="000011BD"/>
    <w:rsid w:val="000016B0"/>
    <w:rsid w:val="000017F9"/>
    <w:rsid w:val="00001D4E"/>
    <w:rsid w:val="00001FAC"/>
    <w:rsid w:val="0000270F"/>
    <w:rsid w:val="00003017"/>
    <w:rsid w:val="00003756"/>
    <w:rsid w:val="00003C0A"/>
    <w:rsid w:val="00003E8B"/>
    <w:rsid w:val="00004149"/>
    <w:rsid w:val="00004260"/>
    <w:rsid w:val="00004579"/>
    <w:rsid w:val="0000484F"/>
    <w:rsid w:val="00004A86"/>
    <w:rsid w:val="00004B08"/>
    <w:rsid w:val="00004B96"/>
    <w:rsid w:val="00004DE7"/>
    <w:rsid w:val="00005851"/>
    <w:rsid w:val="00005AD2"/>
    <w:rsid w:val="00005CC5"/>
    <w:rsid w:val="00005E52"/>
    <w:rsid w:val="00005F8B"/>
    <w:rsid w:val="00006210"/>
    <w:rsid w:val="000065BB"/>
    <w:rsid w:val="0000665B"/>
    <w:rsid w:val="00006AEB"/>
    <w:rsid w:val="00006B28"/>
    <w:rsid w:val="00006E1F"/>
    <w:rsid w:val="000070D7"/>
    <w:rsid w:val="00007135"/>
    <w:rsid w:val="0000713D"/>
    <w:rsid w:val="0000721C"/>
    <w:rsid w:val="000079F2"/>
    <w:rsid w:val="00007C3A"/>
    <w:rsid w:val="00007E1F"/>
    <w:rsid w:val="00010E7B"/>
    <w:rsid w:val="00010F73"/>
    <w:rsid w:val="000111A4"/>
    <w:rsid w:val="00011213"/>
    <w:rsid w:val="0001139F"/>
    <w:rsid w:val="000116A9"/>
    <w:rsid w:val="00011738"/>
    <w:rsid w:val="00011BFA"/>
    <w:rsid w:val="00011D28"/>
    <w:rsid w:val="00011ED4"/>
    <w:rsid w:val="00012E69"/>
    <w:rsid w:val="00012E8F"/>
    <w:rsid w:val="00013196"/>
    <w:rsid w:val="00013262"/>
    <w:rsid w:val="00013730"/>
    <w:rsid w:val="0001377C"/>
    <w:rsid w:val="00013EF8"/>
    <w:rsid w:val="00014052"/>
    <w:rsid w:val="0001468F"/>
    <w:rsid w:val="00014BFF"/>
    <w:rsid w:val="00014F0A"/>
    <w:rsid w:val="00015259"/>
    <w:rsid w:val="000152F0"/>
    <w:rsid w:val="00015B68"/>
    <w:rsid w:val="00015B85"/>
    <w:rsid w:val="00015CAC"/>
    <w:rsid w:val="00015CF2"/>
    <w:rsid w:val="00016415"/>
    <w:rsid w:val="00016669"/>
    <w:rsid w:val="000167C9"/>
    <w:rsid w:val="00016D84"/>
    <w:rsid w:val="0001714B"/>
    <w:rsid w:val="0001788C"/>
    <w:rsid w:val="00017896"/>
    <w:rsid w:val="00017B7E"/>
    <w:rsid w:val="00017D12"/>
    <w:rsid w:val="00017E9A"/>
    <w:rsid w:val="00020576"/>
    <w:rsid w:val="00020701"/>
    <w:rsid w:val="00020991"/>
    <w:rsid w:val="00021607"/>
    <w:rsid w:val="000216C0"/>
    <w:rsid w:val="00021715"/>
    <w:rsid w:val="00021A9D"/>
    <w:rsid w:val="00021B34"/>
    <w:rsid w:val="00021D6E"/>
    <w:rsid w:val="00021EB3"/>
    <w:rsid w:val="00022008"/>
    <w:rsid w:val="0002248F"/>
    <w:rsid w:val="00023070"/>
    <w:rsid w:val="000232B5"/>
    <w:rsid w:val="00023311"/>
    <w:rsid w:val="000234A9"/>
    <w:rsid w:val="0002381A"/>
    <w:rsid w:val="00023C54"/>
    <w:rsid w:val="00023F0A"/>
    <w:rsid w:val="000241AF"/>
    <w:rsid w:val="0002440E"/>
    <w:rsid w:val="00024588"/>
    <w:rsid w:val="00024A8B"/>
    <w:rsid w:val="00024A9E"/>
    <w:rsid w:val="00025031"/>
    <w:rsid w:val="00025118"/>
    <w:rsid w:val="0002538A"/>
    <w:rsid w:val="000258DF"/>
    <w:rsid w:val="00025F88"/>
    <w:rsid w:val="00026955"/>
    <w:rsid w:val="00027093"/>
    <w:rsid w:val="00027161"/>
    <w:rsid w:val="00027921"/>
    <w:rsid w:val="00027A10"/>
    <w:rsid w:val="00030661"/>
    <w:rsid w:val="000308E4"/>
    <w:rsid w:val="00030CAE"/>
    <w:rsid w:val="00030CF4"/>
    <w:rsid w:val="00030EEA"/>
    <w:rsid w:val="00030EEC"/>
    <w:rsid w:val="0003140D"/>
    <w:rsid w:val="0003150E"/>
    <w:rsid w:val="000322A7"/>
    <w:rsid w:val="000329AF"/>
    <w:rsid w:val="00032C1D"/>
    <w:rsid w:val="00032DB2"/>
    <w:rsid w:val="00032DD1"/>
    <w:rsid w:val="00033658"/>
    <w:rsid w:val="00033798"/>
    <w:rsid w:val="00033A34"/>
    <w:rsid w:val="00033C0A"/>
    <w:rsid w:val="00033D3F"/>
    <w:rsid w:val="00033E63"/>
    <w:rsid w:val="00034465"/>
    <w:rsid w:val="00034479"/>
    <w:rsid w:val="000345D8"/>
    <w:rsid w:val="000347FB"/>
    <w:rsid w:val="0003487D"/>
    <w:rsid w:val="000348CD"/>
    <w:rsid w:val="00034B08"/>
    <w:rsid w:val="00035898"/>
    <w:rsid w:val="00035F55"/>
    <w:rsid w:val="00036090"/>
    <w:rsid w:val="00036277"/>
    <w:rsid w:val="00036409"/>
    <w:rsid w:val="0003681B"/>
    <w:rsid w:val="00036935"/>
    <w:rsid w:val="0003720D"/>
    <w:rsid w:val="0003738C"/>
    <w:rsid w:val="00037C0D"/>
    <w:rsid w:val="00037DD7"/>
    <w:rsid w:val="00040177"/>
    <w:rsid w:val="000407C3"/>
    <w:rsid w:val="00040AE9"/>
    <w:rsid w:val="00040B5F"/>
    <w:rsid w:val="00040C3A"/>
    <w:rsid w:val="0004176A"/>
    <w:rsid w:val="000422ED"/>
    <w:rsid w:val="000423AC"/>
    <w:rsid w:val="00042707"/>
    <w:rsid w:val="000428AA"/>
    <w:rsid w:val="0004298E"/>
    <w:rsid w:val="00042AA3"/>
    <w:rsid w:val="00042B39"/>
    <w:rsid w:val="0004316F"/>
    <w:rsid w:val="000436BC"/>
    <w:rsid w:val="00043744"/>
    <w:rsid w:val="00043A9B"/>
    <w:rsid w:val="0004416B"/>
    <w:rsid w:val="00044320"/>
    <w:rsid w:val="000443AB"/>
    <w:rsid w:val="00044486"/>
    <w:rsid w:val="000444CD"/>
    <w:rsid w:val="0004465C"/>
    <w:rsid w:val="0004481A"/>
    <w:rsid w:val="00044D50"/>
    <w:rsid w:val="00044DFD"/>
    <w:rsid w:val="000455F8"/>
    <w:rsid w:val="00045932"/>
    <w:rsid w:val="00045E0A"/>
    <w:rsid w:val="00045EAD"/>
    <w:rsid w:val="00046100"/>
    <w:rsid w:val="0004618D"/>
    <w:rsid w:val="00046395"/>
    <w:rsid w:val="000465C7"/>
    <w:rsid w:val="0004682F"/>
    <w:rsid w:val="0004684F"/>
    <w:rsid w:val="00046986"/>
    <w:rsid w:val="00046C0E"/>
    <w:rsid w:val="00046FDC"/>
    <w:rsid w:val="00047885"/>
    <w:rsid w:val="000479C8"/>
    <w:rsid w:val="00050365"/>
    <w:rsid w:val="00050A98"/>
    <w:rsid w:val="00050BD1"/>
    <w:rsid w:val="000515BC"/>
    <w:rsid w:val="000517E3"/>
    <w:rsid w:val="00052998"/>
    <w:rsid w:val="00052A54"/>
    <w:rsid w:val="00052C79"/>
    <w:rsid w:val="000531B7"/>
    <w:rsid w:val="000535F4"/>
    <w:rsid w:val="0005362B"/>
    <w:rsid w:val="0005370C"/>
    <w:rsid w:val="00053800"/>
    <w:rsid w:val="000539A6"/>
    <w:rsid w:val="00053C64"/>
    <w:rsid w:val="00053C8B"/>
    <w:rsid w:val="00053D00"/>
    <w:rsid w:val="00053EDB"/>
    <w:rsid w:val="00053FC6"/>
    <w:rsid w:val="00054266"/>
    <w:rsid w:val="0005470A"/>
    <w:rsid w:val="0005478D"/>
    <w:rsid w:val="0005493D"/>
    <w:rsid w:val="00054BCE"/>
    <w:rsid w:val="00054D12"/>
    <w:rsid w:val="00054E58"/>
    <w:rsid w:val="00055001"/>
    <w:rsid w:val="000552CC"/>
    <w:rsid w:val="00055503"/>
    <w:rsid w:val="0005571E"/>
    <w:rsid w:val="00055963"/>
    <w:rsid w:val="000561C0"/>
    <w:rsid w:val="000566C8"/>
    <w:rsid w:val="00056775"/>
    <w:rsid w:val="0005677C"/>
    <w:rsid w:val="00056E11"/>
    <w:rsid w:val="000574FF"/>
    <w:rsid w:val="0005784B"/>
    <w:rsid w:val="000579EC"/>
    <w:rsid w:val="00060F12"/>
    <w:rsid w:val="00061F69"/>
    <w:rsid w:val="00062052"/>
    <w:rsid w:val="00062663"/>
    <w:rsid w:val="00062A19"/>
    <w:rsid w:val="00062AD7"/>
    <w:rsid w:val="00062B74"/>
    <w:rsid w:val="00062DAA"/>
    <w:rsid w:val="00064523"/>
    <w:rsid w:val="000646CE"/>
    <w:rsid w:val="00064A26"/>
    <w:rsid w:val="00064A4D"/>
    <w:rsid w:val="00064D5C"/>
    <w:rsid w:val="00064F88"/>
    <w:rsid w:val="00064FBC"/>
    <w:rsid w:val="000653E6"/>
    <w:rsid w:val="00065889"/>
    <w:rsid w:val="00065907"/>
    <w:rsid w:val="000659A5"/>
    <w:rsid w:val="00065A77"/>
    <w:rsid w:val="00065BB9"/>
    <w:rsid w:val="000664AA"/>
    <w:rsid w:val="000668E2"/>
    <w:rsid w:val="00066DC1"/>
    <w:rsid w:val="00066DC3"/>
    <w:rsid w:val="00066EF9"/>
    <w:rsid w:val="00067387"/>
    <w:rsid w:val="000673D7"/>
    <w:rsid w:val="00067E4A"/>
    <w:rsid w:val="0007061E"/>
    <w:rsid w:val="0007068E"/>
    <w:rsid w:val="000708D6"/>
    <w:rsid w:val="00070D39"/>
    <w:rsid w:val="00070D46"/>
    <w:rsid w:val="000710A8"/>
    <w:rsid w:val="0007147B"/>
    <w:rsid w:val="0007159B"/>
    <w:rsid w:val="000716C5"/>
    <w:rsid w:val="00071F6E"/>
    <w:rsid w:val="00072066"/>
    <w:rsid w:val="0007272B"/>
    <w:rsid w:val="00072A6F"/>
    <w:rsid w:val="00072D08"/>
    <w:rsid w:val="000731E4"/>
    <w:rsid w:val="00073559"/>
    <w:rsid w:val="0007379B"/>
    <w:rsid w:val="000738B8"/>
    <w:rsid w:val="00073936"/>
    <w:rsid w:val="00073DD4"/>
    <w:rsid w:val="0007430D"/>
    <w:rsid w:val="00074739"/>
    <w:rsid w:val="00074A38"/>
    <w:rsid w:val="00074A70"/>
    <w:rsid w:val="00074FE8"/>
    <w:rsid w:val="00075027"/>
    <w:rsid w:val="00075262"/>
    <w:rsid w:val="00075397"/>
    <w:rsid w:val="000754FE"/>
    <w:rsid w:val="000756B3"/>
    <w:rsid w:val="0007584C"/>
    <w:rsid w:val="00075D33"/>
    <w:rsid w:val="00075E23"/>
    <w:rsid w:val="00075F8F"/>
    <w:rsid w:val="000766DB"/>
    <w:rsid w:val="00076B66"/>
    <w:rsid w:val="0007700D"/>
    <w:rsid w:val="000771A8"/>
    <w:rsid w:val="000776FB"/>
    <w:rsid w:val="00077E68"/>
    <w:rsid w:val="0008002E"/>
    <w:rsid w:val="00080090"/>
    <w:rsid w:val="00081241"/>
    <w:rsid w:val="00081831"/>
    <w:rsid w:val="00081915"/>
    <w:rsid w:val="000819B7"/>
    <w:rsid w:val="0008216F"/>
    <w:rsid w:val="00082D95"/>
    <w:rsid w:val="00082DFB"/>
    <w:rsid w:val="000832CE"/>
    <w:rsid w:val="0008336C"/>
    <w:rsid w:val="00083436"/>
    <w:rsid w:val="00083563"/>
    <w:rsid w:val="00083661"/>
    <w:rsid w:val="000836CD"/>
    <w:rsid w:val="000838F8"/>
    <w:rsid w:val="00083E46"/>
    <w:rsid w:val="00083FB0"/>
    <w:rsid w:val="00084116"/>
    <w:rsid w:val="0008426D"/>
    <w:rsid w:val="00084660"/>
    <w:rsid w:val="000849AA"/>
    <w:rsid w:val="00084A48"/>
    <w:rsid w:val="000852BF"/>
    <w:rsid w:val="00085342"/>
    <w:rsid w:val="00085685"/>
    <w:rsid w:val="00085846"/>
    <w:rsid w:val="000859B7"/>
    <w:rsid w:val="00085AAE"/>
    <w:rsid w:val="00085F41"/>
    <w:rsid w:val="00086043"/>
    <w:rsid w:val="000862C6"/>
    <w:rsid w:val="00086971"/>
    <w:rsid w:val="0008725D"/>
    <w:rsid w:val="000873CC"/>
    <w:rsid w:val="0008766E"/>
    <w:rsid w:val="00087C95"/>
    <w:rsid w:val="00087DCE"/>
    <w:rsid w:val="00087F4C"/>
    <w:rsid w:val="00090355"/>
    <w:rsid w:val="00091369"/>
    <w:rsid w:val="00091560"/>
    <w:rsid w:val="000923CA"/>
    <w:rsid w:val="00092B3D"/>
    <w:rsid w:val="00092D1E"/>
    <w:rsid w:val="00092D3D"/>
    <w:rsid w:val="00093196"/>
    <w:rsid w:val="00093275"/>
    <w:rsid w:val="0009344A"/>
    <w:rsid w:val="000935A6"/>
    <w:rsid w:val="000936FF"/>
    <w:rsid w:val="000937E8"/>
    <w:rsid w:val="00093C1D"/>
    <w:rsid w:val="00094037"/>
    <w:rsid w:val="000940E1"/>
    <w:rsid w:val="0009424C"/>
    <w:rsid w:val="000949E4"/>
    <w:rsid w:val="00095659"/>
    <w:rsid w:val="00095BE7"/>
    <w:rsid w:val="000971C4"/>
    <w:rsid w:val="000972F8"/>
    <w:rsid w:val="00097447"/>
    <w:rsid w:val="0009765A"/>
    <w:rsid w:val="0009773E"/>
    <w:rsid w:val="0009778F"/>
    <w:rsid w:val="000978D9"/>
    <w:rsid w:val="0009791F"/>
    <w:rsid w:val="00097A3D"/>
    <w:rsid w:val="00097DA5"/>
    <w:rsid w:val="000A0655"/>
    <w:rsid w:val="000A0743"/>
    <w:rsid w:val="000A0D6F"/>
    <w:rsid w:val="000A12AF"/>
    <w:rsid w:val="000A17E2"/>
    <w:rsid w:val="000A195F"/>
    <w:rsid w:val="000A1CBC"/>
    <w:rsid w:val="000A2060"/>
    <w:rsid w:val="000A2066"/>
    <w:rsid w:val="000A27F3"/>
    <w:rsid w:val="000A2868"/>
    <w:rsid w:val="000A2C06"/>
    <w:rsid w:val="000A2C17"/>
    <w:rsid w:val="000A2C5F"/>
    <w:rsid w:val="000A3352"/>
    <w:rsid w:val="000A373B"/>
    <w:rsid w:val="000A392E"/>
    <w:rsid w:val="000A3ADC"/>
    <w:rsid w:val="000A495B"/>
    <w:rsid w:val="000A546E"/>
    <w:rsid w:val="000A54CF"/>
    <w:rsid w:val="000A55A4"/>
    <w:rsid w:val="000A56CB"/>
    <w:rsid w:val="000A575F"/>
    <w:rsid w:val="000A5A10"/>
    <w:rsid w:val="000A5CD6"/>
    <w:rsid w:val="000A6CE8"/>
    <w:rsid w:val="000A7128"/>
    <w:rsid w:val="000A73B5"/>
    <w:rsid w:val="000A73F3"/>
    <w:rsid w:val="000A76B6"/>
    <w:rsid w:val="000A777B"/>
    <w:rsid w:val="000A7E6B"/>
    <w:rsid w:val="000B08E4"/>
    <w:rsid w:val="000B0AB4"/>
    <w:rsid w:val="000B0AD2"/>
    <w:rsid w:val="000B0B6B"/>
    <w:rsid w:val="000B11BD"/>
    <w:rsid w:val="000B12AB"/>
    <w:rsid w:val="000B15F9"/>
    <w:rsid w:val="000B1E2E"/>
    <w:rsid w:val="000B21D2"/>
    <w:rsid w:val="000B2D3E"/>
    <w:rsid w:val="000B2DDA"/>
    <w:rsid w:val="000B2E12"/>
    <w:rsid w:val="000B2FC1"/>
    <w:rsid w:val="000B33A5"/>
    <w:rsid w:val="000B389F"/>
    <w:rsid w:val="000B40ED"/>
    <w:rsid w:val="000B421C"/>
    <w:rsid w:val="000B4DD2"/>
    <w:rsid w:val="000B5C0D"/>
    <w:rsid w:val="000B5EF5"/>
    <w:rsid w:val="000B60D1"/>
    <w:rsid w:val="000B655A"/>
    <w:rsid w:val="000B68EE"/>
    <w:rsid w:val="000B68EF"/>
    <w:rsid w:val="000B6F56"/>
    <w:rsid w:val="000B7473"/>
    <w:rsid w:val="000B77D4"/>
    <w:rsid w:val="000C13A8"/>
    <w:rsid w:val="000C14E7"/>
    <w:rsid w:val="000C174B"/>
    <w:rsid w:val="000C185A"/>
    <w:rsid w:val="000C1AEB"/>
    <w:rsid w:val="000C1C31"/>
    <w:rsid w:val="000C1C40"/>
    <w:rsid w:val="000C21D9"/>
    <w:rsid w:val="000C246A"/>
    <w:rsid w:val="000C2D1E"/>
    <w:rsid w:val="000C2FC6"/>
    <w:rsid w:val="000C332A"/>
    <w:rsid w:val="000C3537"/>
    <w:rsid w:val="000C35AA"/>
    <w:rsid w:val="000C38D0"/>
    <w:rsid w:val="000C3FAF"/>
    <w:rsid w:val="000C44B6"/>
    <w:rsid w:val="000C44F4"/>
    <w:rsid w:val="000C4608"/>
    <w:rsid w:val="000C46DB"/>
    <w:rsid w:val="000C49E5"/>
    <w:rsid w:val="000C5B6E"/>
    <w:rsid w:val="000C5BC3"/>
    <w:rsid w:val="000C5BC5"/>
    <w:rsid w:val="000C606A"/>
    <w:rsid w:val="000C6197"/>
    <w:rsid w:val="000C6396"/>
    <w:rsid w:val="000C67F1"/>
    <w:rsid w:val="000C692B"/>
    <w:rsid w:val="000C6BA3"/>
    <w:rsid w:val="000C6E2F"/>
    <w:rsid w:val="000C6FA5"/>
    <w:rsid w:val="000C7830"/>
    <w:rsid w:val="000C7F80"/>
    <w:rsid w:val="000D03CE"/>
    <w:rsid w:val="000D0883"/>
    <w:rsid w:val="000D10DB"/>
    <w:rsid w:val="000D13F2"/>
    <w:rsid w:val="000D1A13"/>
    <w:rsid w:val="000D2081"/>
    <w:rsid w:val="000D2264"/>
    <w:rsid w:val="000D268E"/>
    <w:rsid w:val="000D2AC5"/>
    <w:rsid w:val="000D2B31"/>
    <w:rsid w:val="000D2BBE"/>
    <w:rsid w:val="000D2CA1"/>
    <w:rsid w:val="000D2FEA"/>
    <w:rsid w:val="000D3087"/>
    <w:rsid w:val="000D31F1"/>
    <w:rsid w:val="000D38BF"/>
    <w:rsid w:val="000D4302"/>
    <w:rsid w:val="000D4EDA"/>
    <w:rsid w:val="000D5813"/>
    <w:rsid w:val="000D5F45"/>
    <w:rsid w:val="000D63AB"/>
    <w:rsid w:val="000D6940"/>
    <w:rsid w:val="000D6C2C"/>
    <w:rsid w:val="000D6F0B"/>
    <w:rsid w:val="000D77A5"/>
    <w:rsid w:val="000D7D62"/>
    <w:rsid w:val="000D7E5C"/>
    <w:rsid w:val="000E0540"/>
    <w:rsid w:val="000E0926"/>
    <w:rsid w:val="000E13FE"/>
    <w:rsid w:val="000E15C3"/>
    <w:rsid w:val="000E15E0"/>
    <w:rsid w:val="000E1735"/>
    <w:rsid w:val="000E226E"/>
    <w:rsid w:val="000E2692"/>
    <w:rsid w:val="000E26E8"/>
    <w:rsid w:val="000E2C13"/>
    <w:rsid w:val="000E2F92"/>
    <w:rsid w:val="000E33DF"/>
    <w:rsid w:val="000E36DB"/>
    <w:rsid w:val="000E43B8"/>
    <w:rsid w:val="000E4430"/>
    <w:rsid w:val="000E45FC"/>
    <w:rsid w:val="000E4DE0"/>
    <w:rsid w:val="000E5573"/>
    <w:rsid w:val="000E5EB5"/>
    <w:rsid w:val="000E5F2D"/>
    <w:rsid w:val="000E68C0"/>
    <w:rsid w:val="000E696E"/>
    <w:rsid w:val="000E6A01"/>
    <w:rsid w:val="000E6BB4"/>
    <w:rsid w:val="000E6D56"/>
    <w:rsid w:val="000E6F30"/>
    <w:rsid w:val="000E7026"/>
    <w:rsid w:val="000E710F"/>
    <w:rsid w:val="000E74A1"/>
    <w:rsid w:val="000E75B9"/>
    <w:rsid w:val="000E786A"/>
    <w:rsid w:val="000E79C6"/>
    <w:rsid w:val="000E7AB0"/>
    <w:rsid w:val="000E7DB1"/>
    <w:rsid w:val="000E7F36"/>
    <w:rsid w:val="000F005D"/>
    <w:rsid w:val="000F00FA"/>
    <w:rsid w:val="000F02CF"/>
    <w:rsid w:val="000F05CF"/>
    <w:rsid w:val="000F0780"/>
    <w:rsid w:val="000F0D25"/>
    <w:rsid w:val="000F11EC"/>
    <w:rsid w:val="000F13A9"/>
    <w:rsid w:val="000F144C"/>
    <w:rsid w:val="000F15CF"/>
    <w:rsid w:val="000F1BFB"/>
    <w:rsid w:val="000F1CA2"/>
    <w:rsid w:val="000F1EA0"/>
    <w:rsid w:val="000F20A0"/>
    <w:rsid w:val="000F24D2"/>
    <w:rsid w:val="000F24DF"/>
    <w:rsid w:val="000F373A"/>
    <w:rsid w:val="000F37CF"/>
    <w:rsid w:val="000F4832"/>
    <w:rsid w:val="000F4860"/>
    <w:rsid w:val="000F4DFC"/>
    <w:rsid w:val="000F539A"/>
    <w:rsid w:val="000F5A43"/>
    <w:rsid w:val="000F5F5D"/>
    <w:rsid w:val="000F60D7"/>
    <w:rsid w:val="000F6422"/>
    <w:rsid w:val="000F67BF"/>
    <w:rsid w:val="000F6895"/>
    <w:rsid w:val="000F6BAD"/>
    <w:rsid w:val="000F7C1D"/>
    <w:rsid w:val="00100911"/>
    <w:rsid w:val="00100C29"/>
    <w:rsid w:val="00100DF8"/>
    <w:rsid w:val="001013B3"/>
    <w:rsid w:val="001015B1"/>
    <w:rsid w:val="0010163B"/>
    <w:rsid w:val="00101D95"/>
    <w:rsid w:val="0010210A"/>
    <w:rsid w:val="0010239E"/>
    <w:rsid w:val="0010274E"/>
    <w:rsid w:val="00102E54"/>
    <w:rsid w:val="00102ECC"/>
    <w:rsid w:val="00103220"/>
    <w:rsid w:val="00103340"/>
    <w:rsid w:val="001036B1"/>
    <w:rsid w:val="001041CF"/>
    <w:rsid w:val="0010427D"/>
    <w:rsid w:val="001048C3"/>
    <w:rsid w:val="00104D50"/>
    <w:rsid w:val="00104EB2"/>
    <w:rsid w:val="00104EEF"/>
    <w:rsid w:val="00104F8F"/>
    <w:rsid w:val="00105168"/>
    <w:rsid w:val="001055D3"/>
    <w:rsid w:val="00105618"/>
    <w:rsid w:val="001058B3"/>
    <w:rsid w:val="001058D8"/>
    <w:rsid w:val="00105BF1"/>
    <w:rsid w:val="00105BFF"/>
    <w:rsid w:val="00105C91"/>
    <w:rsid w:val="001063C9"/>
    <w:rsid w:val="00106A91"/>
    <w:rsid w:val="00106BB9"/>
    <w:rsid w:val="00106D45"/>
    <w:rsid w:val="00107131"/>
    <w:rsid w:val="001072D6"/>
    <w:rsid w:val="001072DB"/>
    <w:rsid w:val="0010736F"/>
    <w:rsid w:val="00107C7C"/>
    <w:rsid w:val="00107DE1"/>
    <w:rsid w:val="00107E5D"/>
    <w:rsid w:val="001108C5"/>
    <w:rsid w:val="00111119"/>
    <w:rsid w:val="001111A1"/>
    <w:rsid w:val="0011146D"/>
    <w:rsid w:val="00111D90"/>
    <w:rsid w:val="001121B5"/>
    <w:rsid w:val="0011287E"/>
    <w:rsid w:val="001129FD"/>
    <w:rsid w:val="00112E9A"/>
    <w:rsid w:val="001135F0"/>
    <w:rsid w:val="001137BC"/>
    <w:rsid w:val="00113E36"/>
    <w:rsid w:val="00113F73"/>
    <w:rsid w:val="0011455B"/>
    <w:rsid w:val="001148E3"/>
    <w:rsid w:val="00114A3E"/>
    <w:rsid w:val="00114F8B"/>
    <w:rsid w:val="00114FA2"/>
    <w:rsid w:val="0011518A"/>
    <w:rsid w:val="0011559D"/>
    <w:rsid w:val="0011572A"/>
    <w:rsid w:val="001159C2"/>
    <w:rsid w:val="00116A99"/>
    <w:rsid w:val="00116AE4"/>
    <w:rsid w:val="00116DE9"/>
    <w:rsid w:val="0011729F"/>
    <w:rsid w:val="00117804"/>
    <w:rsid w:val="001179C8"/>
    <w:rsid w:val="00117CAE"/>
    <w:rsid w:val="00117FA0"/>
    <w:rsid w:val="001207B6"/>
    <w:rsid w:val="00121728"/>
    <w:rsid w:val="0012194D"/>
    <w:rsid w:val="00121AE2"/>
    <w:rsid w:val="00121B13"/>
    <w:rsid w:val="00121CC2"/>
    <w:rsid w:val="00121DA5"/>
    <w:rsid w:val="00122517"/>
    <w:rsid w:val="00122E0C"/>
    <w:rsid w:val="00122F4E"/>
    <w:rsid w:val="0012394B"/>
    <w:rsid w:val="00123B05"/>
    <w:rsid w:val="00123D69"/>
    <w:rsid w:val="001241EA"/>
    <w:rsid w:val="001244C2"/>
    <w:rsid w:val="0012463E"/>
    <w:rsid w:val="00124961"/>
    <w:rsid w:val="00124FDB"/>
    <w:rsid w:val="001256DB"/>
    <w:rsid w:val="00125A0D"/>
    <w:rsid w:val="00125B22"/>
    <w:rsid w:val="00125B5D"/>
    <w:rsid w:val="00125F82"/>
    <w:rsid w:val="0012625D"/>
    <w:rsid w:val="001262B1"/>
    <w:rsid w:val="00126439"/>
    <w:rsid w:val="001267D6"/>
    <w:rsid w:val="001269D1"/>
    <w:rsid w:val="00126A4C"/>
    <w:rsid w:val="001271B3"/>
    <w:rsid w:val="001272DF"/>
    <w:rsid w:val="0012741B"/>
    <w:rsid w:val="00127A2E"/>
    <w:rsid w:val="00127BEC"/>
    <w:rsid w:val="00127E42"/>
    <w:rsid w:val="0013019B"/>
    <w:rsid w:val="001302EC"/>
    <w:rsid w:val="00130B97"/>
    <w:rsid w:val="0013134A"/>
    <w:rsid w:val="00131531"/>
    <w:rsid w:val="0013174C"/>
    <w:rsid w:val="001317DE"/>
    <w:rsid w:val="00131D31"/>
    <w:rsid w:val="00131D92"/>
    <w:rsid w:val="001320D8"/>
    <w:rsid w:val="00132556"/>
    <w:rsid w:val="001325F6"/>
    <w:rsid w:val="00132991"/>
    <w:rsid w:val="001339CE"/>
    <w:rsid w:val="00133EE5"/>
    <w:rsid w:val="00134213"/>
    <w:rsid w:val="001348B4"/>
    <w:rsid w:val="0013490B"/>
    <w:rsid w:val="00134959"/>
    <w:rsid w:val="0013495E"/>
    <w:rsid w:val="001349D4"/>
    <w:rsid w:val="00134CAE"/>
    <w:rsid w:val="00134EC9"/>
    <w:rsid w:val="00135AFF"/>
    <w:rsid w:val="00135E08"/>
    <w:rsid w:val="001362B9"/>
    <w:rsid w:val="00136BF2"/>
    <w:rsid w:val="00136BFD"/>
    <w:rsid w:val="00136C3F"/>
    <w:rsid w:val="00136CE2"/>
    <w:rsid w:val="00136E2E"/>
    <w:rsid w:val="00137213"/>
    <w:rsid w:val="00137255"/>
    <w:rsid w:val="001374B9"/>
    <w:rsid w:val="001375A9"/>
    <w:rsid w:val="001378F1"/>
    <w:rsid w:val="00137918"/>
    <w:rsid w:val="00137B73"/>
    <w:rsid w:val="00137DCE"/>
    <w:rsid w:val="00137E46"/>
    <w:rsid w:val="001400F9"/>
    <w:rsid w:val="001401BB"/>
    <w:rsid w:val="0014020B"/>
    <w:rsid w:val="00140280"/>
    <w:rsid w:val="00140AB7"/>
    <w:rsid w:val="00140CCF"/>
    <w:rsid w:val="00140D24"/>
    <w:rsid w:val="001414D2"/>
    <w:rsid w:val="0014152D"/>
    <w:rsid w:val="00141F57"/>
    <w:rsid w:val="00142184"/>
    <w:rsid w:val="00142959"/>
    <w:rsid w:val="00142F23"/>
    <w:rsid w:val="00142F74"/>
    <w:rsid w:val="001435E4"/>
    <w:rsid w:val="001437B1"/>
    <w:rsid w:val="00143E73"/>
    <w:rsid w:val="00143F2D"/>
    <w:rsid w:val="00144168"/>
    <w:rsid w:val="0014430E"/>
    <w:rsid w:val="0014469C"/>
    <w:rsid w:val="00144DDE"/>
    <w:rsid w:val="00144E97"/>
    <w:rsid w:val="00144F7B"/>
    <w:rsid w:val="00144F9D"/>
    <w:rsid w:val="001450BB"/>
    <w:rsid w:val="00145DB7"/>
    <w:rsid w:val="0014640C"/>
    <w:rsid w:val="001464BE"/>
    <w:rsid w:val="0014683B"/>
    <w:rsid w:val="00146DFF"/>
    <w:rsid w:val="00146E2B"/>
    <w:rsid w:val="001472B0"/>
    <w:rsid w:val="001472B3"/>
    <w:rsid w:val="00147374"/>
    <w:rsid w:val="0014754E"/>
    <w:rsid w:val="0014789A"/>
    <w:rsid w:val="00147CDE"/>
    <w:rsid w:val="00147DC2"/>
    <w:rsid w:val="0015077B"/>
    <w:rsid w:val="00150901"/>
    <w:rsid w:val="001509F1"/>
    <w:rsid w:val="00150D67"/>
    <w:rsid w:val="0015116A"/>
    <w:rsid w:val="001516CA"/>
    <w:rsid w:val="001518CD"/>
    <w:rsid w:val="001518FF"/>
    <w:rsid w:val="00151A9C"/>
    <w:rsid w:val="001523BB"/>
    <w:rsid w:val="00153168"/>
    <w:rsid w:val="00153864"/>
    <w:rsid w:val="00153902"/>
    <w:rsid w:val="00153C1B"/>
    <w:rsid w:val="00153D07"/>
    <w:rsid w:val="00153EF6"/>
    <w:rsid w:val="00154043"/>
    <w:rsid w:val="0015428A"/>
    <w:rsid w:val="00154311"/>
    <w:rsid w:val="0015476E"/>
    <w:rsid w:val="00154B98"/>
    <w:rsid w:val="00154C44"/>
    <w:rsid w:val="00154EAA"/>
    <w:rsid w:val="00154FCE"/>
    <w:rsid w:val="001550C1"/>
    <w:rsid w:val="001552E3"/>
    <w:rsid w:val="0015559D"/>
    <w:rsid w:val="00155AF7"/>
    <w:rsid w:val="00155CBD"/>
    <w:rsid w:val="0015623F"/>
    <w:rsid w:val="0015653E"/>
    <w:rsid w:val="00156658"/>
    <w:rsid w:val="0015668B"/>
    <w:rsid w:val="001567E9"/>
    <w:rsid w:val="00156B5A"/>
    <w:rsid w:val="00156C11"/>
    <w:rsid w:val="00156D89"/>
    <w:rsid w:val="00156EA4"/>
    <w:rsid w:val="00156F91"/>
    <w:rsid w:val="001572C1"/>
    <w:rsid w:val="00157D0A"/>
    <w:rsid w:val="0016081C"/>
    <w:rsid w:val="001608AF"/>
    <w:rsid w:val="00160B83"/>
    <w:rsid w:val="00160C94"/>
    <w:rsid w:val="00161358"/>
    <w:rsid w:val="0016148D"/>
    <w:rsid w:val="00161E86"/>
    <w:rsid w:val="001627D7"/>
    <w:rsid w:val="0016286B"/>
    <w:rsid w:val="00162936"/>
    <w:rsid w:val="0016299D"/>
    <w:rsid w:val="001629BF"/>
    <w:rsid w:val="00162C53"/>
    <w:rsid w:val="00162CA0"/>
    <w:rsid w:val="00162E98"/>
    <w:rsid w:val="00163057"/>
    <w:rsid w:val="0016331B"/>
    <w:rsid w:val="001633C1"/>
    <w:rsid w:val="00163A4B"/>
    <w:rsid w:val="00163DD9"/>
    <w:rsid w:val="001640BE"/>
    <w:rsid w:val="001642A7"/>
    <w:rsid w:val="001644A9"/>
    <w:rsid w:val="00164BC6"/>
    <w:rsid w:val="00164CE5"/>
    <w:rsid w:val="00164E6C"/>
    <w:rsid w:val="0016540B"/>
    <w:rsid w:val="00165554"/>
    <w:rsid w:val="00165B4C"/>
    <w:rsid w:val="0016621A"/>
    <w:rsid w:val="0016638B"/>
    <w:rsid w:val="0016677F"/>
    <w:rsid w:val="00167657"/>
    <w:rsid w:val="0016793E"/>
    <w:rsid w:val="00167A34"/>
    <w:rsid w:val="00167A48"/>
    <w:rsid w:val="00167F53"/>
    <w:rsid w:val="0017016B"/>
    <w:rsid w:val="0017022F"/>
    <w:rsid w:val="0017068B"/>
    <w:rsid w:val="001707C9"/>
    <w:rsid w:val="00170E57"/>
    <w:rsid w:val="001710DA"/>
    <w:rsid w:val="00171223"/>
    <w:rsid w:val="00171449"/>
    <w:rsid w:val="00171833"/>
    <w:rsid w:val="00171A98"/>
    <w:rsid w:val="00171E69"/>
    <w:rsid w:val="00172176"/>
    <w:rsid w:val="00172786"/>
    <w:rsid w:val="00172BA6"/>
    <w:rsid w:val="00173BFF"/>
    <w:rsid w:val="00173D98"/>
    <w:rsid w:val="00173E25"/>
    <w:rsid w:val="00174320"/>
    <w:rsid w:val="001746C2"/>
    <w:rsid w:val="00174730"/>
    <w:rsid w:val="0017487B"/>
    <w:rsid w:val="001748AA"/>
    <w:rsid w:val="001749FD"/>
    <w:rsid w:val="00174BA1"/>
    <w:rsid w:val="00175014"/>
    <w:rsid w:val="001750F4"/>
    <w:rsid w:val="00175231"/>
    <w:rsid w:val="00175372"/>
    <w:rsid w:val="00175520"/>
    <w:rsid w:val="00175573"/>
    <w:rsid w:val="00175A9F"/>
    <w:rsid w:val="00175FC7"/>
    <w:rsid w:val="00176353"/>
    <w:rsid w:val="00176EEE"/>
    <w:rsid w:val="001770BB"/>
    <w:rsid w:val="0017778B"/>
    <w:rsid w:val="001777F9"/>
    <w:rsid w:val="001777FD"/>
    <w:rsid w:val="001801B2"/>
    <w:rsid w:val="001801CE"/>
    <w:rsid w:val="00180AF9"/>
    <w:rsid w:val="00180FC3"/>
    <w:rsid w:val="00181670"/>
    <w:rsid w:val="00181839"/>
    <w:rsid w:val="00181AC9"/>
    <w:rsid w:val="00181F9D"/>
    <w:rsid w:val="00181FF3"/>
    <w:rsid w:val="001820E3"/>
    <w:rsid w:val="00182194"/>
    <w:rsid w:val="001822BF"/>
    <w:rsid w:val="0018242E"/>
    <w:rsid w:val="00182F97"/>
    <w:rsid w:val="0018301D"/>
    <w:rsid w:val="001830D7"/>
    <w:rsid w:val="0018320C"/>
    <w:rsid w:val="001832AC"/>
    <w:rsid w:val="00183772"/>
    <w:rsid w:val="00183B96"/>
    <w:rsid w:val="00183D57"/>
    <w:rsid w:val="0018406F"/>
    <w:rsid w:val="001840B7"/>
    <w:rsid w:val="001840DF"/>
    <w:rsid w:val="001842D3"/>
    <w:rsid w:val="00184368"/>
    <w:rsid w:val="001844F8"/>
    <w:rsid w:val="00184801"/>
    <w:rsid w:val="0018491F"/>
    <w:rsid w:val="00184CD1"/>
    <w:rsid w:val="001853F9"/>
    <w:rsid w:val="00185EF1"/>
    <w:rsid w:val="00186065"/>
    <w:rsid w:val="0018609E"/>
    <w:rsid w:val="001864A9"/>
    <w:rsid w:val="001869BA"/>
    <w:rsid w:val="00186D50"/>
    <w:rsid w:val="00186DDA"/>
    <w:rsid w:val="00186EB3"/>
    <w:rsid w:val="00186F05"/>
    <w:rsid w:val="001874E7"/>
    <w:rsid w:val="001875BF"/>
    <w:rsid w:val="00187970"/>
    <w:rsid w:val="00187A90"/>
    <w:rsid w:val="00187EE6"/>
    <w:rsid w:val="00187F36"/>
    <w:rsid w:val="00187FEB"/>
    <w:rsid w:val="001904BF"/>
    <w:rsid w:val="0019090E"/>
    <w:rsid w:val="00190A6E"/>
    <w:rsid w:val="00190AB5"/>
    <w:rsid w:val="0019117A"/>
    <w:rsid w:val="0019153B"/>
    <w:rsid w:val="00191D9E"/>
    <w:rsid w:val="00191F54"/>
    <w:rsid w:val="00191FED"/>
    <w:rsid w:val="00192852"/>
    <w:rsid w:val="00192860"/>
    <w:rsid w:val="0019315D"/>
    <w:rsid w:val="00193DD8"/>
    <w:rsid w:val="00193E53"/>
    <w:rsid w:val="00194866"/>
    <w:rsid w:val="00194890"/>
    <w:rsid w:val="00194D34"/>
    <w:rsid w:val="00196576"/>
    <w:rsid w:val="00196BB0"/>
    <w:rsid w:val="0019744E"/>
    <w:rsid w:val="00197D1C"/>
    <w:rsid w:val="00197ED2"/>
    <w:rsid w:val="001A0392"/>
    <w:rsid w:val="001A068E"/>
    <w:rsid w:val="001A06B6"/>
    <w:rsid w:val="001A0A80"/>
    <w:rsid w:val="001A0C64"/>
    <w:rsid w:val="001A0E10"/>
    <w:rsid w:val="001A0EE5"/>
    <w:rsid w:val="001A12F3"/>
    <w:rsid w:val="001A167D"/>
    <w:rsid w:val="001A2E9E"/>
    <w:rsid w:val="001A326F"/>
    <w:rsid w:val="001A39C9"/>
    <w:rsid w:val="001A3AC1"/>
    <w:rsid w:val="001A3D33"/>
    <w:rsid w:val="001A4150"/>
    <w:rsid w:val="001A4462"/>
    <w:rsid w:val="001A4B19"/>
    <w:rsid w:val="001A5493"/>
    <w:rsid w:val="001A56BE"/>
    <w:rsid w:val="001A5A72"/>
    <w:rsid w:val="001A5D0E"/>
    <w:rsid w:val="001A6142"/>
    <w:rsid w:val="001A6A3C"/>
    <w:rsid w:val="001A6F02"/>
    <w:rsid w:val="001A6F6F"/>
    <w:rsid w:val="001A732B"/>
    <w:rsid w:val="001A73F3"/>
    <w:rsid w:val="001A75E5"/>
    <w:rsid w:val="001A7821"/>
    <w:rsid w:val="001A7870"/>
    <w:rsid w:val="001A7911"/>
    <w:rsid w:val="001B05AB"/>
    <w:rsid w:val="001B07C4"/>
    <w:rsid w:val="001B0833"/>
    <w:rsid w:val="001B0B1A"/>
    <w:rsid w:val="001B0BD9"/>
    <w:rsid w:val="001B0C0C"/>
    <w:rsid w:val="001B0CFF"/>
    <w:rsid w:val="001B1996"/>
    <w:rsid w:val="001B24D6"/>
    <w:rsid w:val="001B2D1A"/>
    <w:rsid w:val="001B2DA4"/>
    <w:rsid w:val="001B3128"/>
    <w:rsid w:val="001B317F"/>
    <w:rsid w:val="001B397A"/>
    <w:rsid w:val="001B4309"/>
    <w:rsid w:val="001B464B"/>
    <w:rsid w:val="001B4939"/>
    <w:rsid w:val="001B4E9A"/>
    <w:rsid w:val="001B512E"/>
    <w:rsid w:val="001B58DF"/>
    <w:rsid w:val="001B61B1"/>
    <w:rsid w:val="001B62CB"/>
    <w:rsid w:val="001B6514"/>
    <w:rsid w:val="001B668D"/>
    <w:rsid w:val="001B67FC"/>
    <w:rsid w:val="001B69DE"/>
    <w:rsid w:val="001B73E2"/>
    <w:rsid w:val="001B7715"/>
    <w:rsid w:val="001B774D"/>
    <w:rsid w:val="001B7CF7"/>
    <w:rsid w:val="001C02FD"/>
    <w:rsid w:val="001C0846"/>
    <w:rsid w:val="001C08F4"/>
    <w:rsid w:val="001C0C84"/>
    <w:rsid w:val="001C1B41"/>
    <w:rsid w:val="001C1FDD"/>
    <w:rsid w:val="001C258F"/>
    <w:rsid w:val="001C31CD"/>
    <w:rsid w:val="001C3605"/>
    <w:rsid w:val="001C398A"/>
    <w:rsid w:val="001C3B7C"/>
    <w:rsid w:val="001C4035"/>
    <w:rsid w:val="001C41DF"/>
    <w:rsid w:val="001C48D2"/>
    <w:rsid w:val="001C49B1"/>
    <w:rsid w:val="001C4D40"/>
    <w:rsid w:val="001C5071"/>
    <w:rsid w:val="001C50E3"/>
    <w:rsid w:val="001C5413"/>
    <w:rsid w:val="001C5CF6"/>
    <w:rsid w:val="001C6129"/>
    <w:rsid w:val="001C65BC"/>
    <w:rsid w:val="001C65C8"/>
    <w:rsid w:val="001C7030"/>
    <w:rsid w:val="001C7080"/>
    <w:rsid w:val="001C73DE"/>
    <w:rsid w:val="001C741A"/>
    <w:rsid w:val="001C79C5"/>
    <w:rsid w:val="001C7D08"/>
    <w:rsid w:val="001C7E05"/>
    <w:rsid w:val="001C7FB9"/>
    <w:rsid w:val="001D0110"/>
    <w:rsid w:val="001D018F"/>
    <w:rsid w:val="001D08B3"/>
    <w:rsid w:val="001D0A2D"/>
    <w:rsid w:val="001D0C3F"/>
    <w:rsid w:val="001D0FE9"/>
    <w:rsid w:val="001D12CC"/>
    <w:rsid w:val="001D173D"/>
    <w:rsid w:val="001D1AB6"/>
    <w:rsid w:val="001D2A57"/>
    <w:rsid w:val="001D2F24"/>
    <w:rsid w:val="001D3235"/>
    <w:rsid w:val="001D4838"/>
    <w:rsid w:val="001D4920"/>
    <w:rsid w:val="001D4CB6"/>
    <w:rsid w:val="001D4DCB"/>
    <w:rsid w:val="001D4EDE"/>
    <w:rsid w:val="001D4F5E"/>
    <w:rsid w:val="001D517C"/>
    <w:rsid w:val="001D5183"/>
    <w:rsid w:val="001D53DD"/>
    <w:rsid w:val="001D568D"/>
    <w:rsid w:val="001D574C"/>
    <w:rsid w:val="001D5983"/>
    <w:rsid w:val="001D5CAE"/>
    <w:rsid w:val="001D601A"/>
    <w:rsid w:val="001D6250"/>
    <w:rsid w:val="001D65EF"/>
    <w:rsid w:val="001D679A"/>
    <w:rsid w:val="001D6933"/>
    <w:rsid w:val="001D6A0D"/>
    <w:rsid w:val="001D703F"/>
    <w:rsid w:val="001D70DC"/>
    <w:rsid w:val="001D7122"/>
    <w:rsid w:val="001D714A"/>
    <w:rsid w:val="001D72C4"/>
    <w:rsid w:val="001D7707"/>
    <w:rsid w:val="001D78C3"/>
    <w:rsid w:val="001D79BD"/>
    <w:rsid w:val="001D7D0B"/>
    <w:rsid w:val="001D7EE5"/>
    <w:rsid w:val="001E007C"/>
    <w:rsid w:val="001E0437"/>
    <w:rsid w:val="001E0701"/>
    <w:rsid w:val="001E0794"/>
    <w:rsid w:val="001E0B07"/>
    <w:rsid w:val="001E0DAE"/>
    <w:rsid w:val="001E0E3A"/>
    <w:rsid w:val="001E0E8D"/>
    <w:rsid w:val="001E199C"/>
    <w:rsid w:val="001E1A30"/>
    <w:rsid w:val="001E1ACF"/>
    <w:rsid w:val="001E1BB1"/>
    <w:rsid w:val="001E20DA"/>
    <w:rsid w:val="001E2E2B"/>
    <w:rsid w:val="001E3CF8"/>
    <w:rsid w:val="001E3D9F"/>
    <w:rsid w:val="001E3F2B"/>
    <w:rsid w:val="001E446E"/>
    <w:rsid w:val="001E44AA"/>
    <w:rsid w:val="001E478E"/>
    <w:rsid w:val="001E4878"/>
    <w:rsid w:val="001E4B65"/>
    <w:rsid w:val="001E4BF9"/>
    <w:rsid w:val="001E54F6"/>
    <w:rsid w:val="001E5710"/>
    <w:rsid w:val="001E616F"/>
    <w:rsid w:val="001E626D"/>
    <w:rsid w:val="001E730E"/>
    <w:rsid w:val="001E7B01"/>
    <w:rsid w:val="001E7E5D"/>
    <w:rsid w:val="001E7F5B"/>
    <w:rsid w:val="001F0859"/>
    <w:rsid w:val="001F0BAC"/>
    <w:rsid w:val="001F196E"/>
    <w:rsid w:val="001F1D1D"/>
    <w:rsid w:val="001F1FCA"/>
    <w:rsid w:val="001F2029"/>
    <w:rsid w:val="001F21BE"/>
    <w:rsid w:val="001F2493"/>
    <w:rsid w:val="001F2850"/>
    <w:rsid w:val="001F2A99"/>
    <w:rsid w:val="001F3206"/>
    <w:rsid w:val="001F32F0"/>
    <w:rsid w:val="001F34D2"/>
    <w:rsid w:val="001F3808"/>
    <w:rsid w:val="001F3C33"/>
    <w:rsid w:val="001F46B7"/>
    <w:rsid w:val="001F4AAC"/>
    <w:rsid w:val="001F4AD7"/>
    <w:rsid w:val="001F4BD9"/>
    <w:rsid w:val="001F5239"/>
    <w:rsid w:val="001F5756"/>
    <w:rsid w:val="001F58AE"/>
    <w:rsid w:val="001F5F72"/>
    <w:rsid w:val="001F6B91"/>
    <w:rsid w:val="001F6C8A"/>
    <w:rsid w:val="001F7317"/>
    <w:rsid w:val="001F76EE"/>
    <w:rsid w:val="001F7DEA"/>
    <w:rsid w:val="001F7E4C"/>
    <w:rsid w:val="00200042"/>
    <w:rsid w:val="0020078A"/>
    <w:rsid w:val="002010F0"/>
    <w:rsid w:val="00201149"/>
    <w:rsid w:val="002012CF"/>
    <w:rsid w:val="00202418"/>
    <w:rsid w:val="00202938"/>
    <w:rsid w:val="00202BAF"/>
    <w:rsid w:val="002035AD"/>
    <w:rsid w:val="00203929"/>
    <w:rsid w:val="0020428A"/>
    <w:rsid w:val="00204333"/>
    <w:rsid w:val="00204493"/>
    <w:rsid w:val="002044DA"/>
    <w:rsid w:val="0020451F"/>
    <w:rsid w:val="00204A07"/>
    <w:rsid w:val="0020504A"/>
    <w:rsid w:val="002050C1"/>
    <w:rsid w:val="00205360"/>
    <w:rsid w:val="00205C87"/>
    <w:rsid w:val="00206580"/>
    <w:rsid w:val="00206769"/>
    <w:rsid w:val="00206B2C"/>
    <w:rsid w:val="00206F06"/>
    <w:rsid w:val="00206FD6"/>
    <w:rsid w:val="00207430"/>
    <w:rsid w:val="00207A7B"/>
    <w:rsid w:val="00207BA3"/>
    <w:rsid w:val="00207D88"/>
    <w:rsid w:val="00207E60"/>
    <w:rsid w:val="00210034"/>
    <w:rsid w:val="002102E0"/>
    <w:rsid w:val="002106BD"/>
    <w:rsid w:val="00210A0E"/>
    <w:rsid w:val="00210CEC"/>
    <w:rsid w:val="00210D17"/>
    <w:rsid w:val="00210D4F"/>
    <w:rsid w:val="00211639"/>
    <w:rsid w:val="002117CE"/>
    <w:rsid w:val="002119CF"/>
    <w:rsid w:val="00211E05"/>
    <w:rsid w:val="002126B2"/>
    <w:rsid w:val="002126D9"/>
    <w:rsid w:val="0021289C"/>
    <w:rsid w:val="00212A51"/>
    <w:rsid w:val="00212A7E"/>
    <w:rsid w:val="00212B1F"/>
    <w:rsid w:val="00212DC0"/>
    <w:rsid w:val="00212FEF"/>
    <w:rsid w:val="002133DD"/>
    <w:rsid w:val="002139B8"/>
    <w:rsid w:val="00213CE7"/>
    <w:rsid w:val="0021429C"/>
    <w:rsid w:val="002144DC"/>
    <w:rsid w:val="002146C5"/>
    <w:rsid w:val="00214D26"/>
    <w:rsid w:val="00214F4E"/>
    <w:rsid w:val="002159C3"/>
    <w:rsid w:val="00215A30"/>
    <w:rsid w:val="00215C4E"/>
    <w:rsid w:val="00215FDC"/>
    <w:rsid w:val="00216276"/>
    <w:rsid w:val="002163E3"/>
    <w:rsid w:val="002164B6"/>
    <w:rsid w:val="0021687A"/>
    <w:rsid w:val="00216D92"/>
    <w:rsid w:val="00216E12"/>
    <w:rsid w:val="00217073"/>
    <w:rsid w:val="002170A0"/>
    <w:rsid w:val="00217648"/>
    <w:rsid w:val="0021787A"/>
    <w:rsid w:val="00217918"/>
    <w:rsid w:val="00217BE0"/>
    <w:rsid w:val="00217D23"/>
    <w:rsid w:val="00217D58"/>
    <w:rsid w:val="00217DCB"/>
    <w:rsid w:val="0022080F"/>
    <w:rsid w:val="00220995"/>
    <w:rsid w:val="00220C98"/>
    <w:rsid w:val="00220FCC"/>
    <w:rsid w:val="00221882"/>
    <w:rsid w:val="00221A95"/>
    <w:rsid w:val="00221D3B"/>
    <w:rsid w:val="002228E4"/>
    <w:rsid w:val="0022325B"/>
    <w:rsid w:val="0022363F"/>
    <w:rsid w:val="00223CD0"/>
    <w:rsid w:val="00223DC1"/>
    <w:rsid w:val="00223E1A"/>
    <w:rsid w:val="00223F08"/>
    <w:rsid w:val="0022476D"/>
    <w:rsid w:val="0022485A"/>
    <w:rsid w:val="00224A01"/>
    <w:rsid w:val="00224D21"/>
    <w:rsid w:val="00224D3C"/>
    <w:rsid w:val="002250A3"/>
    <w:rsid w:val="00225473"/>
    <w:rsid w:val="002259E0"/>
    <w:rsid w:val="00226436"/>
    <w:rsid w:val="00226EE6"/>
    <w:rsid w:val="002275B6"/>
    <w:rsid w:val="00230ED4"/>
    <w:rsid w:val="0023138D"/>
    <w:rsid w:val="002318F1"/>
    <w:rsid w:val="00231A7E"/>
    <w:rsid w:val="00231B3A"/>
    <w:rsid w:val="00231F5B"/>
    <w:rsid w:val="0023253E"/>
    <w:rsid w:val="00232699"/>
    <w:rsid w:val="00233556"/>
    <w:rsid w:val="00233754"/>
    <w:rsid w:val="00233A2A"/>
    <w:rsid w:val="00233ADE"/>
    <w:rsid w:val="00234195"/>
    <w:rsid w:val="00234E9B"/>
    <w:rsid w:val="00235217"/>
    <w:rsid w:val="002352F1"/>
    <w:rsid w:val="00235882"/>
    <w:rsid w:val="002367BF"/>
    <w:rsid w:val="00236929"/>
    <w:rsid w:val="00236BC1"/>
    <w:rsid w:val="0023712E"/>
    <w:rsid w:val="00237BF7"/>
    <w:rsid w:val="002406F8"/>
    <w:rsid w:val="002412BD"/>
    <w:rsid w:val="002413C6"/>
    <w:rsid w:val="00241518"/>
    <w:rsid w:val="00241871"/>
    <w:rsid w:val="00242435"/>
    <w:rsid w:val="00242EE2"/>
    <w:rsid w:val="0024314E"/>
    <w:rsid w:val="0024359A"/>
    <w:rsid w:val="002435CE"/>
    <w:rsid w:val="002436C3"/>
    <w:rsid w:val="0024399A"/>
    <w:rsid w:val="00243F98"/>
    <w:rsid w:val="0024436B"/>
    <w:rsid w:val="00244577"/>
    <w:rsid w:val="0024466B"/>
    <w:rsid w:val="002447E7"/>
    <w:rsid w:val="00244DD4"/>
    <w:rsid w:val="00245284"/>
    <w:rsid w:val="002452C9"/>
    <w:rsid w:val="0024533F"/>
    <w:rsid w:val="00245507"/>
    <w:rsid w:val="00245E16"/>
    <w:rsid w:val="00246249"/>
    <w:rsid w:val="00246539"/>
    <w:rsid w:val="00246573"/>
    <w:rsid w:val="00246D1F"/>
    <w:rsid w:val="002470AA"/>
    <w:rsid w:val="00247102"/>
    <w:rsid w:val="00247403"/>
    <w:rsid w:val="00247542"/>
    <w:rsid w:val="00247701"/>
    <w:rsid w:val="00250131"/>
    <w:rsid w:val="00250188"/>
    <w:rsid w:val="002501DF"/>
    <w:rsid w:val="002502FA"/>
    <w:rsid w:val="0025035A"/>
    <w:rsid w:val="00250F6D"/>
    <w:rsid w:val="002512A9"/>
    <w:rsid w:val="00251815"/>
    <w:rsid w:val="00251AD4"/>
    <w:rsid w:val="00251AF9"/>
    <w:rsid w:val="002528A3"/>
    <w:rsid w:val="002528A8"/>
    <w:rsid w:val="002529EF"/>
    <w:rsid w:val="00252D46"/>
    <w:rsid w:val="00252F69"/>
    <w:rsid w:val="00253419"/>
    <w:rsid w:val="0025362D"/>
    <w:rsid w:val="00253D89"/>
    <w:rsid w:val="00253ECD"/>
    <w:rsid w:val="00254727"/>
    <w:rsid w:val="002547D6"/>
    <w:rsid w:val="00255A87"/>
    <w:rsid w:val="00255E75"/>
    <w:rsid w:val="002560A3"/>
    <w:rsid w:val="002561F9"/>
    <w:rsid w:val="0025645E"/>
    <w:rsid w:val="00256F1A"/>
    <w:rsid w:val="002571C0"/>
    <w:rsid w:val="002571E1"/>
    <w:rsid w:val="0025721A"/>
    <w:rsid w:val="00257226"/>
    <w:rsid w:val="0025762A"/>
    <w:rsid w:val="0025788C"/>
    <w:rsid w:val="0025794B"/>
    <w:rsid w:val="00257E30"/>
    <w:rsid w:val="00260014"/>
    <w:rsid w:val="0026030B"/>
    <w:rsid w:val="0026036B"/>
    <w:rsid w:val="00260498"/>
    <w:rsid w:val="00260967"/>
    <w:rsid w:val="00260B9D"/>
    <w:rsid w:val="00261C22"/>
    <w:rsid w:val="00261D46"/>
    <w:rsid w:val="00261FF3"/>
    <w:rsid w:val="00262F24"/>
    <w:rsid w:val="00262FE7"/>
    <w:rsid w:val="002639B4"/>
    <w:rsid w:val="00263C9E"/>
    <w:rsid w:val="00263D92"/>
    <w:rsid w:val="002641DA"/>
    <w:rsid w:val="00264C08"/>
    <w:rsid w:val="00264D87"/>
    <w:rsid w:val="00265475"/>
    <w:rsid w:val="00265763"/>
    <w:rsid w:val="00265979"/>
    <w:rsid w:val="00265CC8"/>
    <w:rsid w:val="00265E2F"/>
    <w:rsid w:val="00266B56"/>
    <w:rsid w:val="00266B61"/>
    <w:rsid w:val="0026712A"/>
    <w:rsid w:val="0026748B"/>
    <w:rsid w:val="002676E2"/>
    <w:rsid w:val="00267CAA"/>
    <w:rsid w:val="00267FD8"/>
    <w:rsid w:val="0027028C"/>
    <w:rsid w:val="002704DB"/>
    <w:rsid w:val="00270CCF"/>
    <w:rsid w:val="00270D43"/>
    <w:rsid w:val="00270E01"/>
    <w:rsid w:val="00271490"/>
    <w:rsid w:val="00272278"/>
    <w:rsid w:val="00272A9A"/>
    <w:rsid w:val="00272E96"/>
    <w:rsid w:val="00273352"/>
    <w:rsid w:val="00273723"/>
    <w:rsid w:val="00273B48"/>
    <w:rsid w:val="002746CE"/>
    <w:rsid w:val="00274F86"/>
    <w:rsid w:val="002752D3"/>
    <w:rsid w:val="00275A72"/>
    <w:rsid w:val="002763AE"/>
    <w:rsid w:val="0027673F"/>
    <w:rsid w:val="00276D62"/>
    <w:rsid w:val="002773C2"/>
    <w:rsid w:val="00277AC6"/>
    <w:rsid w:val="002804FF"/>
    <w:rsid w:val="002805CE"/>
    <w:rsid w:val="00280936"/>
    <w:rsid w:val="00280D03"/>
    <w:rsid w:val="0028148D"/>
    <w:rsid w:val="00281754"/>
    <w:rsid w:val="002817B4"/>
    <w:rsid w:val="002822DA"/>
    <w:rsid w:val="00282486"/>
    <w:rsid w:val="00282E05"/>
    <w:rsid w:val="00283A05"/>
    <w:rsid w:val="0028455A"/>
    <w:rsid w:val="002845CB"/>
    <w:rsid w:val="002846C1"/>
    <w:rsid w:val="002849E0"/>
    <w:rsid w:val="00284D12"/>
    <w:rsid w:val="00284DE8"/>
    <w:rsid w:val="0028514D"/>
    <w:rsid w:val="002851FD"/>
    <w:rsid w:val="00285772"/>
    <w:rsid w:val="0028583A"/>
    <w:rsid w:val="002859D3"/>
    <w:rsid w:val="00285F07"/>
    <w:rsid w:val="00285F63"/>
    <w:rsid w:val="00286108"/>
    <w:rsid w:val="002861AB"/>
    <w:rsid w:val="00286308"/>
    <w:rsid w:val="002868D4"/>
    <w:rsid w:val="00286D5A"/>
    <w:rsid w:val="00286FCD"/>
    <w:rsid w:val="00287511"/>
    <w:rsid w:val="00287957"/>
    <w:rsid w:val="00287AD5"/>
    <w:rsid w:val="00287B40"/>
    <w:rsid w:val="00290140"/>
    <w:rsid w:val="00291197"/>
    <w:rsid w:val="002915A4"/>
    <w:rsid w:val="00291852"/>
    <w:rsid w:val="00291B27"/>
    <w:rsid w:val="00291CB2"/>
    <w:rsid w:val="00291E29"/>
    <w:rsid w:val="00292AF9"/>
    <w:rsid w:val="00292BDB"/>
    <w:rsid w:val="002933D1"/>
    <w:rsid w:val="00293632"/>
    <w:rsid w:val="00293886"/>
    <w:rsid w:val="002939B1"/>
    <w:rsid w:val="00293A69"/>
    <w:rsid w:val="00293BD4"/>
    <w:rsid w:val="002949A6"/>
    <w:rsid w:val="00294BF5"/>
    <w:rsid w:val="00295580"/>
    <w:rsid w:val="002955AB"/>
    <w:rsid w:val="00295B56"/>
    <w:rsid w:val="00295E72"/>
    <w:rsid w:val="00297407"/>
    <w:rsid w:val="002978BD"/>
    <w:rsid w:val="002978D3"/>
    <w:rsid w:val="00297BEA"/>
    <w:rsid w:val="00297DAC"/>
    <w:rsid w:val="002A0AAE"/>
    <w:rsid w:val="002A0C80"/>
    <w:rsid w:val="002A0F05"/>
    <w:rsid w:val="002A15E0"/>
    <w:rsid w:val="002A1897"/>
    <w:rsid w:val="002A1992"/>
    <w:rsid w:val="002A1AEE"/>
    <w:rsid w:val="002A1CB2"/>
    <w:rsid w:val="002A26A9"/>
    <w:rsid w:val="002A2BB8"/>
    <w:rsid w:val="002A2E13"/>
    <w:rsid w:val="002A3123"/>
    <w:rsid w:val="002A357B"/>
    <w:rsid w:val="002A35C4"/>
    <w:rsid w:val="002A37F0"/>
    <w:rsid w:val="002A3A10"/>
    <w:rsid w:val="002A4293"/>
    <w:rsid w:val="002A491C"/>
    <w:rsid w:val="002A4AF0"/>
    <w:rsid w:val="002A4FFC"/>
    <w:rsid w:val="002A51F5"/>
    <w:rsid w:val="002A54A2"/>
    <w:rsid w:val="002A55D8"/>
    <w:rsid w:val="002A5820"/>
    <w:rsid w:val="002A58AC"/>
    <w:rsid w:val="002A5980"/>
    <w:rsid w:val="002A59D5"/>
    <w:rsid w:val="002A5BDA"/>
    <w:rsid w:val="002A5E63"/>
    <w:rsid w:val="002A5F69"/>
    <w:rsid w:val="002A62C7"/>
    <w:rsid w:val="002A6D47"/>
    <w:rsid w:val="002A6D6B"/>
    <w:rsid w:val="002A6D6E"/>
    <w:rsid w:val="002A75CD"/>
    <w:rsid w:val="002A797C"/>
    <w:rsid w:val="002A7BC2"/>
    <w:rsid w:val="002B02DF"/>
    <w:rsid w:val="002B049F"/>
    <w:rsid w:val="002B155C"/>
    <w:rsid w:val="002B184F"/>
    <w:rsid w:val="002B2064"/>
    <w:rsid w:val="002B2684"/>
    <w:rsid w:val="002B26AA"/>
    <w:rsid w:val="002B26C1"/>
    <w:rsid w:val="002B2BEB"/>
    <w:rsid w:val="002B31DE"/>
    <w:rsid w:val="002B31F7"/>
    <w:rsid w:val="002B3597"/>
    <w:rsid w:val="002B3710"/>
    <w:rsid w:val="002B38D3"/>
    <w:rsid w:val="002B3A7D"/>
    <w:rsid w:val="002B44BF"/>
    <w:rsid w:val="002B5929"/>
    <w:rsid w:val="002B5C1E"/>
    <w:rsid w:val="002B5C25"/>
    <w:rsid w:val="002B5C5B"/>
    <w:rsid w:val="002B5CA7"/>
    <w:rsid w:val="002B5F76"/>
    <w:rsid w:val="002B6194"/>
    <w:rsid w:val="002B64D3"/>
    <w:rsid w:val="002B6A63"/>
    <w:rsid w:val="002B6E95"/>
    <w:rsid w:val="002B757B"/>
    <w:rsid w:val="002B76B0"/>
    <w:rsid w:val="002B7762"/>
    <w:rsid w:val="002B79AD"/>
    <w:rsid w:val="002B7DEB"/>
    <w:rsid w:val="002B7ED9"/>
    <w:rsid w:val="002C006D"/>
    <w:rsid w:val="002C0080"/>
    <w:rsid w:val="002C0102"/>
    <w:rsid w:val="002C045F"/>
    <w:rsid w:val="002C0A67"/>
    <w:rsid w:val="002C0D63"/>
    <w:rsid w:val="002C15C4"/>
    <w:rsid w:val="002C1B42"/>
    <w:rsid w:val="002C1C64"/>
    <w:rsid w:val="002C1FF8"/>
    <w:rsid w:val="002C24AA"/>
    <w:rsid w:val="002C284F"/>
    <w:rsid w:val="002C2904"/>
    <w:rsid w:val="002C2B7C"/>
    <w:rsid w:val="002C34A2"/>
    <w:rsid w:val="002C3B14"/>
    <w:rsid w:val="002C4030"/>
    <w:rsid w:val="002C4287"/>
    <w:rsid w:val="002C42C4"/>
    <w:rsid w:val="002C4389"/>
    <w:rsid w:val="002C4605"/>
    <w:rsid w:val="002C4864"/>
    <w:rsid w:val="002C4A65"/>
    <w:rsid w:val="002C5523"/>
    <w:rsid w:val="002C591F"/>
    <w:rsid w:val="002C5CA9"/>
    <w:rsid w:val="002C6019"/>
    <w:rsid w:val="002C6225"/>
    <w:rsid w:val="002C62AA"/>
    <w:rsid w:val="002C633D"/>
    <w:rsid w:val="002C65E0"/>
    <w:rsid w:val="002C718C"/>
    <w:rsid w:val="002C764F"/>
    <w:rsid w:val="002C7799"/>
    <w:rsid w:val="002C7A05"/>
    <w:rsid w:val="002D00ED"/>
    <w:rsid w:val="002D066E"/>
    <w:rsid w:val="002D0721"/>
    <w:rsid w:val="002D0E82"/>
    <w:rsid w:val="002D1830"/>
    <w:rsid w:val="002D18B6"/>
    <w:rsid w:val="002D18D9"/>
    <w:rsid w:val="002D1BA3"/>
    <w:rsid w:val="002D2B26"/>
    <w:rsid w:val="002D31B6"/>
    <w:rsid w:val="002D3204"/>
    <w:rsid w:val="002D3360"/>
    <w:rsid w:val="002D38A8"/>
    <w:rsid w:val="002D432A"/>
    <w:rsid w:val="002D462C"/>
    <w:rsid w:val="002D49D8"/>
    <w:rsid w:val="002D5057"/>
    <w:rsid w:val="002D6432"/>
    <w:rsid w:val="002D6537"/>
    <w:rsid w:val="002D65D6"/>
    <w:rsid w:val="002D660F"/>
    <w:rsid w:val="002D6DFA"/>
    <w:rsid w:val="002D6FEA"/>
    <w:rsid w:val="002D7848"/>
    <w:rsid w:val="002D7A44"/>
    <w:rsid w:val="002D7C75"/>
    <w:rsid w:val="002D7EA2"/>
    <w:rsid w:val="002D7EC8"/>
    <w:rsid w:val="002D7FF1"/>
    <w:rsid w:val="002E02FF"/>
    <w:rsid w:val="002E0374"/>
    <w:rsid w:val="002E06CC"/>
    <w:rsid w:val="002E075E"/>
    <w:rsid w:val="002E07B0"/>
    <w:rsid w:val="002E0A05"/>
    <w:rsid w:val="002E1155"/>
    <w:rsid w:val="002E118C"/>
    <w:rsid w:val="002E11D8"/>
    <w:rsid w:val="002E1601"/>
    <w:rsid w:val="002E187C"/>
    <w:rsid w:val="002E1A9E"/>
    <w:rsid w:val="002E214D"/>
    <w:rsid w:val="002E2A8A"/>
    <w:rsid w:val="002E2B53"/>
    <w:rsid w:val="002E2BFD"/>
    <w:rsid w:val="002E2D5E"/>
    <w:rsid w:val="002E2F8E"/>
    <w:rsid w:val="002E3978"/>
    <w:rsid w:val="002E3E41"/>
    <w:rsid w:val="002E420E"/>
    <w:rsid w:val="002E4339"/>
    <w:rsid w:val="002E5579"/>
    <w:rsid w:val="002E5624"/>
    <w:rsid w:val="002E583B"/>
    <w:rsid w:val="002E5999"/>
    <w:rsid w:val="002E5E68"/>
    <w:rsid w:val="002E5FBD"/>
    <w:rsid w:val="002E60C0"/>
    <w:rsid w:val="002E6498"/>
    <w:rsid w:val="002E67C3"/>
    <w:rsid w:val="002E67CD"/>
    <w:rsid w:val="002E68C8"/>
    <w:rsid w:val="002E6B45"/>
    <w:rsid w:val="002E7000"/>
    <w:rsid w:val="002E7246"/>
    <w:rsid w:val="002E78CE"/>
    <w:rsid w:val="002E7C1A"/>
    <w:rsid w:val="002F085C"/>
    <w:rsid w:val="002F0CCD"/>
    <w:rsid w:val="002F0FB2"/>
    <w:rsid w:val="002F1177"/>
    <w:rsid w:val="002F1768"/>
    <w:rsid w:val="002F1A55"/>
    <w:rsid w:val="002F1ED2"/>
    <w:rsid w:val="002F225F"/>
    <w:rsid w:val="002F2480"/>
    <w:rsid w:val="002F26D5"/>
    <w:rsid w:val="002F2D34"/>
    <w:rsid w:val="002F3559"/>
    <w:rsid w:val="002F35FC"/>
    <w:rsid w:val="002F3964"/>
    <w:rsid w:val="002F3CDA"/>
    <w:rsid w:val="002F3D36"/>
    <w:rsid w:val="002F3F97"/>
    <w:rsid w:val="002F3FD1"/>
    <w:rsid w:val="002F464F"/>
    <w:rsid w:val="002F485D"/>
    <w:rsid w:val="002F4876"/>
    <w:rsid w:val="002F4A1F"/>
    <w:rsid w:val="002F4A67"/>
    <w:rsid w:val="002F4D08"/>
    <w:rsid w:val="002F4DC1"/>
    <w:rsid w:val="002F5403"/>
    <w:rsid w:val="002F5526"/>
    <w:rsid w:val="002F596C"/>
    <w:rsid w:val="002F5DAF"/>
    <w:rsid w:val="002F6F78"/>
    <w:rsid w:val="003002BA"/>
    <w:rsid w:val="003005A7"/>
    <w:rsid w:val="0030082A"/>
    <w:rsid w:val="00300DE6"/>
    <w:rsid w:val="00300DF5"/>
    <w:rsid w:val="003017B6"/>
    <w:rsid w:val="003018E5"/>
    <w:rsid w:val="00301E20"/>
    <w:rsid w:val="00301F70"/>
    <w:rsid w:val="00302347"/>
    <w:rsid w:val="00302733"/>
    <w:rsid w:val="00302A64"/>
    <w:rsid w:val="00302C6C"/>
    <w:rsid w:val="003032E4"/>
    <w:rsid w:val="00303416"/>
    <w:rsid w:val="00303433"/>
    <w:rsid w:val="003034B3"/>
    <w:rsid w:val="003034CE"/>
    <w:rsid w:val="003036B5"/>
    <w:rsid w:val="003037F0"/>
    <w:rsid w:val="00303974"/>
    <w:rsid w:val="003039F4"/>
    <w:rsid w:val="0030433B"/>
    <w:rsid w:val="003045D6"/>
    <w:rsid w:val="003045DB"/>
    <w:rsid w:val="00304AD9"/>
    <w:rsid w:val="00304CFD"/>
    <w:rsid w:val="003050B9"/>
    <w:rsid w:val="0030512D"/>
    <w:rsid w:val="00305309"/>
    <w:rsid w:val="0030544E"/>
    <w:rsid w:val="00305470"/>
    <w:rsid w:val="00305918"/>
    <w:rsid w:val="00305949"/>
    <w:rsid w:val="00305956"/>
    <w:rsid w:val="0030616D"/>
    <w:rsid w:val="00306486"/>
    <w:rsid w:val="00306880"/>
    <w:rsid w:val="00306C37"/>
    <w:rsid w:val="0030711D"/>
    <w:rsid w:val="003071A0"/>
    <w:rsid w:val="00307347"/>
    <w:rsid w:val="0030751F"/>
    <w:rsid w:val="00307920"/>
    <w:rsid w:val="00307B49"/>
    <w:rsid w:val="00307EE5"/>
    <w:rsid w:val="0031005E"/>
    <w:rsid w:val="0031045A"/>
    <w:rsid w:val="00310628"/>
    <w:rsid w:val="003106C3"/>
    <w:rsid w:val="0031098C"/>
    <w:rsid w:val="0031128E"/>
    <w:rsid w:val="003112A9"/>
    <w:rsid w:val="00311303"/>
    <w:rsid w:val="00311901"/>
    <w:rsid w:val="003119AD"/>
    <w:rsid w:val="00311EFE"/>
    <w:rsid w:val="003122F4"/>
    <w:rsid w:val="00312593"/>
    <w:rsid w:val="003126ED"/>
    <w:rsid w:val="00312F2F"/>
    <w:rsid w:val="00312F89"/>
    <w:rsid w:val="00312F99"/>
    <w:rsid w:val="00313AD6"/>
    <w:rsid w:val="00313F8B"/>
    <w:rsid w:val="00314078"/>
    <w:rsid w:val="00314765"/>
    <w:rsid w:val="00314834"/>
    <w:rsid w:val="00314901"/>
    <w:rsid w:val="00314A30"/>
    <w:rsid w:val="00314A7F"/>
    <w:rsid w:val="00314D19"/>
    <w:rsid w:val="0031515E"/>
    <w:rsid w:val="0031575A"/>
    <w:rsid w:val="003157B0"/>
    <w:rsid w:val="00316517"/>
    <w:rsid w:val="00316E88"/>
    <w:rsid w:val="00316FA6"/>
    <w:rsid w:val="003170EA"/>
    <w:rsid w:val="00317250"/>
    <w:rsid w:val="003172A7"/>
    <w:rsid w:val="00317B43"/>
    <w:rsid w:val="00317EC9"/>
    <w:rsid w:val="003200CE"/>
    <w:rsid w:val="0032049A"/>
    <w:rsid w:val="00320B1A"/>
    <w:rsid w:val="00321576"/>
    <w:rsid w:val="0032186D"/>
    <w:rsid w:val="00321F79"/>
    <w:rsid w:val="00322497"/>
    <w:rsid w:val="003229C1"/>
    <w:rsid w:val="00322E45"/>
    <w:rsid w:val="00323190"/>
    <w:rsid w:val="00323253"/>
    <w:rsid w:val="0032363A"/>
    <w:rsid w:val="0032412C"/>
    <w:rsid w:val="00324254"/>
    <w:rsid w:val="003247D2"/>
    <w:rsid w:val="00324BCC"/>
    <w:rsid w:val="00325011"/>
    <w:rsid w:val="0032515D"/>
    <w:rsid w:val="003252C8"/>
    <w:rsid w:val="0032541B"/>
    <w:rsid w:val="00325747"/>
    <w:rsid w:val="0032576C"/>
    <w:rsid w:val="00325794"/>
    <w:rsid w:val="00325B5A"/>
    <w:rsid w:val="0032607A"/>
    <w:rsid w:val="00326114"/>
    <w:rsid w:val="003262D1"/>
    <w:rsid w:val="00326665"/>
    <w:rsid w:val="00326A29"/>
    <w:rsid w:val="00326A35"/>
    <w:rsid w:val="0032719C"/>
    <w:rsid w:val="003273FC"/>
    <w:rsid w:val="003274CA"/>
    <w:rsid w:val="003275B4"/>
    <w:rsid w:val="00327BA0"/>
    <w:rsid w:val="00327BFD"/>
    <w:rsid w:val="00327C30"/>
    <w:rsid w:val="00327E29"/>
    <w:rsid w:val="00330266"/>
    <w:rsid w:val="00330592"/>
    <w:rsid w:val="00330B2C"/>
    <w:rsid w:val="00330CFA"/>
    <w:rsid w:val="00331015"/>
    <w:rsid w:val="00331547"/>
    <w:rsid w:val="0033169F"/>
    <w:rsid w:val="00331715"/>
    <w:rsid w:val="00331880"/>
    <w:rsid w:val="00331D6B"/>
    <w:rsid w:val="00331DB6"/>
    <w:rsid w:val="0033267B"/>
    <w:rsid w:val="00332983"/>
    <w:rsid w:val="003332ED"/>
    <w:rsid w:val="00333392"/>
    <w:rsid w:val="00333430"/>
    <w:rsid w:val="00333B27"/>
    <w:rsid w:val="00333D43"/>
    <w:rsid w:val="003340F9"/>
    <w:rsid w:val="00334139"/>
    <w:rsid w:val="00334281"/>
    <w:rsid w:val="00334A3E"/>
    <w:rsid w:val="003351CA"/>
    <w:rsid w:val="003361F4"/>
    <w:rsid w:val="00336412"/>
    <w:rsid w:val="003367AD"/>
    <w:rsid w:val="00336DBE"/>
    <w:rsid w:val="00336E99"/>
    <w:rsid w:val="00337307"/>
    <w:rsid w:val="00337624"/>
    <w:rsid w:val="00337BAC"/>
    <w:rsid w:val="00337D8A"/>
    <w:rsid w:val="00337E15"/>
    <w:rsid w:val="003400A0"/>
    <w:rsid w:val="003401E5"/>
    <w:rsid w:val="00340280"/>
    <w:rsid w:val="003402C6"/>
    <w:rsid w:val="003403D3"/>
    <w:rsid w:val="00340E9B"/>
    <w:rsid w:val="00341959"/>
    <w:rsid w:val="003419A1"/>
    <w:rsid w:val="00341D78"/>
    <w:rsid w:val="00341D8B"/>
    <w:rsid w:val="00342457"/>
    <w:rsid w:val="00342A5D"/>
    <w:rsid w:val="00343226"/>
    <w:rsid w:val="00343559"/>
    <w:rsid w:val="00343AFE"/>
    <w:rsid w:val="00343BE6"/>
    <w:rsid w:val="00343DA6"/>
    <w:rsid w:val="00344699"/>
    <w:rsid w:val="0034491C"/>
    <w:rsid w:val="00344A5B"/>
    <w:rsid w:val="00344A84"/>
    <w:rsid w:val="003450CB"/>
    <w:rsid w:val="00345593"/>
    <w:rsid w:val="00345FA9"/>
    <w:rsid w:val="00346183"/>
    <w:rsid w:val="00346643"/>
    <w:rsid w:val="00346663"/>
    <w:rsid w:val="00346C95"/>
    <w:rsid w:val="00346D2B"/>
    <w:rsid w:val="00346EC9"/>
    <w:rsid w:val="00347065"/>
    <w:rsid w:val="00347342"/>
    <w:rsid w:val="0034738C"/>
    <w:rsid w:val="0034786B"/>
    <w:rsid w:val="00347AA1"/>
    <w:rsid w:val="00347B81"/>
    <w:rsid w:val="003500CC"/>
    <w:rsid w:val="00350D44"/>
    <w:rsid w:val="00350FEF"/>
    <w:rsid w:val="00351147"/>
    <w:rsid w:val="003513C8"/>
    <w:rsid w:val="003513F0"/>
    <w:rsid w:val="00351AD1"/>
    <w:rsid w:val="00352033"/>
    <w:rsid w:val="003523EE"/>
    <w:rsid w:val="003528C1"/>
    <w:rsid w:val="00352947"/>
    <w:rsid w:val="0035295D"/>
    <w:rsid w:val="00352C78"/>
    <w:rsid w:val="00352C95"/>
    <w:rsid w:val="00352F52"/>
    <w:rsid w:val="003533E0"/>
    <w:rsid w:val="0035379E"/>
    <w:rsid w:val="00353892"/>
    <w:rsid w:val="00354530"/>
    <w:rsid w:val="00354A4D"/>
    <w:rsid w:val="00354E59"/>
    <w:rsid w:val="0035504C"/>
    <w:rsid w:val="00355188"/>
    <w:rsid w:val="003555B8"/>
    <w:rsid w:val="00355769"/>
    <w:rsid w:val="003558F5"/>
    <w:rsid w:val="003559ED"/>
    <w:rsid w:val="00355A42"/>
    <w:rsid w:val="00355DCB"/>
    <w:rsid w:val="00355E3E"/>
    <w:rsid w:val="00356185"/>
    <w:rsid w:val="0035643B"/>
    <w:rsid w:val="0035729D"/>
    <w:rsid w:val="00357AB2"/>
    <w:rsid w:val="00357E90"/>
    <w:rsid w:val="00360380"/>
    <w:rsid w:val="00360575"/>
    <w:rsid w:val="00360DF5"/>
    <w:rsid w:val="00360DF6"/>
    <w:rsid w:val="00360E13"/>
    <w:rsid w:val="00360EC9"/>
    <w:rsid w:val="00360F78"/>
    <w:rsid w:val="00361C9B"/>
    <w:rsid w:val="0036247E"/>
    <w:rsid w:val="00362745"/>
    <w:rsid w:val="0036281C"/>
    <w:rsid w:val="003628E9"/>
    <w:rsid w:val="00363772"/>
    <w:rsid w:val="003639E7"/>
    <w:rsid w:val="00363A3F"/>
    <w:rsid w:val="00363B69"/>
    <w:rsid w:val="00364165"/>
    <w:rsid w:val="003645B4"/>
    <w:rsid w:val="00364AC9"/>
    <w:rsid w:val="00364D74"/>
    <w:rsid w:val="00364E00"/>
    <w:rsid w:val="0036502F"/>
    <w:rsid w:val="0036510E"/>
    <w:rsid w:val="00365EB8"/>
    <w:rsid w:val="003661B2"/>
    <w:rsid w:val="0036634F"/>
    <w:rsid w:val="00366ADD"/>
    <w:rsid w:val="003675E5"/>
    <w:rsid w:val="00367BDC"/>
    <w:rsid w:val="00367C3F"/>
    <w:rsid w:val="003701D9"/>
    <w:rsid w:val="00370353"/>
    <w:rsid w:val="00371913"/>
    <w:rsid w:val="00371A6F"/>
    <w:rsid w:val="00372131"/>
    <w:rsid w:val="0037226F"/>
    <w:rsid w:val="0037278A"/>
    <w:rsid w:val="00373626"/>
    <w:rsid w:val="003738D7"/>
    <w:rsid w:val="00373A0C"/>
    <w:rsid w:val="00373B73"/>
    <w:rsid w:val="00373E57"/>
    <w:rsid w:val="003742C8"/>
    <w:rsid w:val="003742D2"/>
    <w:rsid w:val="00374597"/>
    <w:rsid w:val="0037480D"/>
    <w:rsid w:val="00374B7D"/>
    <w:rsid w:val="003757D0"/>
    <w:rsid w:val="00375C1E"/>
    <w:rsid w:val="00375D8A"/>
    <w:rsid w:val="003761DE"/>
    <w:rsid w:val="00376490"/>
    <w:rsid w:val="00376D82"/>
    <w:rsid w:val="00377287"/>
    <w:rsid w:val="003779E4"/>
    <w:rsid w:val="00377A59"/>
    <w:rsid w:val="00377C16"/>
    <w:rsid w:val="0038019B"/>
    <w:rsid w:val="003803A8"/>
    <w:rsid w:val="00380608"/>
    <w:rsid w:val="00380743"/>
    <w:rsid w:val="00380AEC"/>
    <w:rsid w:val="00380B64"/>
    <w:rsid w:val="00380BA8"/>
    <w:rsid w:val="00380BCE"/>
    <w:rsid w:val="00380DD1"/>
    <w:rsid w:val="00380DFA"/>
    <w:rsid w:val="00381275"/>
    <w:rsid w:val="0038158C"/>
    <w:rsid w:val="003818C1"/>
    <w:rsid w:val="003819B8"/>
    <w:rsid w:val="00381C61"/>
    <w:rsid w:val="0038255C"/>
    <w:rsid w:val="00382761"/>
    <w:rsid w:val="00382C39"/>
    <w:rsid w:val="0038307F"/>
    <w:rsid w:val="003836AB"/>
    <w:rsid w:val="00383FF6"/>
    <w:rsid w:val="00384154"/>
    <w:rsid w:val="00384754"/>
    <w:rsid w:val="00384E4C"/>
    <w:rsid w:val="00385540"/>
    <w:rsid w:val="00385A83"/>
    <w:rsid w:val="00385C32"/>
    <w:rsid w:val="00385C70"/>
    <w:rsid w:val="00386545"/>
    <w:rsid w:val="0038683C"/>
    <w:rsid w:val="003868E9"/>
    <w:rsid w:val="00386A9E"/>
    <w:rsid w:val="00386CF0"/>
    <w:rsid w:val="00386F16"/>
    <w:rsid w:val="00387929"/>
    <w:rsid w:val="00387B9A"/>
    <w:rsid w:val="00387E8F"/>
    <w:rsid w:val="00387FC1"/>
    <w:rsid w:val="00390082"/>
    <w:rsid w:val="00390688"/>
    <w:rsid w:val="0039082B"/>
    <w:rsid w:val="00390C07"/>
    <w:rsid w:val="003912A6"/>
    <w:rsid w:val="00391BD3"/>
    <w:rsid w:val="00391E81"/>
    <w:rsid w:val="00392130"/>
    <w:rsid w:val="003921AA"/>
    <w:rsid w:val="003922B2"/>
    <w:rsid w:val="003929D0"/>
    <w:rsid w:val="00392B0F"/>
    <w:rsid w:val="003930A2"/>
    <w:rsid w:val="00393445"/>
    <w:rsid w:val="00393448"/>
    <w:rsid w:val="00393769"/>
    <w:rsid w:val="00393C41"/>
    <w:rsid w:val="003940B2"/>
    <w:rsid w:val="00394AF9"/>
    <w:rsid w:val="00394CD0"/>
    <w:rsid w:val="00394E1F"/>
    <w:rsid w:val="003954CA"/>
    <w:rsid w:val="00395583"/>
    <w:rsid w:val="0039596D"/>
    <w:rsid w:val="00395D74"/>
    <w:rsid w:val="0039660E"/>
    <w:rsid w:val="003966C4"/>
    <w:rsid w:val="00396A84"/>
    <w:rsid w:val="00396EE6"/>
    <w:rsid w:val="003974DF"/>
    <w:rsid w:val="0039767F"/>
    <w:rsid w:val="00397832"/>
    <w:rsid w:val="003978EF"/>
    <w:rsid w:val="00397AFA"/>
    <w:rsid w:val="00397C9F"/>
    <w:rsid w:val="00397CEF"/>
    <w:rsid w:val="003A06CF"/>
    <w:rsid w:val="003A10C6"/>
    <w:rsid w:val="003A1D79"/>
    <w:rsid w:val="003A205A"/>
    <w:rsid w:val="003A2270"/>
    <w:rsid w:val="003A2506"/>
    <w:rsid w:val="003A31E7"/>
    <w:rsid w:val="003A3510"/>
    <w:rsid w:val="003A38D3"/>
    <w:rsid w:val="003A3ACF"/>
    <w:rsid w:val="003A431E"/>
    <w:rsid w:val="003A43FF"/>
    <w:rsid w:val="003A5852"/>
    <w:rsid w:val="003A5933"/>
    <w:rsid w:val="003A5976"/>
    <w:rsid w:val="003A5CF9"/>
    <w:rsid w:val="003A5F00"/>
    <w:rsid w:val="003A5F02"/>
    <w:rsid w:val="003A61C6"/>
    <w:rsid w:val="003A6220"/>
    <w:rsid w:val="003A6675"/>
    <w:rsid w:val="003A6E09"/>
    <w:rsid w:val="003A7106"/>
    <w:rsid w:val="003A723B"/>
    <w:rsid w:val="003A724A"/>
    <w:rsid w:val="003A7E29"/>
    <w:rsid w:val="003A7FA8"/>
    <w:rsid w:val="003B0471"/>
    <w:rsid w:val="003B0A7F"/>
    <w:rsid w:val="003B0C66"/>
    <w:rsid w:val="003B159A"/>
    <w:rsid w:val="003B16AC"/>
    <w:rsid w:val="003B1B1C"/>
    <w:rsid w:val="003B27A6"/>
    <w:rsid w:val="003B3A0B"/>
    <w:rsid w:val="003B3A93"/>
    <w:rsid w:val="003B3CD9"/>
    <w:rsid w:val="003B3D29"/>
    <w:rsid w:val="003B41BC"/>
    <w:rsid w:val="003B451A"/>
    <w:rsid w:val="003B4572"/>
    <w:rsid w:val="003B5118"/>
    <w:rsid w:val="003B56B1"/>
    <w:rsid w:val="003B5823"/>
    <w:rsid w:val="003B59D9"/>
    <w:rsid w:val="003B5E55"/>
    <w:rsid w:val="003B6528"/>
    <w:rsid w:val="003B6C36"/>
    <w:rsid w:val="003B6D3A"/>
    <w:rsid w:val="003B71FF"/>
    <w:rsid w:val="003B749C"/>
    <w:rsid w:val="003B74EF"/>
    <w:rsid w:val="003B771B"/>
    <w:rsid w:val="003B78A3"/>
    <w:rsid w:val="003B7910"/>
    <w:rsid w:val="003B7AD5"/>
    <w:rsid w:val="003B7B5D"/>
    <w:rsid w:val="003B7E4E"/>
    <w:rsid w:val="003B7E9C"/>
    <w:rsid w:val="003B7EF5"/>
    <w:rsid w:val="003C0A19"/>
    <w:rsid w:val="003C18BC"/>
    <w:rsid w:val="003C1A9C"/>
    <w:rsid w:val="003C2014"/>
    <w:rsid w:val="003C251B"/>
    <w:rsid w:val="003C2819"/>
    <w:rsid w:val="003C2AB0"/>
    <w:rsid w:val="003C2AB7"/>
    <w:rsid w:val="003C2ABC"/>
    <w:rsid w:val="003C2B1D"/>
    <w:rsid w:val="003C3010"/>
    <w:rsid w:val="003C31DC"/>
    <w:rsid w:val="003C3634"/>
    <w:rsid w:val="003C388E"/>
    <w:rsid w:val="003C3FB0"/>
    <w:rsid w:val="003C4A42"/>
    <w:rsid w:val="003C4B22"/>
    <w:rsid w:val="003C5129"/>
    <w:rsid w:val="003C5B0F"/>
    <w:rsid w:val="003C5CE0"/>
    <w:rsid w:val="003C5F03"/>
    <w:rsid w:val="003C676B"/>
    <w:rsid w:val="003C6815"/>
    <w:rsid w:val="003C728D"/>
    <w:rsid w:val="003C7470"/>
    <w:rsid w:val="003C7713"/>
    <w:rsid w:val="003C77DC"/>
    <w:rsid w:val="003C7A03"/>
    <w:rsid w:val="003C7BD0"/>
    <w:rsid w:val="003D01D4"/>
    <w:rsid w:val="003D0DE0"/>
    <w:rsid w:val="003D113D"/>
    <w:rsid w:val="003D13EF"/>
    <w:rsid w:val="003D1521"/>
    <w:rsid w:val="003D1615"/>
    <w:rsid w:val="003D19F6"/>
    <w:rsid w:val="003D1FF6"/>
    <w:rsid w:val="003D2041"/>
    <w:rsid w:val="003D20D8"/>
    <w:rsid w:val="003D25FE"/>
    <w:rsid w:val="003D28C3"/>
    <w:rsid w:val="003D28EB"/>
    <w:rsid w:val="003D2B70"/>
    <w:rsid w:val="003D3083"/>
    <w:rsid w:val="003D319A"/>
    <w:rsid w:val="003D3BC2"/>
    <w:rsid w:val="003D3BED"/>
    <w:rsid w:val="003D3CFD"/>
    <w:rsid w:val="003D439F"/>
    <w:rsid w:val="003D4975"/>
    <w:rsid w:val="003D4D71"/>
    <w:rsid w:val="003D5097"/>
    <w:rsid w:val="003D5135"/>
    <w:rsid w:val="003D59E3"/>
    <w:rsid w:val="003D6089"/>
    <w:rsid w:val="003D6240"/>
    <w:rsid w:val="003D64EB"/>
    <w:rsid w:val="003D679D"/>
    <w:rsid w:val="003D722F"/>
    <w:rsid w:val="003E0411"/>
    <w:rsid w:val="003E0724"/>
    <w:rsid w:val="003E0EC0"/>
    <w:rsid w:val="003E0F30"/>
    <w:rsid w:val="003E111D"/>
    <w:rsid w:val="003E11BA"/>
    <w:rsid w:val="003E151B"/>
    <w:rsid w:val="003E1551"/>
    <w:rsid w:val="003E196A"/>
    <w:rsid w:val="003E1A21"/>
    <w:rsid w:val="003E1C45"/>
    <w:rsid w:val="003E224F"/>
    <w:rsid w:val="003E22FD"/>
    <w:rsid w:val="003E2556"/>
    <w:rsid w:val="003E2978"/>
    <w:rsid w:val="003E2B6D"/>
    <w:rsid w:val="003E2FD5"/>
    <w:rsid w:val="003E315B"/>
    <w:rsid w:val="003E3174"/>
    <w:rsid w:val="003E36E8"/>
    <w:rsid w:val="003E3BF9"/>
    <w:rsid w:val="003E3DAA"/>
    <w:rsid w:val="003E40BD"/>
    <w:rsid w:val="003E4E4E"/>
    <w:rsid w:val="003E515A"/>
    <w:rsid w:val="003E52CE"/>
    <w:rsid w:val="003E5767"/>
    <w:rsid w:val="003E5E7F"/>
    <w:rsid w:val="003E6B54"/>
    <w:rsid w:val="003E6B6D"/>
    <w:rsid w:val="003E6CA1"/>
    <w:rsid w:val="003E6D73"/>
    <w:rsid w:val="003E6EBA"/>
    <w:rsid w:val="003E6F59"/>
    <w:rsid w:val="003E7128"/>
    <w:rsid w:val="003E73F9"/>
    <w:rsid w:val="003E741E"/>
    <w:rsid w:val="003E7ACD"/>
    <w:rsid w:val="003F007D"/>
    <w:rsid w:val="003F0E4E"/>
    <w:rsid w:val="003F153A"/>
    <w:rsid w:val="003F17F3"/>
    <w:rsid w:val="003F1A19"/>
    <w:rsid w:val="003F245F"/>
    <w:rsid w:val="003F2A5C"/>
    <w:rsid w:val="003F2AEF"/>
    <w:rsid w:val="003F2E36"/>
    <w:rsid w:val="003F342F"/>
    <w:rsid w:val="003F38EE"/>
    <w:rsid w:val="003F3AD6"/>
    <w:rsid w:val="003F3C02"/>
    <w:rsid w:val="003F3CFA"/>
    <w:rsid w:val="003F40DC"/>
    <w:rsid w:val="003F439C"/>
    <w:rsid w:val="003F4456"/>
    <w:rsid w:val="003F4531"/>
    <w:rsid w:val="003F46B5"/>
    <w:rsid w:val="003F4751"/>
    <w:rsid w:val="003F49E4"/>
    <w:rsid w:val="003F4A56"/>
    <w:rsid w:val="003F4FFA"/>
    <w:rsid w:val="003F501E"/>
    <w:rsid w:val="003F520C"/>
    <w:rsid w:val="003F54A2"/>
    <w:rsid w:val="003F5758"/>
    <w:rsid w:val="003F5ABB"/>
    <w:rsid w:val="003F5DBC"/>
    <w:rsid w:val="003F6338"/>
    <w:rsid w:val="003F638A"/>
    <w:rsid w:val="003F6984"/>
    <w:rsid w:val="003F6E8F"/>
    <w:rsid w:val="003F7E40"/>
    <w:rsid w:val="003F7F73"/>
    <w:rsid w:val="004001F4"/>
    <w:rsid w:val="004003F0"/>
    <w:rsid w:val="004003F5"/>
    <w:rsid w:val="004007C2"/>
    <w:rsid w:val="00400830"/>
    <w:rsid w:val="004009FC"/>
    <w:rsid w:val="00400C83"/>
    <w:rsid w:val="004010B0"/>
    <w:rsid w:val="004011E9"/>
    <w:rsid w:val="00401565"/>
    <w:rsid w:val="00401967"/>
    <w:rsid w:val="00401A7F"/>
    <w:rsid w:val="00402AC2"/>
    <w:rsid w:val="00402BBF"/>
    <w:rsid w:val="00402C20"/>
    <w:rsid w:val="0040313F"/>
    <w:rsid w:val="00403189"/>
    <w:rsid w:val="0040438E"/>
    <w:rsid w:val="00404F46"/>
    <w:rsid w:val="00404FE6"/>
    <w:rsid w:val="00405361"/>
    <w:rsid w:val="00405A32"/>
    <w:rsid w:val="00405BC8"/>
    <w:rsid w:val="00405C29"/>
    <w:rsid w:val="00406039"/>
    <w:rsid w:val="00406BAA"/>
    <w:rsid w:val="00406CB5"/>
    <w:rsid w:val="00406F64"/>
    <w:rsid w:val="004079F1"/>
    <w:rsid w:val="00407FF1"/>
    <w:rsid w:val="0041027E"/>
    <w:rsid w:val="0041047E"/>
    <w:rsid w:val="00411994"/>
    <w:rsid w:val="004119AE"/>
    <w:rsid w:val="0041202A"/>
    <w:rsid w:val="00412250"/>
    <w:rsid w:val="00412267"/>
    <w:rsid w:val="00412C81"/>
    <w:rsid w:val="00412C9A"/>
    <w:rsid w:val="0041306A"/>
    <w:rsid w:val="004138E9"/>
    <w:rsid w:val="00414227"/>
    <w:rsid w:val="00414AF6"/>
    <w:rsid w:val="004154FF"/>
    <w:rsid w:val="00415BBD"/>
    <w:rsid w:val="0041616C"/>
    <w:rsid w:val="00416215"/>
    <w:rsid w:val="00416470"/>
    <w:rsid w:val="004165C2"/>
    <w:rsid w:val="00417460"/>
    <w:rsid w:val="0041778C"/>
    <w:rsid w:val="00417796"/>
    <w:rsid w:val="0041782F"/>
    <w:rsid w:val="00417AC6"/>
    <w:rsid w:val="00417C85"/>
    <w:rsid w:val="00417CBD"/>
    <w:rsid w:val="00417E6F"/>
    <w:rsid w:val="00420066"/>
    <w:rsid w:val="00420489"/>
    <w:rsid w:val="00420521"/>
    <w:rsid w:val="004205DD"/>
    <w:rsid w:val="00420BC3"/>
    <w:rsid w:val="00421205"/>
    <w:rsid w:val="0042136A"/>
    <w:rsid w:val="00421621"/>
    <w:rsid w:val="004216C5"/>
    <w:rsid w:val="00421995"/>
    <w:rsid w:val="00421A18"/>
    <w:rsid w:val="00421EFD"/>
    <w:rsid w:val="00422594"/>
    <w:rsid w:val="00422E2F"/>
    <w:rsid w:val="0042303C"/>
    <w:rsid w:val="00423044"/>
    <w:rsid w:val="004231F7"/>
    <w:rsid w:val="00423B60"/>
    <w:rsid w:val="00424452"/>
    <w:rsid w:val="00424962"/>
    <w:rsid w:val="00424F5C"/>
    <w:rsid w:val="00424F60"/>
    <w:rsid w:val="0042533D"/>
    <w:rsid w:val="004254C0"/>
    <w:rsid w:val="0042566E"/>
    <w:rsid w:val="004265E4"/>
    <w:rsid w:val="0042669C"/>
    <w:rsid w:val="0042699F"/>
    <w:rsid w:val="00426C06"/>
    <w:rsid w:val="0042741E"/>
    <w:rsid w:val="00427868"/>
    <w:rsid w:val="00427A2E"/>
    <w:rsid w:val="00427BBB"/>
    <w:rsid w:val="00430576"/>
    <w:rsid w:val="004308D1"/>
    <w:rsid w:val="004310CD"/>
    <w:rsid w:val="004314FA"/>
    <w:rsid w:val="0043231F"/>
    <w:rsid w:val="0043250E"/>
    <w:rsid w:val="00432899"/>
    <w:rsid w:val="00432971"/>
    <w:rsid w:val="00432994"/>
    <w:rsid w:val="00432C81"/>
    <w:rsid w:val="0043310F"/>
    <w:rsid w:val="004332D8"/>
    <w:rsid w:val="00433664"/>
    <w:rsid w:val="0043456A"/>
    <w:rsid w:val="00434630"/>
    <w:rsid w:val="004347ED"/>
    <w:rsid w:val="00434849"/>
    <w:rsid w:val="004348D0"/>
    <w:rsid w:val="00434AC3"/>
    <w:rsid w:val="00435092"/>
    <w:rsid w:val="00435241"/>
    <w:rsid w:val="00435797"/>
    <w:rsid w:val="00435BC8"/>
    <w:rsid w:val="00435DCC"/>
    <w:rsid w:val="004363AB"/>
    <w:rsid w:val="00436503"/>
    <w:rsid w:val="00436E9F"/>
    <w:rsid w:val="00436FF4"/>
    <w:rsid w:val="00437367"/>
    <w:rsid w:val="00437845"/>
    <w:rsid w:val="004378F2"/>
    <w:rsid w:val="004378FB"/>
    <w:rsid w:val="00437943"/>
    <w:rsid w:val="00437CB9"/>
    <w:rsid w:val="00437D43"/>
    <w:rsid w:val="00437E1C"/>
    <w:rsid w:val="00437E20"/>
    <w:rsid w:val="004403AC"/>
    <w:rsid w:val="0044079F"/>
    <w:rsid w:val="00440B67"/>
    <w:rsid w:val="00440D99"/>
    <w:rsid w:val="00440F62"/>
    <w:rsid w:val="004410E8"/>
    <w:rsid w:val="00441200"/>
    <w:rsid w:val="0044121F"/>
    <w:rsid w:val="004417F8"/>
    <w:rsid w:val="00441AA4"/>
    <w:rsid w:val="00441ECB"/>
    <w:rsid w:val="004424FF"/>
    <w:rsid w:val="00442850"/>
    <w:rsid w:val="00442B7F"/>
    <w:rsid w:val="00443644"/>
    <w:rsid w:val="004437BB"/>
    <w:rsid w:val="00443965"/>
    <w:rsid w:val="00443D9D"/>
    <w:rsid w:val="00444095"/>
    <w:rsid w:val="00444265"/>
    <w:rsid w:val="00444405"/>
    <w:rsid w:val="0044444F"/>
    <w:rsid w:val="00444461"/>
    <w:rsid w:val="00444C04"/>
    <w:rsid w:val="00444E38"/>
    <w:rsid w:val="004451A2"/>
    <w:rsid w:val="00445A0B"/>
    <w:rsid w:val="00445A13"/>
    <w:rsid w:val="00445FE0"/>
    <w:rsid w:val="00446198"/>
    <w:rsid w:val="00446711"/>
    <w:rsid w:val="00446A1B"/>
    <w:rsid w:val="00447155"/>
    <w:rsid w:val="00447215"/>
    <w:rsid w:val="004479A4"/>
    <w:rsid w:val="004479D4"/>
    <w:rsid w:val="00447D51"/>
    <w:rsid w:val="00447F13"/>
    <w:rsid w:val="00447F82"/>
    <w:rsid w:val="0045016D"/>
    <w:rsid w:val="00450A47"/>
    <w:rsid w:val="00450CA7"/>
    <w:rsid w:val="00450EE8"/>
    <w:rsid w:val="00450F53"/>
    <w:rsid w:val="0045185C"/>
    <w:rsid w:val="0045203F"/>
    <w:rsid w:val="0045223B"/>
    <w:rsid w:val="00452FF9"/>
    <w:rsid w:val="00453361"/>
    <w:rsid w:val="004538B2"/>
    <w:rsid w:val="00453BE6"/>
    <w:rsid w:val="00453C42"/>
    <w:rsid w:val="00453E6F"/>
    <w:rsid w:val="00454847"/>
    <w:rsid w:val="00454F14"/>
    <w:rsid w:val="004557E0"/>
    <w:rsid w:val="00455960"/>
    <w:rsid w:val="00455AC0"/>
    <w:rsid w:val="00455C5C"/>
    <w:rsid w:val="004562A5"/>
    <w:rsid w:val="0045640E"/>
    <w:rsid w:val="0045690B"/>
    <w:rsid w:val="00456CCA"/>
    <w:rsid w:val="004571E7"/>
    <w:rsid w:val="0045788B"/>
    <w:rsid w:val="00457A3B"/>
    <w:rsid w:val="004601D7"/>
    <w:rsid w:val="00460EF8"/>
    <w:rsid w:val="004611CE"/>
    <w:rsid w:val="0046125C"/>
    <w:rsid w:val="00461264"/>
    <w:rsid w:val="0046192F"/>
    <w:rsid w:val="00461BE4"/>
    <w:rsid w:val="00462414"/>
    <w:rsid w:val="0046247F"/>
    <w:rsid w:val="00462771"/>
    <w:rsid w:val="00462D95"/>
    <w:rsid w:val="00462EB1"/>
    <w:rsid w:val="00462F00"/>
    <w:rsid w:val="00462F66"/>
    <w:rsid w:val="00463106"/>
    <w:rsid w:val="0046323D"/>
    <w:rsid w:val="004636CE"/>
    <w:rsid w:val="00463AB9"/>
    <w:rsid w:val="00463C21"/>
    <w:rsid w:val="00463C4C"/>
    <w:rsid w:val="00464741"/>
    <w:rsid w:val="00464949"/>
    <w:rsid w:val="00464F2F"/>
    <w:rsid w:val="004657D0"/>
    <w:rsid w:val="00465B98"/>
    <w:rsid w:val="0046609A"/>
    <w:rsid w:val="004668A9"/>
    <w:rsid w:val="00466977"/>
    <w:rsid w:val="004669A8"/>
    <w:rsid w:val="00466D04"/>
    <w:rsid w:val="00466F31"/>
    <w:rsid w:val="00467534"/>
    <w:rsid w:val="004676D1"/>
    <w:rsid w:val="004679A9"/>
    <w:rsid w:val="00467B7E"/>
    <w:rsid w:val="00467D54"/>
    <w:rsid w:val="00470046"/>
    <w:rsid w:val="00470053"/>
    <w:rsid w:val="0047017B"/>
    <w:rsid w:val="00470193"/>
    <w:rsid w:val="0047063A"/>
    <w:rsid w:val="004706B2"/>
    <w:rsid w:val="00470909"/>
    <w:rsid w:val="004709B0"/>
    <w:rsid w:val="00470B7D"/>
    <w:rsid w:val="00470E85"/>
    <w:rsid w:val="00470ED8"/>
    <w:rsid w:val="004710B3"/>
    <w:rsid w:val="004711FE"/>
    <w:rsid w:val="0047125D"/>
    <w:rsid w:val="00471354"/>
    <w:rsid w:val="00471484"/>
    <w:rsid w:val="004714E0"/>
    <w:rsid w:val="0047196C"/>
    <w:rsid w:val="004719E3"/>
    <w:rsid w:val="00471E58"/>
    <w:rsid w:val="00472759"/>
    <w:rsid w:val="0047286F"/>
    <w:rsid w:val="00472A16"/>
    <w:rsid w:val="00472C2A"/>
    <w:rsid w:val="00472F26"/>
    <w:rsid w:val="00473B36"/>
    <w:rsid w:val="00473B4A"/>
    <w:rsid w:val="0047462B"/>
    <w:rsid w:val="00474765"/>
    <w:rsid w:val="00474B8A"/>
    <w:rsid w:val="00474D94"/>
    <w:rsid w:val="00474F50"/>
    <w:rsid w:val="0047509E"/>
    <w:rsid w:val="0047544B"/>
    <w:rsid w:val="00475E55"/>
    <w:rsid w:val="004762C7"/>
    <w:rsid w:val="004763C9"/>
    <w:rsid w:val="004768CB"/>
    <w:rsid w:val="00476BE0"/>
    <w:rsid w:val="00477592"/>
    <w:rsid w:val="00477E53"/>
    <w:rsid w:val="004806EB"/>
    <w:rsid w:val="00480A29"/>
    <w:rsid w:val="00480CDD"/>
    <w:rsid w:val="00480D60"/>
    <w:rsid w:val="00480E41"/>
    <w:rsid w:val="00480FFA"/>
    <w:rsid w:val="00481138"/>
    <w:rsid w:val="004812FD"/>
    <w:rsid w:val="004813E2"/>
    <w:rsid w:val="00481581"/>
    <w:rsid w:val="004821E1"/>
    <w:rsid w:val="004825DA"/>
    <w:rsid w:val="004826DF"/>
    <w:rsid w:val="004837BD"/>
    <w:rsid w:val="0048391F"/>
    <w:rsid w:val="00484838"/>
    <w:rsid w:val="00484DFB"/>
    <w:rsid w:val="004859F8"/>
    <w:rsid w:val="00485C1D"/>
    <w:rsid w:val="00485F16"/>
    <w:rsid w:val="0048613F"/>
    <w:rsid w:val="004861D5"/>
    <w:rsid w:val="004862FF"/>
    <w:rsid w:val="0048630E"/>
    <w:rsid w:val="00486431"/>
    <w:rsid w:val="0048659E"/>
    <w:rsid w:val="004866AE"/>
    <w:rsid w:val="00486B18"/>
    <w:rsid w:val="00486F1C"/>
    <w:rsid w:val="00486FF7"/>
    <w:rsid w:val="00487237"/>
    <w:rsid w:val="004879E6"/>
    <w:rsid w:val="00487A9D"/>
    <w:rsid w:val="00490384"/>
    <w:rsid w:val="004903AB"/>
    <w:rsid w:val="0049047A"/>
    <w:rsid w:val="004904D3"/>
    <w:rsid w:val="00490A3E"/>
    <w:rsid w:val="00490C97"/>
    <w:rsid w:val="00490E0C"/>
    <w:rsid w:val="004910CC"/>
    <w:rsid w:val="004921AB"/>
    <w:rsid w:val="0049241D"/>
    <w:rsid w:val="0049269C"/>
    <w:rsid w:val="004929C8"/>
    <w:rsid w:val="00492B05"/>
    <w:rsid w:val="00492E0E"/>
    <w:rsid w:val="00492F3F"/>
    <w:rsid w:val="004930F4"/>
    <w:rsid w:val="00493305"/>
    <w:rsid w:val="004933C0"/>
    <w:rsid w:val="00493B99"/>
    <w:rsid w:val="00493C0B"/>
    <w:rsid w:val="00493E67"/>
    <w:rsid w:val="0049419D"/>
    <w:rsid w:val="0049438E"/>
    <w:rsid w:val="0049462E"/>
    <w:rsid w:val="00494B65"/>
    <w:rsid w:val="00494F1F"/>
    <w:rsid w:val="0049563B"/>
    <w:rsid w:val="004956BF"/>
    <w:rsid w:val="004956F6"/>
    <w:rsid w:val="00495B50"/>
    <w:rsid w:val="00495F35"/>
    <w:rsid w:val="00496186"/>
    <w:rsid w:val="004961D8"/>
    <w:rsid w:val="00496351"/>
    <w:rsid w:val="00496EEA"/>
    <w:rsid w:val="00497232"/>
    <w:rsid w:val="004976AC"/>
    <w:rsid w:val="004A05B5"/>
    <w:rsid w:val="004A11F8"/>
    <w:rsid w:val="004A12B3"/>
    <w:rsid w:val="004A1418"/>
    <w:rsid w:val="004A16C6"/>
    <w:rsid w:val="004A173E"/>
    <w:rsid w:val="004A1B09"/>
    <w:rsid w:val="004A1E90"/>
    <w:rsid w:val="004A1EF4"/>
    <w:rsid w:val="004A1FF8"/>
    <w:rsid w:val="004A2094"/>
    <w:rsid w:val="004A22B4"/>
    <w:rsid w:val="004A258B"/>
    <w:rsid w:val="004A259D"/>
    <w:rsid w:val="004A2F10"/>
    <w:rsid w:val="004A2F2E"/>
    <w:rsid w:val="004A3419"/>
    <w:rsid w:val="004A3E01"/>
    <w:rsid w:val="004A4A1D"/>
    <w:rsid w:val="004A52A6"/>
    <w:rsid w:val="004A5667"/>
    <w:rsid w:val="004A5942"/>
    <w:rsid w:val="004A5D6F"/>
    <w:rsid w:val="004A617D"/>
    <w:rsid w:val="004A7339"/>
    <w:rsid w:val="004A79F0"/>
    <w:rsid w:val="004A7BEC"/>
    <w:rsid w:val="004A7E5C"/>
    <w:rsid w:val="004B01BA"/>
    <w:rsid w:val="004B0B09"/>
    <w:rsid w:val="004B0C2F"/>
    <w:rsid w:val="004B0E0B"/>
    <w:rsid w:val="004B0EDD"/>
    <w:rsid w:val="004B0F89"/>
    <w:rsid w:val="004B13E6"/>
    <w:rsid w:val="004B1BE5"/>
    <w:rsid w:val="004B2171"/>
    <w:rsid w:val="004B24F2"/>
    <w:rsid w:val="004B2543"/>
    <w:rsid w:val="004B2554"/>
    <w:rsid w:val="004B2AD6"/>
    <w:rsid w:val="004B2B47"/>
    <w:rsid w:val="004B2DCD"/>
    <w:rsid w:val="004B316C"/>
    <w:rsid w:val="004B31A2"/>
    <w:rsid w:val="004B327C"/>
    <w:rsid w:val="004B3486"/>
    <w:rsid w:val="004B3672"/>
    <w:rsid w:val="004B3822"/>
    <w:rsid w:val="004B3950"/>
    <w:rsid w:val="004B3A73"/>
    <w:rsid w:val="004B3ACD"/>
    <w:rsid w:val="004B3D32"/>
    <w:rsid w:val="004B3DE0"/>
    <w:rsid w:val="004B3E96"/>
    <w:rsid w:val="004B43FA"/>
    <w:rsid w:val="004B44D1"/>
    <w:rsid w:val="004B4D83"/>
    <w:rsid w:val="004B520F"/>
    <w:rsid w:val="004B541C"/>
    <w:rsid w:val="004B5A02"/>
    <w:rsid w:val="004B5E2D"/>
    <w:rsid w:val="004B5E6C"/>
    <w:rsid w:val="004B6F69"/>
    <w:rsid w:val="004B70BC"/>
    <w:rsid w:val="004B71DC"/>
    <w:rsid w:val="004B788A"/>
    <w:rsid w:val="004C0442"/>
    <w:rsid w:val="004C051E"/>
    <w:rsid w:val="004C0C8C"/>
    <w:rsid w:val="004C1192"/>
    <w:rsid w:val="004C124F"/>
    <w:rsid w:val="004C1400"/>
    <w:rsid w:val="004C19F4"/>
    <w:rsid w:val="004C1FA2"/>
    <w:rsid w:val="004C20D2"/>
    <w:rsid w:val="004C2672"/>
    <w:rsid w:val="004C2CDF"/>
    <w:rsid w:val="004C2F94"/>
    <w:rsid w:val="004C3017"/>
    <w:rsid w:val="004C31CA"/>
    <w:rsid w:val="004C32D2"/>
    <w:rsid w:val="004C36C5"/>
    <w:rsid w:val="004C4074"/>
    <w:rsid w:val="004C4636"/>
    <w:rsid w:val="004C46A4"/>
    <w:rsid w:val="004C47A1"/>
    <w:rsid w:val="004C4B62"/>
    <w:rsid w:val="004C4B6F"/>
    <w:rsid w:val="004C4D01"/>
    <w:rsid w:val="004C518B"/>
    <w:rsid w:val="004C526B"/>
    <w:rsid w:val="004C54C9"/>
    <w:rsid w:val="004C5730"/>
    <w:rsid w:val="004C5B63"/>
    <w:rsid w:val="004C5D37"/>
    <w:rsid w:val="004C5E9F"/>
    <w:rsid w:val="004C5ED3"/>
    <w:rsid w:val="004C5F17"/>
    <w:rsid w:val="004C609C"/>
    <w:rsid w:val="004C642E"/>
    <w:rsid w:val="004C647A"/>
    <w:rsid w:val="004C6757"/>
    <w:rsid w:val="004C67C3"/>
    <w:rsid w:val="004C69F4"/>
    <w:rsid w:val="004C6A80"/>
    <w:rsid w:val="004C7450"/>
    <w:rsid w:val="004C78D5"/>
    <w:rsid w:val="004C792A"/>
    <w:rsid w:val="004C7FA1"/>
    <w:rsid w:val="004D0030"/>
    <w:rsid w:val="004D05FB"/>
    <w:rsid w:val="004D0630"/>
    <w:rsid w:val="004D0917"/>
    <w:rsid w:val="004D0E7F"/>
    <w:rsid w:val="004D0F07"/>
    <w:rsid w:val="004D17A9"/>
    <w:rsid w:val="004D182F"/>
    <w:rsid w:val="004D19C3"/>
    <w:rsid w:val="004D2149"/>
    <w:rsid w:val="004D2643"/>
    <w:rsid w:val="004D2CA2"/>
    <w:rsid w:val="004D30AE"/>
    <w:rsid w:val="004D3DAE"/>
    <w:rsid w:val="004D3DDC"/>
    <w:rsid w:val="004D4178"/>
    <w:rsid w:val="004D43BA"/>
    <w:rsid w:val="004D4704"/>
    <w:rsid w:val="004D4B43"/>
    <w:rsid w:val="004D4BC8"/>
    <w:rsid w:val="004D4C35"/>
    <w:rsid w:val="004D4CDB"/>
    <w:rsid w:val="004D4FEE"/>
    <w:rsid w:val="004D5869"/>
    <w:rsid w:val="004D5A17"/>
    <w:rsid w:val="004D5BEC"/>
    <w:rsid w:val="004D5EBF"/>
    <w:rsid w:val="004D5ED4"/>
    <w:rsid w:val="004D6025"/>
    <w:rsid w:val="004D60D4"/>
    <w:rsid w:val="004D6324"/>
    <w:rsid w:val="004D6460"/>
    <w:rsid w:val="004D64FB"/>
    <w:rsid w:val="004D6582"/>
    <w:rsid w:val="004D6AC8"/>
    <w:rsid w:val="004D6DF5"/>
    <w:rsid w:val="004D6EAE"/>
    <w:rsid w:val="004D6F68"/>
    <w:rsid w:val="004D7133"/>
    <w:rsid w:val="004D741F"/>
    <w:rsid w:val="004D7BB7"/>
    <w:rsid w:val="004E0438"/>
    <w:rsid w:val="004E07AE"/>
    <w:rsid w:val="004E0B94"/>
    <w:rsid w:val="004E0C9D"/>
    <w:rsid w:val="004E0DAA"/>
    <w:rsid w:val="004E0FCD"/>
    <w:rsid w:val="004E10CD"/>
    <w:rsid w:val="004E158D"/>
    <w:rsid w:val="004E17C8"/>
    <w:rsid w:val="004E1D1E"/>
    <w:rsid w:val="004E1DE1"/>
    <w:rsid w:val="004E1FA6"/>
    <w:rsid w:val="004E2649"/>
    <w:rsid w:val="004E274B"/>
    <w:rsid w:val="004E308B"/>
    <w:rsid w:val="004E3657"/>
    <w:rsid w:val="004E3B05"/>
    <w:rsid w:val="004E4868"/>
    <w:rsid w:val="004E4B8D"/>
    <w:rsid w:val="004E4F80"/>
    <w:rsid w:val="004E50AF"/>
    <w:rsid w:val="004E5351"/>
    <w:rsid w:val="004E54FC"/>
    <w:rsid w:val="004E58ED"/>
    <w:rsid w:val="004E6D2E"/>
    <w:rsid w:val="004E6EA6"/>
    <w:rsid w:val="004E73D4"/>
    <w:rsid w:val="004E77CB"/>
    <w:rsid w:val="004E7996"/>
    <w:rsid w:val="004E79B7"/>
    <w:rsid w:val="004E7E00"/>
    <w:rsid w:val="004E7E35"/>
    <w:rsid w:val="004F0290"/>
    <w:rsid w:val="004F0655"/>
    <w:rsid w:val="004F09A2"/>
    <w:rsid w:val="004F0EB9"/>
    <w:rsid w:val="004F11A9"/>
    <w:rsid w:val="004F13DF"/>
    <w:rsid w:val="004F149C"/>
    <w:rsid w:val="004F153F"/>
    <w:rsid w:val="004F23A6"/>
    <w:rsid w:val="004F24C5"/>
    <w:rsid w:val="004F25F9"/>
    <w:rsid w:val="004F2C05"/>
    <w:rsid w:val="004F2CE6"/>
    <w:rsid w:val="004F2EE9"/>
    <w:rsid w:val="004F3269"/>
    <w:rsid w:val="004F334B"/>
    <w:rsid w:val="004F34D2"/>
    <w:rsid w:val="004F361D"/>
    <w:rsid w:val="004F36CD"/>
    <w:rsid w:val="004F3B0B"/>
    <w:rsid w:val="004F3C45"/>
    <w:rsid w:val="004F3CB3"/>
    <w:rsid w:val="004F450A"/>
    <w:rsid w:val="004F46D8"/>
    <w:rsid w:val="004F4ACF"/>
    <w:rsid w:val="004F4FF8"/>
    <w:rsid w:val="004F5006"/>
    <w:rsid w:val="004F5040"/>
    <w:rsid w:val="004F53CC"/>
    <w:rsid w:val="004F5715"/>
    <w:rsid w:val="004F573D"/>
    <w:rsid w:val="004F57C9"/>
    <w:rsid w:val="004F57E1"/>
    <w:rsid w:val="004F5B2D"/>
    <w:rsid w:val="004F604D"/>
    <w:rsid w:val="004F6231"/>
    <w:rsid w:val="004F6A8C"/>
    <w:rsid w:val="004F6B5E"/>
    <w:rsid w:val="004F6BA3"/>
    <w:rsid w:val="004F6D31"/>
    <w:rsid w:val="004F7E61"/>
    <w:rsid w:val="00500955"/>
    <w:rsid w:val="005009D6"/>
    <w:rsid w:val="005011E6"/>
    <w:rsid w:val="0050125E"/>
    <w:rsid w:val="00501399"/>
    <w:rsid w:val="005013C5"/>
    <w:rsid w:val="00501D9A"/>
    <w:rsid w:val="00501F6C"/>
    <w:rsid w:val="00501FFE"/>
    <w:rsid w:val="00502121"/>
    <w:rsid w:val="00502BA5"/>
    <w:rsid w:val="00502E53"/>
    <w:rsid w:val="00503976"/>
    <w:rsid w:val="00503A50"/>
    <w:rsid w:val="0050429C"/>
    <w:rsid w:val="00504A1A"/>
    <w:rsid w:val="00504D4C"/>
    <w:rsid w:val="00504DD5"/>
    <w:rsid w:val="00504FE2"/>
    <w:rsid w:val="005055D2"/>
    <w:rsid w:val="00505634"/>
    <w:rsid w:val="005059A1"/>
    <w:rsid w:val="00505A3B"/>
    <w:rsid w:val="00505D03"/>
    <w:rsid w:val="0050633D"/>
    <w:rsid w:val="0050646A"/>
    <w:rsid w:val="00506D0A"/>
    <w:rsid w:val="005070C7"/>
    <w:rsid w:val="005070E5"/>
    <w:rsid w:val="00507BC4"/>
    <w:rsid w:val="005101F6"/>
    <w:rsid w:val="00510234"/>
    <w:rsid w:val="00510255"/>
    <w:rsid w:val="00510325"/>
    <w:rsid w:val="0051067D"/>
    <w:rsid w:val="00510CEA"/>
    <w:rsid w:val="005111D2"/>
    <w:rsid w:val="005114B6"/>
    <w:rsid w:val="00511514"/>
    <w:rsid w:val="00511E6E"/>
    <w:rsid w:val="0051204C"/>
    <w:rsid w:val="00512302"/>
    <w:rsid w:val="00512714"/>
    <w:rsid w:val="005128E4"/>
    <w:rsid w:val="00512E8A"/>
    <w:rsid w:val="005133DB"/>
    <w:rsid w:val="005139D5"/>
    <w:rsid w:val="00513CB7"/>
    <w:rsid w:val="00513E30"/>
    <w:rsid w:val="005140DF"/>
    <w:rsid w:val="00514330"/>
    <w:rsid w:val="00514734"/>
    <w:rsid w:val="0051487D"/>
    <w:rsid w:val="005155B3"/>
    <w:rsid w:val="00515A14"/>
    <w:rsid w:val="00515D4B"/>
    <w:rsid w:val="005162EC"/>
    <w:rsid w:val="00516871"/>
    <w:rsid w:val="005168B6"/>
    <w:rsid w:val="005169D0"/>
    <w:rsid w:val="00516C63"/>
    <w:rsid w:val="00516DCE"/>
    <w:rsid w:val="005173EC"/>
    <w:rsid w:val="00517C2A"/>
    <w:rsid w:val="00520869"/>
    <w:rsid w:val="005209C6"/>
    <w:rsid w:val="00520AD9"/>
    <w:rsid w:val="005212FD"/>
    <w:rsid w:val="005216DC"/>
    <w:rsid w:val="0052196E"/>
    <w:rsid w:val="00521C52"/>
    <w:rsid w:val="00521C8E"/>
    <w:rsid w:val="0052239B"/>
    <w:rsid w:val="0052356C"/>
    <w:rsid w:val="005239B1"/>
    <w:rsid w:val="005239C1"/>
    <w:rsid w:val="0052405D"/>
    <w:rsid w:val="0052425B"/>
    <w:rsid w:val="005245C0"/>
    <w:rsid w:val="0052469C"/>
    <w:rsid w:val="005248B6"/>
    <w:rsid w:val="0052491D"/>
    <w:rsid w:val="00524C2F"/>
    <w:rsid w:val="00524EF8"/>
    <w:rsid w:val="005254C4"/>
    <w:rsid w:val="00525560"/>
    <w:rsid w:val="0052567E"/>
    <w:rsid w:val="005258C0"/>
    <w:rsid w:val="005259A3"/>
    <w:rsid w:val="00526081"/>
    <w:rsid w:val="005260C9"/>
    <w:rsid w:val="00526252"/>
    <w:rsid w:val="005264C2"/>
    <w:rsid w:val="005264FF"/>
    <w:rsid w:val="00526539"/>
    <w:rsid w:val="00527688"/>
    <w:rsid w:val="005276EF"/>
    <w:rsid w:val="005278B0"/>
    <w:rsid w:val="00527D40"/>
    <w:rsid w:val="00527E99"/>
    <w:rsid w:val="00530AA4"/>
    <w:rsid w:val="00530DFB"/>
    <w:rsid w:val="00530E8B"/>
    <w:rsid w:val="0053104D"/>
    <w:rsid w:val="005319E8"/>
    <w:rsid w:val="00531BC2"/>
    <w:rsid w:val="00531E33"/>
    <w:rsid w:val="00531F93"/>
    <w:rsid w:val="0053252B"/>
    <w:rsid w:val="00532590"/>
    <w:rsid w:val="00532692"/>
    <w:rsid w:val="00532A86"/>
    <w:rsid w:val="005334E2"/>
    <w:rsid w:val="0053366D"/>
    <w:rsid w:val="00533DEB"/>
    <w:rsid w:val="00533E31"/>
    <w:rsid w:val="00534133"/>
    <w:rsid w:val="005342C2"/>
    <w:rsid w:val="00534382"/>
    <w:rsid w:val="00534464"/>
    <w:rsid w:val="00534A52"/>
    <w:rsid w:val="00534EBB"/>
    <w:rsid w:val="00534ED5"/>
    <w:rsid w:val="005351A5"/>
    <w:rsid w:val="00536311"/>
    <w:rsid w:val="00536644"/>
    <w:rsid w:val="00536BCA"/>
    <w:rsid w:val="005370C6"/>
    <w:rsid w:val="0053714C"/>
    <w:rsid w:val="0053747D"/>
    <w:rsid w:val="00537BA6"/>
    <w:rsid w:val="00537E23"/>
    <w:rsid w:val="00537E73"/>
    <w:rsid w:val="00540577"/>
    <w:rsid w:val="005406CB"/>
    <w:rsid w:val="00540C2B"/>
    <w:rsid w:val="00540EA2"/>
    <w:rsid w:val="005410E2"/>
    <w:rsid w:val="00541F66"/>
    <w:rsid w:val="0054210D"/>
    <w:rsid w:val="0054242C"/>
    <w:rsid w:val="00542583"/>
    <w:rsid w:val="00542774"/>
    <w:rsid w:val="00542A42"/>
    <w:rsid w:val="00542A9F"/>
    <w:rsid w:val="00542F95"/>
    <w:rsid w:val="005432FB"/>
    <w:rsid w:val="005433E7"/>
    <w:rsid w:val="00543E41"/>
    <w:rsid w:val="00543EE5"/>
    <w:rsid w:val="00543FF6"/>
    <w:rsid w:val="00544007"/>
    <w:rsid w:val="00544144"/>
    <w:rsid w:val="0054436F"/>
    <w:rsid w:val="005444EF"/>
    <w:rsid w:val="00544570"/>
    <w:rsid w:val="00544C49"/>
    <w:rsid w:val="00544F8F"/>
    <w:rsid w:val="00544FDE"/>
    <w:rsid w:val="005451EB"/>
    <w:rsid w:val="0054527F"/>
    <w:rsid w:val="00545326"/>
    <w:rsid w:val="0054552B"/>
    <w:rsid w:val="0054568D"/>
    <w:rsid w:val="0054575C"/>
    <w:rsid w:val="00545A37"/>
    <w:rsid w:val="00545E4B"/>
    <w:rsid w:val="0054604C"/>
    <w:rsid w:val="005461B1"/>
    <w:rsid w:val="00546C8C"/>
    <w:rsid w:val="0054729D"/>
    <w:rsid w:val="00547331"/>
    <w:rsid w:val="0054741E"/>
    <w:rsid w:val="005477CF"/>
    <w:rsid w:val="00547AF5"/>
    <w:rsid w:val="00547E2E"/>
    <w:rsid w:val="00550442"/>
    <w:rsid w:val="00550CD0"/>
    <w:rsid w:val="00550D2B"/>
    <w:rsid w:val="00550FA9"/>
    <w:rsid w:val="00551166"/>
    <w:rsid w:val="005516A1"/>
    <w:rsid w:val="005520EC"/>
    <w:rsid w:val="00552344"/>
    <w:rsid w:val="005524FB"/>
    <w:rsid w:val="0055250F"/>
    <w:rsid w:val="00552650"/>
    <w:rsid w:val="00552E56"/>
    <w:rsid w:val="00553017"/>
    <w:rsid w:val="00553685"/>
    <w:rsid w:val="00553A91"/>
    <w:rsid w:val="00553FAF"/>
    <w:rsid w:val="00554227"/>
    <w:rsid w:val="0055459E"/>
    <w:rsid w:val="00555008"/>
    <w:rsid w:val="005554D2"/>
    <w:rsid w:val="00555842"/>
    <w:rsid w:val="00556013"/>
    <w:rsid w:val="00556021"/>
    <w:rsid w:val="0055682B"/>
    <w:rsid w:val="00556E03"/>
    <w:rsid w:val="00557549"/>
    <w:rsid w:val="00557B7A"/>
    <w:rsid w:val="00557E63"/>
    <w:rsid w:val="00557F06"/>
    <w:rsid w:val="00560142"/>
    <w:rsid w:val="00560418"/>
    <w:rsid w:val="00560543"/>
    <w:rsid w:val="00560687"/>
    <w:rsid w:val="005606BF"/>
    <w:rsid w:val="00560D7D"/>
    <w:rsid w:val="005613EE"/>
    <w:rsid w:val="00561971"/>
    <w:rsid w:val="00561A87"/>
    <w:rsid w:val="00561C20"/>
    <w:rsid w:val="00561C80"/>
    <w:rsid w:val="00561FA0"/>
    <w:rsid w:val="005626E9"/>
    <w:rsid w:val="00563158"/>
    <w:rsid w:val="0056357E"/>
    <w:rsid w:val="00563767"/>
    <w:rsid w:val="00563885"/>
    <w:rsid w:val="00563887"/>
    <w:rsid w:val="00563977"/>
    <w:rsid w:val="00563BD4"/>
    <w:rsid w:val="00563F9A"/>
    <w:rsid w:val="005644B8"/>
    <w:rsid w:val="0056495C"/>
    <w:rsid w:val="00565026"/>
    <w:rsid w:val="005652C1"/>
    <w:rsid w:val="00565499"/>
    <w:rsid w:val="00565A04"/>
    <w:rsid w:val="00566229"/>
    <w:rsid w:val="00566347"/>
    <w:rsid w:val="0056639B"/>
    <w:rsid w:val="0056655A"/>
    <w:rsid w:val="00566BC9"/>
    <w:rsid w:val="005670D3"/>
    <w:rsid w:val="005674CB"/>
    <w:rsid w:val="0057005F"/>
    <w:rsid w:val="00570607"/>
    <w:rsid w:val="00570B7D"/>
    <w:rsid w:val="00570BD9"/>
    <w:rsid w:val="00570C70"/>
    <w:rsid w:val="00570D4C"/>
    <w:rsid w:val="00571064"/>
    <w:rsid w:val="005715B7"/>
    <w:rsid w:val="00571632"/>
    <w:rsid w:val="00571DE0"/>
    <w:rsid w:val="00571DFD"/>
    <w:rsid w:val="00571EDD"/>
    <w:rsid w:val="00572197"/>
    <w:rsid w:val="00572A86"/>
    <w:rsid w:val="00572B2D"/>
    <w:rsid w:val="00572B98"/>
    <w:rsid w:val="00572DDE"/>
    <w:rsid w:val="00572DFF"/>
    <w:rsid w:val="00573798"/>
    <w:rsid w:val="00573C8E"/>
    <w:rsid w:val="00573FC5"/>
    <w:rsid w:val="0057402A"/>
    <w:rsid w:val="0057447D"/>
    <w:rsid w:val="00574980"/>
    <w:rsid w:val="00574E64"/>
    <w:rsid w:val="00575540"/>
    <w:rsid w:val="00575C14"/>
    <w:rsid w:val="00575E2A"/>
    <w:rsid w:val="0057643D"/>
    <w:rsid w:val="00576860"/>
    <w:rsid w:val="00576F11"/>
    <w:rsid w:val="005771D0"/>
    <w:rsid w:val="005772F8"/>
    <w:rsid w:val="00577419"/>
    <w:rsid w:val="00577581"/>
    <w:rsid w:val="00577C88"/>
    <w:rsid w:val="00580031"/>
    <w:rsid w:val="00580333"/>
    <w:rsid w:val="00580BC4"/>
    <w:rsid w:val="00580CCA"/>
    <w:rsid w:val="0058101F"/>
    <w:rsid w:val="0058192E"/>
    <w:rsid w:val="0058194B"/>
    <w:rsid w:val="0058234C"/>
    <w:rsid w:val="005825C4"/>
    <w:rsid w:val="0058282C"/>
    <w:rsid w:val="00582F5F"/>
    <w:rsid w:val="00582FE3"/>
    <w:rsid w:val="0058377A"/>
    <w:rsid w:val="005837C1"/>
    <w:rsid w:val="00583BE8"/>
    <w:rsid w:val="00583C78"/>
    <w:rsid w:val="0058400D"/>
    <w:rsid w:val="005842E2"/>
    <w:rsid w:val="00584D24"/>
    <w:rsid w:val="00584DD1"/>
    <w:rsid w:val="005855B2"/>
    <w:rsid w:val="005859F5"/>
    <w:rsid w:val="00585A8F"/>
    <w:rsid w:val="00585E67"/>
    <w:rsid w:val="00585FFF"/>
    <w:rsid w:val="00586002"/>
    <w:rsid w:val="0058619A"/>
    <w:rsid w:val="005862CB"/>
    <w:rsid w:val="00586F50"/>
    <w:rsid w:val="00587276"/>
    <w:rsid w:val="005874C8"/>
    <w:rsid w:val="00587C05"/>
    <w:rsid w:val="00587CE3"/>
    <w:rsid w:val="00587D44"/>
    <w:rsid w:val="00587D9C"/>
    <w:rsid w:val="00590771"/>
    <w:rsid w:val="00590A5F"/>
    <w:rsid w:val="00590B1D"/>
    <w:rsid w:val="00590CE7"/>
    <w:rsid w:val="00591708"/>
    <w:rsid w:val="005918C2"/>
    <w:rsid w:val="005918C9"/>
    <w:rsid w:val="0059191A"/>
    <w:rsid w:val="00591D12"/>
    <w:rsid w:val="005920B3"/>
    <w:rsid w:val="005921DF"/>
    <w:rsid w:val="005921FF"/>
    <w:rsid w:val="005923CF"/>
    <w:rsid w:val="00592672"/>
    <w:rsid w:val="00592F5D"/>
    <w:rsid w:val="005934E4"/>
    <w:rsid w:val="00593896"/>
    <w:rsid w:val="0059391D"/>
    <w:rsid w:val="00593BBC"/>
    <w:rsid w:val="00594297"/>
    <w:rsid w:val="00594FFE"/>
    <w:rsid w:val="00595E71"/>
    <w:rsid w:val="0059609F"/>
    <w:rsid w:val="0059641C"/>
    <w:rsid w:val="00596572"/>
    <w:rsid w:val="0059662E"/>
    <w:rsid w:val="005967AB"/>
    <w:rsid w:val="00596865"/>
    <w:rsid w:val="00596C71"/>
    <w:rsid w:val="00596CAC"/>
    <w:rsid w:val="00596F17"/>
    <w:rsid w:val="00597060"/>
    <w:rsid w:val="005970A8"/>
    <w:rsid w:val="005970DF"/>
    <w:rsid w:val="0059717F"/>
    <w:rsid w:val="005972FA"/>
    <w:rsid w:val="005976A9"/>
    <w:rsid w:val="00597A56"/>
    <w:rsid w:val="00597ADB"/>
    <w:rsid w:val="00597D4B"/>
    <w:rsid w:val="005A014C"/>
    <w:rsid w:val="005A066F"/>
    <w:rsid w:val="005A0918"/>
    <w:rsid w:val="005A201E"/>
    <w:rsid w:val="005A22F6"/>
    <w:rsid w:val="005A2978"/>
    <w:rsid w:val="005A2996"/>
    <w:rsid w:val="005A32FB"/>
    <w:rsid w:val="005A3348"/>
    <w:rsid w:val="005A3463"/>
    <w:rsid w:val="005A36F2"/>
    <w:rsid w:val="005A3CD2"/>
    <w:rsid w:val="005A3E3F"/>
    <w:rsid w:val="005A3EFF"/>
    <w:rsid w:val="005A44C9"/>
    <w:rsid w:val="005A46A2"/>
    <w:rsid w:val="005A4738"/>
    <w:rsid w:val="005A4777"/>
    <w:rsid w:val="005A5320"/>
    <w:rsid w:val="005A545C"/>
    <w:rsid w:val="005A55AD"/>
    <w:rsid w:val="005A55FC"/>
    <w:rsid w:val="005A56A5"/>
    <w:rsid w:val="005A5F2C"/>
    <w:rsid w:val="005A672C"/>
    <w:rsid w:val="005A676A"/>
    <w:rsid w:val="005A68B0"/>
    <w:rsid w:val="005A6D0E"/>
    <w:rsid w:val="005A700A"/>
    <w:rsid w:val="005A7017"/>
    <w:rsid w:val="005A71C6"/>
    <w:rsid w:val="005A763E"/>
    <w:rsid w:val="005A76C2"/>
    <w:rsid w:val="005A776F"/>
    <w:rsid w:val="005A77C4"/>
    <w:rsid w:val="005A78EF"/>
    <w:rsid w:val="005A7A04"/>
    <w:rsid w:val="005A7C88"/>
    <w:rsid w:val="005A7D4B"/>
    <w:rsid w:val="005A7ED9"/>
    <w:rsid w:val="005A7FEA"/>
    <w:rsid w:val="005B018D"/>
    <w:rsid w:val="005B048D"/>
    <w:rsid w:val="005B0DB5"/>
    <w:rsid w:val="005B1236"/>
    <w:rsid w:val="005B142C"/>
    <w:rsid w:val="005B155B"/>
    <w:rsid w:val="005B1670"/>
    <w:rsid w:val="005B1707"/>
    <w:rsid w:val="005B1C5F"/>
    <w:rsid w:val="005B22CA"/>
    <w:rsid w:val="005B2461"/>
    <w:rsid w:val="005B27A1"/>
    <w:rsid w:val="005B307E"/>
    <w:rsid w:val="005B3401"/>
    <w:rsid w:val="005B34DC"/>
    <w:rsid w:val="005B3859"/>
    <w:rsid w:val="005B3A06"/>
    <w:rsid w:val="005B3CF4"/>
    <w:rsid w:val="005B4313"/>
    <w:rsid w:val="005B4396"/>
    <w:rsid w:val="005B4442"/>
    <w:rsid w:val="005B458F"/>
    <w:rsid w:val="005B45C8"/>
    <w:rsid w:val="005B4B89"/>
    <w:rsid w:val="005B52B0"/>
    <w:rsid w:val="005B5413"/>
    <w:rsid w:val="005B542E"/>
    <w:rsid w:val="005B586F"/>
    <w:rsid w:val="005B5E1E"/>
    <w:rsid w:val="005B66E4"/>
    <w:rsid w:val="005B6806"/>
    <w:rsid w:val="005B6890"/>
    <w:rsid w:val="005B6AC4"/>
    <w:rsid w:val="005B6B30"/>
    <w:rsid w:val="005B6F30"/>
    <w:rsid w:val="005B7153"/>
    <w:rsid w:val="005B7864"/>
    <w:rsid w:val="005C0276"/>
    <w:rsid w:val="005C04F7"/>
    <w:rsid w:val="005C0612"/>
    <w:rsid w:val="005C0771"/>
    <w:rsid w:val="005C1183"/>
    <w:rsid w:val="005C13B1"/>
    <w:rsid w:val="005C1795"/>
    <w:rsid w:val="005C181C"/>
    <w:rsid w:val="005C198D"/>
    <w:rsid w:val="005C1A4C"/>
    <w:rsid w:val="005C1E7A"/>
    <w:rsid w:val="005C29D7"/>
    <w:rsid w:val="005C319B"/>
    <w:rsid w:val="005C31A7"/>
    <w:rsid w:val="005C3734"/>
    <w:rsid w:val="005C40B1"/>
    <w:rsid w:val="005C4225"/>
    <w:rsid w:val="005C439E"/>
    <w:rsid w:val="005C4651"/>
    <w:rsid w:val="005C4767"/>
    <w:rsid w:val="005C49B8"/>
    <w:rsid w:val="005C4BC0"/>
    <w:rsid w:val="005C5638"/>
    <w:rsid w:val="005C5643"/>
    <w:rsid w:val="005C57A0"/>
    <w:rsid w:val="005C612F"/>
    <w:rsid w:val="005C6514"/>
    <w:rsid w:val="005C69F1"/>
    <w:rsid w:val="005C6BDB"/>
    <w:rsid w:val="005C6F03"/>
    <w:rsid w:val="005C71A5"/>
    <w:rsid w:val="005C7488"/>
    <w:rsid w:val="005C74BF"/>
    <w:rsid w:val="005D0710"/>
    <w:rsid w:val="005D1807"/>
    <w:rsid w:val="005D1B94"/>
    <w:rsid w:val="005D1F4F"/>
    <w:rsid w:val="005D2501"/>
    <w:rsid w:val="005D2B1A"/>
    <w:rsid w:val="005D3109"/>
    <w:rsid w:val="005D35DB"/>
    <w:rsid w:val="005D3637"/>
    <w:rsid w:val="005D3C3E"/>
    <w:rsid w:val="005D3CB6"/>
    <w:rsid w:val="005D42F5"/>
    <w:rsid w:val="005D4463"/>
    <w:rsid w:val="005D44F3"/>
    <w:rsid w:val="005D4AA9"/>
    <w:rsid w:val="005D4B0E"/>
    <w:rsid w:val="005D4BFB"/>
    <w:rsid w:val="005D52C5"/>
    <w:rsid w:val="005D5539"/>
    <w:rsid w:val="005D5CC0"/>
    <w:rsid w:val="005D5CD2"/>
    <w:rsid w:val="005D5FCA"/>
    <w:rsid w:val="005D6024"/>
    <w:rsid w:val="005D64B9"/>
    <w:rsid w:val="005D6695"/>
    <w:rsid w:val="005D6E8A"/>
    <w:rsid w:val="005E00FD"/>
    <w:rsid w:val="005E081B"/>
    <w:rsid w:val="005E09DC"/>
    <w:rsid w:val="005E0A12"/>
    <w:rsid w:val="005E0D91"/>
    <w:rsid w:val="005E0DBB"/>
    <w:rsid w:val="005E1599"/>
    <w:rsid w:val="005E17DF"/>
    <w:rsid w:val="005E18A5"/>
    <w:rsid w:val="005E1D97"/>
    <w:rsid w:val="005E1F03"/>
    <w:rsid w:val="005E21D4"/>
    <w:rsid w:val="005E2874"/>
    <w:rsid w:val="005E2A54"/>
    <w:rsid w:val="005E374C"/>
    <w:rsid w:val="005E3919"/>
    <w:rsid w:val="005E39C7"/>
    <w:rsid w:val="005E3C6C"/>
    <w:rsid w:val="005E4055"/>
    <w:rsid w:val="005E4081"/>
    <w:rsid w:val="005E421A"/>
    <w:rsid w:val="005E441F"/>
    <w:rsid w:val="005E4479"/>
    <w:rsid w:val="005E45A4"/>
    <w:rsid w:val="005E4C11"/>
    <w:rsid w:val="005E5183"/>
    <w:rsid w:val="005E5437"/>
    <w:rsid w:val="005E5580"/>
    <w:rsid w:val="005E5972"/>
    <w:rsid w:val="005E59D9"/>
    <w:rsid w:val="005E63E4"/>
    <w:rsid w:val="005E6507"/>
    <w:rsid w:val="005E65A7"/>
    <w:rsid w:val="005E66E5"/>
    <w:rsid w:val="005E691F"/>
    <w:rsid w:val="005E699D"/>
    <w:rsid w:val="005E6B57"/>
    <w:rsid w:val="005E6E99"/>
    <w:rsid w:val="005F05EF"/>
    <w:rsid w:val="005F0DAD"/>
    <w:rsid w:val="005F0F33"/>
    <w:rsid w:val="005F10FD"/>
    <w:rsid w:val="005F12AF"/>
    <w:rsid w:val="005F178D"/>
    <w:rsid w:val="005F1F3B"/>
    <w:rsid w:val="005F25C4"/>
    <w:rsid w:val="005F2751"/>
    <w:rsid w:val="005F2B2C"/>
    <w:rsid w:val="005F2F23"/>
    <w:rsid w:val="005F349E"/>
    <w:rsid w:val="005F3892"/>
    <w:rsid w:val="005F3955"/>
    <w:rsid w:val="005F3A3B"/>
    <w:rsid w:val="005F3BAA"/>
    <w:rsid w:val="005F3DC4"/>
    <w:rsid w:val="005F400F"/>
    <w:rsid w:val="005F41B6"/>
    <w:rsid w:val="005F4951"/>
    <w:rsid w:val="005F4CB7"/>
    <w:rsid w:val="005F539F"/>
    <w:rsid w:val="005F5622"/>
    <w:rsid w:val="005F5E23"/>
    <w:rsid w:val="005F63AB"/>
    <w:rsid w:val="005F6475"/>
    <w:rsid w:val="005F66E5"/>
    <w:rsid w:val="005F68F5"/>
    <w:rsid w:val="005F6AA6"/>
    <w:rsid w:val="005F6F1E"/>
    <w:rsid w:val="005F70BD"/>
    <w:rsid w:val="005F74FD"/>
    <w:rsid w:val="005F7876"/>
    <w:rsid w:val="005F7ADB"/>
    <w:rsid w:val="005F7EE4"/>
    <w:rsid w:val="005F7FD1"/>
    <w:rsid w:val="00600363"/>
    <w:rsid w:val="0060046B"/>
    <w:rsid w:val="00600DEB"/>
    <w:rsid w:val="00600ED5"/>
    <w:rsid w:val="0060104B"/>
    <w:rsid w:val="00601AC3"/>
    <w:rsid w:val="00601D10"/>
    <w:rsid w:val="00602481"/>
    <w:rsid w:val="006024C1"/>
    <w:rsid w:val="006027F0"/>
    <w:rsid w:val="00602908"/>
    <w:rsid w:val="00602B6A"/>
    <w:rsid w:val="00602B78"/>
    <w:rsid w:val="00602BE9"/>
    <w:rsid w:val="006031D9"/>
    <w:rsid w:val="006032C8"/>
    <w:rsid w:val="00603A8C"/>
    <w:rsid w:val="00603CC3"/>
    <w:rsid w:val="00603E73"/>
    <w:rsid w:val="00603F29"/>
    <w:rsid w:val="0060419C"/>
    <w:rsid w:val="0060420C"/>
    <w:rsid w:val="00604481"/>
    <w:rsid w:val="006049D5"/>
    <w:rsid w:val="00604A58"/>
    <w:rsid w:val="00604E7B"/>
    <w:rsid w:val="006055B4"/>
    <w:rsid w:val="00605636"/>
    <w:rsid w:val="00605639"/>
    <w:rsid w:val="00605C21"/>
    <w:rsid w:val="00605DF3"/>
    <w:rsid w:val="00605F21"/>
    <w:rsid w:val="00606418"/>
    <w:rsid w:val="0060676C"/>
    <w:rsid w:val="00606B13"/>
    <w:rsid w:val="006070A1"/>
    <w:rsid w:val="0060778C"/>
    <w:rsid w:val="006078C6"/>
    <w:rsid w:val="006078DA"/>
    <w:rsid w:val="00607933"/>
    <w:rsid w:val="0060795D"/>
    <w:rsid w:val="00610191"/>
    <w:rsid w:val="0061040B"/>
    <w:rsid w:val="006104A9"/>
    <w:rsid w:val="00610598"/>
    <w:rsid w:val="0061067B"/>
    <w:rsid w:val="00610C76"/>
    <w:rsid w:val="00610D16"/>
    <w:rsid w:val="00610ED9"/>
    <w:rsid w:val="00610F85"/>
    <w:rsid w:val="00611211"/>
    <w:rsid w:val="00611411"/>
    <w:rsid w:val="006118C9"/>
    <w:rsid w:val="00611F1F"/>
    <w:rsid w:val="00612699"/>
    <w:rsid w:val="00612A63"/>
    <w:rsid w:val="00612A77"/>
    <w:rsid w:val="00612AA8"/>
    <w:rsid w:val="006133B9"/>
    <w:rsid w:val="006137AB"/>
    <w:rsid w:val="00613AA3"/>
    <w:rsid w:val="00613EF7"/>
    <w:rsid w:val="006147AC"/>
    <w:rsid w:val="00614C69"/>
    <w:rsid w:val="00614D39"/>
    <w:rsid w:val="00614F48"/>
    <w:rsid w:val="0061565D"/>
    <w:rsid w:val="00615C80"/>
    <w:rsid w:val="00616517"/>
    <w:rsid w:val="006165A2"/>
    <w:rsid w:val="00616733"/>
    <w:rsid w:val="00616A06"/>
    <w:rsid w:val="00616C27"/>
    <w:rsid w:val="0061720A"/>
    <w:rsid w:val="00617467"/>
    <w:rsid w:val="006175CB"/>
    <w:rsid w:val="00617C65"/>
    <w:rsid w:val="00617F15"/>
    <w:rsid w:val="0062090E"/>
    <w:rsid w:val="006209BC"/>
    <w:rsid w:val="00620D96"/>
    <w:rsid w:val="0062119D"/>
    <w:rsid w:val="00621376"/>
    <w:rsid w:val="00621E20"/>
    <w:rsid w:val="0062206A"/>
    <w:rsid w:val="00622121"/>
    <w:rsid w:val="006222AD"/>
    <w:rsid w:val="006222F0"/>
    <w:rsid w:val="00622D9E"/>
    <w:rsid w:val="00623415"/>
    <w:rsid w:val="0062361B"/>
    <w:rsid w:val="00623732"/>
    <w:rsid w:val="00623885"/>
    <w:rsid w:val="006244EF"/>
    <w:rsid w:val="00624B07"/>
    <w:rsid w:val="00624C18"/>
    <w:rsid w:val="00624F13"/>
    <w:rsid w:val="00625095"/>
    <w:rsid w:val="0062533A"/>
    <w:rsid w:val="006253B5"/>
    <w:rsid w:val="006253DB"/>
    <w:rsid w:val="00625677"/>
    <w:rsid w:val="00625B29"/>
    <w:rsid w:val="0062667C"/>
    <w:rsid w:val="006269B4"/>
    <w:rsid w:val="00626A1D"/>
    <w:rsid w:val="00626A68"/>
    <w:rsid w:val="00626B0C"/>
    <w:rsid w:val="00626F73"/>
    <w:rsid w:val="00626FEF"/>
    <w:rsid w:val="006271DB"/>
    <w:rsid w:val="00627295"/>
    <w:rsid w:val="00627303"/>
    <w:rsid w:val="0062761B"/>
    <w:rsid w:val="00627893"/>
    <w:rsid w:val="00627A84"/>
    <w:rsid w:val="00627C9F"/>
    <w:rsid w:val="00630099"/>
    <w:rsid w:val="00630243"/>
    <w:rsid w:val="006303C3"/>
    <w:rsid w:val="00630421"/>
    <w:rsid w:val="006308B0"/>
    <w:rsid w:val="00630992"/>
    <w:rsid w:val="00630ACE"/>
    <w:rsid w:val="00630F0A"/>
    <w:rsid w:val="006311E9"/>
    <w:rsid w:val="0063121D"/>
    <w:rsid w:val="006312A6"/>
    <w:rsid w:val="00632039"/>
    <w:rsid w:val="00632354"/>
    <w:rsid w:val="006328B3"/>
    <w:rsid w:val="00632BCD"/>
    <w:rsid w:val="00632CED"/>
    <w:rsid w:val="00633006"/>
    <w:rsid w:val="0063380B"/>
    <w:rsid w:val="0063384C"/>
    <w:rsid w:val="0063388A"/>
    <w:rsid w:val="006338C6"/>
    <w:rsid w:val="0063446C"/>
    <w:rsid w:val="006344AB"/>
    <w:rsid w:val="006347F1"/>
    <w:rsid w:val="006348A4"/>
    <w:rsid w:val="00634935"/>
    <w:rsid w:val="00634A77"/>
    <w:rsid w:val="00634F0C"/>
    <w:rsid w:val="00635014"/>
    <w:rsid w:val="00636164"/>
    <w:rsid w:val="006367BE"/>
    <w:rsid w:val="006368A4"/>
    <w:rsid w:val="00637390"/>
    <w:rsid w:val="00637A7D"/>
    <w:rsid w:val="00637E9F"/>
    <w:rsid w:val="006404C4"/>
    <w:rsid w:val="00640598"/>
    <w:rsid w:val="00640DA6"/>
    <w:rsid w:val="00641554"/>
    <w:rsid w:val="00641881"/>
    <w:rsid w:val="006419C7"/>
    <w:rsid w:val="00641FFA"/>
    <w:rsid w:val="00642011"/>
    <w:rsid w:val="00642053"/>
    <w:rsid w:val="00642299"/>
    <w:rsid w:val="006427A2"/>
    <w:rsid w:val="00642810"/>
    <w:rsid w:val="00642EA6"/>
    <w:rsid w:val="006432DF"/>
    <w:rsid w:val="00644100"/>
    <w:rsid w:val="00644301"/>
    <w:rsid w:val="006443A2"/>
    <w:rsid w:val="00644FB9"/>
    <w:rsid w:val="0064529F"/>
    <w:rsid w:val="00645394"/>
    <w:rsid w:val="0064594A"/>
    <w:rsid w:val="0064625E"/>
    <w:rsid w:val="00646318"/>
    <w:rsid w:val="006463F5"/>
    <w:rsid w:val="00646412"/>
    <w:rsid w:val="0064649C"/>
    <w:rsid w:val="00646AAA"/>
    <w:rsid w:val="00646DB9"/>
    <w:rsid w:val="0064726E"/>
    <w:rsid w:val="006475D3"/>
    <w:rsid w:val="00647CBF"/>
    <w:rsid w:val="00647D67"/>
    <w:rsid w:val="00647F10"/>
    <w:rsid w:val="006501D8"/>
    <w:rsid w:val="006504B1"/>
    <w:rsid w:val="00650B75"/>
    <w:rsid w:val="00650FD4"/>
    <w:rsid w:val="00651686"/>
    <w:rsid w:val="006517C3"/>
    <w:rsid w:val="006519DE"/>
    <w:rsid w:val="006519E9"/>
    <w:rsid w:val="00651A84"/>
    <w:rsid w:val="0065210D"/>
    <w:rsid w:val="00652129"/>
    <w:rsid w:val="00652333"/>
    <w:rsid w:val="006526D0"/>
    <w:rsid w:val="00652714"/>
    <w:rsid w:val="00652E8B"/>
    <w:rsid w:val="0065314D"/>
    <w:rsid w:val="0065324E"/>
    <w:rsid w:val="0065354E"/>
    <w:rsid w:val="00653813"/>
    <w:rsid w:val="00653B59"/>
    <w:rsid w:val="00653C47"/>
    <w:rsid w:val="00654330"/>
    <w:rsid w:val="00654AA0"/>
    <w:rsid w:val="00654CA8"/>
    <w:rsid w:val="00655381"/>
    <w:rsid w:val="006555CD"/>
    <w:rsid w:val="0065583B"/>
    <w:rsid w:val="006559B7"/>
    <w:rsid w:val="00655DC3"/>
    <w:rsid w:val="00655EA8"/>
    <w:rsid w:val="00655F48"/>
    <w:rsid w:val="006565CC"/>
    <w:rsid w:val="0065678D"/>
    <w:rsid w:val="00656A10"/>
    <w:rsid w:val="00656BC3"/>
    <w:rsid w:val="00657915"/>
    <w:rsid w:val="00657C3F"/>
    <w:rsid w:val="00657E2F"/>
    <w:rsid w:val="0066006C"/>
    <w:rsid w:val="00660105"/>
    <w:rsid w:val="006602D9"/>
    <w:rsid w:val="00660616"/>
    <w:rsid w:val="00661526"/>
    <w:rsid w:val="00661A1B"/>
    <w:rsid w:val="00662116"/>
    <w:rsid w:val="0066234E"/>
    <w:rsid w:val="006623FE"/>
    <w:rsid w:val="006626A2"/>
    <w:rsid w:val="00662FED"/>
    <w:rsid w:val="0066311C"/>
    <w:rsid w:val="00663AAF"/>
    <w:rsid w:val="00663EF4"/>
    <w:rsid w:val="00664336"/>
    <w:rsid w:val="00664581"/>
    <w:rsid w:val="0066471C"/>
    <w:rsid w:val="006650A7"/>
    <w:rsid w:val="00665324"/>
    <w:rsid w:val="00665BA0"/>
    <w:rsid w:val="00665C39"/>
    <w:rsid w:val="00665EB9"/>
    <w:rsid w:val="00665F90"/>
    <w:rsid w:val="00666B06"/>
    <w:rsid w:val="0066736C"/>
    <w:rsid w:val="0066745B"/>
    <w:rsid w:val="006676FD"/>
    <w:rsid w:val="00667AB0"/>
    <w:rsid w:val="006700BC"/>
    <w:rsid w:val="0067030C"/>
    <w:rsid w:val="00670373"/>
    <w:rsid w:val="0067059F"/>
    <w:rsid w:val="00670BA7"/>
    <w:rsid w:val="00671984"/>
    <w:rsid w:val="00671BCD"/>
    <w:rsid w:val="00671C56"/>
    <w:rsid w:val="00671CD9"/>
    <w:rsid w:val="0067213E"/>
    <w:rsid w:val="00673038"/>
    <w:rsid w:val="0067328F"/>
    <w:rsid w:val="006746BC"/>
    <w:rsid w:val="0067485F"/>
    <w:rsid w:val="00674D66"/>
    <w:rsid w:val="00674E0A"/>
    <w:rsid w:val="00674E35"/>
    <w:rsid w:val="00675401"/>
    <w:rsid w:val="006758F4"/>
    <w:rsid w:val="00675B13"/>
    <w:rsid w:val="00675D16"/>
    <w:rsid w:val="0067652C"/>
    <w:rsid w:val="00676930"/>
    <w:rsid w:val="00676BC8"/>
    <w:rsid w:val="00676BEC"/>
    <w:rsid w:val="006772A8"/>
    <w:rsid w:val="006774F4"/>
    <w:rsid w:val="00677817"/>
    <w:rsid w:val="00677AD8"/>
    <w:rsid w:val="00677B62"/>
    <w:rsid w:val="0068001B"/>
    <w:rsid w:val="0068009E"/>
    <w:rsid w:val="00680407"/>
    <w:rsid w:val="0068047A"/>
    <w:rsid w:val="00680B66"/>
    <w:rsid w:val="00680CAE"/>
    <w:rsid w:val="0068105A"/>
    <w:rsid w:val="00681B7D"/>
    <w:rsid w:val="00681CE7"/>
    <w:rsid w:val="00681DDE"/>
    <w:rsid w:val="00682170"/>
    <w:rsid w:val="006823E6"/>
    <w:rsid w:val="00682960"/>
    <w:rsid w:val="00682A00"/>
    <w:rsid w:val="00682B10"/>
    <w:rsid w:val="00682BA1"/>
    <w:rsid w:val="006833DA"/>
    <w:rsid w:val="006833E6"/>
    <w:rsid w:val="00683515"/>
    <w:rsid w:val="00683685"/>
    <w:rsid w:val="00683715"/>
    <w:rsid w:val="00683B3E"/>
    <w:rsid w:val="0068424C"/>
    <w:rsid w:val="006844D5"/>
    <w:rsid w:val="00684848"/>
    <w:rsid w:val="00684A8E"/>
    <w:rsid w:val="00684ADA"/>
    <w:rsid w:val="00684C05"/>
    <w:rsid w:val="00685083"/>
    <w:rsid w:val="006857A6"/>
    <w:rsid w:val="00685917"/>
    <w:rsid w:val="006868CE"/>
    <w:rsid w:val="00686C4E"/>
    <w:rsid w:val="00686D8F"/>
    <w:rsid w:val="00687233"/>
    <w:rsid w:val="006874D5"/>
    <w:rsid w:val="0068775D"/>
    <w:rsid w:val="00687961"/>
    <w:rsid w:val="00687C60"/>
    <w:rsid w:val="00687F7E"/>
    <w:rsid w:val="00690304"/>
    <w:rsid w:val="00690574"/>
    <w:rsid w:val="00690D4C"/>
    <w:rsid w:val="00690F74"/>
    <w:rsid w:val="00691211"/>
    <w:rsid w:val="00691A60"/>
    <w:rsid w:val="006928EA"/>
    <w:rsid w:val="00692C93"/>
    <w:rsid w:val="00692CD1"/>
    <w:rsid w:val="00693A57"/>
    <w:rsid w:val="00693C50"/>
    <w:rsid w:val="00693F9B"/>
    <w:rsid w:val="006945B0"/>
    <w:rsid w:val="00694B5E"/>
    <w:rsid w:val="006954B6"/>
    <w:rsid w:val="006959DA"/>
    <w:rsid w:val="00695B2C"/>
    <w:rsid w:val="00695D7D"/>
    <w:rsid w:val="00695E32"/>
    <w:rsid w:val="00695FD8"/>
    <w:rsid w:val="006962AE"/>
    <w:rsid w:val="006966B2"/>
    <w:rsid w:val="00696BE6"/>
    <w:rsid w:val="00696F5C"/>
    <w:rsid w:val="00696F7D"/>
    <w:rsid w:val="00697206"/>
    <w:rsid w:val="006974EF"/>
    <w:rsid w:val="0069772E"/>
    <w:rsid w:val="006A040E"/>
    <w:rsid w:val="006A071C"/>
    <w:rsid w:val="006A0950"/>
    <w:rsid w:val="006A0F6F"/>
    <w:rsid w:val="006A12EA"/>
    <w:rsid w:val="006A1409"/>
    <w:rsid w:val="006A1587"/>
    <w:rsid w:val="006A17D2"/>
    <w:rsid w:val="006A1B76"/>
    <w:rsid w:val="006A1DC1"/>
    <w:rsid w:val="006A26BC"/>
    <w:rsid w:val="006A2D14"/>
    <w:rsid w:val="006A2FCE"/>
    <w:rsid w:val="006A37BA"/>
    <w:rsid w:val="006A3D9D"/>
    <w:rsid w:val="006A3E6A"/>
    <w:rsid w:val="006A4388"/>
    <w:rsid w:val="006A494C"/>
    <w:rsid w:val="006A4C34"/>
    <w:rsid w:val="006A5080"/>
    <w:rsid w:val="006A5279"/>
    <w:rsid w:val="006A5378"/>
    <w:rsid w:val="006A5619"/>
    <w:rsid w:val="006A5D09"/>
    <w:rsid w:val="006A6116"/>
    <w:rsid w:val="006A6396"/>
    <w:rsid w:val="006A6530"/>
    <w:rsid w:val="006A686E"/>
    <w:rsid w:val="006A6879"/>
    <w:rsid w:val="006A6C28"/>
    <w:rsid w:val="006A6E4C"/>
    <w:rsid w:val="006A6F86"/>
    <w:rsid w:val="006A7208"/>
    <w:rsid w:val="006A73E6"/>
    <w:rsid w:val="006A75AD"/>
    <w:rsid w:val="006A789A"/>
    <w:rsid w:val="006A7A63"/>
    <w:rsid w:val="006A7DF0"/>
    <w:rsid w:val="006B0320"/>
    <w:rsid w:val="006B09F4"/>
    <w:rsid w:val="006B0A06"/>
    <w:rsid w:val="006B0A82"/>
    <w:rsid w:val="006B1252"/>
    <w:rsid w:val="006B140A"/>
    <w:rsid w:val="006B15CE"/>
    <w:rsid w:val="006B17C3"/>
    <w:rsid w:val="006B18F0"/>
    <w:rsid w:val="006B1A15"/>
    <w:rsid w:val="006B1A48"/>
    <w:rsid w:val="006B1F6D"/>
    <w:rsid w:val="006B2512"/>
    <w:rsid w:val="006B2CC7"/>
    <w:rsid w:val="006B2D5C"/>
    <w:rsid w:val="006B2FBF"/>
    <w:rsid w:val="006B33C4"/>
    <w:rsid w:val="006B351F"/>
    <w:rsid w:val="006B3714"/>
    <w:rsid w:val="006B3AF1"/>
    <w:rsid w:val="006B3D00"/>
    <w:rsid w:val="006B44C0"/>
    <w:rsid w:val="006B4D46"/>
    <w:rsid w:val="006B51B9"/>
    <w:rsid w:val="006B57E1"/>
    <w:rsid w:val="006B5B8E"/>
    <w:rsid w:val="006B5C84"/>
    <w:rsid w:val="006B6442"/>
    <w:rsid w:val="006B6817"/>
    <w:rsid w:val="006B69B5"/>
    <w:rsid w:val="006B6F1E"/>
    <w:rsid w:val="006B6F29"/>
    <w:rsid w:val="006B7158"/>
    <w:rsid w:val="006B71F6"/>
    <w:rsid w:val="006B7FA2"/>
    <w:rsid w:val="006C0784"/>
    <w:rsid w:val="006C0A65"/>
    <w:rsid w:val="006C0BE5"/>
    <w:rsid w:val="006C0FB6"/>
    <w:rsid w:val="006C11B7"/>
    <w:rsid w:val="006C128E"/>
    <w:rsid w:val="006C16D2"/>
    <w:rsid w:val="006C1767"/>
    <w:rsid w:val="006C17B3"/>
    <w:rsid w:val="006C1D5B"/>
    <w:rsid w:val="006C1E07"/>
    <w:rsid w:val="006C341D"/>
    <w:rsid w:val="006C3B01"/>
    <w:rsid w:val="006C4121"/>
    <w:rsid w:val="006C4468"/>
    <w:rsid w:val="006C4EB1"/>
    <w:rsid w:val="006C58EB"/>
    <w:rsid w:val="006C6102"/>
    <w:rsid w:val="006C6946"/>
    <w:rsid w:val="006C6E93"/>
    <w:rsid w:val="006C71EC"/>
    <w:rsid w:val="006C7244"/>
    <w:rsid w:val="006C7306"/>
    <w:rsid w:val="006C7774"/>
    <w:rsid w:val="006C77B8"/>
    <w:rsid w:val="006C7923"/>
    <w:rsid w:val="006D0196"/>
    <w:rsid w:val="006D0592"/>
    <w:rsid w:val="006D0772"/>
    <w:rsid w:val="006D0A39"/>
    <w:rsid w:val="006D0AAE"/>
    <w:rsid w:val="006D0B3C"/>
    <w:rsid w:val="006D0B7D"/>
    <w:rsid w:val="006D0E40"/>
    <w:rsid w:val="006D0F9A"/>
    <w:rsid w:val="006D132D"/>
    <w:rsid w:val="006D1348"/>
    <w:rsid w:val="006D1C43"/>
    <w:rsid w:val="006D1DAA"/>
    <w:rsid w:val="006D2842"/>
    <w:rsid w:val="006D2A5F"/>
    <w:rsid w:val="006D2C15"/>
    <w:rsid w:val="006D2EC4"/>
    <w:rsid w:val="006D362F"/>
    <w:rsid w:val="006D39C6"/>
    <w:rsid w:val="006D3AEA"/>
    <w:rsid w:val="006D46CB"/>
    <w:rsid w:val="006D47BD"/>
    <w:rsid w:val="006D57EF"/>
    <w:rsid w:val="006D5D2C"/>
    <w:rsid w:val="006D5ED9"/>
    <w:rsid w:val="006D640D"/>
    <w:rsid w:val="006D64C8"/>
    <w:rsid w:val="006D6D14"/>
    <w:rsid w:val="006D7534"/>
    <w:rsid w:val="006D796E"/>
    <w:rsid w:val="006D7A04"/>
    <w:rsid w:val="006D7E6F"/>
    <w:rsid w:val="006E0021"/>
    <w:rsid w:val="006E00A3"/>
    <w:rsid w:val="006E0123"/>
    <w:rsid w:val="006E0166"/>
    <w:rsid w:val="006E01E1"/>
    <w:rsid w:val="006E0E7A"/>
    <w:rsid w:val="006E1178"/>
    <w:rsid w:val="006E15E2"/>
    <w:rsid w:val="006E1697"/>
    <w:rsid w:val="006E1A3B"/>
    <w:rsid w:val="006E25DC"/>
    <w:rsid w:val="006E26D2"/>
    <w:rsid w:val="006E2743"/>
    <w:rsid w:val="006E28E8"/>
    <w:rsid w:val="006E2D18"/>
    <w:rsid w:val="006E362D"/>
    <w:rsid w:val="006E3AF6"/>
    <w:rsid w:val="006E3E8D"/>
    <w:rsid w:val="006E3EFB"/>
    <w:rsid w:val="006E3F67"/>
    <w:rsid w:val="006E434B"/>
    <w:rsid w:val="006E4695"/>
    <w:rsid w:val="006E5002"/>
    <w:rsid w:val="006E502D"/>
    <w:rsid w:val="006E54B0"/>
    <w:rsid w:val="006E56C1"/>
    <w:rsid w:val="006E58D1"/>
    <w:rsid w:val="006E5B92"/>
    <w:rsid w:val="006E5DDA"/>
    <w:rsid w:val="006E5E19"/>
    <w:rsid w:val="006E5EB1"/>
    <w:rsid w:val="006E621E"/>
    <w:rsid w:val="006E66A1"/>
    <w:rsid w:val="006E6C59"/>
    <w:rsid w:val="006E7167"/>
    <w:rsid w:val="006E72D0"/>
    <w:rsid w:val="006E73D4"/>
    <w:rsid w:val="006E752E"/>
    <w:rsid w:val="006E7583"/>
    <w:rsid w:val="006E76E6"/>
    <w:rsid w:val="006E770C"/>
    <w:rsid w:val="006E7B34"/>
    <w:rsid w:val="006E7DB5"/>
    <w:rsid w:val="006E7DF9"/>
    <w:rsid w:val="006F0078"/>
    <w:rsid w:val="006F0305"/>
    <w:rsid w:val="006F09EB"/>
    <w:rsid w:val="006F0A0A"/>
    <w:rsid w:val="006F0BBD"/>
    <w:rsid w:val="006F1121"/>
    <w:rsid w:val="006F165F"/>
    <w:rsid w:val="006F1C06"/>
    <w:rsid w:val="006F1CF4"/>
    <w:rsid w:val="006F1FFC"/>
    <w:rsid w:val="006F241B"/>
    <w:rsid w:val="006F273B"/>
    <w:rsid w:val="006F2B4A"/>
    <w:rsid w:val="006F3397"/>
    <w:rsid w:val="006F34E3"/>
    <w:rsid w:val="006F3DC4"/>
    <w:rsid w:val="006F474A"/>
    <w:rsid w:val="006F491C"/>
    <w:rsid w:val="006F4CE6"/>
    <w:rsid w:val="006F4E46"/>
    <w:rsid w:val="006F5275"/>
    <w:rsid w:val="006F5AAE"/>
    <w:rsid w:val="006F5C1B"/>
    <w:rsid w:val="006F5FB6"/>
    <w:rsid w:val="006F631D"/>
    <w:rsid w:val="006F79EC"/>
    <w:rsid w:val="006F7EE3"/>
    <w:rsid w:val="00700215"/>
    <w:rsid w:val="00700A19"/>
    <w:rsid w:val="00700C8B"/>
    <w:rsid w:val="00701627"/>
    <w:rsid w:val="00701983"/>
    <w:rsid w:val="00701F15"/>
    <w:rsid w:val="00701F4D"/>
    <w:rsid w:val="0070217A"/>
    <w:rsid w:val="007021B4"/>
    <w:rsid w:val="00702755"/>
    <w:rsid w:val="00702F28"/>
    <w:rsid w:val="007032B2"/>
    <w:rsid w:val="00703A3A"/>
    <w:rsid w:val="00703E40"/>
    <w:rsid w:val="00703E6F"/>
    <w:rsid w:val="00704084"/>
    <w:rsid w:val="00704237"/>
    <w:rsid w:val="007042C0"/>
    <w:rsid w:val="0070448F"/>
    <w:rsid w:val="00704943"/>
    <w:rsid w:val="0070498B"/>
    <w:rsid w:val="00704E13"/>
    <w:rsid w:val="00704F4E"/>
    <w:rsid w:val="00704F63"/>
    <w:rsid w:val="00705013"/>
    <w:rsid w:val="00705668"/>
    <w:rsid w:val="00705C69"/>
    <w:rsid w:val="00705E34"/>
    <w:rsid w:val="0070697F"/>
    <w:rsid w:val="007073E2"/>
    <w:rsid w:val="007079BD"/>
    <w:rsid w:val="00707B7D"/>
    <w:rsid w:val="00707BF5"/>
    <w:rsid w:val="00710113"/>
    <w:rsid w:val="00710772"/>
    <w:rsid w:val="00710D41"/>
    <w:rsid w:val="007114BB"/>
    <w:rsid w:val="0071162D"/>
    <w:rsid w:val="00711B80"/>
    <w:rsid w:val="00711E01"/>
    <w:rsid w:val="00711E1E"/>
    <w:rsid w:val="00711F99"/>
    <w:rsid w:val="007124F8"/>
    <w:rsid w:val="00712705"/>
    <w:rsid w:val="007127ED"/>
    <w:rsid w:val="007127FA"/>
    <w:rsid w:val="007128AB"/>
    <w:rsid w:val="00712A15"/>
    <w:rsid w:val="00712B0E"/>
    <w:rsid w:val="0071326C"/>
    <w:rsid w:val="00713551"/>
    <w:rsid w:val="00713632"/>
    <w:rsid w:val="00713B81"/>
    <w:rsid w:val="00713E33"/>
    <w:rsid w:val="00713F6D"/>
    <w:rsid w:val="00714470"/>
    <w:rsid w:val="007144B7"/>
    <w:rsid w:val="007146D8"/>
    <w:rsid w:val="00714904"/>
    <w:rsid w:val="00714B32"/>
    <w:rsid w:val="007155B6"/>
    <w:rsid w:val="0071591F"/>
    <w:rsid w:val="00715971"/>
    <w:rsid w:val="007166D4"/>
    <w:rsid w:val="00716F29"/>
    <w:rsid w:val="007178D9"/>
    <w:rsid w:val="00717B02"/>
    <w:rsid w:val="00717FFA"/>
    <w:rsid w:val="007200CC"/>
    <w:rsid w:val="00720893"/>
    <w:rsid w:val="00720928"/>
    <w:rsid w:val="007209F2"/>
    <w:rsid w:val="00720F8E"/>
    <w:rsid w:val="00720FD7"/>
    <w:rsid w:val="00721111"/>
    <w:rsid w:val="007215FD"/>
    <w:rsid w:val="0072199C"/>
    <w:rsid w:val="00721AD2"/>
    <w:rsid w:val="00721B11"/>
    <w:rsid w:val="00721F44"/>
    <w:rsid w:val="007222C5"/>
    <w:rsid w:val="00722D18"/>
    <w:rsid w:val="00722D61"/>
    <w:rsid w:val="00722DBA"/>
    <w:rsid w:val="00723163"/>
    <w:rsid w:val="0072344D"/>
    <w:rsid w:val="00723A38"/>
    <w:rsid w:val="00724A71"/>
    <w:rsid w:val="00724D73"/>
    <w:rsid w:val="00724E06"/>
    <w:rsid w:val="007253B8"/>
    <w:rsid w:val="00725557"/>
    <w:rsid w:val="007255D9"/>
    <w:rsid w:val="007255DB"/>
    <w:rsid w:val="00725626"/>
    <w:rsid w:val="00725B47"/>
    <w:rsid w:val="00725E74"/>
    <w:rsid w:val="0072603F"/>
    <w:rsid w:val="007264EF"/>
    <w:rsid w:val="00726EB2"/>
    <w:rsid w:val="0072728A"/>
    <w:rsid w:val="007274DE"/>
    <w:rsid w:val="00727C60"/>
    <w:rsid w:val="007301C7"/>
    <w:rsid w:val="007303F5"/>
    <w:rsid w:val="00730AED"/>
    <w:rsid w:val="0073109F"/>
    <w:rsid w:val="007311D8"/>
    <w:rsid w:val="00731547"/>
    <w:rsid w:val="007319B6"/>
    <w:rsid w:val="00731B6C"/>
    <w:rsid w:val="00731C2E"/>
    <w:rsid w:val="00731D3B"/>
    <w:rsid w:val="007322D8"/>
    <w:rsid w:val="0073271A"/>
    <w:rsid w:val="00732A0F"/>
    <w:rsid w:val="00732AA5"/>
    <w:rsid w:val="00732DCF"/>
    <w:rsid w:val="00733029"/>
    <w:rsid w:val="00733200"/>
    <w:rsid w:val="00733344"/>
    <w:rsid w:val="00733A89"/>
    <w:rsid w:val="00733BC5"/>
    <w:rsid w:val="00733FB1"/>
    <w:rsid w:val="00734F47"/>
    <w:rsid w:val="00735244"/>
    <w:rsid w:val="007353CB"/>
    <w:rsid w:val="00735439"/>
    <w:rsid w:val="00735820"/>
    <w:rsid w:val="00735C10"/>
    <w:rsid w:val="00735E15"/>
    <w:rsid w:val="007363AB"/>
    <w:rsid w:val="00736621"/>
    <w:rsid w:val="00736A4B"/>
    <w:rsid w:val="00736A5A"/>
    <w:rsid w:val="00737152"/>
    <w:rsid w:val="007371D9"/>
    <w:rsid w:val="0073741F"/>
    <w:rsid w:val="0074053B"/>
    <w:rsid w:val="00740558"/>
    <w:rsid w:val="007406AC"/>
    <w:rsid w:val="00740D0C"/>
    <w:rsid w:val="0074199E"/>
    <w:rsid w:val="00741CA3"/>
    <w:rsid w:val="00741CC0"/>
    <w:rsid w:val="0074209F"/>
    <w:rsid w:val="007421AC"/>
    <w:rsid w:val="007425C7"/>
    <w:rsid w:val="00742B58"/>
    <w:rsid w:val="00742D79"/>
    <w:rsid w:val="00743516"/>
    <w:rsid w:val="00743769"/>
    <w:rsid w:val="007438F1"/>
    <w:rsid w:val="00743D3B"/>
    <w:rsid w:val="00743EA6"/>
    <w:rsid w:val="00744187"/>
    <w:rsid w:val="00744387"/>
    <w:rsid w:val="007444E9"/>
    <w:rsid w:val="00744508"/>
    <w:rsid w:val="0074478D"/>
    <w:rsid w:val="0074488D"/>
    <w:rsid w:val="00744B62"/>
    <w:rsid w:val="0074509F"/>
    <w:rsid w:val="00745212"/>
    <w:rsid w:val="00745A9C"/>
    <w:rsid w:val="0074602F"/>
    <w:rsid w:val="0074626D"/>
    <w:rsid w:val="0074649B"/>
    <w:rsid w:val="0074670B"/>
    <w:rsid w:val="00746D77"/>
    <w:rsid w:val="00746D7B"/>
    <w:rsid w:val="007470B2"/>
    <w:rsid w:val="00747573"/>
    <w:rsid w:val="00747FCE"/>
    <w:rsid w:val="0075008E"/>
    <w:rsid w:val="0075120E"/>
    <w:rsid w:val="007516F6"/>
    <w:rsid w:val="007518E6"/>
    <w:rsid w:val="00751BC3"/>
    <w:rsid w:val="0075203A"/>
    <w:rsid w:val="0075265F"/>
    <w:rsid w:val="007527F2"/>
    <w:rsid w:val="007528B9"/>
    <w:rsid w:val="007528BE"/>
    <w:rsid w:val="00752A4D"/>
    <w:rsid w:val="00752DDB"/>
    <w:rsid w:val="007536A9"/>
    <w:rsid w:val="007537C5"/>
    <w:rsid w:val="0075385A"/>
    <w:rsid w:val="00753DA5"/>
    <w:rsid w:val="00754112"/>
    <w:rsid w:val="007543A5"/>
    <w:rsid w:val="007545C9"/>
    <w:rsid w:val="00754A19"/>
    <w:rsid w:val="00754E62"/>
    <w:rsid w:val="0075543B"/>
    <w:rsid w:val="007554FC"/>
    <w:rsid w:val="007555A2"/>
    <w:rsid w:val="007555B4"/>
    <w:rsid w:val="007556D6"/>
    <w:rsid w:val="007559AC"/>
    <w:rsid w:val="00755FBA"/>
    <w:rsid w:val="00755FDC"/>
    <w:rsid w:val="00756151"/>
    <w:rsid w:val="00756BE5"/>
    <w:rsid w:val="00756C25"/>
    <w:rsid w:val="007573DE"/>
    <w:rsid w:val="00757485"/>
    <w:rsid w:val="007576D1"/>
    <w:rsid w:val="007578A2"/>
    <w:rsid w:val="00757949"/>
    <w:rsid w:val="00757EE9"/>
    <w:rsid w:val="00760E34"/>
    <w:rsid w:val="00761334"/>
    <w:rsid w:val="00762321"/>
    <w:rsid w:val="0076258E"/>
    <w:rsid w:val="00762BBB"/>
    <w:rsid w:val="00763282"/>
    <w:rsid w:val="0076334D"/>
    <w:rsid w:val="007642E5"/>
    <w:rsid w:val="00764578"/>
    <w:rsid w:val="007646DD"/>
    <w:rsid w:val="00764E45"/>
    <w:rsid w:val="007650EA"/>
    <w:rsid w:val="00765397"/>
    <w:rsid w:val="00765557"/>
    <w:rsid w:val="00765574"/>
    <w:rsid w:val="007655F3"/>
    <w:rsid w:val="007658BB"/>
    <w:rsid w:val="007660FC"/>
    <w:rsid w:val="00766170"/>
    <w:rsid w:val="0076643F"/>
    <w:rsid w:val="00766855"/>
    <w:rsid w:val="00766C32"/>
    <w:rsid w:val="00766DE1"/>
    <w:rsid w:val="00766EA0"/>
    <w:rsid w:val="00766FD3"/>
    <w:rsid w:val="0076720B"/>
    <w:rsid w:val="007673D9"/>
    <w:rsid w:val="00767501"/>
    <w:rsid w:val="007677F1"/>
    <w:rsid w:val="00770C19"/>
    <w:rsid w:val="00770DD1"/>
    <w:rsid w:val="007710D8"/>
    <w:rsid w:val="007716DA"/>
    <w:rsid w:val="00771C9A"/>
    <w:rsid w:val="00772433"/>
    <w:rsid w:val="00772A89"/>
    <w:rsid w:val="00772C4C"/>
    <w:rsid w:val="00772CC1"/>
    <w:rsid w:val="00772EFA"/>
    <w:rsid w:val="0077358B"/>
    <w:rsid w:val="00773E15"/>
    <w:rsid w:val="00773E4D"/>
    <w:rsid w:val="00774418"/>
    <w:rsid w:val="007746B6"/>
    <w:rsid w:val="00774B7A"/>
    <w:rsid w:val="00774C6F"/>
    <w:rsid w:val="00774C7A"/>
    <w:rsid w:val="00774DF0"/>
    <w:rsid w:val="0077501B"/>
    <w:rsid w:val="007753D7"/>
    <w:rsid w:val="007755C7"/>
    <w:rsid w:val="00775D61"/>
    <w:rsid w:val="00776645"/>
    <w:rsid w:val="00776648"/>
    <w:rsid w:val="007767EF"/>
    <w:rsid w:val="00776913"/>
    <w:rsid w:val="00776DC6"/>
    <w:rsid w:val="00776F61"/>
    <w:rsid w:val="00776FDE"/>
    <w:rsid w:val="00777114"/>
    <w:rsid w:val="007801FB"/>
    <w:rsid w:val="00780581"/>
    <w:rsid w:val="00780661"/>
    <w:rsid w:val="0078099E"/>
    <w:rsid w:val="007809F9"/>
    <w:rsid w:val="00780B87"/>
    <w:rsid w:val="00780F38"/>
    <w:rsid w:val="0078174E"/>
    <w:rsid w:val="00781B69"/>
    <w:rsid w:val="00782585"/>
    <w:rsid w:val="00782A6F"/>
    <w:rsid w:val="00782C20"/>
    <w:rsid w:val="00782CFB"/>
    <w:rsid w:val="0078318D"/>
    <w:rsid w:val="00783A0A"/>
    <w:rsid w:val="00783C86"/>
    <w:rsid w:val="00784328"/>
    <w:rsid w:val="0078432E"/>
    <w:rsid w:val="0078460C"/>
    <w:rsid w:val="00784766"/>
    <w:rsid w:val="007848A4"/>
    <w:rsid w:val="00784AC1"/>
    <w:rsid w:val="00784C30"/>
    <w:rsid w:val="00784E03"/>
    <w:rsid w:val="00785213"/>
    <w:rsid w:val="00785691"/>
    <w:rsid w:val="00785B6E"/>
    <w:rsid w:val="00785BBF"/>
    <w:rsid w:val="00785F90"/>
    <w:rsid w:val="007863BC"/>
    <w:rsid w:val="0078689C"/>
    <w:rsid w:val="0078697D"/>
    <w:rsid w:val="00786CC8"/>
    <w:rsid w:val="00786DB3"/>
    <w:rsid w:val="00786F41"/>
    <w:rsid w:val="00790178"/>
    <w:rsid w:val="00790243"/>
    <w:rsid w:val="00790F8B"/>
    <w:rsid w:val="00790FAB"/>
    <w:rsid w:val="007913E9"/>
    <w:rsid w:val="00791828"/>
    <w:rsid w:val="00791A91"/>
    <w:rsid w:val="00791EB2"/>
    <w:rsid w:val="00792525"/>
    <w:rsid w:val="00792A15"/>
    <w:rsid w:val="00793132"/>
    <w:rsid w:val="007933DE"/>
    <w:rsid w:val="007934F9"/>
    <w:rsid w:val="007938CA"/>
    <w:rsid w:val="00793971"/>
    <w:rsid w:val="00793AED"/>
    <w:rsid w:val="00793C41"/>
    <w:rsid w:val="00793CB7"/>
    <w:rsid w:val="0079417D"/>
    <w:rsid w:val="00794475"/>
    <w:rsid w:val="00794641"/>
    <w:rsid w:val="0079488C"/>
    <w:rsid w:val="00794CD0"/>
    <w:rsid w:val="007950AC"/>
    <w:rsid w:val="007955DC"/>
    <w:rsid w:val="007957F7"/>
    <w:rsid w:val="00796236"/>
    <w:rsid w:val="00796A26"/>
    <w:rsid w:val="00797B5F"/>
    <w:rsid w:val="00797DD9"/>
    <w:rsid w:val="007A0225"/>
    <w:rsid w:val="007A0688"/>
    <w:rsid w:val="007A101F"/>
    <w:rsid w:val="007A10D1"/>
    <w:rsid w:val="007A17E4"/>
    <w:rsid w:val="007A1A71"/>
    <w:rsid w:val="007A1CE0"/>
    <w:rsid w:val="007A1EC7"/>
    <w:rsid w:val="007A24FA"/>
    <w:rsid w:val="007A26BF"/>
    <w:rsid w:val="007A26F1"/>
    <w:rsid w:val="007A29CE"/>
    <w:rsid w:val="007A29E9"/>
    <w:rsid w:val="007A2B3C"/>
    <w:rsid w:val="007A33CA"/>
    <w:rsid w:val="007A3791"/>
    <w:rsid w:val="007A3EC1"/>
    <w:rsid w:val="007A4039"/>
    <w:rsid w:val="007A440D"/>
    <w:rsid w:val="007A46C7"/>
    <w:rsid w:val="007A4794"/>
    <w:rsid w:val="007A4A25"/>
    <w:rsid w:val="007A4E0E"/>
    <w:rsid w:val="007A539D"/>
    <w:rsid w:val="007A5817"/>
    <w:rsid w:val="007A583A"/>
    <w:rsid w:val="007A5C8B"/>
    <w:rsid w:val="007A5CFA"/>
    <w:rsid w:val="007A5E60"/>
    <w:rsid w:val="007A6075"/>
    <w:rsid w:val="007A6B39"/>
    <w:rsid w:val="007A6E2E"/>
    <w:rsid w:val="007A6E5C"/>
    <w:rsid w:val="007A7FED"/>
    <w:rsid w:val="007B01BB"/>
    <w:rsid w:val="007B03A8"/>
    <w:rsid w:val="007B043F"/>
    <w:rsid w:val="007B05F9"/>
    <w:rsid w:val="007B0A16"/>
    <w:rsid w:val="007B0CE3"/>
    <w:rsid w:val="007B0EC9"/>
    <w:rsid w:val="007B12AB"/>
    <w:rsid w:val="007B1A8A"/>
    <w:rsid w:val="007B1F4F"/>
    <w:rsid w:val="007B2383"/>
    <w:rsid w:val="007B2973"/>
    <w:rsid w:val="007B2B9C"/>
    <w:rsid w:val="007B3C7F"/>
    <w:rsid w:val="007B3D30"/>
    <w:rsid w:val="007B3E4B"/>
    <w:rsid w:val="007B48C7"/>
    <w:rsid w:val="007B4920"/>
    <w:rsid w:val="007B515B"/>
    <w:rsid w:val="007B51AE"/>
    <w:rsid w:val="007B52BC"/>
    <w:rsid w:val="007B59A2"/>
    <w:rsid w:val="007B5B52"/>
    <w:rsid w:val="007B5D67"/>
    <w:rsid w:val="007B60E9"/>
    <w:rsid w:val="007B659B"/>
    <w:rsid w:val="007B6779"/>
    <w:rsid w:val="007B6CC3"/>
    <w:rsid w:val="007B7113"/>
    <w:rsid w:val="007B752C"/>
    <w:rsid w:val="007B75D3"/>
    <w:rsid w:val="007B7C16"/>
    <w:rsid w:val="007C008E"/>
    <w:rsid w:val="007C01B1"/>
    <w:rsid w:val="007C0801"/>
    <w:rsid w:val="007C0C13"/>
    <w:rsid w:val="007C0DA5"/>
    <w:rsid w:val="007C1242"/>
    <w:rsid w:val="007C14AD"/>
    <w:rsid w:val="007C1B4C"/>
    <w:rsid w:val="007C1CC8"/>
    <w:rsid w:val="007C1DBF"/>
    <w:rsid w:val="007C2060"/>
    <w:rsid w:val="007C22B6"/>
    <w:rsid w:val="007C2330"/>
    <w:rsid w:val="007C27C3"/>
    <w:rsid w:val="007C2FF6"/>
    <w:rsid w:val="007C3073"/>
    <w:rsid w:val="007C3334"/>
    <w:rsid w:val="007C351D"/>
    <w:rsid w:val="007C5006"/>
    <w:rsid w:val="007C50C6"/>
    <w:rsid w:val="007C52EC"/>
    <w:rsid w:val="007C5A76"/>
    <w:rsid w:val="007C6142"/>
    <w:rsid w:val="007C6258"/>
    <w:rsid w:val="007C643F"/>
    <w:rsid w:val="007C678C"/>
    <w:rsid w:val="007C68C5"/>
    <w:rsid w:val="007C6F41"/>
    <w:rsid w:val="007C6F65"/>
    <w:rsid w:val="007C7891"/>
    <w:rsid w:val="007C7E5C"/>
    <w:rsid w:val="007D0B97"/>
    <w:rsid w:val="007D0C8C"/>
    <w:rsid w:val="007D0E3C"/>
    <w:rsid w:val="007D10B3"/>
    <w:rsid w:val="007D1170"/>
    <w:rsid w:val="007D1432"/>
    <w:rsid w:val="007D16DC"/>
    <w:rsid w:val="007D19F7"/>
    <w:rsid w:val="007D1B38"/>
    <w:rsid w:val="007D2484"/>
    <w:rsid w:val="007D2494"/>
    <w:rsid w:val="007D259A"/>
    <w:rsid w:val="007D2A18"/>
    <w:rsid w:val="007D2B98"/>
    <w:rsid w:val="007D2DF3"/>
    <w:rsid w:val="007D33BB"/>
    <w:rsid w:val="007D37C2"/>
    <w:rsid w:val="007D3B9F"/>
    <w:rsid w:val="007D3C1A"/>
    <w:rsid w:val="007D3D79"/>
    <w:rsid w:val="007D4D0A"/>
    <w:rsid w:val="007D4F01"/>
    <w:rsid w:val="007D5AD1"/>
    <w:rsid w:val="007D5F5F"/>
    <w:rsid w:val="007D65CE"/>
    <w:rsid w:val="007D6705"/>
    <w:rsid w:val="007D733F"/>
    <w:rsid w:val="007D7568"/>
    <w:rsid w:val="007D7C4D"/>
    <w:rsid w:val="007D7F07"/>
    <w:rsid w:val="007E0337"/>
    <w:rsid w:val="007E03CE"/>
    <w:rsid w:val="007E05CF"/>
    <w:rsid w:val="007E07FA"/>
    <w:rsid w:val="007E0A89"/>
    <w:rsid w:val="007E0D10"/>
    <w:rsid w:val="007E0D92"/>
    <w:rsid w:val="007E1554"/>
    <w:rsid w:val="007E1751"/>
    <w:rsid w:val="007E1768"/>
    <w:rsid w:val="007E21BC"/>
    <w:rsid w:val="007E292D"/>
    <w:rsid w:val="007E2B3E"/>
    <w:rsid w:val="007E3835"/>
    <w:rsid w:val="007E38E5"/>
    <w:rsid w:val="007E3913"/>
    <w:rsid w:val="007E41D2"/>
    <w:rsid w:val="007E441B"/>
    <w:rsid w:val="007E4D79"/>
    <w:rsid w:val="007E5009"/>
    <w:rsid w:val="007E53EC"/>
    <w:rsid w:val="007E5490"/>
    <w:rsid w:val="007E56BB"/>
    <w:rsid w:val="007E585F"/>
    <w:rsid w:val="007E593F"/>
    <w:rsid w:val="007E5A40"/>
    <w:rsid w:val="007E5D40"/>
    <w:rsid w:val="007E61C5"/>
    <w:rsid w:val="007E6417"/>
    <w:rsid w:val="007E6A68"/>
    <w:rsid w:val="007E7413"/>
    <w:rsid w:val="007E752B"/>
    <w:rsid w:val="007E75A9"/>
    <w:rsid w:val="007E799A"/>
    <w:rsid w:val="007E7C09"/>
    <w:rsid w:val="007E7C40"/>
    <w:rsid w:val="007E7D04"/>
    <w:rsid w:val="007F0264"/>
    <w:rsid w:val="007F043D"/>
    <w:rsid w:val="007F0496"/>
    <w:rsid w:val="007F0713"/>
    <w:rsid w:val="007F0A18"/>
    <w:rsid w:val="007F0C72"/>
    <w:rsid w:val="007F0D3D"/>
    <w:rsid w:val="007F0D3F"/>
    <w:rsid w:val="007F10C6"/>
    <w:rsid w:val="007F171B"/>
    <w:rsid w:val="007F1CD8"/>
    <w:rsid w:val="007F2072"/>
    <w:rsid w:val="007F22E5"/>
    <w:rsid w:val="007F2DC3"/>
    <w:rsid w:val="007F2DC7"/>
    <w:rsid w:val="007F3406"/>
    <w:rsid w:val="007F38F9"/>
    <w:rsid w:val="007F400D"/>
    <w:rsid w:val="007F47E4"/>
    <w:rsid w:val="007F48EE"/>
    <w:rsid w:val="007F4C17"/>
    <w:rsid w:val="007F4C60"/>
    <w:rsid w:val="007F5266"/>
    <w:rsid w:val="007F5537"/>
    <w:rsid w:val="007F55EC"/>
    <w:rsid w:val="007F5661"/>
    <w:rsid w:val="007F58B4"/>
    <w:rsid w:val="007F5A3A"/>
    <w:rsid w:val="007F5D54"/>
    <w:rsid w:val="007F6080"/>
    <w:rsid w:val="007F6089"/>
    <w:rsid w:val="007F60D4"/>
    <w:rsid w:val="007F62F3"/>
    <w:rsid w:val="007F673D"/>
    <w:rsid w:val="007F6928"/>
    <w:rsid w:val="007F69D0"/>
    <w:rsid w:val="007F6BD5"/>
    <w:rsid w:val="007F6CA5"/>
    <w:rsid w:val="007F6F48"/>
    <w:rsid w:val="007F6F94"/>
    <w:rsid w:val="007F7D9D"/>
    <w:rsid w:val="0080049B"/>
    <w:rsid w:val="0080085C"/>
    <w:rsid w:val="0080094F"/>
    <w:rsid w:val="00800B51"/>
    <w:rsid w:val="0080142B"/>
    <w:rsid w:val="0080146C"/>
    <w:rsid w:val="00801838"/>
    <w:rsid w:val="00802182"/>
    <w:rsid w:val="00802659"/>
    <w:rsid w:val="008027CE"/>
    <w:rsid w:val="00802863"/>
    <w:rsid w:val="008029F6"/>
    <w:rsid w:val="00802E76"/>
    <w:rsid w:val="00802F87"/>
    <w:rsid w:val="00802FD7"/>
    <w:rsid w:val="0080398A"/>
    <w:rsid w:val="00803C4D"/>
    <w:rsid w:val="00803F1C"/>
    <w:rsid w:val="00804096"/>
    <w:rsid w:val="008045CE"/>
    <w:rsid w:val="0080533B"/>
    <w:rsid w:val="0080600E"/>
    <w:rsid w:val="0080605F"/>
    <w:rsid w:val="008060E0"/>
    <w:rsid w:val="0080612C"/>
    <w:rsid w:val="0080639F"/>
    <w:rsid w:val="008069C1"/>
    <w:rsid w:val="008069D1"/>
    <w:rsid w:val="00806CE0"/>
    <w:rsid w:val="00806D71"/>
    <w:rsid w:val="00807006"/>
    <w:rsid w:val="00807593"/>
    <w:rsid w:val="008079CC"/>
    <w:rsid w:val="008101FE"/>
    <w:rsid w:val="00810541"/>
    <w:rsid w:val="0081082A"/>
    <w:rsid w:val="00810AC5"/>
    <w:rsid w:val="00810F65"/>
    <w:rsid w:val="00811988"/>
    <w:rsid w:val="00811AF5"/>
    <w:rsid w:val="008124AE"/>
    <w:rsid w:val="00812ACD"/>
    <w:rsid w:val="008140C5"/>
    <w:rsid w:val="0081449E"/>
    <w:rsid w:val="008146EC"/>
    <w:rsid w:val="0081496B"/>
    <w:rsid w:val="00815207"/>
    <w:rsid w:val="00815497"/>
    <w:rsid w:val="00815A24"/>
    <w:rsid w:val="00815AC2"/>
    <w:rsid w:val="00815E08"/>
    <w:rsid w:val="00816074"/>
    <w:rsid w:val="00816112"/>
    <w:rsid w:val="00816A42"/>
    <w:rsid w:val="00816AE5"/>
    <w:rsid w:val="00816ED6"/>
    <w:rsid w:val="00817276"/>
    <w:rsid w:val="00817612"/>
    <w:rsid w:val="00817AA5"/>
    <w:rsid w:val="00817B08"/>
    <w:rsid w:val="00817C55"/>
    <w:rsid w:val="00817E57"/>
    <w:rsid w:val="00820923"/>
    <w:rsid w:val="00821FF7"/>
    <w:rsid w:val="0082233B"/>
    <w:rsid w:val="0082287D"/>
    <w:rsid w:val="00822A49"/>
    <w:rsid w:val="00822FF5"/>
    <w:rsid w:val="0082333F"/>
    <w:rsid w:val="008234BE"/>
    <w:rsid w:val="0082350F"/>
    <w:rsid w:val="008238F3"/>
    <w:rsid w:val="00824A3F"/>
    <w:rsid w:val="008251F3"/>
    <w:rsid w:val="00825364"/>
    <w:rsid w:val="0082558D"/>
    <w:rsid w:val="00825623"/>
    <w:rsid w:val="008258DE"/>
    <w:rsid w:val="00825D2C"/>
    <w:rsid w:val="00825F67"/>
    <w:rsid w:val="00825FF9"/>
    <w:rsid w:val="008266B8"/>
    <w:rsid w:val="00826860"/>
    <w:rsid w:val="00826E6F"/>
    <w:rsid w:val="008271E7"/>
    <w:rsid w:val="00827229"/>
    <w:rsid w:val="00827365"/>
    <w:rsid w:val="00827622"/>
    <w:rsid w:val="00827747"/>
    <w:rsid w:val="0082785F"/>
    <w:rsid w:val="00827DE1"/>
    <w:rsid w:val="00830929"/>
    <w:rsid w:val="008309CD"/>
    <w:rsid w:val="00830C4A"/>
    <w:rsid w:val="00830F17"/>
    <w:rsid w:val="0083146E"/>
    <w:rsid w:val="008314F3"/>
    <w:rsid w:val="00832512"/>
    <w:rsid w:val="00832873"/>
    <w:rsid w:val="00832E7E"/>
    <w:rsid w:val="00833633"/>
    <w:rsid w:val="00833661"/>
    <w:rsid w:val="008336D0"/>
    <w:rsid w:val="008338A4"/>
    <w:rsid w:val="0083395A"/>
    <w:rsid w:val="00833AFB"/>
    <w:rsid w:val="00833D47"/>
    <w:rsid w:val="00833D4C"/>
    <w:rsid w:val="00833D8C"/>
    <w:rsid w:val="00834158"/>
    <w:rsid w:val="00835216"/>
    <w:rsid w:val="00835819"/>
    <w:rsid w:val="0083588E"/>
    <w:rsid w:val="00836060"/>
    <w:rsid w:val="008360DE"/>
    <w:rsid w:val="0083613A"/>
    <w:rsid w:val="0083618D"/>
    <w:rsid w:val="0083654E"/>
    <w:rsid w:val="00836907"/>
    <w:rsid w:val="00837083"/>
    <w:rsid w:val="008375A0"/>
    <w:rsid w:val="00837C45"/>
    <w:rsid w:val="008406B4"/>
    <w:rsid w:val="00840CEB"/>
    <w:rsid w:val="00840E53"/>
    <w:rsid w:val="008417D9"/>
    <w:rsid w:val="008418D2"/>
    <w:rsid w:val="00841986"/>
    <w:rsid w:val="00841B6E"/>
    <w:rsid w:val="00841E8D"/>
    <w:rsid w:val="00842033"/>
    <w:rsid w:val="00842510"/>
    <w:rsid w:val="00842BB7"/>
    <w:rsid w:val="008434BF"/>
    <w:rsid w:val="008436B8"/>
    <w:rsid w:val="00843BA5"/>
    <w:rsid w:val="0084404F"/>
    <w:rsid w:val="0084424C"/>
    <w:rsid w:val="00844730"/>
    <w:rsid w:val="00844798"/>
    <w:rsid w:val="00845447"/>
    <w:rsid w:val="008457C2"/>
    <w:rsid w:val="0084582A"/>
    <w:rsid w:val="00845DC2"/>
    <w:rsid w:val="00845E77"/>
    <w:rsid w:val="00846006"/>
    <w:rsid w:val="0084643A"/>
    <w:rsid w:val="00846555"/>
    <w:rsid w:val="00846DCA"/>
    <w:rsid w:val="00847D04"/>
    <w:rsid w:val="00847D66"/>
    <w:rsid w:val="0085013F"/>
    <w:rsid w:val="008505C6"/>
    <w:rsid w:val="008508B9"/>
    <w:rsid w:val="00850E4D"/>
    <w:rsid w:val="00851112"/>
    <w:rsid w:val="00851376"/>
    <w:rsid w:val="00851BEA"/>
    <w:rsid w:val="008520EB"/>
    <w:rsid w:val="008525A9"/>
    <w:rsid w:val="00852FD0"/>
    <w:rsid w:val="00853530"/>
    <w:rsid w:val="00853988"/>
    <w:rsid w:val="00853B54"/>
    <w:rsid w:val="00853E75"/>
    <w:rsid w:val="00853F9D"/>
    <w:rsid w:val="008540B6"/>
    <w:rsid w:val="008540EE"/>
    <w:rsid w:val="0085423E"/>
    <w:rsid w:val="0085457E"/>
    <w:rsid w:val="008548B0"/>
    <w:rsid w:val="008548E4"/>
    <w:rsid w:val="008550C6"/>
    <w:rsid w:val="00855257"/>
    <w:rsid w:val="0085567C"/>
    <w:rsid w:val="008556CA"/>
    <w:rsid w:val="00855D9C"/>
    <w:rsid w:val="00856075"/>
    <w:rsid w:val="008563A3"/>
    <w:rsid w:val="00857047"/>
    <w:rsid w:val="00857750"/>
    <w:rsid w:val="008579B5"/>
    <w:rsid w:val="00857A82"/>
    <w:rsid w:val="00857D41"/>
    <w:rsid w:val="0086031A"/>
    <w:rsid w:val="008603F2"/>
    <w:rsid w:val="0086075F"/>
    <w:rsid w:val="0086093A"/>
    <w:rsid w:val="00860B5F"/>
    <w:rsid w:val="008611BC"/>
    <w:rsid w:val="00861880"/>
    <w:rsid w:val="008619A1"/>
    <w:rsid w:val="00861D82"/>
    <w:rsid w:val="00862253"/>
    <w:rsid w:val="00862518"/>
    <w:rsid w:val="008627EF"/>
    <w:rsid w:val="008629F3"/>
    <w:rsid w:val="00862A94"/>
    <w:rsid w:val="00862EC5"/>
    <w:rsid w:val="00863057"/>
    <w:rsid w:val="00863802"/>
    <w:rsid w:val="00863ED4"/>
    <w:rsid w:val="0086456A"/>
    <w:rsid w:val="00864D26"/>
    <w:rsid w:val="008656E8"/>
    <w:rsid w:val="0086571B"/>
    <w:rsid w:val="008657F3"/>
    <w:rsid w:val="00865810"/>
    <w:rsid w:val="00865CB9"/>
    <w:rsid w:val="00865D33"/>
    <w:rsid w:val="00865D59"/>
    <w:rsid w:val="00866186"/>
    <w:rsid w:val="008664EC"/>
    <w:rsid w:val="008668F6"/>
    <w:rsid w:val="0086721D"/>
    <w:rsid w:val="00867A6D"/>
    <w:rsid w:val="00867E47"/>
    <w:rsid w:val="00870345"/>
    <w:rsid w:val="0087074B"/>
    <w:rsid w:val="00870984"/>
    <w:rsid w:val="00870A34"/>
    <w:rsid w:val="00870C22"/>
    <w:rsid w:val="008710B2"/>
    <w:rsid w:val="00871537"/>
    <w:rsid w:val="00871ACF"/>
    <w:rsid w:val="00871D0C"/>
    <w:rsid w:val="00871F5C"/>
    <w:rsid w:val="008721DA"/>
    <w:rsid w:val="0087259A"/>
    <w:rsid w:val="00872A19"/>
    <w:rsid w:val="00872A3D"/>
    <w:rsid w:val="00872C7C"/>
    <w:rsid w:val="008737A5"/>
    <w:rsid w:val="00873836"/>
    <w:rsid w:val="00873E0F"/>
    <w:rsid w:val="00873E8E"/>
    <w:rsid w:val="00873F92"/>
    <w:rsid w:val="00874327"/>
    <w:rsid w:val="00874731"/>
    <w:rsid w:val="0087479F"/>
    <w:rsid w:val="00874C92"/>
    <w:rsid w:val="00874DE8"/>
    <w:rsid w:val="0087517E"/>
    <w:rsid w:val="008762FF"/>
    <w:rsid w:val="00876822"/>
    <w:rsid w:val="00876A9F"/>
    <w:rsid w:val="008771AD"/>
    <w:rsid w:val="0087747E"/>
    <w:rsid w:val="00877CD0"/>
    <w:rsid w:val="00880696"/>
    <w:rsid w:val="0088084D"/>
    <w:rsid w:val="00880BC8"/>
    <w:rsid w:val="00881157"/>
    <w:rsid w:val="00881512"/>
    <w:rsid w:val="00881B88"/>
    <w:rsid w:val="00882421"/>
    <w:rsid w:val="0088252D"/>
    <w:rsid w:val="008828EF"/>
    <w:rsid w:val="00882A03"/>
    <w:rsid w:val="008833C1"/>
    <w:rsid w:val="00883532"/>
    <w:rsid w:val="00883628"/>
    <w:rsid w:val="0088368C"/>
    <w:rsid w:val="00884012"/>
    <w:rsid w:val="00884DB2"/>
    <w:rsid w:val="00884E6B"/>
    <w:rsid w:val="00885009"/>
    <w:rsid w:val="00885450"/>
    <w:rsid w:val="00885553"/>
    <w:rsid w:val="00885737"/>
    <w:rsid w:val="00885974"/>
    <w:rsid w:val="00885C06"/>
    <w:rsid w:val="00885CA7"/>
    <w:rsid w:val="00885E54"/>
    <w:rsid w:val="0088679A"/>
    <w:rsid w:val="00886814"/>
    <w:rsid w:val="00886C58"/>
    <w:rsid w:val="0088761F"/>
    <w:rsid w:val="00887BD0"/>
    <w:rsid w:val="00887C19"/>
    <w:rsid w:val="008902F5"/>
    <w:rsid w:val="00890650"/>
    <w:rsid w:val="008909B7"/>
    <w:rsid w:val="00890C56"/>
    <w:rsid w:val="00890D1B"/>
    <w:rsid w:val="00890FA9"/>
    <w:rsid w:val="0089119C"/>
    <w:rsid w:val="008913A3"/>
    <w:rsid w:val="008914B5"/>
    <w:rsid w:val="00891AD0"/>
    <w:rsid w:val="00891F36"/>
    <w:rsid w:val="008920FB"/>
    <w:rsid w:val="00892723"/>
    <w:rsid w:val="008927C7"/>
    <w:rsid w:val="00892A41"/>
    <w:rsid w:val="00892C71"/>
    <w:rsid w:val="0089369B"/>
    <w:rsid w:val="00893713"/>
    <w:rsid w:val="008937CE"/>
    <w:rsid w:val="00893DA3"/>
    <w:rsid w:val="00893DFD"/>
    <w:rsid w:val="00893EF9"/>
    <w:rsid w:val="00894134"/>
    <w:rsid w:val="008943B4"/>
    <w:rsid w:val="00894BAA"/>
    <w:rsid w:val="00894D26"/>
    <w:rsid w:val="00895389"/>
    <w:rsid w:val="00895696"/>
    <w:rsid w:val="00895D38"/>
    <w:rsid w:val="00895FA2"/>
    <w:rsid w:val="00896099"/>
    <w:rsid w:val="008961E1"/>
    <w:rsid w:val="008962C4"/>
    <w:rsid w:val="0089655A"/>
    <w:rsid w:val="00896807"/>
    <w:rsid w:val="00896F65"/>
    <w:rsid w:val="00897145"/>
    <w:rsid w:val="0089759E"/>
    <w:rsid w:val="008978A1"/>
    <w:rsid w:val="00897B40"/>
    <w:rsid w:val="00897C0D"/>
    <w:rsid w:val="00897C86"/>
    <w:rsid w:val="00897E12"/>
    <w:rsid w:val="008A0437"/>
    <w:rsid w:val="008A0EC3"/>
    <w:rsid w:val="008A11C5"/>
    <w:rsid w:val="008A1624"/>
    <w:rsid w:val="008A21D5"/>
    <w:rsid w:val="008A24F6"/>
    <w:rsid w:val="008A2501"/>
    <w:rsid w:val="008A2743"/>
    <w:rsid w:val="008A27CC"/>
    <w:rsid w:val="008A2B89"/>
    <w:rsid w:val="008A2F89"/>
    <w:rsid w:val="008A30E2"/>
    <w:rsid w:val="008A3473"/>
    <w:rsid w:val="008A3A2F"/>
    <w:rsid w:val="008A41EF"/>
    <w:rsid w:val="008A4748"/>
    <w:rsid w:val="008A4985"/>
    <w:rsid w:val="008A49F0"/>
    <w:rsid w:val="008A4B90"/>
    <w:rsid w:val="008A5C86"/>
    <w:rsid w:val="008A5EA2"/>
    <w:rsid w:val="008A633B"/>
    <w:rsid w:val="008A63C6"/>
    <w:rsid w:val="008A68C9"/>
    <w:rsid w:val="008A6B26"/>
    <w:rsid w:val="008A6C80"/>
    <w:rsid w:val="008A71DF"/>
    <w:rsid w:val="008A72C5"/>
    <w:rsid w:val="008A72E6"/>
    <w:rsid w:val="008A75D0"/>
    <w:rsid w:val="008A7685"/>
    <w:rsid w:val="008A7874"/>
    <w:rsid w:val="008A7E0F"/>
    <w:rsid w:val="008B08E2"/>
    <w:rsid w:val="008B0C18"/>
    <w:rsid w:val="008B0C96"/>
    <w:rsid w:val="008B0C9A"/>
    <w:rsid w:val="008B0EF3"/>
    <w:rsid w:val="008B10ED"/>
    <w:rsid w:val="008B12F5"/>
    <w:rsid w:val="008B1402"/>
    <w:rsid w:val="008B192D"/>
    <w:rsid w:val="008B1BBB"/>
    <w:rsid w:val="008B1C8D"/>
    <w:rsid w:val="008B1E57"/>
    <w:rsid w:val="008B20E5"/>
    <w:rsid w:val="008B21E9"/>
    <w:rsid w:val="008B26CE"/>
    <w:rsid w:val="008B2863"/>
    <w:rsid w:val="008B2D49"/>
    <w:rsid w:val="008B31CA"/>
    <w:rsid w:val="008B3941"/>
    <w:rsid w:val="008B3961"/>
    <w:rsid w:val="008B41A1"/>
    <w:rsid w:val="008B426B"/>
    <w:rsid w:val="008B450E"/>
    <w:rsid w:val="008B4CCC"/>
    <w:rsid w:val="008B5010"/>
    <w:rsid w:val="008B5196"/>
    <w:rsid w:val="008B5210"/>
    <w:rsid w:val="008B55C7"/>
    <w:rsid w:val="008B5779"/>
    <w:rsid w:val="008B59E8"/>
    <w:rsid w:val="008B5ACB"/>
    <w:rsid w:val="008B60FC"/>
    <w:rsid w:val="008B6765"/>
    <w:rsid w:val="008B67FB"/>
    <w:rsid w:val="008B67FC"/>
    <w:rsid w:val="008B6888"/>
    <w:rsid w:val="008B6EC0"/>
    <w:rsid w:val="008B744E"/>
    <w:rsid w:val="008B751D"/>
    <w:rsid w:val="008B7540"/>
    <w:rsid w:val="008B793B"/>
    <w:rsid w:val="008B7C48"/>
    <w:rsid w:val="008B7F49"/>
    <w:rsid w:val="008C056E"/>
    <w:rsid w:val="008C0A49"/>
    <w:rsid w:val="008C0C3D"/>
    <w:rsid w:val="008C1A53"/>
    <w:rsid w:val="008C1BB7"/>
    <w:rsid w:val="008C1FE0"/>
    <w:rsid w:val="008C2225"/>
    <w:rsid w:val="008C294B"/>
    <w:rsid w:val="008C2AE9"/>
    <w:rsid w:val="008C3431"/>
    <w:rsid w:val="008C3892"/>
    <w:rsid w:val="008C3C05"/>
    <w:rsid w:val="008C4927"/>
    <w:rsid w:val="008C4928"/>
    <w:rsid w:val="008C5146"/>
    <w:rsid w:val="008C5543"/>
    <w:rsid w:val="008C5B54"/>
    <w:rsid w:val="008C5D8E"/>
    <w:rsid w:val="008C5F85"/>
    <w:rsid w:val="008C6103"/>
    <w:rsid w:val="008C6414"/>
    <w:rsid w:val="008C6661"/>
    <w:rsid w:val="008C6927"/>
    <w:rsid w:val="008C6949"/>
    <w:rsid w:val="008C6D84"/>
    <w:rsid w:val="008C6EAF"/>
    <w:rsid w:val="008C710F"/>
    <w:rsid w:val="008C7310"/>
    <w:rsid w:val="008C74AB"/>
    <w:rsid w:val="008C7DB1"/>
    <w:rsid w:val="008D03CE"/>
    <w:rsid w:val="008D046B"/>
    <w:rsid w:val="008D0EC6"/>
    <w:rsid w:val="008D1157"/>
    <w:rsid w:val="008D1265"/>
    <w:rsid w:val="008D13F5"/>
    <w:rsid w:val="008D15BE"/>
    <w:rsid w:val="008D1A69"/>
    <w:rsid w:val="008D1FC9"/>
    <w:rsid w:val="008D21E0"/>
    <w:rsid w:val="008D21FF"/>
    <w:rsid w:val="008D2A0D"/>
    <w:rsid w:val="008D2A95"/>
    <w:rsid w:val="008D2E8E"/>
    <w:rsid w:val="008D3224"/>
    <w:rsid w:val="008D33B3"/>
    <w:rsid w:val="008D3477"/>
    <w:rsid w:val="008D3AF6"/>
    <w:rsid w:val="008D3E47"/>
    <w:rsid w:val="008D3FA1"/>
    <w:rsid w:val="008D4062"/>
    <w:rsid w:val="008D43AD"/>
    <w:rsid w:val="008D4432"/>
    <w:rsid w:val="008D4727"/>
    <w:rsid w:val="008D4768"/>
    <w:rsid w:val="008D4BA3"/>
    <w:rsid w:val="008D4C94"/>
    <w:rsid w:val="008D5095"/>
    <w:rsid w:val="008D54E7"/>
    <w:rsid w:val="008D6267"/>
    <w:rsid w:val="008D65CF"/>
    <w:rsid w:val="008D68B9"/>
    <w:rsid w:val="008D6B07"/>
    <w:rsid w:val="008D6BC5"/>
    <w:rsid w:val="008E0137"/>
    <w:rsid w:val="008E0444"/>
    <w:rsid w:val="008E075C"/>
    <w:rsid w:val="008E07BC"/>
    <w:rsid w:val="008E0960"/>
    <w:rsid w:val="008E0B0A"/>
    <w:rsid w:val="008E11CA"/>
    <w:rsid w:val="008E1471"/>
    <w:rsid w:val="008E1700"/>
    <w:rsid w:val="008E1764"/>
    <w:rsid w:val="008E1940"/>
    <w:rsid w:val="008E1C42"/>
    <w:rsid w:val="008E20A5"/>
    <w:rsid w:val="008E2248"/>
    <w:rsid w:val="008E25ED"/>
    <w:rsid w:val="008E2A39"/>
    <w:rsid w:val="008E2AA5"/>
    <w:rsid w:val="008E2FC3"/>
    <w:rsid w:val="008E3511"/>
    <w:rsid w:val="008E3759"/>
    <w:rsid w:val="008E3B2C"/>
    <w:rsid w:val="008E3EC0"/>
    <w:rsid w:val="008E4362"/>
    <w:rsid w:val="008E449B"/>
    <w:rsid w:val="008E50F6"/>
    <w:rsid w:val="008E5415"/>
    <w:rsid w:val="008E5A1F"/>
    <w:rsid w:val="008E5F39"/>
    <w:rsid w:val="008E69E2"/>
    <w:rsid w:val="008E6A8E"/>
    <w:rsid w:val="008E6E7A"/>
    <w:rsid w:val="008E6F74"/>
    <w:rsid w:val="008E7255"/>
    <w:rsid w:val="008E75D4"/>
    <w:rsid w:val="008E7E47"/>
    <w:rsid w:val="008F019E"/>
    <w:rsid w:val="008F02C2"/>
    <w:rsid w:val="008F0BA2"/>
    <w:rsid w:val="008F0CBE"/>
    <w:rsid w:val="008F12CF"/>
    <w:rsid w:val="008F1612"/>
    <w:rsid w:val="008F18E7"/>
    <w:rsid w:val="008F1912"/>
    <w:rsid w:val="008F19CD"/>
    <w:rsid w:val="008F1E69"/>
    <w:rsid w:val="008F1F46"/>
    <w:rsid w:val="008F1F8A"/>
    <w:rsid w:val="008F1FF5"/>
    <w:rsid w:val="008F22D6"/>
    <w:rsid w:val="008F2394"/>
    <w:rsid w:val="008F2478"/>
    <w:rsid w:val="008F25BE"/>
    <w:rsid w:val="008F3479"/>
    <w:rsid w:val="008F3526"/>
    <w:rsid w:val="008F3E0A"/>
    <w:rsid w:val="008F425A"/>
    <w:rsid w:val="008F45C9"/>
    <w:rsid w:val="008F4711"/>
    <w:rsid w:val="008F4EFD"/>
    <w:rsid w:val="008F51B9"/>
    <w:rsid w:val="008F5B40"/>
    <w:rsid w:val="008F5E8B"/>
    <w:rsid w:val="008F5FB3"/>
    <w:rsid w:val="008F66DC"/>
    <w:rsid w:val="008F696E"/>
    <w:rsid w:val="008F69CB"/>
    <w:rsid w:val="008F707B"/>
    <w:rsid w:val="008F7553"/>
    <w:rsid w:val="008F7FA4"/>
    <w:rsid w:val="00900920"/>
    <w:rsid w:val="00900A4B"/>
    <w:rsid w:val="00900AF1"/>
    <w:rsid w:val="009016E2"/>
    <w:rsid w:val="00901A4C"/>
    <w:rsid w:val="00901CF8"/>
    <w:rsid w:val="00901ED8"/>
    <w:rsid w:val="009021AC"/>
    <w:rsid w:val="009023CC"/>
    <w:rsid w:val="00902609"/>
    <w:rsid w:val="0090270B"/>
    <w:rsid w:val="00902C7F"/>
    <w:rsid w:val="00902EDB"/>
    <w:rsid w:val="00902F13"/>
    <w:rsid w:val="00902F2B"/>
    <w:rsid w:val="0090300E"/>
    <w:rsid w:val="009032C1"/>
    <w:rsid w:val="00903DD0"/>
    <w:rsid w:val="009041DC"/>
    <w:rsid w:val="009042DB"/>
    <w:rsid w:val="00904343"/>
    <w:rsid w:val="00904BD6"/>
    <w:rsid w:val="00904F36"/>
    <w:rsid w:val="00905478"/>
    <w:rsid w:val="0090550F"/>
    <w:rsid w:val="00905C12"/>
    <w:rsid w:val="0090610F"/>
    <w:rsid w:val="00906DAC"/>
    <w:rsid w:val="00906DB0"/>
    <w:rsid w:val="00906E1D"/>
    <w:rsid w:val="00906E40"/>
    <w:rsid w:val="00907063"/>
    <w:rsid w:val="009072E5"/>
    <w:rsid w:val="009074C8"/>
    <w:rsid w:val="009076E8"/>
    <w:rsid w:val="00907F68"/>
    <w:rsid w:val="00910381"/>
    <w:rsid w:val="009105A9"/>
    <w:rsid w:val="0091063B"/>
    <w:rsid w:val="00910C0B"/>
    <w:rsid w:val="00910D7B"/>
    <w:rsid w:val="009111EC"/>
    <w:rsid w:val="009115E7"/>
    <w:rsid w:val="00911823"/>
    <w:rsid w:val="009119A7"/>
    <w:rsid w:val="00911AD8"/>
    <w:rsid w:val="00911C5A"/>
    <w:rsid w:val="00911DA9"/>
    <w:rsid w:val="0091217C"/>
    <w:rsid w:val="009121A0"/>
    <w:rsid w:val="00912B46"/>
    <w:rsid w:val="00912FB7"/>
    <w:rsid w:val="00913433"/>
    <w:rsid w:val="0091348F"/>
    <w:rsid w:val="009137EA"/>
    <w:rsid w:val="00913D8D"/>
    <w:rsid w:val="0091441A"/>
    <w:rsid w:val="009147F9"/>
    <w:rsid w:val="009148CF"/>
    <w:rsid w:val="00914ADF"/>
    <w:rsid w:val="00914ECD"/>
    <w:rsid w:val="00915037"/>
    <w:rsid w:val="009154A4"/>
    <w:rsid w:val="009155FB"/>
    <w:rsid w:val="0091583A"/>
    <w:rsid w:val="009158F7"/>
    <w:rsid w:val="00915FF9"/>
    <w:rsid w:val="00916086"/>
    <w:rsid w:val="00916621"/>
    <w:rsid w:val="00916739"/>
    <w:rsid w:val="009169CB"/>
    <w:rsid w:val="00916CF1"/>
    <w:rsid w:val="00916E0F"/>
    <w:rsid w:val="0091776F"/>
    <w:rsid w:val="009177D4"/>
    <w:rsid w:val="009179E9"/>
    <w:rsid w:val="0092041F"/>
    <w:rsid w:val="009206C5"/>
    <w:rsid w:val="00920889"/>
    <w:rsid w:val="00920930"/>
    <w:rsid w:val="009209D4"/>
    <w:rsid w:val="00920A58"/>
    <w:rsid w:val="00920A8C"/>
    <w:rsid w:val="00920AB3"/>
    <w:rsid w:val="00920C3E"/>
    <w:rsid w:val="00921832"/>
    <w:rsid w:val="009219E0"/>
    <w:rsid w:val="00921AB4"/>
    <w:rsid w:val="00921F39"/>
    <w:rsid w:val="00921F55"/>
    <w:rsid w:val="00922964"/>
    <w:rsid w:val="00922D48"/>
    <w:rsid w:val="00922FC4"/>
    <w:rsid w:val="009238E7"/>
    <w:rsid w:val="00924764"/>
    <w:rsid w:val="00924C64"/>
    <w:rsid w:val="00925297"/>
    <w:rsid w:val="00925367"/>
    <w:rsid w:val="00925A19"/>
    <w:rsid w:val="00926755"/>
    <w:rsid w:val="00926943"/>
    <w:rsid w:val="00926AA0"/>
    <w:rsid w:val="00926BAE"/>
    <w:rsid w:val="00926D4F"/>
    <w:rsid w:val="00927033"/>
    <w:rsid w:val="009271A8"/>
    <w:rsid w:val="00927354"/>
    <w:rsid w:val="009275F3"/>
    <w:rsid w:val="00927926"/>
    <w:rsid w:val="00927D83"/>
    <w:rsid w:val="00927ED8"/>
    <w:rsid w:val="00930C72"/>
    <w:rsid w:val="00930F4D"/>
    <w:rsid w:val="0093120D"/>
    <w:rsid w:val="009316D4"/>
    <w:rsid w:val="00931D6C"/>
    <w:rsid w:val="00931E9D"/>
    <w:rsid w:val="00932C5D"/>
    <w:rsid w:val="0093313B"/>
    <w:rsid w:val="00933700"/>
    <w:rsid w:val="00933810"/>
    <w:rsid w:val="00933DAD"/>
    <w:rsid w:val="00933EE9"/>
    <w:rsid w:val="00933FCE"/>
    <w:rsid w:val="00934070"/>
    <w:rsid w:val="009345D6"/>
    <w:rsid w:val="00934959"/>
    <w:rsid w:val="009349BE"/>
    <w:rsid w:val="00934A2C"/>
    <w:rsid w:val="00934B4C"/>
    <w:rsid w:val="00934CFF"/>
    <w:rsid w:val="00934DFB"/>
    <w:rsid w:val="00935013"/>
    <w:rsid w:val="0093501B"/>
    <w:rsid w:val="009355D3"/>
    <w:rsid w:val="00935A2B"/>
    <w:rsid w:val="009366E0"/>
    <w:rsid w:val="0093685A"/>
    <w:rsid w:val="00936B61"/>
    <w:rsid w:val="00937BCD"/>
    <w:rsid w:val="00940AFA"/>
    <w:rsid w:val="00940DF6"/>
    <w:rsid w:val="009411A4"/>
    <w:rsid w:val="0094120E"/>
    <w:rsid w:val="009413D3"/>
    <w:rsid w:val="00941659"/>
    <w:rsid w:val="00941EBA"/>
    <w:rsid w:val="009421C7"/>
    <w:rsid w:val="009424DA"/>
    <w:rsid w:val="0094275B"/>
    <w:rsid w:val="009429BC"/>
    <w:rsid w:val="00942AFA"/>
    <w:rsid w:val="00942C1C"/>
    <w:rsid w:val="00942EC2"/>
    <w:rsid w:val="00943552"/>
    <w:rsid w:val="0094444C"/>
    <w:rsid w:val="0094464C"/>
    <w:rsid w:val="00944C59"/>
    <w:rsid w:val="00944F05"/>
    <w:rsid w:val="00944FCF"/>
    <w:rsid w:val="0094547C"/>
    <w:rsid w:val="009459EF"/>
    <w:rsid w:val="00945A76"/>
    <w:rsid w:val="00945C70"/>
    <w:rsid w:val="00945C77"/>
    <w:rsid w:val="00945DD3"/>
    <w:rsid w:val="009463B5"/>
    <w:rsid w:val="0094696E"/>
    <w:rsid w:val="00946B9A"/>
    <w:rsid w:val="00946E81"/>
    <w:rsid w:val="00946EFD"/>
    <w:rsid w:val="009470BC"/>
    <w:rsid w:val="00947A70"/>
    <w:rsid w:val="00947E15"/>
    <w:rsid w:val="009500D7"/>
    <w:rsid w:val="009502A2"/>
    <w:rsid w:val="009503D9"/>
    <w:rsid w:val="009507D3"/>
    <w:rsid w:val="009508AA"/>
    <w:rsid w:val="00950B7F"/>
    <w:rsid w:val="00950E0E"/>
    <w:rsid w:val="00950EFE"/>
    <w:rsid w:val="00951933"/>
    <w:rsid w:val="00951957"/>
    <w:rsid w:val="00951A26"/>
    <w:rsid w:val="00951AE2"/>
    <w:rsid w:val="00951E65"/>
    <w:rsid w:val="00952062"/>
    <w:rsid w:val="009520EF"/>
    <w:rsid w:val="0095229E"/>
    <w:rsid w:val="0095245A"/>
    <w:rsid w:val="00952502"/>
    <w:rsid w:val="0095257D"/>
    <w:rsid w:val="009527F8"/>
    <w:rsid w:val="009529DA"/>
    <w:rsid w:val="00952AE7"/>
    <w:rsid w:val="00952EDD"/>
    <w:rsid w:val="00952FD1"/>
    <w:rsid w:val="00953A76"/>
    <w:rsid w:val="0095411D"/>
    <w:rsid w:val="009546E1"/>
    <w:rsid w:val="00954991"/>
    <w:rsid w:val="00954BD6"/>
    <w:rsid w:val="00954C30"/>
    <w:rsid w:val="00954DFF"/>
    <w:rsid w:val="009552C9"/>
    <w:rsid w:val="009556DC"/>
    <w:rsid w:val="00955960"/>
    <w:rsid w:val="00955AA1"/>
    <w:rsid w:val="009567A7"/>
    <w:rsid w:val="00956842"/>
    <w:rsid w:val="0095700E"/>
    <w:rsid w:val="00957AEE"/>
    <w:rsid w:val="00957B4A"/>
    <w:rsid w:val="00957E2C"/>
    <w:rsid w:val="00957F02"/>
    <w:rsid w:val="00960AF4"/>
    <w:rsid w:val="009610C2"/>
    <w:rsid w:val="00961148"/>
    <w:rsid w:val="00961AAB"/>
    <w:rsid w:val="00961AE8"/>
    <w:rsid w:val="0096203E"/>
    <w:rsid w:val="00962A16"/>
    <w:rsid w:val="009633F4"/>
    <w:rsid w:val="0096395A"/>
    <w:rsid w:val="00964B9F"/>
    <w:rsid w:val="00964BBE"/>
    <w:rsid w:val="00964E61"/>
    <w:rsid w:val="00964FF0"/>
    <w:rsid w:val="00965364"/>
    <w:rsid w:val="00965692"/>
    <w:rsid w:val="00965FF1"/>
    <w:rsid w:val="009661AF"/>
    <w:rsid w:val="0096646F"/>
    <w:rsid w:val="00966665"/>
    <w:rsid w:val="009666D9"/>
    <w:rsid w:val="00966BE2"/>
    <w:rsid w:val="00967024"/>
    <w:rsid w:val="00967045"/>
    <w:rsid w:val="0096706E"/>
    <w:rsid w:val="009672CB"/>
    <w:rsid w:val="009673BF"/>
    <w:rsid w:val="00967CBF"/>
    <w:rsid w:val="00967DAD"/>
    <w:rsid w:val="009707C9"/>
    <w:rsid w:val="00970B97"/>
    <w:rsid w:val="009712C6"/>
    <w:rsid w:val="00971902"/>
    <w:rsid w:val="009719FA"/>
    <w:rsid w:val="00971ADF"/>
    <w:rsid w:val="00972061"/>
    <w:rsid w:val="00972540"/>
    <w:rsid w:val="00972CBA"/>
    <w:rsid w:val="00972DE0"/>
    <w:rsid w:val="00972E9F"/>
    <w:rsid w:val="00973118"/>
    <w:rsid w:val="009736A2"/>
    <w:rsid w:val="00973E7C"/>
    <w:rsid w:val="00974482"/>
    <w:rsid w:val="00974685"/>
    <w:rsid w:val="00974C38"/>
    <w:rsid w:val="00974EC9"/>
    <w:rsid w:val="0097544B"/>
    <w:rsid w:val="00975A4E"/>
    <w:rsid w:val="00975C4E"/>
    <w:rsid w:val="00975D3B"/>
    <w:rsid w:val="00975E4C"/>
    <w:rsid w:val="00975F13"/>
    <w:rsid w:val="00976577"/>
    <w:rsid w:val="00976591"/>
    <w:rsid w:val="00976633"/>
    <w:rsid w:val="00976CBA"/>
    <w:rsid w:val="00976CCE"/>
    <w:rsid w:val="009772CA"/>
    <w:rsid w:val="0097742E"/>
    <w:rsid w:val="00977AE2"/>
    <w:rsid w:val="00977B1C"/>
    <w:rsid w:val="00977F70"/>
    <w:rsid w:val="0098007D"/>
    <w:rsid w:val="00980B7F"/>
    <w:rsid w:val="00980E04"/>
    <w:rsid w:val="00980EDD"/>
    <w:rsid w:val="00981174"/>
    <w:rsid w:val="00981A32"/>
    <w:rsid w:val="00981E2F"/>
    <w:rsid w:val="00981FBA"/>
    <w:rsid w:val="009821A0"/>
    <w:rsid w:val="0098225D"/>
    <w:rsid w:val="009827F4"/>
    <w:rsid w:val="00982A48"/>
    <w:rsid w:val="00982BBB"/>
    <w:rsid w:val="00982C0F"/>
    <w:rsid w:val="00982DA4"/>
    <w:rsid w:val="00983EFD"/>
    <w:rsid w:val="00984198"/>
    <w:rsid w:val="00984E1B"/>
    <w:rsid w:val="00985199"/>
    <w:rsid w:val="009851CF"/>
    <w:rsid w:val="009853D7"/>
    <w:rsid w:val="00985B24"/>
    <w:rsid w:val="00985C1C"/>
    <w:rsid w:val="00985D12"/>
    <w:rsid w:val="00986095"/>
    <w:rsid w:val="00986489"/>
    <w:rsid w:val="009865B3"/>
    <w:rsid w:val="009867A2"/>
    <w:rsid w:val="00986E88"/>
    <w:rsid w:val="00987846"/>
    <w:rsid w:val="00987D95"/>
    <w:rsid w:val="00987F72"/>
    <w:rsid w:val="009901A9"/>
    <w:rsid w:val="0099057A"/>
    <w:rsid w:val="009907F7"/>
    <w:rsid w:val="00990CE5"/>
    <w:rsid w:val="00991017"/>
    <w:rsid w:val="0099106A"/>
    <w:rsid w:val="009910E7"/>
    <w:rsid w:val="00991613"/>
    <w:rsid w:val="00991BFF"/>
    <w:rsid w:val="00991CC6"/>
    <w:rsid w:val="00991DED"/>
    <w:rsid w:val="00991EC9"/>
    <w:rsid w:val="00992087"/>
    <w:rsid w:val="009922A2"/>
    <w:rsid w:val="009923C4"/>
    <w:rsid w:val="00992497"/>
    <w:rsid w:val="009927B2"/>
    <w:rsid w:val="00992F83"/>
    <w:rsid w:val="0099354C"/>
    <w:rsid w:val="00993574"/>
    <w:rsid w:val="009937D9"/>
    <w:rsid w:val="00993864"/>
    <w:rsid w:val="00993A51"/>
    <w:rsid w:val="0099465A"/>
    <w:rsid w:val="00995022"/>
    <w:rsid w:val="009957F8"/>
    <w:rsid w:val="00995985"/>
    <w:rsid w:val="009959A1"/>
    <w:rsid w:val="009959C9"/>
    <w:rsid w:val="00995B97"/>
    <w:rsid w:val="0099633B"/>
    <w:rsid w:val="00996486"/>
    <w:rsid w:val="00997BC5"/>
    <w:rsid w:val="00997F87"/>
    <w:rsid w:val="00997FDB"/>
    <w:rsid w:val="009A0323"/>
    <w:rsid w:val="009A03A9"/>
    <w:rsid w:val="009A092B"/>
    <w:rsid w:val="009A0E6B"/>
    <w:rsid w:val="009A1ABF"/>
    <w:rsid w:val="009A1B4C"/>
    <w:rsid w:val="009A1C21"/>
    <w:rsid w:val="009A22C5"/>
    <w:rsid w:val="009A2539"/>
    <w:rsid w:val="009A25F6"/>
    <w:rsid w:val="009A2F27"/>
    <w:rsid w:val="009A30F6"/>
    <w:rsid w:val="009A328C"/>
    <w:rsid w:val="009A3DB8"/>
    <w:rsid w:val="009A4040"/>
    <w:rsid w:val="009A4AD3"/>
    <w:rsid w:val="009A4AE5"/>
    <w:rsid w:val="009A4B37"/>
    <w:rsid w:val="009A4EC8"/>
    <w:rsid w:val="009A4F41"/>
    <w:rsid w:val="009A5295"/>
    <w:rsid w:val="009A56F1"/>
    <w:rsid w:val="009A585B"/>
    <w:rsid w:val="009A607F"/>
    <w:rsid w:val="009A6186"/>
    <w:rsid w:val="009A640E"/>
    <w:rsid w:val="009A6866"/>
    <w:rsid w:val="009A69A0"/>
    <w:rsid w:val="009A6DA6"/>
    <w:rsid w:val="009A738A"/>
    <w:rsid w:val="009A7A66"/>
    <w:rsid w:val="009A7DF4"/>
    <w:rsid w:val="009B01B2"/>
    <w:rsid w:val="009B02F7"/>
    <w:rsid w:val="009B046F"/>
    <w:rsid w:val="009B08BE"/>
    <w:rsid w:val="009B0CD6"/>
    <w:rsid w:val="009B120B"/>
    <w:rsid w:val="009B13D5"/>
    <w:rsid w:val="009B1688"/>
    <w:rsid w:val="009B1B24"/>
    <w:rsid w:val="009B2454"/>
    <w:rsid w:val="009B2623"/>
    <w:rsid w:val="009B2830"/>
    <w:rsid w:val="009B2F5C"/>
    <w:rsid w:val="009B3386"/>
    <w:rsid w:val="009B342D"/>
    <w:rsid w:val="009B34FA"/>
    <w:rsid w:val="009B3595"/>
    <w:rsid w:val="009B381A"/>
    <w:rsid w:val="009B381B"/>
    <w:rsid w:val="009B3B35"/>
    <w:rsid w:val="009B4027"/>
    <w:rsid w:val="009B4685"/>
    <w:rsid w:val="009B4994"/>
    <w:rsid w:val="009B4CA0"/>
    <w:rsid w:val="009B4FD7"/>
    <w:rsid w:val="009B50A1"/>
    <w:rsid w:val="009B52CE"/>
    <w:rsid w:val="009B53F0"/>
    <w:rsid w:val="009B5EF1"/>
    <w:rsid w:val="009B6281"/>
    <w:rsid w:val="009B62CA"/>
    <w:rsid w:val="009B6461"/>
    <w:rsid w:val="009B64BA"/>
    <w:rsid w:val="009B6585"/>
    <w:rsid w:val="009B6919"/>
    <w:rsid w:val="009B69E8"/>
    <w:rsid w:val="009B7119"/>
    <w:rsid w:val="009B7333"/>
    <w:rsid w:val="009B7C38"/>
    <w:rsid w:val="009B7C50"/>
    <w:rsid w:val="009B7D05"/>
    <w:rsid w:val="009C04E8"/>
    <w:rsid w:val="009C0618"/>
    <w:rsid w:val="009C0B42"/>
    <w:rsid w:val="009C0C08"/>
    <w:rsid w:val="009C0C46"/>
    <w:rsid w:val="009C121B"/>
    <w:rsid w:val="009C1664"/>
    <w:rsid w:val="009C176D"/>
    <w:rsid w:val="009C1890"/>
    <w:rsid w:val="009C1C1B"/>
    <w:rsid w:val="009C23B6"/>
    <w:rsid w:val="009C244A"/>
    <w:rsid w:val="009C2D00"/>
    <w:rsid w:val="009C3825"/>
    <w:rsid w:val="009C3942"/>
    <w:rsid w:val="009C3BA8"/>
    <w:rsid w:val="009C3C4B"/>
    <w:rsid w:val="009C3CC1"/>
    <w:rsid w:val="009C3D12"/>
    <w:rsid w:val="009C3D85"/>
    <w:rsid w:val="009C44EC"/>
    <w:rsid w:val="009C475A"/>
    <w:rsid w:val="009C48CD"/>
    <w:rsid w:val="009C4C5F"/>
    <w:rsid w:val="009C545F"/>
    <w:rsid w:val="009C54CA"/>
    <w:rsid w:val="009C600C"/>
    <w:rsid w:val="009C6760"/>
    <w:rsid w:val="009C6A0D"/>
    <w:rsid w:val="009C6D3D"/>
    <w:rsid w:val="009C6F5F"/>
    <w:rsid w:val="009C74A3"/>
    <w:rsid w:val="009C777D"/>
    <w:rsid w:val="009C7839"/>
    <w:rsid w:val="009C7AEB"/>
    <w:rsid w:val="009C7BAA"/>
    <w:rsid w:val="009C7D64"/>
    <w:rsid w:val="009C7DDF"/>
    <w:rsid w:val="009C7EA2"/>
    <w:rsid w:val="009C7F63"/>
    <w:rsid w:val="009D084E"/>
    <w:rsid w:val="009D1822"/>
    <w:rsid w:val="009D1A08"/>
    <w:rsid w:val="009D21A7"/>
    <w:rsid w:val="009D230B"/>
    <w:rsid w:val="009D2696"/>
    <w:rsid w:val="009D2C89"/>
    <w:rsid w:val="009D2ECA"/>
    <w:rsid w:val="009D33B2"/>
    <w:rsid w:val="009D383D"/>
    <w:rsid w:val="009D38F5"/>
    <w:rsid w:val="009D3A41"/>
    <w:rsid w:val="009D3EF3"/>
    <w:rsid w:val="009D40A8"/>
    <w:rsid w:val="009D4238"/>
    <w:rsid w:val="009D42E6"/>
    <w:rsid w:val="009D5933"/>
    <w:rsid w:val="009D595A"/>
    <w:rsid w:val="009D5B30"/>
    <w:rsid w:val="009D5F93"/>
    <w:rsid w:val="009D6B77"/>
    <w:rsid w:val="009D6D42"/>
    <w:rsid w:val="009D6E78"/>
    <w:rsid w:val="009D7044"/>
    <w:rsid w:val="009D74D7"/>
    <w:rsid w:val="009D7611"/>
    <w:rsid w:val="009E038C"/>
    <w:rsid w:val="009E0561"/>
    <w:rsid w:val="009E0B61"/>
    <w:rsid w:val="009E0B84"/>
    <w:rsid w:val="009E12CB"/>
    <w:rsid w:val="009E13FC"/>
    <w:rsid w:val="009E1BAF"/>
    <w:rsid w:val="009E21ED"/>
    <w:rsid w:val="009E29E2"/>
    <w:rsid w:val="009E3012"/>
    <w:rsid w:val="009E45CB"/>
    <w:rsid w:val="009E48AB"/>
    <w:rsid w:val="009E4975"/>
    <w:rsid w:val="009E4E45"/>
    <w:rsid w:val="009E4E91"/>
    <w:rsid w:val="009E50CA"/>
    <w:rsid w:val="009E53DE"/>
    <w:rsid w:val="009E5525"/>
    <w:rsid w:val="009E5577"/>
    <w:rsid w:val="009E55C9"/>
    <w:rsid w:val="009E58B4"/>
    <w:rsid w:val="009E5B14"/>
    <w:rsid w:val="009E5DD1"/>
    <w:rsid w:val="009E5FE1"/>
    <w:rsid w:val="009E6362"/>
    <w:rsid w:val="009E63A1"/>
    <w:rsid w:val="009E65B1"/>
    <w:rsid w:val="009E6937"/>
    <w:rsid w:val="009E695C"/>
    <w:rsid w:val="009E6C3E"/>
    <w:rsid w:val="009E6CC1"/>
    <w:rsid w:val="009E79F2"/>
    <w:rsid w:val="009E7C0B"/>
    <w:rsid w:val="009E7E3B"/>
    <w:rsid w:val="009F0011"/>
    <w:rsid w:val="009F0505"/>
    <w:rsid w:val="009F0DD7"/>
    <w:rsid w:val="009F0ED2"/>
    <w:rsid w:val="009F0F1C"/>
    <w:rsid w:val="009F0F41"/>
    <w:rsid w:val="009F1026"/>
    <w:rsid w:val="009F156C"/>
    <w:rsid w:val="009F19B5"/>
    <w:rsid w:val="009F1D4D"/>
    <w:rsid w:val="009F20B4"/>
    <w:rsid w:val="009F2AF7"/>
    <w:rsid w:val="009F2C05"/>
    <w:rsid w:val="009F2EF7"/>
    <w:rsid w:val="009F32C6"/>
    <w:rsid w:val="009F33BF"/>
    <w:rsid w:val="009F3CAF"/>
    <w:rsid w:val="009F40AE"/>
    <w:rsid w:val="009F4735"/>
    <w:rsid w:val="009F4EFC"/>
    <w:rsid w:val="009F50F4"/>
    <w:rsid w:val="009F51B6"/>
    <w:rsid w:val="009F5402"/>
    <w:rsid w:val="009F54CB"/>
    <w:rsid w:val="009F6313"/>
    <w:rsid w:val="009F6409"/>
    <w:rsid w:val="009F6745"/>
    <w:rsid w:val="009F6C1A"/>
    <w:rsid w:val="009F6CD8"/>
    <w:rsid w:val="009F72BB"/>
    <w:rsid w:val="009F7549"/>
    <w:rsid w:val="009F7C21"/>
    <w:rsid w:val="00A00055"/>
    <w:rsid w:val="00A00BFD"/>
    <w:rsid w:val="00A0131C"/>
    <w:rsid w:val="00A01C60"/>
    <w:rsid w:val="00A01D16"/>
    <w:rsid w:val="00A01E78"/>
    <w:rsid w:val="00A025AC"/>
    <w:rsid w:val="00A027FA"/>
    <w:rsid w:val="00A03051"/>
    <w:rsid w:val="00A03143"/>
    <w:rsid w:val="00A0334E"/>
    <w:rsid w:val="00A033C9"/>
    <w:rsid w:val="00A033DA"/>
    <w:rsid w:val="00A03B41"/>
    <w:rsid w:val="00A04AF7"/>
    <w:rsid w:val="00A052AC"/>
    <w:rsid w:val="00A05477"/>
    <w:rsid w:val="00A05AC1"/>
    <w:rsid w:val="00A05DBE"/>
    <w:rsid w:val="00A0623D"/>
    <w:rsid w:val="00A06B0A"/>
    <w:rsid w:val="00A06E28"/>
    <w:rsid w:val="00A070F3"/>
    <w:rsid w:val="00A0711D"/>
    <w:rsid w:val="00A072D4"/>
    <w:rsid w:val="00A07AF5"/>
    <w:rsid w:val="00A07C4A"/>
    <w:rsid w:val="00A07E5F"/>
    <w:rsid w:val="00A07FF1"/>
    <w:rsid w:val="00A104DF"/>
    <w:rsid w:val="00A1073E"/>
    <w:rsid w:val="00A10A00"/>
    <w:rsid w:val="00A10BE2"/>
    <w:rsid w:val="00A10E6B"/>
    <w:rsid w:val="00A1140C"/>
    <w:rsid w:val="00A1170C"/>
    <w:rsid w:val="00A11ADA"/>
    <w:rsid w:val="00A11AE1"/>
    <w:rsid w:val="00A11E23"/>
    <w:rsid w:val="00A11F33"/>
    <w:rsid w:val="00A12867"/>
    <w:rsid w:val="00A129F4"/>
    <w:rsid w:val="00A12F23"/>
    <w:rsid w:val="00A1346B"/>
    <w:rsid w:val="00A13596"/>
    <w:rsid w:val="00A13654"/>
    <w:rsid w:val="00A13976"/>
    <w:rsid w:val="00A139B1"/>
    <w:rsid w:val="00A13D36"/>
    <w:rsid w:val="00A142DA"/>
    <w:rsid w:val="00A14B3D"/>
    <w:rsid w:val="00A15531"/>
    <w:rsid w:val="00A15BCA"/>
    <w:rsid w:val="00A160DA"/>
    <w:rsid w:val="00A16B1B"/>
    <w:rsid w:val="00A16D37"/>
    <w:rsid w:val="00A17003"/>
    <w:rsid w:val="00A17685"/>
    <w:rsid w:val="00A178DD"/>
    <w:rsid w:val="00A20048"/>
    <w:rsid w:val="00A20353"/>
    <w:rsid w:val="00A20460"/>
    <w:rsid w:val="00A20DBC"/>
    <w:rsid w:val="00A211D2"/>
    <w:rsid w:val="00A219A8"/>
    <w:rsid w:val="00A21A95"/>
    <w:rsid w:val="00A21B9A"/>
    <w:rsid w:val="00A21C54"/>
    <w:rsid w:val="00A22014"/>
    <w:rsid w:val="00A2220D"/>
    <w:rsid w:val="00A22973"/>
    <w:rsid w:val="00A23138"/>
    <w:rsid w:val="00A231BB"/>
    <w:rsid w:val="00A231C0"/>
    <w:rsid w:val="00A236D6"/>
    <w:rsid w:val="00A2380B"/>
    <w:rsid w:val="00A23D7A"/>
    <w:rsid w:val="00A24801"/>
    <w:rsid w:val="00A24E67"/>
    <w:rsid w:val="00A25072"/>
    <w:rsid w:val="00A2510D"/>
    <w:rsid w:val="00A2546A"/>
    <w:rsid w:val="00A2556A"/>
    <w:rsid w:val="00A25621"/>
    <w:rsid w:val="00A25E38"/>
    <w:rsid w:val="00A26681"/>
    <w:rsid w:val="00A26E51"/>
    <w:rsid w:val="00A26F8A"/>
    <w:rsid w:val="00A2742D"/>
    <w:rsid w:val="00A27D5F"/>
    <w:rsid w:val="00A27E84"/>
    <w:rsid w:val="00A3090A"/>
    <w:rsid w:val="00A30A66"/>
    <w:rsid w:val="00A30AE5"/>
    <w:rsid w:val="00A30CA1"/>
    <w:rsid w:val="00A30DA9"/>
    <w:rsid w:val="00A31632"/>
    <w:rsid w:val="00A318BC"/>
    <w:rsid w:val="00A31A08"/>
    <w:rsid w:val="00A31F7F"/>
    <w:rsid w:val="00A3207B"/>
    <w:rsid w:val="00A322CA"/>
    <w:rsid w:val="00A3230B"/>
    <w:rsid w:val="00A328B3"/>
    <w:rsid w:val="00A32F4A"/>
    <w:rsid w:val="00A33729"/>
    <w:rsid w:val="00A33976"/>
    <w:rsid w:val="00A339A3"/>
    <w:rsid w:val="00A33F2C"/>
    <w:rsid w:val="00A33F57"/>
    <w:rsid w:val="00A33F6A"/>
    <w:rsid w:val="00A344B3"/>
    <w:rsid w:val="00A34625"/>
    <w:rsid w:val="00A34A7E"/>
    <w:rsid w:val="00A34FA1"/>
    <w:rsid w:val="00A357AB"/>
    <w:rsid w:val="00A357FF"/>
    <w:rsid w:val="00A35CBB"/>
    <w:rsid w:val="00A3607C"/>
    <w:rsid w:val="00A36098"/>
    <w:rsid w:val="00A36165"/>
    <w:rsid w:val="00A36B39"/>
    <w:rsid w:val="00A36B9D"/>
    <w:rsid w:val="00A36D42"/>
    <w:rsid w:val="00A379F0"/>
    <w:rsid w:val="00A379F5"/>
    <w:rsid w:val="00A37B16"/>
    <w:rsid w:val="00A37FE6"/>
    <w:rsid w:val="00A405E8"/>
    <w:rsid w:val="00A40EE9"/>
    <w:rsid w:val="00A411BD"/>
    <w:rsid w:val="00A41213"/>
    <w:rsid w:val="00A41959"/>
    <w:rsid w:val="00A41C72"/>
    <w:rsid w:val="00A424EE"/>
    <w:rsid w:val="00A426BF"/>
    <w:rsid w:val="00A427A2"/>
    <w:rsid w:val="00A42CF6"/>
    <w:rsid w:val="00A42D88"/>
    <w:rsid w:val="00A42DB5"/>
    <w:rsid w:val="00A430F9"/>
    <w:rsid w:val="00A43282"/>
    <w:rsid w:val="00A43286"/>
    <w:rsid w:val="00A436CF"/>
    <w:rsid w:val="00A43843"/>
    <w:rsid w:val="00A43D5D"/>
    <w:rsid w:val="00A43ED6"/>
    <w:rsid w:val="00A44165"/>
    <w:rsid w:val="00A443E5"/>
    <w:rsid w:val="00A4449E"/>
    <w:rsid w:val="00A449A2"/>
    <w:rsid w:val="00A4583D"/>
    <w:rsid w:val="00A458BB"/>
    <w:rsid w:val="00A45C15"/>
    <w:rsid w:val="00A45D58"/>
    <w:rsid w:val="00A46904"/>
    <w:rsid w:val="00A46981"/>
    <w:rsid w:val="00A4699E"/>
    <w:rsid w:val="00A46BA2"/>
    <w:rsid w:val="00A46D04"/>
    <w:rsid w:val="00A46FDF"/>
    <w:rsid w:val="00A4737C"/>
    <w:rsid w:val="00A477D3"/>
    <w:rsid w:val="00A47911"/>
    <w:rsid w:val="00A47C5B"/>
    <w:rsid w:val="00A503DE"/>
    <w:rsid w:val="00A508E5"/>
    <w:rsid w:val="00A509E2"/>
    <w:rsid w:val="00A50A63"/>
    <w:rsid w:val="00A50B61"/>
    <w:rsid w:val="00A50B7B"/>
    <w:rsid w:val="00A50D2D"/>
    <w:rsid w:val="00A50F2F"/>
    <w:rsid w:val="00A50FCF"/>
    <w:rsid w:val="00A51036"/>
    <w:rsid w:val="00A512A5"/>
    <w:rsid w:val="00A51744"/>
    <w:rsid w:val="00A523E7"/>
    <w:rsid w:val="00A528D1"/>
    <w:rsid w:val="00A52A4A"/>
    <w:rsid w:val="00A52D34"/>
    <w:rsid w:val="00A5335B"/>
    <w:rsid w:val="00A5337B"/>
    <w:rsid w:val="00A53982"/>
    <w:rsid w:val="00A53D16"/>
    <w:rsid w:val="00A53FBB"/>
    <w:rsid w:val="00A54597"/>
    <w:rsid w:val="00A54AB9"/>
    <w:rsid w:val="00A550B7"/>
    <w:rsid w:val="00A5518A"/>
    <w:rsid w:val="00A551AD"/>
    <w:rsid w:val="00A55219"/>
    <w:rsid w:val="00A55B8D"/>
    <w:rsid w:val="00A55C7B"/>
    <w:rsid w:val="00A55D0D"/>
    <w:rsid w:val="00A55EEF"/>
    <w:rsid w:val="00A56D5A"/>
    <w:rsid w:val="00A57053"/>
    <w:rsid w:val="00A57074"/>
    <w:rsid w:val="00A57F82"/>
    <w:rsid w:val="00A60593"/>
    <w:rsid w:val="00A60715"/>
    <w:rsid w:val="00A609A4"/>
    <w:rsid w:val="00A60DF4"/>
    <w:rsid w:val="00A610CD"/>
    <w:rsid w:val="00A61F90"/>
    <w:rsid w:val="00A62094"/>
    <w:rsid w:val="00A6209A"/>
    <w:rsid w:val="00A621B5"/>
    <w:rsid w:val="00A62487"/>
    <w:rsid w:val="00A62B85"/>
    <w:rsid w:val="00A62CF1"/>
    <w:rsid w:val="00A63437"/>
    <w:rsid w:val="00A635E2"/>
    <w:rsid w:val="00A637C7"/>
    <w:rsid w:val="00A640EF"/>
    <w:rsid w:val="00A64234"/>
    <w:rsid w:val="00A64A93"/>
    <w:rsid w:val="00A65066"/>
    <w:rsid w:val="00A65569"/>
    <w:rsid w:val="00A65638"/>
    <w:rsid w:val="00A658E1"/>
    <w:rsid w:val="00A65AC3"/>
    <w:rsid w:val="00A66363"/>
    <w:rsid w:val="00A666C4"/>
    <w:rsid w:val="00A66C62"/>
    <w:rsid w:val="00A66F3A"/>
    <w:rsid w:val="00A67020"/>
    <w:rsid w:val="00A671A3"/>
    <w:rsid w:val="00A67360"/>
    <w:rsid w:val="00A678CE"/>
    <w:rsid w:val="00A67FD8"/>
    <w:rsid w:val="00A7011A"/>
    <w:rsid w:val="00A706D2"/>
    <w:rsid w:val="00A7105A"/>
    <w:rsid w:val="00A7190E"/>
    <w:rsid w:val="00A71B59"/>
    <w:rsid w:val="00A72174"/>
    <w:rsid w:val="00A7230A"/>
    <w:rsid w:val="00A72957"/>
    <w:rsid w:val="00A72EDD"/>
    <w:rsid w:val="00A731BF"/>
    <w:rsid w:val="00A73892"/>
    <w:rsid w:val="00A73B2E"/>
    <w:rsid w:val="00A73B7E"/>
    <w:rsid w:val="00A7401D"/>
    <w:rsid w:val="00A7407B"/>
    <w:rsid w:val="00A7408E"/>
    <w:rsid w:val="00A740B9"/>
    <w:rsid w:val="00A74A27"/>
    <w:rsid w:val="00A757DB"/>
    <w:rsid w:val="00A757F2"/>
    <w:rsid w:val="00A75A9C"/>
    <w:rsid w:val="00A75B29"/>
    <w:rsid w:val="00A76794"/>
    <w:rsid w:val="00A76DB5"/>
    <w:rsid w:val="00A77001"/>
    <w:rsid w:val="00A770F7"/>
    <w:rsid w:val="00A77576"/>
    <w:rsid w:val="00A77801"/>
    <w:rsid w:val="00A804C0"/>
    <w:rsid w:val="00A80A6B"/>
    <w:rsid w:val="00A80D36"/>
    <w:rsid w:val="00A817B6"/>
    <w:rsid w:val="00A81D4D"/>
    <w:rsid w:val="00A81E6D"/>
    <w:rsid w:val="00A82364"/>
    <w:rsid w:val="00A82517"/>
    <w:rsid w:val="00A825A1"/>
    <w:rsid w:val="00A82DCA"/>
    <w:rsid w:val="00A82EA7"/>
    <w:rsid w:val="00A83555"/>
    <w:rsid w:val="00A83678"/>
    <w:rsid w:val="00A837F7"/>
    <w:rsid w:val="00A8380C"/>
    <w:rsid w:val="00A83D29"/>
    <w:rsid w:val="00A83D2C"/>
    <w:rsid w:val="00A84096"/>
    <w:rsid w:val="00A842A0"/>
    <w:rsid w:val="00A84403"/>
    <w:rsid w:val="00A849C5"/>
    <w:rsid w:val="00A84A29"/>
    <w:rsid w:val="00A84D3B"/>
    <w:rsid w:val="00A84EEE"/>
    <w:rsid w:val="00A85477"/>
    <w:rsid w:val="00A85714"/>
    <w:rsid w:val="00A859F8"/>
    <w:rsid w:val="00A85C23"/>
    <w:rsid w:val="00A85F99"/>
    <w:rsid w:val="00A862F8"/>
    <w:rsid w:val="00A86548"/>
    <w:rsid w:val="00A8656B"/>
    <w:rsid w:val="00A866D0"/>
    <w:rsid w:val="00A86937"/>
    <w:rsid w:val="00A86D00"/>
    <w:rsid w:val="00A87156"/>
    <w:rsid w:val="00A87819"/>
    <w:rsid w:val="00A9097D"/>
    <w:rsid w:val="00A90A31"/>
    <w:rsid w:val="00A90B35"/>
    <w:rsid w:val="00A912E1"/>
    <w:rsid w:val="00A912F8"/>
    <w:rsid w:val="00A91484"/>
    <w:rsid w:val="00A918C1"/>
    <w:rsid w:val="00A9258C"/>
    <w:rsid w:val="00A92B2D"/>
    <w:rsid w:val="00A92D19"/>
    <w:rsid w:val="00A930A2"/>
    <w:rsid w:val="00A93138"/>
    <w:rsid w:val="00A93522"/>
    <w:rsid w:val="00A9366F"/>
    <w:rsid w:val="00A93F13"/>
    <w:rsid w:val="00A94080"/>
    <w:rsid w:val="00A943B4"/>
    <w:rsid w:val="00A94E0E"/>
    <w:rsid w:val="00A9538F"/>
    <w:rsid w:val="00A95457"/>
    <w:rsid w:val="00A95535"/>
    <w:rsid w:val="00A95B5A"/>
    <w:rsid w:val="00A95C36"/>
    <w:rsid w:val="00A95C6E"/>
    <w:rsid w:val="00A95CBB"/>
    <w:rsid w:val="00A96001"/>
    <w:rsid w:val="00A971E1"/>
    <w:rsid w:val="00A972D1"/>
    <w:rsid w:val="00A978BF"/>
    <w:rsid w:val="00A97B33"/>
    <w:rsid w:val="00A97BA9"/>
    <w:rsid w:val="00A97FB6"/>
    <w:rsid w:val="00AA0751"/>
    <w:rsid w:val="00AA09A2"/>
    <w:rsid w:val="00AA09B7"/>
    <w:rsid w:val="00AA1294"/>
    <w:rsid w:val="00AA1564"/>
    <w:rsid w:val="00AA18B0"/>
    <w:rsid w:val="00AA1BA7"/>
    <w:rsid w:val="00AA26F7"/>
    <w:rsid w:val="00AA299D"/>
    <w:rsid w:val="00AA2DB7"/>
    <w:rsid w:val="00AA32A7"/>
    <w:rsid w:val="00AA3666"/>
    <w:rsid w:val="00AA380B"/>
    <w:rsid w:val="00AA3CC3"/>
    <w:rsid w:val="00AA3DE2"/>
    <w:rsid w:val="00AA3DF8"/>
    <w:rsid w:val="00AA41EE"/>
    <w:rsid w:val="00AA41FC"/>
    <w:rsid w:val="00AA42C4"/>
    <w:rsid w:val="00AA4463"/>
    <w:rsid w:val="00AA51E1"/>
    <w:rsid w:val="00AA556F"/>
    <w:rsid w:val="00AA56D0"/>
    <w:rsid w:val="00AA5754"/>
    <w:rsid w:val="00AA59DB"/>
    <w:rsid w:val="00AA61E8"/>
    <w:rsid w:val="00AA64DD"/>
    <w:rsid w:val="00AA652D"/>
    <w:rsid w:val="00AA7070"/>
    <w:rsid w:val="00AA78EE"/>
    <w:rsid w:val="00AA7937"/>
    <w:rsid w:val="00AA7DEB"/>
    <w:rsid w:val="00AB00C5"/>
    <w:rsid w:val="00AB0351"/>
    <w:rsid w:val="00AB0512"/>
    <w:rsid w:val="00AB0C45"/>
    <w:rsid w:val="00AB0ECF"/>
    <w:rsid w:val="00AB1190"/>
    <w:rsid w:val="00AB12CD"/>
    <w:rsid w:val="00AB1501"/>
    <w:rsid w:val="00AB15C9"/>
    <w:rsid w:val="00AB184F"/>
    <w:rsid w:val="00AB1B78"/>
    <w:rsid w:val="00AB1C07"/>
    <w:rsid w:val="00AB1D5F"/>
    <w:rsid w:val="00AB1DE7"/>
    <w:rsid w:val="00AB21D6"/>
    <w:rsid w:val="00AB259A"/>
    <w:rsid w:val="00AB2716"/>
    <w:rsid w:val="00AB2F76"/>
    <w:rsid w:val="00AB3046"/>
    <w:rsid w:val="00AB314E"/>
    <w:rsid w:val="00AB36A9"/>
    <w:rsid w:val="00AB3B18"/>
    <w:rsid w:val="00AB3BE3"/>
    <w:rsid w:val="00AB40D0"/>
    <w:rsid w:val="00AB43F6"/>
    <w:rsid w:val="00AB446E"/>
    <w:rsid w:val="00AB48B7"/>
    <w:rsid w:val="00AB4901"/>
    <w:rsid w:val="00AB4BDD"/>
    <w:rsid w:val="00AB5770"/>
    <w:rsid w:val="00AB5D19"/>
    <w:rsid w:val="00AB60D9"/>
    <w:rsid w:val="00AB62FD"/>
    <w:rsid w:val="00AB6544"/>
    <w:rsid w:val="00AB66AE"/>
    <w:rsid w:val="00AB66BF"/>
    <w:rsid w:val="00AB6874"/>
    <w:rsid w:val="00AB6DE5"/>
    <w:rsid w:val="00AB7183"/>
    <w:rsid w:val="00AB76A6"/>
    <w:rsid w:val="00AB7D09"/>
    <w:rsid w:val="00AC00C7"/>
    <w:rsid w:val="00AC0121"/>
    <w:rsid w:val="00AC02FB"/>
    <w:rsid w:val="00AC118D"/>
    <w:rsid w:val="00AC1248"/>
    <w:rsid w:val="00AC19CB"/>
    <w:rsid w:val="00AC1AD1"/>
    <w:rsid w:val="00AC2735"/>
    <w:rsid w:val="00AC2AC5"/>
    <w:rsid w:val="00AC2D36"/>
    <w:rsid w:val="00AC3102"/>
    <w:rsid w:val="00AC3301"/>
    <w:rsid w:val="00AC3617"/>
    <w:rsid w:val="00AC3E50"/>
    <w:rsid w:val="00AC4030"/>
    <w:rsid w:val="00AC4BEC"/>
    <w:rsid w:val="00AC4DB7"/>
    <w:rsid w:val="00AC534C"/>
    <w:rsid w:val="00AC5AD5"/>
    <w:rsid w:val="00AC5ADF"/>
    <w:rsid w:val="00AC5B89"/>
    <w:rsid w:val="00AC5F68"/>
    <w:rsid w:val="00AC6C7A"/>
    <w:rsid w:val="00AC6DFA"/>
    <w:rsid w:val="00AC7152"/>
    <w:rsid w:val="00AC7163"/>
    <w:rsid w:val="00AC74B7"/>
    <w:rsid w:val="00AC750B"/>
    <w:rsid w:val="00AC766D"/>
    <w:rsid w:val="00AC7CE6"/>
    <w:rsid w:val="00AD0B73"/>
    <w:rsid w:val="00AD1142"/>
    <w:rsid w:val="00AD1157"/>
    <w:rsid w:val="00AD198B"/>
    <w:rsid w:val="00AD1AC2"/>
    <w:rsid w:val="00AD1D81"/>
    <w:rsid w:val="00AD1DB5"/>
    <w:rsid w:val="00AD20C3"/>
    <w:rsid w:val="00AD2568"/>
    <w:rsid w:val="00AD2972"/>
    <w:rsid w:val="00AD2C61"/>
    <w:rsid w:val="00AD2CA9"/>
    <w:rsid w:val="00AD2DA0"/>
    <w:rsid w:val="00AD2F8F"/>
    <w:rsid w:val="00AD31E9"/>
    <w:rsid w:val="00AD3494"/>
    <w:rsid w:val="00AD34CF"/>
    <w:rsid w:val="00AD3BFB"/>
    <w:rsid w:val="00AD3DDC"/>
    <w:rsid w:val="00AD446C"/>
    <w:rsid w:val="00AD44F8"/>
    <w:rsid w:val="00AD452F"/>
    <w:rsid w:val="00AD4990"/>
    <w:rsid w:val="00AD4A31"/>
    <w:rsid w:val="00AD532A"/>
    <w:rsid w:val="00AD534E"/>
    <w:rsid w:val="00AD54A2"/>
    <w:rsid w:val="00AD5B3C"/>
    <w:rsid w:val="00AD68E8"/>
    <w:rsid w:val="00AD6A7C"/>
    <w:rsid w:val="00AD6F41"/>
    <w:rsid w:val="00AD7098"/>
    <w:rsid w:val="00AD7BB2"/>
    <w:rsid w:val="00AD7F25"/>
    <w:rsid w:val="00AD7F4B"/>
    <w:rsid w:val="00AD7FD7"/>
    <w:rsid w:val="00AE0023"/>
    <w:rsid w:val="00AE02FB"/>
    <w:rsid w:val="00AE05ED"/>
    <w:rsid w:val="00AE063F"/>
    <w:rsid w:val="00AE0918"/>
    <w:rsid w:val="00AE0CEB"/>
    <w:rsid w:val="00AE103A"/>
    <w:rsid w:val="00AE11E5"/>
    <w:rsid w:val="00AE128C"/>
    <w:rsid w:val="00AE16D7"/>
    <w:rsid w:val="00AE16DB"/>
    <w:rsid w:val="00AE1770"/>
    <w:rsid w:val="00AE185A"/>
    <w:rsid w:val="00AE2101"/>
    <w:rsid w:val="00AE27F6"/>
    <w:rsid w:val="00AE2C5D"/>
    <w:rsid w:val="00AE2C77"/>
    <w:rsid w:val="00AE3479"/>
    <w:rsid w:val="00AE3A24"/>
    <w:rsid w:val="00AE3E62"/>
    <w:rsid w:val="00AE46DB"/>
    <w:rsid w:val="00AE48BB"/>
    <w:rsid w:val="00AE4924"/>
    <w:rsid w:val="00AE4D51"/>
    <w:rsid w:val="00AE5488"/>
    <w:rsid w:val="00AE6775"/>
    <w:rsid w:val="00AE68F1"/>
    <w:rsid w:val="00AE6AC2"/>
    <w:rsid w:val="00AE6B83"/>
    <w:rsid w:val="00AE6DE4"/>
    <w:rsid w:val="00AE6F59"/>
    <w:rsid w:val="00AE6F91"/>
    <w:rsid w:val="00AE70D7"/>
    <w:rsid w:val="00AE73B1"/>
    <w:rsid w:val="00AE77C4"/>
    <w:rsid w:val="00AE79E0"/>
    <w:rsid w:val="00AE7FC1"/>
    <w:rsid w:val="00AF03CA"/>
    <w:rsid w:val="00AF05C1"/>
    <w:rsid w:val="00AF076C"/>
    <w:rsid w:val="00AF0DA1"/>
    <w:rsid w:val="00AF127A"/>
    <w:rsid w:val="00AF1EC1"/>
    <w:rsid w:val="00AF1F8E"/>
    <w:rsid w:val="00AF240F"/>
    <w:rsid w:val="00AF2553"/>
    <w:rsid w:val="00AF298E"/>
    <w:rsid w:val="00AF3064"/>
    <w:rsid w:val="00AF3E3C"/>
    <w:rsid w:val="00AF423D"/>
    <w:rsid w:val="00AF425D"/>
    <w:rsid w:val="00AF4278"/>
    <w:rsid w:val="00AF44C3"/>
    <w:rsid w:val="00AF4BC2"/>
    <w:rsid w:val="00AF4C2C"/>
    <w:rsid w:val="00AF4D3A"/>
    <w:rsid w:val="00AF4F13"/>
    <w:rsid w:val="00AF52A5"/>
    <w:rsid w:val="00AF53C6"/>
    <w:rsid w:val="00AF5571"/>
    <w:rsid w:val="00AF596C"/>
    <w:rsid w:val="00AF5E67"/>
    <w:rsid w:val="00AF5E7A"/>
    <w:rsid w:val="00AF5F6D"/>
    <w:rsid w:val="00AF60E0"/>
    <w:rsid w:val="00AF6A32"/>
    <w:rsid w:val="00AF6AFF"/>
    <w:rsid w:val="00AF7667"/>
    <w:rsid w:val="00AF77AE"/>
    <w:rsid w:val="00AF7B8C"/>
    <w:rsid w:val="00AF7F97"/>
    <w:rsid w:val="00B00247"/>
    <w:rsid w:val="00B00B50"/>
    <w:rsid w:val="00B00D24"/>
    <w:rsid w:val="00B00FAB"/>
    <w:rsid w:val="00B011F2"/>
    <w:rsid w:val="00B01497"/>
    <w:rsid w:val="00B01851"/>
    <w:rsid w:val="00B0192B"/>
    <w:rsid w:val="00B01CCE"/>
    <w:rsid w:val="00B025E2"/>
    <w:rsid w:val="00B02870"/>
    <w:rsid w:val="00B02C4E"/>
    <w:rsid w:val="00B02F8A"/>
    <w:rsid w:val="00B02FBE"/>
    <w:rsid w:val="00B0318B"/>
    <w:rsid w:val="00B032ED"/>
    <w:rsid w:val="00B0341D"/>
    <w:rsid w:val="00B03A4D"/>
    <w:rsid w:val="00B04B7D"/>
    <w:rsid w:val="00B05B37"/>
    <w:rsid w:val="00B05E39"/>
    <w:rsid w:val="00B0644A"/>
    <w:rsid w:val="00B06C1C"/>
    <w:rsid w:val="00B06CFC"/>
    <w:rsid w:val="00B07000"/>
    <w:rsid w:val="00B077CE"/>
    <w:rsid w:val="00B07EBA"/>
    <w:rsid w:val="00B07F44"/>
    <w:rsid w:val="00B102E9"/>
    <w:rsid w:val="00B1069D"/>
    <w:rsid w:val="00B1083F"/>
    <w:rsid w:val="00B10BDE"/>
    <w:rsid w:val="00B10F4E"/>
    <w:rsid w:val="00B117A4"/>
    <w:rsid w:val="00B11B2D"/>
    <w:rsid w:val="00B11BE3"/>
    <w:rsid w:val="00B12238"/>
    <w:rsid w:val="00B122BA"/>
    <w:rsid w:val="00B12686"/>
    <w:rsid w:val="00B12FA9"/>
    <w:rsid w:val="00B13110"/>
    <w:rsid w:val="00B1311E"/>
    <w:rsid w:val="00B131AB"/>
    <w:rsid w:val="00B13D6E"/>
    <w:rsid w:val="00B1450E"/>
    <w:rsid w:val="00B14767"/>
    <w:rsid w:val="00B14E0A"/>
    <w:rsid w:val="00B14F28"/>
    <w:rsid w:val="00B14F30"/>
    <w:rsid w:val="00B152B3"/>
    <w:rsid w:val="00B15889"/>
    <w:rsid w:val="00B15D1A"/>
    <w:rsid w:val="00B160E9"/>
    <w:rsid w:val="00B164CA"/>
    <w:rsid w:val="00B164DE"/>
    <w:rsid w:val="00B1664E"/>
    <w:rsid w:val="00B16EB9"/>
    <w:rsid w:val="00B1736D"/>
    <w:rsid w:val="00B17715"/>
    <w:rsid w:val="00B1773A"/>
    <w:rsid w:val="00B177BC"/>
    <w:rsid w:val="00B17D92"/>
    <w:rsid w:val="00B20071"/>
    <w:rsid w:val="00B203F2"/>
    <w:rsid w:val="00B20412"/>
    <w:rsid w:val="00B20723"/>
    <w:rsid w:val="00B20CDF"/>
    <w:rsid w:val="00B20D79"/>
    <w:rsid w:val="00B21524"/>
    <w:rsid w:val="00B21531"/>
    <w:rsid w:val="00B216D9"/>
    <w:rsid w:val="00B218E3"/>
    <w:rsid w:val="00B21948"/>
    <w:rsid w:val="00B21A8E"/>
    <w:rsid w:val="00B21BE2"/>
    <w:rsid w:val="00B228A6"/>
    <w:rsid w:val="00B23283"/>
    <w:rsid w:val="00B233D9"/>
    <w:rsid w:val="00B23409"/>
    <w:rsid w:val="00B2426C"/>
    <w:rsid w:val="00B24991"/>
    <w:rsid w:val="00B25283"/>
    <w:rsid w:val="00B2572A"/>
    <w:rsid w:val="00B25CDF"/>
    <w:rsid w:val="00B25D62"/>
    <w:rsid w:val="00B262A4"/>
    <w:rsid w:val="00B26364"/>
    <w:rsid w:val="00B26458"/>
    <w:rsid w:val="00B264BC"/>
    <w:rsid w:val="00B26584"/>
    <w:rsid w:val="00B266B7"/>
    <w:rsid w:val="00B266DC"/>
    <w:rsid w:val="00B2694A"/>
    <w:rsid w:val="00B26AAC"/>
    <w:rsid w:val="00B26EA8"/>
    <w:rsid w:val="00B26FB4"/>
    <w:rsid w:val="00B273C8"/>
    <w:rsid w:val="00B2753D"/>
    <w:rsid w:val="00B27827"/>
    <w:rsid w:val="00B278B0"/>
    <w:rsid w:val="00B27BCD"/>
    <w:rsid w:val="00B302C7"/>
    <w:rsid w:val="00B30539"/>
    <w:rsid w:val="00B30977"/>
    <w:rsid w:val="00B30CFD"/>
    <w:rsid w:val="00B314DB"/>
    <w:rsid w:val="00B316B5"/>
    <w:rsid w:val="00B316B6"/>
    <w:rsid w:val="00B31F46"/>
    <w:rsid w:val="00B32BEC"/>
    <w:rsid w:val="00B32E9B"/>
    <w:rsid w:val="00B33091"/>
    <w:rsid w:val="00B332F0"/>
    <w:rsid w:val="00B33E12"/>
    <w:rsid w:val="00B34535"/>
    <w:rsid w:val="00B34991"/>
    <w:rsid w:val="00B349D1"/>
    <w:rsid w:val="00B34ACE"/>
    <w:rsid w:val="00B34D89"/>
    <w:rsid w:val="00B34DF4"/>
    <w:rsid w:val="00B35161"/>
    <w:rsid w:val="00B356B0"/>
    <w:rsid w:val="00B36240"/>
    <w:rsid w:val="00B36D53"/>
    <w:rsid w:val="00B3701B"/>
    <w:rsid w:val="00B3718B"/>
    <w:rsid w:val="00B37228"/>
    <w:rsid w:val="00B37446"/>
    <w:rsid w:val="00B37D0E"/>
    <w:rsid w:val="00B37E66"/>
    <w:rsid w:val="00B40069"/>
    <w:rsid w:val="00B401E0"/>
    <w:rsid w:val="00B4041B"/>
    <w:rsid w:val="00B4060E"/>
    <w:rsid w:val="00B40787"/>
    <w:rsid w:val="00B40DDA"/>
    <w:rsid w:val="00B40FB2"/>
    <w:rsid w:val="00B40FC2"/>
    <w:rsid w:val="00B4164E"/>
    <w:rsid w:val="00B41C05"/>
    <w:rsid w:val="00B41E18"/>
    <w:rsid w:val="00B4208B"/>
    <w:rsid w:val="00B42BA3"/>
    <w:rsid w:val="00B42BDB"/>
    <w:rsid w:val="00B42CE3"/>
    <w:rsid w:val="00B4321D"/>
    <w:rsid w:val="00B434AA"/>
    <w:rsid w:val="00B43AE5"/>
    <w:rsid w:val="00B43CAB"/>
    <w:rsid w:val="00B43CB8"/>
    <w:rsid w:val="00B442C7"/>
    <w:rsid w:val="00B44AF4"/>
    <w:rsid w:val="00B44C7C"/>
    <w:rsid w:val="00B44DD3"/>
    <w:rsid w:val="00B456B1"/>
    <w:rsid w:val="00B45759"/>
    <w:rsid w:val="00B458A8"/>
    <w:rsid w:val="00B46228"/>
    <w:rsid w:val="00B4632A"/>
    <w:rsid w:val="00B46398"/>
    <w:rsid w:val="00B46A0F"/>
    <w:rsid w:val="00B46F78"/>
    <w:rsid w:val="00B47278"/>
    <w:rsid w:val="00B473D0"/>
    <w:rsid w:val="00B476CE"/>
    <w:rsid w:val="00B50734"/>
    <w:rsid w:val="00B50D3F"/>
    <w:rsid w:val="00B50E37"/>
    <w:rsid w:val="00B50F71"/>
    <w:rsid w:val="00B51482"/>
    <w:rsid w:val="00B520E4"/>
    <w:rsid w:val="00B528E6"/>
    <w:rsid w:val="00B530F1"/>
    <w:rsid w:val="00B5326D"/>
    <w:rsid w:val="00B5354B"/>
    <w:rsid w:val="00B53AD5"/>
    <w:rsid w:val="00B53E32"/>
    <w:rsid w:val="00B547BC"/>
    <w:rsid w:val="00B54D29"/>
    <w:rsid w:val="00B54FF6"/>
    <w:rsid w:val="00B557CF"/>
    <w:rsid w:val="00B55CE1"/>
    <w:rsid w:val="00B56419"/>
    <w:rsid w:val="00B5652C"/>
    <w:rsid w:val="00B56769"/>
    <w:rsid w:val="00B56AC1"/>
    <w:rsid w:val="00B56B37"/>
    <w:rsid w:val="00B56CBE"/>
    <w:rsid w:val="00B56FE9"/>
    <w:rsid w:val="00B570E7"/>
    <w:rsid w:val="00B57E19"/>
    <w:rsid w:val="00B57F96"/>
    <w:rsid w:val="00B600EF"/>
    <w:rsid w:val="00B600F0"/>
    <w:rsid w:val="00B605C9"/>
    <w:rsid w:val="00B605E4"/>
    <w:rsid w:val="00B60964"/>
    <w:rsid w:val="00B60B0B"/>
    <w:rsid w:val="00B6113A"/>
    <w:rsid w:val="00B611B2"/>
    <w:rsid w:val="00B61680"/>
    <w:rsid w:val="00B6191C"/>
    <w:rsid w:val="00B61A09"/>
    <w:rsid w:val="00B61E91"/>
    <w:rsid w:val="00B61F6A"/>
    <w:rsid w:val="00B62D9D"/>
    <w:rsid w:val="00B63241"/>
    <w:rsid w:val="00B63484"/>
    <w:rsid w:val="00B636B5"/>
    <w:rsid w:val="00B63922"/>
    <w:rsid w:val="00B64AE2"/>
    <w:rsid w:val="00B64B86"/>
    <w:rsid w:val="00B65B7D"/>
    <w:rsid w:val="00B65FAC"/>
    <w:rsid w:val="00B66131"/>
    <w:rsid w:val="00B663F0"/>
    <w:rsid w:val="00B6650F"/>
    <w:rsid w:val="00B66DDF"/>
    <w:rsid w:val="00B66F20"/>
    <w:rsid w:val="00B6720D"/>
    <w:rsid w:val="00B67DA3"/>
    <w:rsid w:val="00B706EF"/>
    <w:rsid w:val="00B70B29"/>
    <w:rsid w:val="00B71885"/>
    <w:rsid w:val="00B71BBE"/>
    <w:rsid w:val="00B721BD"/>
    <w:rsid w:val="00B7222E"/>
    <w:rsid w:val="00B72332"/>
    <w:rsid w:val="00B727DB"/>
    <w:rsid w:val="00B7294B"/>
    <w:rsid w:val="00B7294E"/>
    <w:rsid w:val="00B72977"/>
    <w:rsid w:val="00B72B38"/>
    <w:rsid w:val="00B72C4A"/>
    <w:rsid w:val="00B73061"/>
    <w:rsid w:val="00B732CC"/>
    <w:rsid w:val="00B737A1"/>
    <w:rsid w:val="00B737FD"/>
    <w:rsid w:val="00B741E4"/>
    <w:rsid w:val="00B748A1"/>
    <w:rsid w:val="00B74900"/>
    <w:rsid w:val="00B74930"/>
    <w:rsid w:val="00B74996"/>
    <w:rsid w:val="00B74B77"/>
    <w:rsid w:val="00B74CF0"/>
    <w:rsid w:val="00B75126"/>
    <w:rsid w:val="00B751FB"/>
    <w:rsid w:val="00B752D3"/>
    <w:rsid w:val="00B75A14"/>
    <w:rsid w:val="00B75A71"/>
    <w:rsid w:val="00B75B92"/>
    <w:rsid w:val="00B76C0C"/>
    <w:rsid w:val="00B76F8A"/>
    <w:rsid w:val="00B771FA"/>
    <w:rsid w:val="00B772CB"/>
    <w:rsid w:val="00B7769D"/>
    <w:rsid w:val="00B77911"/>
    <w:rsid w:val="00B77987"/>
    <w:rsid w:val="00B77FA9"/>
    <w:rsid w:val="00B80262"/>
    <w:rsid w:val="00B803AC"/>
    <w:rsid w:val="00B8064A"/>
    <w:rsid w:val="00B809F6"/>
    <w:rsid w:val="00B81169"/>
    <w:rsid w:val="00B8136C"/>
    <w:rsid w:val="00B8166D"/>
    <w:rsid w:val="00B81739"/>
    <w:rsid w:val="00B81742"/>
    <w:rsid w:val="00B819AD"/>
    <w:rsid w:val="00B81C16"/>
    <w:rsid w:val="00B81EAB"/>
    <w:rsid w:val="00B82744"/>
    <w:rsid w:val="00B8292A"/>
    <w:rsid w:val="00B8342B"/>
    <w:rsid w:val="00B83574"/>
    <w:rsid w:val="00B8368E"/>
    <w:rsid w:val="00B83C7C"/>
    <w:rsid w:val="00B83ED3"/>
    <w:rsid w:val="00B84475"/>
    <w:rsid w:val="00B84561"/>
    <w:rsid w:val="00B84D32"/>
    <w:rsid w:val="00B84D3D"/>
    <w:rsid w:val="00B84DDA"/>
    <w:rsid w:val="00B84FF0"/>
    <w:rsid w:val="00B850AA"/>
    <w:rsid w:val="00B851B0"/>
    <w:rsid w:val="00B85958"/>
    <w:rsid w:val="00B85B17"/>
    <w:rsid w:val="00B85D0F"/>
    <w:rsid w:val="00B86812"/>
    <w:rsid w:val="00B86C43"/>
    <w:rsid w:val="00B87ADF"/>
    <w:rsid w:val="00B87DB6"/>
    <w:rsid w:val="00B9049C"/>
    <w:rsid w:val="00B906F3"/>
    <w:rsid w:val="00B90768"/>
    <w:rsid w:val="00B90CB4"/>
    <w:rsid w:val="00B90D86"/>
    <w:rsid w:val="00B90E79"/>
    <w:rsid w:val="00B90EC1"/>
    <w:rsid w:val="00B910C5"/>
    <w:rsid w:val="00B91154"/>
    <w:rsid w:val="00B91369"/>
    <w:rsid w:val="00B917C7"/>
    <w:rsid w:val="00B91CAC"/>
    <w:rsid w:val="00B91D22"/>
    <w:rsid w:val="00B91D9A"/>
    <w:rsid w:val="00B91DFB"/>
    <w:rsid w:val="00B92358"/>
    <w:rsid w:val="00B9258D"/>
    <w:rsid w:val="00B92B20"/>
    <w:rsid w:val="00B92C9B"/>
    <w:rsid w:val="00B92D5A"/>
    <w:rsid w:val="00B92DA5"/>
    <w:rsid w:val="00B93439"/>
    <w:rsid w:val="00B9354E"/>
    <w:rsid w:val="00B93BDD"/>
    <w:rsid w:val="00B93FE4"/>
    <w:rsid w:val="00B9432B"/>
    <w:rsid w:val="00B9434F"/>
    <w:rsid w:val="00B944F9"/>
    <w:rsid w:val="00B944FB"/>
    <w:rsid w:val="00B94589"/>
    <w:rsid w:val="00B948CD"/>
    <w:rsid w:val="00B94B27"/>
    <w:rsid w:val="00B952BD"/>
    <w:rsid w:val="00B955AE"/>
    <w:rsid w:val="00B95C9D"/>
    <w:rsid w:val="00B95CD3"/>
    <w:rsid w:val="00B95DE5"/>
    <w:rsid w:val="00B95E11"/>
    <w:rsid w:val="00B95F34"/>
    <w:rsid w:val="00B961C3"/>
    <w:rsid w:val="00B96739"/>
    <w:rsid w:val="00B96A19"/>
    <w:rsid w:val="00B97310"/>
    <w:rsid w:val="00BA04E9"/>
    <w:rsid w:val="00BA0A5E"/>
    <w:rsid w:val="00BA0AE8"/>
    <w:rsid w:val="00BA1C9C"/>
    <w:rsid w:val="00BA1D94"/>
    <w:rsid w:val="00BA1FD3"/>
    <w:rsid w:val="00BA234D"/>
    <w:rsid w:val="00BA2600"/>
    <w:rsid w:val="00BA276C"/>
    <w:rsid w:val="00BA2DC2"/>
    <w:rsid w:val="00BA2F04"/>
    <w:rsid w:val="00BA2F4E"/>
    <w:rsid w:val="00BA397F"/>
    <w:rsid w:val="00BA4224"/>
    <w:rsid w:val="00BA4746"/>
    <w:rsid w:val="00BA483C"/>
    <w:rsid w:val="00BA4C1D"/>
    <w:rsid w:val="00BA4E7D"/>
    <w:rsid w:val="00BA528B"/>
    <w:rsid w:val="00BA53BB"/>
    <w:rsid w:val="00BA573E"/>
    <w:rsid w:val="00BA5D29"/>
    <w:rsid w:val="00BA5E29"/>
    <w:rsid w:val="00BA619C"/>
    <w:rsid w:val="00BA63B3"/>
    <w:rsid w:val="00BA683E"/>
    <w:rsid w:val="00BA6950"/>
    <w:rsid w:val="00BA6B53"/>
    <w:rsid w:val="00BA6F6A"/>
    <w:rsid w:val="00BA7312"/>
    <w:rsid w:val="00BA73DD"/>
    <w:rsid w:val="00BA73E2"/>
    <w:rsid w:val="00BA75A6"/>
    <w:rsid w:val="00BA76C8"/>
    <w:rsid w:val="00BA778F"/>
    <w:rsid w:val="00BA792D"/>
    <w:rsid w:val="00BA7B0C"/>
    <w:rsid w:val="00BA7C89"/>
    <w:rsid w:val="00BA7CCA"/>
    <w:rsid w:val="00BA7DF0"/>
    <w:rsid w:val="00BA7F1C"/>
    <w:rsid w:val="00BA7F2B"/>
    <w:rsid w:val="00BB0040"/>
    <w:rsid w:val="00BB01F4"/>
    <w:rsid w:val="00BB0213"/>
    <w:rsid w:val="00BB0C60"/>
    <w:rsid w:val="00BB1533"/>
    <w:rsid w:val="00BB15C3"/>
    <w:rsid w:val="00BB15E0"/>
    <w:rsid w:val="00BB19E7"/>
    <w:rsid w:val="00BB1EBF"/>
    <w:rsid w:val="00BB1F5B"/>
    <w:rsid w:val="00BB208D"/>
    <w:rsid w:val="00BB23F0"/>
    <w:rsid w:val="00BB256D"/>
    <w:rsid w:val="00BB2B3F"/>
    <w:rsid w:val="00BB2D95"/>
    <w:rsid w:val="00BB2F42"/>
    <w:rsid w:val="00BB306F"/>
    <w:rsid w:val="00BB35E4"/>
    <w:rsid w:val="00BB369E"/>
    <w:rsid w:val="00BB4116"/>
    <w:rsid w:val="00BB4145"/>
    <w:rsid w:val="00BB4253"/>
    <w:rsid w:val="00BB49EB"/>
    <w:rsid w:val="00BB4CC8"/>
    <w:rsid w:val="00BB4FB4"/>
    <w:rsid w:val="00BB52E6"/>
    <w:rsid w:val="00BB5322"/>
    <w:rsid w:val="00BB58D5"/>
    <w:rsid w:val="00BB5FC7"/>
    <w:rsid w:val="00BB658B"/>
    <w:rsid w:val="00BB664F"/>
    <w:rsid w:val="00BB6F7A"/>
    <w:rsid w:val="00BB776A"/>
    <w:rsid w:val="00BB79ED"/>
    <w:rsid w:val="00BB7C91"/>
    <w:rsid w:val="00BB7E95"/>
    <w:rsid w:val="00BC0622"/>
    <w:rsid w:val="00BC09CD"/>
    <w:rsid w:val="00BC1478"/>
    <w:rsid w:val="00BC18C9"/>
    <w:rsid w:val="00BC2339"/>
    <w:rsid w:val="00BC26AA"/>
    <w:rsid w:val="00BC2AFC"/>
    <w:rsid w:val="00BC2D8D"/>
    <w:rsid w:val="00BC2EDB"/>
    <w:rsid w:val="00BC31CC"/>
    <w:rsid w:val="00BC3590"/>
    <w:rsid w:val="00BC3C59"/>
    <w:rsid w:val="00BC4041"/>
    <w:rsid w:val="00BC433F"/>
    <w:rsid w:val="00BC4A2D"/>
    <w:rsid w:val="00BC4BE9"/>
    <w:rsid w:val="00BC4DAA"/>
    <w:rsid w:val="00BC4E19"/>
    <w:rsid w:val="00BC4F90"/>
    <w:rsid w:val="00BC57DB"/>
    <w:rsid w:val="00BC5941"/>
    <w:rsid w:val="00BC6005"/>
    <w:rsid w:val="00BC65A4"/>
    <w:rsid w:val="00BC668B"/>
    <w:rsid w:val="00BC668F"/>
    <w:rsid w:val="00BC6855"/>
    <w:rsid w:val="00BC6945"/>
    <w:rsid w:val="00BC6A1F"/>
    <w:rsid w:val="00BC6BCF"/>
    <w:rsid w:val="00BC6C67"/>
    <w:rsid w:val="00BC6DCB"/>
    <w:rsid w:val="00BC70E9"/>
    <w:rsid w:val="00BC7733"/>
    <w:rsid w:val="00BC7DEB"/>
    <w:rsid w:val="00BD0135"/>
    <w:rsid w:val="00BD09C0"/>
    <w:rsid w:val="00BD0C04"/>
    <w:rsid w:val="00BD0CF9"/>
    <w:rsid w:val="00BD0EB4"/>
    <w:rsid w:val="00BD1299"/>
    <w:rsid w:val="00BD2028"/>
    <w:rsid w:val="00BD23C2"/>
    <w:rsid w:val="00BD24F2"/>
    <w:rsid w:val="00BD2703"/>
    <w:rsid w:val="00BD2DF4"/>
    <w:rsid w:val="00BD3378"/>
    <w:rsid w:val="00BD33F7"/>
    <w:rsid w:val="00BD3A3F"/>
    <w:rsid w:val="00BD3C95"/>
    <w:rsid w:val="00BD3D92"/>
    <w:rsid w:val="00BD4039"/>
    <w:rsid w:val="00BD41AE"/>
    <w:rsid w:val="00BD41BB"/>
    <w:rsid w:val="00BD4730"/>
    <w:rsid w:val="00BD484A"/>
    <w:rsid w:val="00BD495B"/>
    <w:rsid w:val="00BD4B89"/>
    <w:rsid w:val="00BD51C3"/>
    <w:rsid w:val="00BD5584"/>
    <w:rsid w:val="00BD570C"/>
    <w:rsid w:val="00BD5712"/>
    <w:rsid w:val="00BD5A19"/>
    <w:rsid w:val="00BD5BC8"/>
    <w:rsid w:val="00BD5E95"/>
    <w:rsid w:val="00BD5F33"/>
    <w:rsid w:val="00BD633D"/>
    <w:rsid w:val="00BD6504"/>
    <w:rsid w:val="00BD7265"/>
    <w:rsid w:val="00BD726E"/>
    <w:rsid w:val="00BD75AF"/>
    <w:rsid w:val="00BD7826"/>
    <w:rsid w:val="00BD7ACB"/>
    <w:rsid w:val="00BD7DCC"/>
    <w:rsid w:val="00BE025B"/>
    <w:rsid w:val="00BE047B"/>
    <w:rsid w:val="00BE0B95"/>
    <w:rsid w:val="00BE0CBC"/>
    <w:rsid w:val="00BE0D78"/>
    <w:rsid w:val="00BE0F76"/>
    <w:rsid w:val="00BE120D"/>
    <w:rsid w:val="00BE167E"/>
    <w:rsid w:val="00BE1964"/>
    <w:rsid w:val="00BE1967"/>
    <w:rsid w:val="00BE19E0"/>
    <w:rsid w:val="00BE2AE0"/>
    <w:rsid w:val="00BE2FA0"/>
    <w:rsid w:val="00BE3101"/>
    <w:rsid w:val="00BE31DC"/>
    <w:rsid w:val="00BE3526"/>
    <w:rsid w:val="00BE358A"/>
    <w:rsid w:val="00BE376B"/>
    <w:rsid w:val="00BE3D72"/>
    <w:rsid w:val="00BE3E56"/>
    <w:rsid w:val="00BE3FD6"/>
    <w:rsid w:val="00BE4112"/>
    <w:rsid w:val="00BE49D5"/>
    <w:rsid w:val="00BE4A27"/>
    <w:rsid w:val="00BE4C47"/>
    <w:rsid w:val="00BE5571"/>
    <w:rsid w:val="00BE5987"/>
    <w:rsid w:val="00BE6435"/>
    <w:rsid w:val="00BE64AF"/>
    <w:rsid w:val="00BE65AE"/>
    <w:rsid w:val="00BE6BF1"/>
    <w:rsid w:val="00BE6C00"/>
    <w:rsid w:val="00BE705C"/>
    <w:rsid w:val="00BE72B5"/>
    <w:rsid w:val="00BE73F9"/>
    <w:rsid w:val="00BE78F5"/>
    <w:rsid w:val="00BE7D95"/>
    <w:rsid w:val="00BF031D"/>
    <w:rsid w:val="00BF03D8"/>
    <w:rsid w:val="00BF0ACA"/>
    <w:rsid w:val="00BF111F"/>
    <w:rsid w:val="00BF1668"/>
    <w:rsid w:val="00BF180B"/>
    <w:rsid w:val="00BF1823"/>
    <w:rsid w:val="00BF1864"/>
    <w:rsid w:val="00BF1A40"/>
    <w:rsid w:val="00BF1B5A"/>
    <w:rsid w:val="00BF1D42"/>
    <w:rsid w:val="00BF2146"/>
    <w:rsid w:val="00BF24DA"/>
    <w:rsid w:val="00BF2AEA"/>
    <w:rsid w:val="00BF339D"/>
    <w:rsid w:val="00BF3411"/>
    <w:rsid w:val="00BF3461"/>
    <w:rsid w:val="00BF34CC"/>
    <w:rsid w:val="00BF3DF6"/>
    <w:rsid w:val="00BF4CCB"/>
    <w:rsid w:val="00BF4D34"/>
    <w:rsid w:val="00BF5612"/>
    <w:rsid w:val="00BF5AF5"/>
    <w:rsid w:val="00BF61E1"/>
    <w:rsid w:val="00BF6533"/>
    <w:rsid w:val="00BF67FA"/>
    <w:rsid w:val="00BF6B82"/>
    <w:rsid w:val="00BF6FD8"/>
    <w:rsid w:val="00BF717E"/>
    <w:rsid w:val="00BF71C4"/>
    <w:rsid w:val="00BF72EC"/>
    <w:rsid w:val="00BF7A3B"/>
    <w:rsid w:val="00BF7D6D"/>
    <w:rsid w:val="00BF7F7C"/>
    <w:rsid w:val="00C0075D"/>
    <w:rsid w:val="00C00CE3"/>
    <w:rsid w:val="00C00E20"/>
    <w:rsid w:val="00C0149A"/>
    <w:rsid w:val="00C01B0F"/>
    <w:rsid w:val="00C01D45"/>
    <w:rsid w:val="00C01E60"/>
    <w:rsid w:val="00C0258D"/>
    <w:rsid w:val="00C0275D"/>
    <w:rsid w:val="00C029AF"/>
    <w:rsid w:val="00C02D36"/>
    <w:rsid w:val="00C02D73"/>
    <w:rsid w:val="00C02EA6"/>
    <w:rsid w:val="00C035E3"/>
    <w:rsid w:val="00C03680"/>
    <w:rsid w:val="00C03F9C"/>
    <w:rsid w:val="00C04314"/>
    <w:rsid w:val="00C04396"/>
    <w:rsid w:val="00C04499"/>
    <w:rsid w:val="00C045F5"/>
    <w:rsid w:val="00C047D5"/>
    <w:rsid w:val="00C047D9"/>
    <w:rsid w:val="00C04CBF"/>
    <w:rsid w:val="00C04F37"/>
    <w:rsid w:val="00C052ED"/>
    <w:rsid w:val="00C054DF"/>
    <w:rsid w:val="00C0580F"/>
    <w:rsid w:val="00C0593D"/>
    <w:rsid w:val="00C059FD"/>
    <w:rsid w:val="00C05AAD"/>
    <w:rsid w:val="00C05C0C"/>
    <w:rsid w:val="00C05EC5"/>
    <w:rsid w:val="00C05F10"/>
    <w:rsid w:val="00C06120"/>
    <w:rsid w:val="00C062C0"/>
    <w:rsid w:val="00C067C3"/>
    <w:rsid w:val="00C071D4"/>
    <w:rsid w:val="00C1072B"/>
    <w:rsid w:val="00C10C6B"/>
    <w:rsid w:val="00C11042"/>
    <w:rsid w:val="00C113F3"/>
    <w:rsid w:val="00C116E8"/>
    <w:rsid w:val="00C11A27"/>
    <w:rsid w:val="00C11F47"/>
    <w:rsid w:val="00C12378"/>
    <w:rsid w:val="00C12DEE"/>
    <w:rsid w:val="00C12FF8"/>
    <w:rsid w:val="00C13281"/>
    <w:rsid w:val="00C1331C"/>
    <w:rsid w:val="00C135D0"/>
    <w:rsid w:val="00C13881"/>
    <w:rsid w:val="00C13D44"/>
    <w:rsid w:val="00C13EC3"/>
    <w:rsid w:val="00C143A1"/>
    <w:rsid w:val="00C14978"/>
    <w:rsid w:val="00C14C7C"/>
    <w:rsid w:val="00C152A5"/>
    <w:rsid w:val="00C15A24"/>
    <w:rsid w:val="00C15A62"/>
    <w:rsid w:val="00C15E41"/>
    <w:rsid w:val="00C16451"/>
    <w:rsid w:val="00C16647"/>
    <w:rsid w:val="00C169C4"/>
    <w:rsid w:val="00C16D18"/>
    <w:rsid w:val="00C174CA"/>
    <w:rsid w:val="00C17AFB"/>
    <w:rsid w:val="00C17B35"/>
    <w:rsid w:val="00C17BE7"/>
    <w:rsid w:val="00C17C8F"/>
    <w:rsid w:val="00C20C1C"/>
    <w:rsid w:val="00C20D9C"/>
    <w:rsid w:val="00C20E98"/>
    <w:rsid w:val="00C21762"/>
    <w:rsid w:val="00C21974"/>
    <w:rsid w:val="00C219CF"/>
    <w:rsid w:val="00C21E02"/>
    <w:rsid w:val="00C2207C"/>
    <w:rsid w:val="00C2240A"/>
    <w:rsid w:val="00C22BEF"/>
    <w:rsid w:val="00C22D69"/>
    <w:rsid w:val="00C233AC"/>
    <w:rsid w:val="00C2355D"/>
    <w:rsid w:val="00C236C1"/>
    <w:rsid w:val="00C24543"/>
    <w:rsid w:val="00C24624"/>
    <w:rsid w:val="00C247B9"/>
    <w:rsid w:val="00C24859"/>
    <w:rsid w:val="00C24A94"/>
    <w:rsid w:val="00C24CDF"/>
    <w:rsid w:val="00C2517B"/>
    <w:rsid w:val="00C25480"/>
    <w:rsid w:val="00C25607"/>
    <w:rsid w:val="00C256A2"/>
    <w:rsid w:val="00C259A0"/>
    <w:rsid w:val="00C265A1"/>
    <w:rsid w:val="00C26A02"/>
    <w:rsid w:val="00C26AD6"/>
    <w:rsid w:val="00C2728C"/>
    <w:rsid w:val="00C27419"/>
    <w:rsid w:val="00C27A6A"/>
    <w:rsid w:val="00C300ED"/>
    <w:rsid w:val="00C30573"/>
    <w:rsid w:val="00C30AC4"/>
    <w:rsid w:val="00C30B9C"/>
    <w:rsid w:val="00C30D2D"/>
    <w:rsid w:val="00C3249B"/>
    <w:rsid w:val="00C32539"/>
    <w:rsid w:val="00C32962"/>
    <w:rsid w:val="00C329B6"/>
    <w:rsid w:val="00C32B1A"/>
    <w:rsid w:val="00C331D7"/>
    <w:rsid w:val="00C33726"/>
    <w:rsid w:val="00C33A8F"/>
    <w:rsid w:val="00C33F62"/>
    <w:rsid w:val="00C34113"/>
    <w:rsid w:val="00C3457E"/>
    <w:rsid w:val="00C34A4C"/>
    <w:rsid w:val="00C34CEF"/>
    <w:rsid w:val="00C34E9B"/>
    <w:rsid w:val="00C35013"/>
    <w:rsid w:val="00C35044"/>
    <w:rsid w:val="00C3530F"/>
    <w:rsid w:val="00C3534A"/>
    <w:rsid w:val="00C3552C"/>
    <w:rsid w:val="00C3601A"/>
    <w:rsid w:val="00C3612C"/>
    <w:rsid w:val="00C3617B"/>
    <w:rsid w:val="00C3623E"/>
    <w:rsid w:val="00C37495"/>
    <w:rsid w:val="00C37702"/>
    <w:rsid w:val="00C37968"/>
    <w:rsid w:val="00C37D3B"/>
    <w:rsid w:val="00C37E26"/>
    <w:rsid w:val="00C37FDB"/>
    <w:rsid w:val="00C401C4"/>
    <w:rsid w:val="00C40219"/>
    <w:rsid w:val="00C405FE"/>
    <w:rsid w:val="00C40641"/>
    <w:rsid w:val="00C4082F"/>
    <w:rsid w:val="00C40A0A"/>
    <w:rsid w:val="00C40B4A"/>
    <w:rsid w:val="00C40C74"/>
    <w:rsid w:val="00C40F4C"/>
    <w:rsid w:val="00C4102B"/>
    <w:rsid w:val="00C415F7"/>
    <w:rsid w:val="00C4160B"/>
    <w:rsid w:val="00C41985"/>
    <w:rsid w:val="00C41AD0"/>
    <w:rsid w:val="00C41D1E"/>
    <w:rsid w:val="00C41D81"/>
    <w:rsid w:val="00C426B2"/>
    <w:rsid w:val="00C42BE7"/>
    <w:rsid w:val="00C42D85"/>
    <w:rsid w:val="00C433C4"/>
    <w:rsid w:val="00C437CD"/>
    <w:rsid w:val="00C43B41"/>
    <w:rsid w:val="00C43E22"/>
    <w:rsid w:val="00C440EB"/>
    <w:rsid w:val="00C441D8"/>
    <w:rsid w:val="00C44748"/>
    <w:rsid w:val="00C4519A"/>
    <w:rsid w:val="00C45415"/>
    <w:rsid w:val="00C45834"/>
    <w:rsid w:val="00C45D0C"/>
    <w:rsid w:val="00C45EB0"/>
    <w:rsid w:val="00C4633A"/>
    <w:rsid w:val="00C46451"/>
    <w:rsid w:val="00C46486"/>
    <w:rsid w:val="00C46810"/>
    <w:rsid w:val="00C4734C"/>
    <w:rsid w:val="00C50392"/>
    <w:rsid w:val="00C50AE1"/>
    <w:rsid w:val="00C50E0A"/>
    <w:rsid w:val="00C512B7"/>
    <w:rsid w:val="00C51515"/>
    <w:rsid w:val="00C51884"/>
    <w:rsid w:val="00C51A9D"/>
    <w:rsid w:val="00C51AA5"/>
    <w:rsid w:val="00C51B54"/>
    <w:rsid w:val="00C51D13"/>
    <w:rsid w:val="00C52032"/>
    <w:rsid w:val="00C52E97"/>
    <w:rsid w:val="00C53067"/>
    <w:rsid w:val="00C5332A"/>
    <w:rsid w:val="00C533FC"/>
    <w:rsid w:val="00C53ADC"/>
    <w:rsid w:val="00C53B4B"/>
    <w:rsid w:val="00C54035"/>
    <w:rsid w:val="00C540FE"/>
    <w:rsid w:val="00C54598"/>
    <w:rsid w:val="00C554CF"/>
    <w:rsid w:val="00C55590"/>
    <w:rsid w:val="00C55DC5"/>
    <w:rsid w:val="00C56281"/>
    <w:rsid w:val="00C5660B"/>
    <w:rsid w:val="00C56633"/>
    <w:rsid w:val="00C56BB7"/>
    <w:rsid w:val="00C573E1"/>
    <w:rsid w:val="00C577FB"/>
    <w:rsid w:val="00C578A4"/>
    <w:rsid w:val="00C604DB"/>
    <w:rsid w:val="00C60EAA"/>
    <w:rsid w:val="00C60EEA"/>
    <w:rsid w:val="00C61082"/>
    <w:rsid w:val="00C61566"/>
    <w:rsid w:val="00C616B6"/>
    <w:rsid w:val="00C618CE"/>
    <w:rsid w:val="00C61CC5"/>
    <w:rsid w:val="00C62087"/>
    <w:rsid w:val="00C62141"/>
    <w:rsid w:val="00C62241"/>
    <w:rsid w:val="00C62AE2"/>
    <w:rsid w:val="00C62CFF"/>
    <w:rsid w:val="00C630D7"/>
    <w:rsid w:val="00C63412"/>
    <w:rsid w:val="00C6366B"/>
    <w:rsid w:val="00C639C6"/>
    <w:rsid w:val="00C639FB"/>
    <w:rsid w:val="00C63D51"/>
    <w:rsid w:val="00C6438A"/>
    <w:rsid w:val="00C64BF2"/>
    <w:rsid w:val="00C65722"/>
    <w:rsid w:val="00C65B9E"/>
    <w:rsid w:val="00C65E14"/>
    <w:rsid w:val="00C65FE2"/>
    <w:rsid w:val="00C66284"/>
    <w:rsid w:val="00C66807"/>
    <w:rsid w:val="00C66B72"/>
    <w:rsid w:val="00C66D63"/>
    <w:rsid w:val="00C66E3D"/>
    <w:rsid w:val="00C67740"/>
    <w:rsid w:val="00C7030F"/>
    <w:rsid w:val="00C709FD"/>
    <w:rsid w:val="00C7121C"/>
    <w:rsid w:val="00C713CE"/>
    <w:rsid w:val="00C713D2"/>
    <w:rsid w:val="00C71A49"/>
    <w:rsid w:val="00C71C0F"/>
    <w:rsid w:val="00C71F60"/>
    <w:rsid w:val="00C7235C"/>
    <w:rsid w:val="00C726E4"/>
    <w:rsid w:val="00C72736"/>
    <w:rsid w:val="00C72939"/>
    <w:rsid w:val="00C7330B"/>
    <w:rsid w:val="00C73345"/>
    <w:rsid w:val="00C739D6"/>
    <w:rsid w:val="00C73D8E"/>
    <w:rsid w:val="00C746F6"/>
    <w:rsid w:val="00C74A29"/>
    <w:rsid w:val="00C751A0"/>
    <w:rsid w:val="00C7553C"/>
    <w:rsid w:val="00C7582E"/>
    <w:rsid w:val="00C7625C"/>
    <w:rsid w:val="00C762F5"/>
    <w:rsid w:val="00C7651F"/>
    <w:rsid w:val="00C768DE"/>
    <w:rsid w:val="00C769B0"/>
    <w:rsid w:val="00C76DF0"/>
    <w:rsid w:val="00C7755C"/>
    <w:rsid w:val="00C777AC"/>
    <w:rsid w:val="00C7781C"/>
    <w:rsid w:val="00C77BDE"/>
    <w:rsid w:val="00C80067"/>
    <w:rsid w:val="00C8077D"/>
    <w:rsid w:val="00C80D43"/>
    <w:rsid w:val="00C817A5"/>
    <w:rsid w:val="00C819AF"/>
    <w:rsid w:val="00C81B10"/>
    <w:rsid w:val="00C81C21"/>
    <w:rsid w:val="00C825C1"/>
    <w:rsid w:val="00C83467"/>
    <w:rsid w:val="00C8374C"/>
    <w:rsid w:val="00C8384D"/>
    <w:rsid w:val="00C83A04"/>
    <w:rsid w:val="00C83C2A"/>
    <w:rsid w:val="00C83F12"/>
    <w:rsid w:val="00C842DF"/>
    <w:rsid w:val="00C84A25"/>
    <w:rsid w:val="00C851E6"/>
    <w:rsid w:val="00C853B0"/>
    <w:rsid w:val="00C858C1"/>
    <w:rsid w:val="00C85A89"/>
    <w:rsid w:val="00C85B93"/>
    <w:rsid w:val="00C85E9A"/>
    <w:rsid w:val="00C861DF"/>
    <w:rsid w:val="00C8646E"/>
    <w:rsid w:val="00C86F17"/>
    <w:rsid w:val="00C872FB"/>
    <w:rsid w:val="00C87EB8"/>
    <w:rsid w:val="00C90FA6"/>
    <w:rsid w:val="00C9157C"/>
    <w:rsid w:val="00C9176B"/>
    <w:rsid w:val="00C9192C"/>
    <w:rsid w:val="00C91F1F"/>
    <w:rsid w:val="00C91FAE"/>
    <w:rsid w:val="00C92371"/>
    <w:rsid w:val="00C925E5"/>
    <w:rsid w:val="00C9263A"/>
    <w:rsid w:val="00C929B5"/>
    <w:rsid w:val="00C92BBF"/>
    <w:rsid w:val="00C92DFD"/>
    <w:rsid w:val="00C9346A"/>
    <w:rsid w:val="00C93721"/>
    <w:rsid w:val="00C93901"/>
    <w:rsid w:val="00C939C5"/>
    <w:rsid w:val="00C9443A"/>
    <w:rsid w:val="00C94480"/>
    <w:rsid w:val="00C94963"/>
    <w:rsid w:val="00C94A21"/>
    <w:rsid w:val="00C94D25"/>
    <w:rsid w:val="00C94D5E"/>
    <w:rsid w:val="00C94E03"/>
    <w:rsid w:val="00C95188"/>
    <w:rsid w:val="00C9567A"/>
    <w:rsid w:val="00C958E0"/>
    <w:rsid w:val="00C95E86"/>
    <w:rsid w:val="00C96C27"/>
    <w:rsid w:val="00C97568"/>
    <w:rsid w:val="00C97B5F"/>
    <w:rsid w:val="00CA02D4"/>
    <w:rsid w:val="00CA03F7"/>
    <w:rsid w:val="00CA0A77"/>
    <w:rsid w:val="00CA115B"/>
    <w:rsid w:val="00CA1392"/>
    <w:rsid w:val="00CA1713"/>
    <w:rsid w:val="00CA18FF"/>
    <w:rsid w:val="00CA19CA"/>
    <w:rsid w:val="00CA1CAE"/>
    <w:rsid w:val="00CA1CFC"/>
    <w:rsid w:val="00CA2443"/>
    <w:rsid w:val="00CA24E3"/>
    <w:rsid w:val="00CA2AED"/>
    <w:rsid w:val="00CA346B"/>
    <w:rsid w:val="00CA3DC6"/>
    <w:rsid w:val="00CA3FAB"/>
    <w:rsid w:val="00CA4050"/>
    <w:rsid w:val="00CA438E"/>
    <w:rsid w:val="00CA4570"/>
    <w:rsid w:val="00CA4E81"/>
    <w:rsid w:val="00CA51DB"/>
    <w:rsid w:val="00CA594D"/>
    <w:rsid w:val="00CA6001"/>
    <w:rsid w:val="00CA6347"/>
    <w:rsid w:val="00CA646A"/>
    <w:rsid w:val="00CA6A7E"/>
    <w:rsid w:val="00CA6B05"/>
    <w:rsid w:val="00CA736B"/>
    <w:rsid w:val="00CA7658"/>
    <w:rsid w:val="00CA77C5"/>
    <w:rsid w:val="00CA7D38"/>
    <w:rsid w:val="00CA7EA3"/>
    <w:rsid w:val="00CB0568"/>
    <w:rsid w:val="00CB09E7"/>
    <w:rsid w:val="00CB0A18"/>
    <w:rsid w:val="00CB1367"/>
    <w:rsid w:val="00CB15BF"/>
    <w:rsid w:val="00CB1774"/>
    <w:rsid w:val="00CB1B22"/>
    <w:rsid w:val="00CB212D"/>
    <w:rsid w:val="00CB2365"/>
    <w:rsid w:val="00CB25B4"/>
    <w:rsid w:val="00CB2660"/>
    <w:rsid w:val="00CB268E"/>
    <w:rsid w:val="00CB269C"/>
    <w:rsid w:val="00CB33DA"/>
    <w:rsid w:val="00CB3766"/>
    <w:rsid w:val="00CB3D2A"/>
    <w:rsid w:val="00CB51F9"/>
    <w:rsid w:val="00CB56F2"/>
    <w:rsid w:val="00CB5B57"/>
    <w:rsid w:val="00CB639E"/>
    <w:rsid w:val="00CB6563"/>
    <w:rsid w:val="00CB6914"/>
    <w:rsid w:val="00CB6A15"/>
    <w:rsid w:val="00CB6BBC"/>
    <w:rsid w:val="00CB6CDB"/>
    <w:rsid w:val="00CB7019"/>
    <w:rsid w:val="00CB7174"/>
    <w:rsid w:val="00CB738A"/>
    <w:rsid w:val="00CB75DC"/>
    <w:rsid w:val="00CB768E"/>
    <w:rsid w:val="00CB7C44"/>
    <w:rsid w:val="00CC0526"/>
    <w:rsid w:val="00CC08E7"/>
    <w:rsid w:val="00CC0C3B"/>
    <w:rsid w:val="00CC1C27"/>
    <w:rsid w:val="00CC1D21"/>
    <w:rsid w:val="00CC2355"/>
    <w:rsid w:val="00CC2479"/>
    <w:rsid w:val="00CC25EE"/>
    <w:rsid w:val="00CC2CE0"/>
    <w:rsid w:val="00CC2F1C"/>
    <w:rsid w:val="00CC2FB9"/>
    <w:rsid w:val="00CC305E"/>
    <w:rsid w:val="00CC3194"/>
    <w:rsid w:val="00CC31C5"/>
    <w:rsid w:val="00CC33E4"/>
    <w:rsid w:val="00CC40F6"/>
    <w:rsid w:val="00CC437D"/>
    <w:rsid w:val="00CC44AC"/>
    <w:rsid w:val="00CC4507"/>
    <w:rsid w:val="00CC4B7D"/>
    <w:rsid w:val="00CC4E00"/>
    <w:rsid w:val="00CC4FB6"/>
    <w:rsid w:val="00CC4FCD"/>
    <w:rsid w:val="00CC54BA"/>
    <w:rsid w:val="00CC5619"/>
    <w:rsid w:val="00CC5A69"/>
    <w:rsid w:val="00CC5E61"/>
    <w:rsid w:val="00CC5E90"/>
    <w:rsid w:val="00CC5E9E"/>
    <w:rsid w:val="00CC6286"/>
    <w:rsid w:val="00CC62A2"/>
    <w:rsid w:val="00CC636E"/>
    <w:rsid w:val="00CC6DEA"/>
    <w:rsid w:val="00CC6EEB"/>
    <w:rsid w:val="00CC7018"/>
    <w:rsid w:val="00CC7123"/>
    <w:rsid w:val="00CC73C1"/>
    <w:rsid w:val="00CC759E"/>
    <w:rsid w:val="00CC76D2"/>
    <w:rsid w:val="00CC7B6E"/>
    <w:rsid w:val="00CC7BE0"/>
    <w:rsid w:val="00CC7D0D"/>
    <w:rsid w:val="00CD03AA"/>
    <w:rsid w:val="00CD046C"/>
    <w:rsid w:val="00CD07FB"/>
    <w:rsid w:val="00CD0EA6"/>
    <w:rsid w:val="00CD0FF4"/>
    <w:rsid w:val="00CD1071"/>
    <w:rsid w:val="00CD1103"/>
    <w:rsid w:val="00CD186A"/>
    <w:rsid w:val="00CD1947"/>
    <w:rsid w:val="00CD1B0D"/>
    <w:rsid w:val="00CD21DC"/>
    <w:rsid w:val="00CD241B"/>
    <w:rsid w:val="00CD2990"/>
    <w:rsid w:val="00CD2A95"/>
    <w:rsid w:val="00CD37B6"/>
    <w:rsid w:val="00CD395B"/>
    <w:rsid w:val="00CD39A2"/>
    <w:rsid w:val="00CD3E9E"/>
    <w:rsid w:val="00CD4108"/>
    <w:rsid w:val="00CD4338"/>
    <w:rsid w:val="00CD44DE"/>
    <w:rsid w:val="00CD49CE"/>
    <w:rsid w:val="00CD4B09"/>
    <w:rsid w:val="00CD4BA5"/>
    <w:rsid w:val="00CD4EAB"/>
    <w:rsid w:val="00CD6484"/>
    <w:rsid w:val="00CD66CD"/>
    <w:rsid w:val="00CD6740"/>
    <w:rsid w:val="00CD6F85"/>
    <w:rsid w:val="00CD72F1"/>
    <w:rsid w:val="00CD7C47"/>
    <w:rsid w:val="00CE02F4"/>
    <w:rsid w:val="00CE076C"/>
    <w:rsid w:val="00CE0F5A"/>
    <w:rsid w:val="00CE17C9"/>
    <w:rsid w:val="00CE1801"/>
    <w:rsid w:val="00CE245D"/>
    <w:rsid w:val="00CE2A89"/>
    <w:rsid w:val="00CE2FB5"/>
    <w:rsid w:val="00CE3116"/>
    <w:rsid w:val="00CE311B"/>
    <w:rsid w:val="00CE366D"/>
    <w:rsid w:val="00CE3D55"/>
    <w:rsid w:val="00CE434E"/>
    <w:rsid w:val="00CE44CE"/>
    <w:rsid w:val="00CE4764"/>
    <w:rsid w:val="00CE49A5"/>
    <w:rsid w:val="00CE4A64"/>
    <w:rsid w:val="00CE5199"/>
    <w:rsid w:val="00CE5305"/>
    <w:rsid w:val="00CE547B"/>
    <w:rsid w:val="00CE59DE"/>
    <w:rsid w:val="00CE5A44"/>
    <w:rsid w:val="00CE5D46"/>
    <w:rsid w:val="00CE62E0"/>
    <w:rsid w:val="00CE66D5"/>
    <w:rsid w:val="00CE672C"/>
    <w:rsid w:val="00CE69CE"/>
    <w:rsid w:val="00CE6D06"/>
    <w:rsid w:val="00CE7C68"/>
    <w:rsid w:val="00CE7EEB"/>
    <w:rsid w:val="00CE7F4A"/>
    <w:rsid w:val="00CF012B"/>
    <w:rsid w:val="00CF02D8"/>
    <w:rsid w:val="00CF02DB"/>
    <w:rsid w:val="00CF0417"/>
    <w:rsid w:val="00CF0811"/>
    <w:rsid w:val="00CF102F"/>
    <w:rsid w:val="00CF1FAC"/>
    <w:rsid w:val="00CF21F2"/>
    <w:rsid w:val="00CF29AF"/>
    <w:rsid w:val="00CF2B4C"/>
    <w:rsid w:val="00CF2D2D"/>
    <w:rsid w:val="00CF3144"/>
    <w:rsid w:val="00CF351C"/>
    <w:rsid w:val="00CF45D6"/>
    <w:rsid w:val="00CF46FB"/>
    <w:rsid w:val="00CF4A54"/>
    <w:rsid w:val="00CF4EE8"/>
    <w:rsid w:val="00CF4F4B"/>
    <w:rsid w:val="00CF51D1"/>
    <w:rsid w:val="00CF5346"/>
    <w:rsid w:val="00CF55F9"/>
    <w:rsid w:val="00CF5907"/>
    <w:rsid w:val="00CF5B9C"/>
    <w:rsid w:val="00CF5C49"/>
    <w:rsid w:val="00CF637A"/>
    <w:rsid w:val="00CF6754"/>
    <w:rsid w:val="00CF6787"/>
    <w:rsid w:val="00CF6DE7"/>
    <w:rsid w:val="00CF7A42"/>
    <w:rsid w:val="00CF7E17"/>
    <w:rsid w:val="00D0014F"/>
    <w:rsid w:val="00D00383"/>
    <w:rsid w:val="00D0086F"/>
    <w:rsid w:val="00D00928"/>
    <w:rsid w:val="00D00A36"/>
    <w:rsid w:val="00D00C12"/>
    <w:rsid w:val="00D00C9C"/>
    <w:rsid w:val="00D010CF"/>
    <w:rsid w:val="00D0175B"/>
    <w:rsid w:val="00D01BBD"/>
    <w:rsid w:val="00D01FD1"/>
    <w:rsid w:val="00D02555"/>
    <w:rsid w:val="00D02700"/>
    <w:rsid w:val="00D02DB7"/>
    <w:rsid w:val="00D03CA4"/>
    <w:rsid w:val="00D03E7E"/>
    <w:rsid w:val="00D03F26"/>
    <w:rsid w:val="00D03F68"/>
    <w:rsid w:val="00D04259"/>
    <w:rsid w:val="00D044BD"/>
    <w:rsid w:val="00D046C4"/>
    <w:rsid w:val="00D04F27"/>
    <w:rsid w:val="00D052B4"/>
    <w:rsid w:val="00D05582"/>
    <w:rsid w:val="00D05894"/>
    <w:rsid w:val="00D059DE"/>
    <w:rsid w:val="00D05BD3"/>
    <w:rsid w:val="00D062FF"/>
    <w:rsid w:val="00D063AD"/>
    <w:rsid w:val="00D066BF"/>
    <w:rsid w:val="00D068DE"/>
    <w:rsid w:val="00D0706F"/>
    <w:rsid w:val="00D078F2"/>
    <w:rsid w:val="00D07CD3"/>
    <w:rsid w:val="00D108E9"/>
    <w:rsid w:val="00D10E07"/>
    <w:rsid w:val="00D10F5B"/>
    <w:rsid w:val="00D115BF"/>
    <w:rsid w:val="00D1165D"/>
    <w:rsid w:val="00D11A5E"/>
    <w:rsid w:val="00D11BF0"/>
    <w:rsid w:val="00D11DCC"/>
    <w:rsid w:val="00D1255D"/>
    <w:rsid w:val="00D12665"/>
    <w:rsid w:val="00D12CAB"/>
    <w:rsid w:val="00D12EFE"/>
    <w:rsid w:val="00D13D09"/>
    <w:rsid w:val="00D13FCE"/>
    <w:rsid w:val="00D14699"/>
    <w:rsid w:val="00D149F1"/>
    <w:rsid w:val="00D14C91"/>
    <w:rsid w:val="00D14D4D"/>
    <w:rsid w:val="00D14D5F"/>
    <w:rsid w:val="00D14ECA"/>
    <w:rsid w:val="00D14F16"/>
    <w:rsid w:val="00D15239"/>
    <w:rsid w:val="00D15325"/>
    <w:rsid w:val="00D15433"/>
    <w:rsid w:val="00D158D0"/>
    <w:rsid w:val="00D15EC3"/>
    <w:rsid w:val="00D15F59"/>
    <w:rsid w:val="00D162A1"/>
    <w:rsid w:val="00D163F2"/>
    <w:rsid w:val="00D16487"/>
    <w:rsid w:val="00D1653B"/>
    <w:rsid w:val="00D166BA"/>
    <w:rsid w:val="00D167FE"/>
    <w:rsid w:val="00D17308"/>
    <w:rsid w:val="00D173C6"/>
    <w:rsid w:val="00D17482"/>
    <w:rsid w:val="00D17CC0"/>
    <w:rsid w:val="00D17D93"/>
    <w:rsid w:val="00D200F6"/>
    <w:rsid w:val="00D20226"/>
    <w:rsid w:val="00D202AC"/>
    <w:rsid w:val="00D20A44"/>
    <w:rsid w:val="00D20AB9"/>
    <w:rsid w:val="00D20BD7"/>
    <w:rsid w:val="00D20D0E"/>
    <w:rsid w:val="00D20FB9"/>
    <w:rsid w:val="00D2116F"/>
    <w:rsid w:val="00D211CE"/>
    <w:rsid w:val="00D21320"/>
    <w:rsid w:val="00D215AA"/>
    <w:rsid w:val="00D21891"/>
    <w:rsid w:val="00D21966"/>
    <w:rsid w:val="00D21A95"/>
    <w:rsid w:val="00D21D43"/>
    <w:rsid w:val="00D21DB7"/>
    <w:rsid w:val="00D21F40"/>
    <w:rsid w:val="00D22010"/>
    <w:rsid w:val="00D226F1"/>
    <w:rsid w:val="00D2281E"/>
    <w:rsid w:val="00D22E6B"/>
    <w:rsid w:val="00D22E8A"/>
    <w:rsid w:val="00D22EE5"/>
    <w:rsid w:val="00D2333E"/>
    <w:rsid w:val="00D2360B"/>
    <w:rsid w:val="00D236A7"/>
    <w:rsid w:val="00D23811"/>
    <w:rsid w:val="00D2399B"/>
    <w:rsid w:val="00D239E9"/>
    <w:rsid w:val="00D2474D"/>
    <w:rsid w:val="00D248F7"/>
    <w:rsid w:val="00D24A7F"/>
    <w:rsid w:val="00D24AA7"/>
    <w:rsid w:val="00D24EFB"/>
    <w:rsid w:val="00D251F2"/>
    <w:rsid w:val="00D25974"/>
    <w:rsid w:val="00D25DA5"/>
    <w:rsid w:val="00D25E53"/>
    <w:rsid w:val="00D26301"/>
    <w:rsid w:val="00D2665A"/>
    <w:rsid w:val="00D26A84"/>
    <w:rsid w:val="00D26D2F"/>
    <w:rsid w:val="00D26EFF"/>
    <w:rsid w:val="00D27665"/>
    <w:rsid w:val="00D27700"/>
    <w:rsid w:val="00D27B53"/>
    <w:rsid w:val="00D302DD"/>
    <w:rsid w:val="00D306D1"/>
    <w:rsid w:val="00D306F3"/>
    <w:rsid w:val="00D308F8"/>
    <w:rsid w:val="00D30DD0"/>
    <w:rsid w:val="00D31642"/>
    <w:rsid w:val="00D31674"/>
    <w:rsid w:val="00D31753"/>
    <w:rsid w:val="00D32002"/>
    <w:rsid w:val="00D32009"/>
    <w:rsid w:val="00D32082"/>
    <w:rsid w:val="00D324B3"/>
    <w:rsid w:val="00D329C8"/>
    <w:rsid w:val="00D32C8A"/>
    <w:rsid w:val="00D33614"/>
    <w:rsid w:val="00D33852"/>
    <w:rsid w:val="00D33903"/>
    <w:rsid w:val="00D33AF6"/>
    <w:rsid w:val="00D33E17"/>
    <w:rsid w:val="00D34291"/>
    <w:rsid w:val="00D343B8"/>
    <w:rsid w:val="00D34786"/>
    <w:rsid w:val="00D34E46"/>
    <w:rsid w:val="00D34E8F"/>
    <w:rsid w:val="00D34EC4"/>
    <w:rsid w:val="00D35829"/>
    <w:rsid w:val="00D35966"/>
    <w:rsid w:val="00D35F36"/>
    <w:rsid w:val="00D35F98"/>
    <w:rsid w:val="00D3633F"/>
    <w:rsid w:val="00D363CB"/>
    <w:rsid w:val="00D364BB"/>
    <w:rsid w:val="00D367BC"/>
    <w:rsid w:val="00D3681A"/>
    <w:rsid w:val="00D36DC7"/>
    <w:rsid w:val="00D3710A"/>
    <w:rsid w:val="00D372D7"/>
    <w:rsid w:val="00D373D6"/>
    <w:rsid w:val="00D373F6"/>
    <w:rsid w:val="00D3796E"/>
    <w:rsid w:val="00D37B53"/>
    <w:rsid w:val="00D40168"/>
    <w:rsid w:val="00D4075D"/>
    <w:rsid w:val="00D409A3"/>
    <w:rsid w:val="00D41BBF"/>
    <w:rsid w:val="00D41DC9"/>
    <w:rsid w:val="00D42D45"/>
    <w:rsid w:val="00D43262"/>
    <w:rsid w:val="00D432DB"/>
    <w:rsid w:val="00D43835"/>
    <w:rsid w:val="00D43A4E"/>
    <w:rsid w:val="00D44110"/>
    <w:rsid w:val="00D44154"/>
    <w:rsid w:val="00D44D1C"/>
    <w:rsid w:val="00D455DD"/>
    <w:rsid w:val="00D45802"/>
    <w:rsid w:val="00D460B9"/>
    <w:rsid w:val="00D4610B"/>
    <w:rsid w:val="00D4628A"/>
    <w:rsid w:val="00D46A1F"/>
    <w:rsid w:val="00D46B2C"/>
    <w:rsid w:val="00D46D5C"/>
    <w:rsid w:val="00D47537"/>
    <w:rsid w:val="00D47A8E"/>
    <w:rsid w:val="00D47E7A"/>
    <w:rsid w:val="00D500F8"/>
    <w:rsid w:val="00D5022E"/>
    <w:rsid w:val="00D506C4"/>
    <w:rsid w:val="00D50CF0"/>
    <w:rsid w:val="00D50D9E"/>
    <w:rsid w:val="00D50E69"/>
    <w:rsid w:val="00D51633"/>
    <w:rsid w:val="00D51F61"/>
    <w:rsid w:val="00D5202C"/>
    <w:rsid w:val="00D524E7"/>
    <w:rsid w:val="00D52C6D"/>
    <w:rsid w:val="00D52D14"/>
    <w:rsid w:val="00D531E3"/>
    <w:rsid w:val="00D538AD"/>
    <w:rsid w:val="00D5390E"/>
    <w:rsid w:val="00D53DEB"/>
    <w:rsid w:val="00D543A9"/>
    <w:rsid w:val="00D5477A"/>
    <w:rsid w:val="00D54B9C"/>
    <w:rsid w:val="00D550AF"/>
    <w:rsid w:val="00D553E1"/>
    <w:rsid w:val="00D55868"/>
    <w:rsid w:val="00D55A37"/>
    <w:rsid w:val="00D55F11"/>
    <w:rsid w:val="00D5619A"/>
    <w:rsid w:val="00D5621D"/>
    <w:rsid w:val="00D5671A"/>
    <w:rsid w:val="00D57276"/>
    <w:rsid w:val="00D5747F"/>
    <w:rsid w:val="00D57732"/>
    <w:rsid w:val="00D57E70"/>
    <w:rsid w:val="00D6022F"/>
    <w:rsid w:val="00D60299"/>
    <w:rsid w:val="00D603D4"/>
    <w:rsid w:val="00D60CA1"/>
    <w:rsid w:val="00D60F3A"/>
    <w:rsid w:val="00D61041"/>
    <w:rsid w:val="00D612F9"/>
    <w:rsid w:val="00D616FB"/>
    <w:rsid w:val="00D61BBF"/>
    <w:rsid w:val="00D61CF7"/>
    <w:rsid w:val="00D6214E"/>
    <w:rsid w:val="00D6288F"/>
    <w:rsid w:val="00D62C33"/>
    <w:rsid w:val="00D62D3D"/>
    <w:rsid w:val="00D62EE3"/>
    <w:rsid w:val="00D63D41"/>
    <w:rsid w:val="00D6401D"/>
    <w:rsid w:val="00D64185"/>
    <w:rsid w:val="00D64202"/>
    <w:rsid w:val="00D645AE"/>
    <w:rsid w:val="00D64A85"/>
    <w:rsid w:val="00D64E6C"/>
    <w:rsid w:val="00D64FF2"/>
    <w:rsid w:val="00D64FFE"/>
    <w:rsid w:val="00D652B5"/>
    <w:rsid w:val="00D65495"/>
    <w:rsid w:val="00D65F09"/>
    <w:rsid w:val="00D66426"/>
    <w:rsid w:val="00D664FC"/>
    <w:rsid w:val="00D66A14"/>
    <w:rsid w:val="00D66B72"/>
    <w:rsid w:val="00D67008"/>
    <w:rsid w:val="00D6729B"/>
    <w:rsid w:val="00D67CC4"/>
    <w:rsid w:val="00D70810"/>
    <w:rsid w:val="00D71233"/>
    <w:rsid w:val="00D712D3"/>
    <w:rsid w:val="00D71422"/>
    <w:rsid w:val="00D7151E"/>
    <w:rsid w:val="00D71A36"/>
    <w:rsid w:val="00D71F31"/>
    <w:rsid w:val="00D724ED"/>
    <w:rsid w:val="00D7257D"/>
    <w:rsid w:val="00D72582"/>
    <w:rsid w:val="00D72DC6"/>
    <w:rsid w:val="00D730DB"/>
    <w:rsid w:val="00D7337D"/>
    <w:rsid w:val="00D738D1"/>
    <w:rsid w:val="00D73BC8"/>
    <w:rsid w:val="00D73D84"/>
    <w:rsid w:val="00D74600"/>
    <w:rsid w:val="00D7463D"/>
    <w:rsid w:val="00D74BA2"/>
    <w:rsid w:val="00D74D79"/>
    <w:rsid w:val="00D7519B"/>
    <w:rsid w:val="00D752E8"/>
    <w:rsid w:val="00D7558D"/>
    <w:rsid w:val="00D758B9"/>
    <w:rsid w:val="00D75997"/>
    <w:rsid w:val="00D75E0D"/>
    <w:rsid w:val="00D75FA5"/>
    <w:rsid w:val="00D75FAD"/>
    <w:rsid w:val="00D7603D"/>
    <w:rsid w:val="00D7609D"/>
    <w:rsid w:val="00D76222"/>
    <w:rsid w:val="00D76409"/>
    <w:rsid w:val="00D7682C"/>
    <w:rsid w:val="00D7684D"/>
    <w:rsid w:val="00D76A3C"/>
    <w:rsid w:val="00D76B90"/>
    <w:rsid w:val="00D76FEB"/>
    <w:rsid w:val="00D77087"/>
    <w:rsid w:val="00D7724D"/>
    <w:rsid w:val="00D77E3E"/>
    <w:rsid w:val="00D80196"/>
    <w:rsid w:val="00D80B10"/>
    <w:rsid w:val="00D80BAC"/>
    <w:rsid w:val="00D810A9"/>
    <w:rsid w:val="00D810EB"/>
    <w:rsid w:val="00D81D92"/>
    <w:rsid w:val="00D81DB1"/>
    <w:rsid w:val="00D820EB"/>
    <w:rsid w:val="00D8270C"/>
    <w:rsid w:val="00D828B3"/>
    <w:rsid w:val="00D82F90"/>
    <w:rsid w:val="00D832DD"/>
    <w:rsid w:val="00D8336D"/>
    <w:rsid w:val="00D83493"/>
    <w:rsid w:val="00D83533"/>
    <w:rsid w:val="00D837C5"/>
    <w:rsid w:val="00D84457"/>
    <w:rsid w:val="00D8456A"/>
    <w:rsid w:val="00D8460F"/>
    <w:rsid w:val="00D84D35"/>
    <w:rsid w:val="00D84F1F"/>
    <w:rsid w:val="00D85115"/>
    <w:rsid w:val="00D85BCD"/>
    <w:rsid w:val="00D85D3C"/>
    <w:rsid w:val="00D85EAB"/>
    <w:rsid w:val="00D85EF7"/>
    <w:rsid w:val="00D86458"/>
    <w:rsid w:val="00D86479"/>
    <w:rsid w:val="00D86926"/>
    <w:rsid w:val="00D86B6A"/>
    <w:rsid w:val="00D86C32"/>
    <w:rsid w:val="00D86C80"/>
    <w:rsid w:val="00D870D0"/>
    <w:rsid w:val="00D871DD"/>
    <w:rsid w:val="00D87369"/>
    <w:rsid w:val="00D8739D"/>
    <w:rsid w:val="00D87778"/>
    <w:rsid w:val="00D878B9"/>
    <w:rsid w:val="00D87BF1"/>
    <w:rsid w:val="00D900B7"/>
    <w:rsid w:val="00D90284"/>
    <w:rsid w:val="00D906FD"/>
    <w:rsid w:val="00D90BA2"/>
    <w:rsid w:val="00D90CDF"/>
    <w:rsid w:val="00D91193"/>
    <w:rsid w:val="00D91266"/>
    <w:rsid w:val="00D91882"/>
    <w:rsid w:val="00D91DF1"/>
    <w:rsid w:val="00D91E4A"/>
    <w:rsid w:val="00D91F0B"/>
    <w:rsid w:val="00D92701"/>
    <w:rsid w:val="00D927A3"/>
    <w:rsid w:val="00D928B6"/>
    <w:rsid w:val="00D9291F"/>
    <w:rsid w:val="00D92C49"/>
    <w:rsid w:val="00D92CC8"/>
    <w:rsid w:val="00D9324C"/>
    <w:rsid w:val="00D938BF"/>
    <w:rsid w:val="00D9413C"/>
    <w:rsid w:val="00D946C8"/>
    <w:rsid w:val="00D9479F"/>
    <w:rsid w:val="00D94887"/>
    <w:rsid w:val="00D94A3B"/>
    <w:rsid w:val="00D94C5E"/>
    <w:rsid w:val="00D957DD"/>
    <w:rsid w:val="00D95A66"/>
    <w:rsid w:val="00D95CAC"/>
    <w:rsid w:val="00D961AB"/>
    <w:rsid w:val="00D9622E"/>
    <w:rsid w:val="00D967D0"/>
    <w:rsid w:val="00D96C19"/>
    <w:rsid w:val="00D96E10"/>
    <w:rsid w:val="00D9739F"/>
    <w:rsid w:val="00D97446"/>
    <w:rsid w:val="00D974F6"/>
    <w:rsid w:val="00D9757F"/>
    <w:rsid w:val="00D9763D"/>
    <w:rsid w:val="00D9793C"/>
    <w:rsid w:val="00D97B6E"/>
    <w:rsid w:val="00D97E2E"/>
    <w:rsid w:val="00DA05DA"/>
    <w:rsid w:val="00DA080E"/>
    <w:rsid w:val="00DA0ACA"/>
    <w:rsid w:val="00DA0B90"/>
    <w:rsid w:val="00DA0CF1"/>
    <w:rsid w:val="00DA126C"/>
    <w:rsid w:val="00DA138B"/>
    <w:rsid w:val="00DA14C8"/>
    <w:rsid w:val="00DA14E2"/>
    <w:rsid w:val="00DA1993"/>
    <w:rsid w:val="00DA2039"/>
    <w:rsid w:val="00DA2351"/>
    <w:rsid w:val="00DA2675"/>
    <w:rsid w:val="00DA28AB"/>
    <w:rsid w:val="00DA2C92"/>
    <w:rsid w:val="00DA2F5A"/>
    <w:rsid w:val="00DA2FBF"/>
    <w:rsid w:val="00DA3047"/>
    <w:rsid w:val="00DA3641"/>
    <w:rsid w:val="00DA380D"/>
    <w:rsid w:val="00DA3C27"/>
    <w:rsid w:val="00DA3DFC"/>
    <w:rsid w:val="00DA3F22"/>
    <w:rsid w:val="00DA4372"/>
    <w:rsid w:val="00DA451E"/>
    <w:rsid w:val="00DA4592"/>
    <w:rsid w:val="00DA59AB"/>
    <w:rsid w:val="00DA5F5C"/>
    <w:rsid w:val="00DA5F77"/>
    <w:rsid w:val="00DA5FD7"/>
    <w:rsid w:val="00DA690E"/>
    <w:rsid w:val="00DA6D54"/>
    <w:rsid w:val="00DA7111"/>
    <w:rsid w:val="00DA7A19"/>
    <w:rsid w:val="00DA7B5F"/>
    <w:rsid w:val="00DA7BF2"/>
    <w:rsid w:val="00DA7EE8"/>
    <w:rsid w:val="00DB00A0"/>
    <w:rsid w:val="00DB0A25"/>
    <w:rsid w:val="00DB11C3"/>
    <w:rsid w:val="00DB1255"/>
    <w:rsid w:val="00DB1335"/>
    <w:rsid w:val="00DB1657"/>
    <w:rsid w:val="00DB1767"/>
    <w:rsid w:val="00DB1843"/>
    <w:rsid w:val="00DB2856"/>
    <w:rsid w:val="00DB2A6D"/>
    <w:rsid w:val="00DB2B41"/>
    <w:rsid w:val="00DB32E8"/>
    <w:rsid w:val="00DB330D"/>
    <w:rsid w:val="00DB3563"/>
    <w:rsid w:val="00DB3618"/>
    <w:rsid w:val="00DB397C"/>
    <w:rsid w:val="00DB3EE1"/>
    <w:rsid w:val="00DB4292"/>
    <w:rsid w:val="00DB4443"/>
    <w:rsid w:val="00DB50A5"/>
    <w:rsid w:val="00DB567E"/>
    <w:rsid w:val="00DB5A76"/>
    <w:rsid w:val="00DB5C1D"/>
    <w:rsid w:val="00DB63D6"/>
    <w:rsid w:val="00DB69E7"/>
    <w:rsid w:val="00DB6BC5"/>
    <w:rsid w:val="00DB6CA2"/>
    <w:rsid w:val="00DB7AEB"/>
    <w:rsid w:val="00DC0183"/>
    <w:rsid w:val="00DC01D2"/>
    <w:rsid w:val="00DC0391"/>
    <w:rsid w:val="00DC0482"/>
    <w:rsid w:val="00DC0551"/>
    <w:rsid w:val="00DC0767"/>
    <w:rsid w:val="00DC0D80"/>
    <w:rsid w:val="00DC11E7"/>
    <w:rsid w:val="00DC140D"/>
    <w:rsid w:val="00DC1A2E"/>
    <w:rsid w:val="00DC1B5B"/>
    <w:rsid w:val="00DC1D18"/>
    <w:rsid w:val="00DC1E9C"/>
    <w:rsid w:val="00DC2B87"/>
    <w:rsid w:val="00DC337C"/>
    <w:rsid w:val="00DC3981"/>
    <w:rsid w:val="00DC4351"/>
    <w:rsid w:val="00DC435F"/>
    <w:rsid w:val="00DC499C"/>
    <w:rsid w:val="00DC51CC"/>
    <w:rsid w:val="00DC51DD"/>
    <w:rsid w:val="00DC5C29"/>
    <w:rsid w:val="00DC6095"/>
    <w:rsid w:val="00DC61EE"/>
    <w:rsid w:val="00DC672D"/>
    <w:rsid w:val="00DC6783"/>
    <w:rsid w:val="00DC67B2"/>
    <w:rsid w:val="00DC6B69"/>
    <w:rsid w:val="00DC6F0A"/>
    <w:rsid w:val="00DC6F6C"/>
    <w:rsid w:val="00DC6F7C"/>
    <w:rsid w:val="00DC7023"/>
    <w:rsid w:val="00DC769A"/>
    <w:rsid w:val="00DC7E66"/>
    <w:rsid w:val="00DD063E"/>
    <w:rsid w:val="00DD0888"/>
    <w:rsid w:val="00DD0BBA"/>
    <w:rsid w:val="00DD0D6E"/>
    <w:rsid w:val="00DD0E82"/>
    <w:rsid w:val="00DD1443"/>
    <w:rsid w:val="00DD20AE"/>
    <w:rsid w:val="00DD2142"/>
    <w:rsid w:val="00DD24ED"/>
    <w:rsid w:val="00DD2B47"/>
    <w:rsid w:val="00DD2FAB"/>
    <w:rsid w:val="00DD31F9"/>
    <w:rsid w:val="00DD3D86"/>
    <w:rsid w:val="00DD3E65"/>
    <w:rsid w:val="00DD410F"/>
    <w:rsid w:val="00DD4712"/>
    <w:rsid w:val="00DD4857"/>
    <w:rsid w:val="00DD49CF"/>
    <w:rsid w:val="00DD4C4D"/>
    <w:rsid w:val="00DD584C"/>
    <w:rsid w:val="00DD5895"/>
    <w:rsid w:val="00DD5B44"/>
    <w:rsid w:val="00DD5BBB"/>
    <w:rsid w:val="00DD5CC2"/>
    <w:rsid w:val="00DD65CF"/>
    <w:rsid w:val="00DD684B"/>
    <w:rsid w:val="00DD6B3B"/>
    <w:rsid w:val="00DD6D14"/>
    <w:rsid w:val="00DD6D40"/>
    <w:rsid w:val="00DD6D92"/>
    <w:rsid w:val="00DD6F74"/>
    <w:rsid w:val="00DD70D2"/>
    <w:rsid w:val="00DD730D"/>
    <w:rsid w:val="00DD778B"/>
    <w:rsid w:val="00DE02F3"/>
    <w:rsid w:val="00DE07D2"/>
    <w:rsid w:val="00DE07E4"/>
    <w:rsid w:val="00DE08F6"/>
    <w:rsid w:val="00DE09A1"/>
    <w:rsid w:val="00DE09A5"/>
    <w:rsid w:val="00DE0A59"/>
    <w:rsid w:val="00DE1353"/>
    <w:rsid w:val="00DE1989"/>
    <w:rsid w:val="00DE21FB"/>
    <w:rsid w:val="00DE2229"/>
    <w:rsid w:val="00DE2387"/>
    <w:rsid w:val="00DE26A0"/>
    <w:rsid w:val="00DE2805"/>
    <w:rsid w:val="00DE2B9E"/>
    <w:rsid w:val="00DE2DCE"/>
    <w:rsid w:val="00DE30FA"/>
    <w:rsid w:val="00DE3991"/>
    <w:rsid w:val="00DE4453"/>
    <w:rsid w:val="00DE4479"/>
    <w:rsid w:val="00DE449B"/>
    <w:rsid w:val="00DE499B"/>
    <w:rsid w:val="00DE4C67"/>
    <w:rsid w:val="00DE4D69"/>
    <w:rsid w:val="00DE4EC3"/>
    <w:rsid w:val="00DE56F7"/>
    <w:rsid w:val="00DE57FA"/>
    <w:rsid w:val="00DE610F"/>
    <w:rsid w:val="00DE643E"/>
    <w:rsid w:val="00DE6C28"/>
    <w:rsid w:val="00DE6CA6"/>
    <w:rsid w:val="00DE70AC"/>
    <w:rsid w:val="00DE710B"/>
    <w:rsid w:val="00DE7267"/>
    <w:rsid w:val="00DE792A"/>
    <w:rsid w:val="00DF01D3"/>
    <w:rsid w:val="00DF087C"/>
    <w:rsid w:val="00DF0C1C"/>
    <w:rsid w:val="00DF0F2C"/>
    <w:rsid w:val="00DF0FC5"/>
    <w:rsid w:val="00DF0FC6"/>
    <w:rsid w:val="00DF13ED"/>
    <w:rsid w:val="00DF1593"/>
    <w:rsid w:val="00DF1B4B"/>
    <w:rsid w:val="00DF1BCE"/>
    <w:rsid w:val="00DF203B"/>
    <w:rsid w:val="00DF26AA"/>
    <w:rsid w:val="00DF2C04"/>
    <w:rsid w:val="00DF2CDA"/>
    <w:rsid w:val="00DF2D7E"/>
    <w:rsid w:val="00DF34DF"/>
    <w:rsid w:val="00DF36A5"/>
    <w:rsid w:val="00DF3BCF"/>
    <w:rsid w:val="00DF41C7"/>
    <w:rsid w:val="00DF432E"/>
    <w:rsid w:val="00DF4797"/>
    <w:rsid w:val="00DF4976"/>
    <w:rsid w:val="00DF4BDC"/>
    <w:rsid w:val="00DF4DC3"/>
    <w:rsid w:val="00DF50FC"/>
    <w:rsid w:val="00DF5814"/>
    <w:rsid w:val="00DF5B6E"/>
    <w:rsid w:val="00DF5E7D"/>
    <w:rsid w:val="00DF6137"/>
    <w:rsid w:val="00DF640C"/>
    <w:rsid w:val="00DF6541"/>
    <w:rsid w:val="00DF66C9"/>
    <w:rsid w:val="00DF6D65"/>
    <w:rsid w:val="00DF6EE0"/>
    <w:rsid w:val="00DF7034"/>
    <w:rsid w:val="00DF7740"/>
    <w:rsid w:val="00DF7F34"/>
    <w:rsid w:val="00E0018F"/>
    <w:rsid w:val="00E00575"/>
    <w:rsid w:val="00E007B6"/>
    <w:rsid w:val="00E00943"/>
    <w:rsid w:val="00E00BED"/>
    <w:rsid w:val="00E00E8B"/>
    <w:rsid w:val="00E010E1"/>
    <w:rsid w:val="00E01699"/>
    <w:rsid w:val="00E01F68"/>
    <w:rsid w:val="00E0225F"/>
    <w:rsid w:val="00E0238B"/>
    <w:rsid w:val="00E025B6"/>
    <w:rsid w:val="00E02D81"/>
    <w:rsid w:val="00E02F88"/>
    <w:rsid w:val="00E02F8F"/>
    <w:rsid w:val="00E03338"/>
    <w:rsid w:val="00E0340B"/>
    <w:rsid w:val="00E03579"/>
    <w:rsid w:val="00E03C99"/>
    <w:rsid w:val="00E03D10"/>
    <w:rsid w:val="00E03E6D"/>
    <w:rsid w:val="00E04626"/>
    <w:rsid w:val="00E04B90"/>
    <w:rsid w:val="00E050D2"/>
    <w:rsid w:val="00E05117"/>
    <w:rsid w:val="00E05283"/>
    <w:rsid w:val="00E0542D"/>
    <w:rsid w:val="00E054BE"/>
    <w:rsid w:val="00E05590"/>
    <w:rsid w:val="00E05839"/>
    <w:rsid w:val="00E05963"/>
    <w:rsid w:val="00E05DD4"/>
    <w:rsid w:val="00E060A5"/>
    <w:rsid w:val="00E062A0"/>
    <w:rsid w:val="00E06482"/>
    <w:rsid w:val="00E06600"/>
    <w:rsid w:val="00E066FE"/>
    <w:rsid w:val="00E06907"/>
    <w:rsid w:val="00E07283"/>
    <w:rsid w:val="00E073AA"/>
    <w:rsid w:val="00E07432"/>
    <w:rsid w:val="00E07651"/>
    <w:rsid w:val="00E076CF"/>
    <w:rsid w:val="00E07921"/>
    <w:rsid w:val="00E07A00"/>
    <w:rsid w:val="00E07BDD"/>
    <w:rsid w:val="00E07E9F"/>
    <w:rsid w:val="00E07F44"/>
    <w:rsid w:val="00E07FFB"/>
    <w:rsid w:val="00E100AC"/>
    <w:rsid w:val="00E1010A"/>
    <w:rsid w:val="00E10211"/>
    <w:rsid w:val="00E10288"/>
    <w:rsid w:val="00E10B87"/>
    <w:rsid w:val="00E11263"/>
    <w:rsid w:val="00E113FD"/>
    <w:rsid w:val="00E116DD"/>
    <w:rsid w:val="00E11C7C"/>
    <w:rsid w:val="00E11EFC"/>
    <w:rsid w:val="00E12008"/>
    <w:rsid w:val="00E129DA"/>
    <w:rsid w:val="00E12D6E"/>
    <w:rsid w:val="00E12FA4"/>
    <w:rsid w:val="00E132E4"/>
    <w:rsid w:val="00E1365D"/>
    <w:rsid w:val="00E138C0"/>
    <w:rsid w:val="00E13D83"/>
    <w:rsid w:val="00E140CF"/>
    <w:rsid w:val="00E149A2"/>
    <w:rsid w:val="00E14A07"/>
    <w:rsid w:val="00E14F9B"/>
    <w:rsid w:val="00E1541F"/>
    <w:rsid w:val="00E15452"/>
    <w:rsid w:val="00E15B38"/>
    <w:rsid w:val="00E15E74"/>
    <w:rsid w:val="00E161B6"/>
    <w:rsid w:val="00E166A0"/>
    <w:rsid w:val="00E16752"/>
    <w:rsid w:val="00E168F4"/>
    <w:rsid w:val="00E16A50"/>
    <w:rsid w:val="00E16CA3"/>
    <w:rsid w:val="00E16D17"/>
    <w:rsid w:val="00E17B93"/>
    <w:rsid w:val="00E20125"/>
    <w:rsid w:val="00E202A3"/>
    <w:rsid w:val="00E20589"/>
    <w:rsid w:val="00E206A7"/>
    <w:rsid w:val="00E209A8"/>
    <w:rsid w:val="00E20E99"/>
    <w:rsid w:val="00E20EBA"/>
    <w:rsid w:val="00E21558"/>
    <w:rsid w:val="00E216FE"/>
    <w:rsid w:val="00E2197C"/>
    <w:rsid w:val="00E219C7"/>
    <w:rsid w:val="00E21F0D"/>
    <w:rsid w:val="00E22085"/>
    <w:rsid w:val="00E2257A"/>
    <w:rsid w:val="00E2265D"/>
    <w:rsid w:val="00E226AD"/>
    <w:rsid w:val="00E2332B"/>
    <w:rsid w:val="00E236F6"/>
    <w:rsid w:val="00E239AD"/>
    <w:rsid w:val="00E23E3D"/>
    <w:rsid w:val="00E23EAA"/>
    <w:rsid w:val="00E23FC1"/>
    <w:rsid w:val="00E247B9"/>
    <w:rsid w:val="00E24D17"/>
    <w:rsid w:val="00E24E60"/>
    <w:rsid w:val="00E25B14"/>
    <w:rsid w:val="00E26C3D"/>
    <w:rsid w:val="00E2717A"/>
    <w:rsid w:val="00E27B5E"/>
    <w:rsid w:val="00E27C22"/>
    <w:rsid w:val="00E27E1F"/>
    <w:rsid w:val="00E30427"/>
    <w:rsid w:val="00E304D5"/>
    <w:rsid w:val="00E30B8F"/>
    <w:rsid w:val="00E31199"/>
    <w:rsid w:val="00E31206"/>
    <w:rsid w:val="00E3130F"/>
    <w:rsid w:val="00E31324"/>
    <w:rsid w:val="00E314B1"/>
    <w:rsid w:val="00E3162A"/>
    <w:rsid w:val="00E3229C"/>
    <w:rsid w:val="00E3282D"/>
    <w:rsid w:val="00E32E6B"/>
    <w:rsid w:val="00E334EE"/>
    <w:rsid w:val="00E34447"/>
    <w:rsid w:val="00E34B4D"/>
    <w:rsid w:val="00E34B77"/>
    <w:rsid w:val="00E34E0F"/>
    <w:rsid w:val="00E34E25"/>
    <w:rsid w:val="00E34F67"/>
    <w:rsid w:val="00E34F86"/>
    <w:rsid w:val="00E35456"/>
    <w:rsid w:val="00E3569E"/>
    <w:rsid w:val="00E35C6A"/>
    <w:rsid w:val="00E35F67"/>
    <w:rsid w:val="00E36321"/>
    <w:rsid w:val="00E3643F"/>
    <w:rsid w:val="00E36709"/>
    <w:rsid w:val="00E3711F"/>
    <w:rsid w:val="00E375F7"/>
    <w:rsid w:val="00E379B5"/>
    <w:rsid w:val="00E379FB"/>
    <w:rsid w:val="00E40449"/>
    <w:rsid w:val="00E404DA"/>
    <w:rsid w:val="00E40EAA"/>
    <w:rsid w:val="00E41873"/>
    <w:rsid w:val="00E41A17"/>
    <w:rsid w:val="00E41D6E"/>
    <w:rsid w:val="00E424EB"/>
    <w:rsid w:val="00E42BC5"/>
    <w:rsid w:val="00E42C57"/>
    <w:rsid w:val="00E42DC6"/>
    <w:rsid w:val="00E42DD6"/>
    <w:rsid w:val="00E43071"/>
    <w:rsid w:val="00E43157"/>
    <w:rsid w:val="00E43391"/>
    <w:rsid w:val="00E43532"/>
    <w:rsid w:val="00E43828"/>
    <w:rsid w:val="00E443D8"/>
    <w:rsid w:val="00E44507"/>
    <w:rsid w:val="00E445C4"/>
    <w:rsid w:val="00E445FA"/>
    <w:rsid w:val="00E4495D"/>
    <w:rsid w:val="00E44A08"/>
    <w:rsid w:val="00E44AD2"/>
    <w:rsid w:val="00E44F1B"/>
    <w:rsid w:val="00E44FB5"/>
    <w:rsid w:val="00E4564E"/>
    <w:rsid w:val="00E45AAF"/>
    <w:rsid w:val="00E45D84"/>
    <w:rsid w:val="00E45EC1"/>
    <w:rsid w:val="00E461CE"/>
    <w:rsid w:val="00E46409"/>
    <w:rsid w:val="00E4688F"/>
    <w:rsid w:val="00E47085"/>
    <w:rsid w:val="00E47274"/>
    <w:rsid w:val="00E475CB"/>
    <w:rsid w:val="00E5027C"/>
    <w:rsid w:val="00E50985"/>
    <w:rsid w:val="00E5098A"/>
    <w:rsid w:val="00E509AD"/>
    <w:rsid w:val="00E50ACD"/>
    <w:rsid w:val="00E5125E"/>
    <w:rsid w:val="00E5183E"/>
    <w:rsid w:val="00E51922"/>
    <w:rsid w:val="00E51CFF"/>
    <w:rsid w:val="00E51F47"/>
    <w:rsid w:val="00E52120"/>
    <w:rsid w:val="00E52295"/>
    <w:rsid w:val="00E52778"/>
    <w:rsid w:val="00E52B0D"/>
    <w:rsid w:val="00E532BF"/>
    <w:rsid w:val="00E53522"/>
    <w:rsid w:val="00E53D65"/>
    <w:rsid w:val="00E54256"/>
    <w:rsid w:val="00E54667"/>
    <w:rsid w:val="00E549E8"/>
    <w:rsid w:val="00E55180"/>
    <w:rsid w:val="00E555A6"/>
    <w:rsid w:val="00E55C9B"/>
    <w:rsid w:val="00E5600D"/>
    <w:rsid w:val="00E561B3"/>
    <w:rsid w:val="00E56990"/>
    <w:rsid w:val="00E569E4"/>
    <w:rsid w:val="00E56AA3"/>
    <w:rsid w:val="00E571A2"/>
    <w:rsid w:val="00E57951"/>
    <w:rsid w:val="00E57A6A"/>
    <w:rsid w:val="00E57D93"/>
    <w:rsid w:val="00E6041E"/>
    <w:rsid w:val="00E6079F"/>
    <w:rsid w:val="00E60984"/>
    <w:rsid w:val="00E60DCD"/>
    <w:rsid w:val="00E611C5"/>
    <w:rsid w:val="00E6134B"/>
    <w:rsid w:val="00E6166A"/>
    <w:rsid w:val="00E61BAE"/>
    <w:rsid w:val="00E620CE"/>
    <w:rsid w:val="00E620D3"/>
    <w:rsid w:val="00E625E8"/>
    <w:rsid w:val="00E626A4"/>
    <w:rsid w:val="00E62F63"/>
    <w:rsid w:val="00E62F65"/>
    <w:rsid w:val="00E6318B"/>
    <w:rsid w:val="00E632A1"/>
    <w:rsid w:val="00E6377D"/>
    <w:rsid w:val="00E638E9"/>
    <w:rsid w:val="00E63F00"/>
    <w:rsid w:val="00E64084"/>
    <w:rsid w:val="00E643A2"/>
    <w:rsid w:val="00E64439"/>
    <w:rsid w:val="00E6447F"/>
    <w:rsid w:val="00E6483B"/>
    <w:rsid w:val="00E64C50"/>
    <w:rsid w:val="00E64E6F"/>
    <w:rsid w:val="00E64F6D"/>
    <w:rsid w:val="00E65121"/>
    <w:rsid w:val="00E65231"/>
    <w:rsid w:val="00E65686"/>
    <w:rsid w:val="00E6583F"/>
    <w:rsid w:val="00E65D77"/>
    <w:rsid w:val="00E65EEA"/>
    <w:rsid w:val="00E6608B"/>
    <w:rsid w:val="00E671D9"/>
    <w:rsid w:val="00E6751B"/>
    <w:rsid w:val="00E67768"/>
    <w:rsid w:val="00E67D4F"/>
    <w:rsid w:val="00E67FE0"/>
    <w:rsid w:val="00E7107C"/>
    <w:rsid w:val="00E7199C"/>
    <w:rsid w:val="00E71AC7"/>
    <w:rsid w:val="00E71D82"/>
    <w:rsid w:val="00E71E7D"/>
    <w:rsid w:val="00E720CA"/>
    <w:rsid w:val="00E72705"/>
    <w:rsid w:val="00E7293B"/>
    <w:rsid w:val="00E73324"/>
    <w:rsid w:val="00E73349"/>
    <w:rsid w:val="00E73924"/>
    <w:rsid w:val="00E73DA2"/>
    <w:rsid w:val="00E73F34"/>
    <w:rsid w:val="00E746DB"/>
    <w:rsid w:val="00E74DC8"/>
    <w:rsid w:val="00E751B9"/>
    <w:rsid w:val="00E751DA"/>
    <w:rsid w:val="00E752DD"/>
    <w:rsid w:val="00E75431"/>
    <w:rsid w:val="00E75A4B"/>
    <w:rsid w:val="00E763FB"/>
    <w:rsid w:val="00E767F0"/>
    <w:rsid w:val="00E774A7"/>
    <w:rsid w:val="00E77728"/>
    <w:rsid w:val="00E77E37"/>
    <w:rsid w:val="00E802E4"/>
    <w:rsid w:val="00E80909"/>
    <w:rsid w:val="00E80D57"/>
    <w:rsid w:val="00E80FE4"/>
    <w:rsid w:val="00E81656"/>
    <w:rsid w:val="00E81BF2"/>
    <w:rsid w:val="00E821A1"/>
    <w:rsid w:val="00E822A7"/>
    <w:rsid w:val="00E82893"/>
    <w:rsid w:val="00E82CCE"/>
    <w:rsid w:val="00E82DD9"/>
    <w:rsid w:val="00E830D2"/>
    <w:rsid w:val="00E8354B"/>
    <w:rsid w:val="00E83602"/>
    <w:rsid w:val="00E83682"/>
    <w:rsid w:val="00E838BB"/>
    <w:rsid w:val="00E83C3F"/>
    <w:rsid w:val="00E83E9D"/>
    <w:rsid w:val="00E83F5C"/>
    <w:rsid w:val="00E840EE"/>
    <w:rsid w:val="00E841AF"/>
    <w:rsid w:val="00E845BC"/>
    <w:rsid w:val="00E84727"/>
    <w:rsid w:val="00E849E5"/>
    <w:rsid w:val="00E84E07"/>
    <w:rsid w:val="00E84EB5"/>
    <w:rsid w:val="00E85662"/>
    <w:rsid w:val="00E85940"/>
    <w:rsid w:val="00E8629D"/>
    <w:rsid w:val="00E86A9C"/>
    <w:rsid w:val="00E86B98"/>
    <w:rsid w:val="00E86C9C"/>
    <w:rsid w:val="00E86D26"/>
    <w:rsid w:val="00E86EDA"/>
    <w:rsid w:val="00E8734C"/>
    <w:rsid w:val="00E8744A"/>
    <w:rsid w:val="00E87451"/>
    <w:rsid w:val="00E8789F"/>
    <w:rsid w:val="00E90613"/>
    <w:rsid w:val="00E9074C"/>
    <w:rsid w:val="00E90AEF"/>
    <w:rsid w:val="00E90B04"/>
    <w:rsid w:val="00E90BF7"/>
    <w:rsid w:val="00E90DBE"/>
    <w:rsid w:val="00E90E1F"/>
    <w:rsid w:val="00E918FD"/>
    <w:rsid w:val="00E91A0A"/>
    <w:rsid w:val="00E91BB5"/>
    <w:rsid w:val="00E91BED"/>
    <w:rsid w:val="00E91D64"/>
    <w:rsid w:val="00E92441"/>
    <w:rsid w:val="00E9247F"/>
    <w:rsid w:val="00E925A2"/>
    <w:rsid w:val="00E9272C"/>
    <w:rsid w:val="00E92C44"/>
    <w:rsid w:val="00E933DD"/>
    <w:rsid w:val="00E93945"/>
    <w:rsid w:val="00E93ACE"/>
    <w:rsid w:val="00E93FD8"/>
    <w:rsid w:val="00E9411E"/>
    <w:rsid w:val="00E943D5"/>
    <w:rsid w:val="00E94A36"/>
    <w:rsid w:val="00E94C48"/>
    <w:rsid w:val="00E9542C"/>
    <w:rsid w:val="00E956AB"/>
    <w:rsid w:val="00E95B4B"/>
    <w:rsid w:val="00E95C05"/>
    <w:rsid w:val="00E95E4E"/>
    <w:rsid w:val="00E9606C"/>
    <w:rsid w:val="00E960F8"/>
    <w:rsid w:val="00E9637B"/>
    <w:rsid w:val="00E96E07"/>
    <w:rsid w:val="00E96E1A"/>
    <w:rsid w:val="00E97B71"/>
    <w:rsid w:val="00E97C19"/>
    <w:rsid w:val="00EA00A7"/>
    <w:rsid w:val="00EA030C"/>
    <w:rsid w:val="00EA058D"/>
    <w:rsid w:val="00EA0A0E"/>
    <w:rsid w:val="00EA0ACD"/>
    <w:rsid w:val="00EA0BB3"/>
    <w:rsid w:val="00EA10FA"/>
    <w:rsid w:val="00EA1360"/>
    <w:rsid w:val="00EA16D3"/>
    <w:rsid w:val="00EA16FC"/>
    <w:rsid w:val="00EA1A04"/>
    <w:rsid w:val="00EA1BEE"/>
    <w:rsid w:val="00EA1C5F"/>
    <w:rsid w:val="00EA290B"/>
    <w:rsid w:val="00EA33E8"/>
    <w:rsid w:val="00EA3915"/>
    <w:rsid w:val="00EA3CC1"/>
    <w:rsid w:val="00EA3D34"/>
    <w:rsid w:val="00EA434B"/>
    <w:rsid w:val="00EA4459"/>
    <w:rsid w:val="00EA4585"/>
    <w:rsid w:val="00EA458C"/>
    <w:rsid w:val="00EA4630"/>
    <w:rsid w:val="00EA4702"/>
    <w:rsid w:val="00EA4837"/>
    <w:rsid w:val="00EA53B4"/>
    <w:rsid w:val="00EA59B1"/>
    <w:rsid w:val="00EA59BB"/>
    <w:rsid w:val="00EA5C48"/>
    <w:rsid w:val="00EA5D1F"/>
    <w:rsid w:val="00EA5DBC"/>
    <w:rsid w:val="00EA609D"/>
    <w:rsid w:val="00EA640E"/>
    <w:rsid w:val="00EA6895"/>
    <w:rsid w:val="00EA68AD"/>
    <w:rsid w:val="00EA6DC0"/>
    <w:rsid w:val="00EA6E86"/>
    <w:rsid w:val="00EA7416"/>
    <w:rsid w:val="00EA7440"/>
    <w:rsid w:val="00EA7DA0"/>
    <w:rsid w:val="00EA7DAD"/>
    <w:rsid w:val="00EB0237"/>
    <w:rsid w:val="00EB0584"/>
    <w:rsid w:val="00EB0CC8"/>
    <w:rsid w:val="00EB0CE7"/>
    <w:rsid w:val="00EB0EBD"/>
    <w:rsid w:val="00EB1199"/>
    <w:rsid w:val="00EB1228"/>
    <w:rsid w:val="00EB1348"/>
    <w:rsid w:val="00EB151A"/>
    <w:rsid w:val="00EB17DA"/>
    <w:rsid w:val="00EB1837"/>
    <w:rsid w:val="00EB1949"/>
    <w:rsid w:val="00EB1FA6"/>
    <w:rsid w:val="00EB24F9"/>
    <w:rsid w:val="00EB26D3"/>
    <w:rsid w:val="00EB2AC2"/>
    <w:rsid w:val="00EB2D76"/>
    <w:rsid w:val="00EB38D2"/>
    <w:rsid w:val="00EB3952"/>
    <w:rsid w:val="00EB39AE"/>
    <w:rsid w:val="00EB3F5A"/>
    <w:rsid w:val="00EB3FAF"/>
    <w:rsid w:val="00EB413B"/>
    <w:rsid w:val="00EB454D"/>
    <w:rsid w:val="00EB492B"/>
    <w:rsid w:val="00EB496A"/>
    <w:rsid w:val="00EB5591"/>
    <w:rsid w:val="00EB576A"/>
    <w:rsid w:val="00EB60D2"/>
    <w:rsid w:val="00EB6159"/>
    <w:rsid w:val="00EB65F1"/>
    <w:rsid w:val="00EB6964"/>
    <w:rsid w:val="00EB6BB4"/>
    <w:rsid w:val="00EB6DE1"/>
    <w:rsid w:val="00EB720C"/>
    <w:rsid w:val="00EB7776"/>
    <w:rsid w:val="00EB7D08"/>
    <w:rsid w:val="00EC01D9"/>
    <w:rsid w:val="00EC1929"/>
    <w:rsid w:val="00EC25B8"/>
    <w:rsid w:val="00EC271E"/>
    <w:rsid w:val="00EC2C6C"/>
    <w:rsid w:val="00EC3009"/>
    <w:rsid w:val="00EC3420"/>
    <w:rsid w:val="00EC3939"/>
    <w:rsid w:val="00EC3F5A"/>
    <w:rsid w:val="00EC4E92"/>
    <w:rsid w:val="00EC4F40"/>
    <w:rsid w:val="00EC57CD"/>
    <w:rsid w:val="00EC5871"/>
    <w:rsid w:val="00EC5AE5"/>
    <w:rsid w:val="00EC5EC4"/>
    <w:rsid w:val="00EC5F21"/>
    <w:rsid w:val="00EC5FC9"/>
    <w:rsid w:val="00EC6162"/>
    <w:rsid w:val="00EC6275"/>
    <w:rsid w:val="00EC6AEB"/>
    <w:rsid w:val="00EC6C07"/>
    <w:rsid w:val="00EC6FCD"/>
    <w:rsid w:val="00EC70D0"/>
    <w:rsid w:val="00EC730A"/>
    <w:rsid w:val="00EC75CD"/>
    <w:rsid w:val="00EC7729"/>
    <w:rsid w:val="00ED13EE"/>
    <w:rsid w:val="00ED1421"/>
    <w:rsid w:val="00ED14D5"/>
    <w:rsid w:val="00ED1571"/>
    <w:rsid w:val="00ED18DC"/>
    <w:rsid w:val="00ED1A3E"/>
    <w:rsid w:val="00ED1B04"/>
    <w:rsid w:val="00ED1C68"/>
    <w:rsid w:val="00ED211C"/>
    <w:rsid w:val="00ED248C"/>
    <w:rsid w:val="00ED2824"/>
    <w:rsid w:val="00ED295F"/>
    <w:rsid w:val="00ED2B97"/>
    <w:rsid w:val="00ED3118"/>
    <w:rsid w:val="00ED397F"/>
    <w:rsid w:val="00ED3B57"/>
    <w:rsid w:val="00ED3D04"/>
    <w:rsid w:val="00ED4148"/>
    <w:rsid w:val="00ED4354"/>
    <w:rsid w:val="00ED4370"/>
    <w:rsid w:val="00ED4406"/>
    <w:rsid w:val="00ED46AA"/>
    <w:rsid w:val="00ED490E"/>
    <w:rsid w:val="00ED4911"/>
    <w:rsid w:val="00ED4F32"/>
    <w:rsid w:val="00ED52D6"/>
    <w:rsid w:val="00ED55EC"/>
    <w:rsid w:val="00ED5656"/>
    <w:rsid w:val="00ED59A5"/>
    <w:rsid w:val="00ED5DD7"/>
    <w:rsid w:val="00ED5FA0"/>
    <w:rsid w:val="00ED65C4"/>
    <w:rsid w:val="00ED67D0"/>
    <w:rsid w:val="00ED67F1"/>
    <w:rsid w:val="00ED69D3"/>
    <w:rsid w:val="00ED75BD"/>
    <w:rsid w:val="00ED76BE"/>
    <w:rsid w:val="00ED7C53"/>
    <w:rsid w:val="00EE0032"/>
    <w:rsid w:val="00EE0747"/>
    <w:rsid w:val="00EE07CF"/>
    <w:rsid w:val="00EE0917"/>
    <w:rsid w:val="00EE0E65"/>
    <w:rsid w:val="00EE0EF2"/>
    <w:rsid w:val="00EE0F3C"/>
    <w:rsid w:val="00EE0F71"/>
    <w:rsid w:val="00EE12CE"/>
    <w:rsid w:val="00EE1655"/>
    <w:rsid w:val="00EE1908"/>
    <w:rsid w:val="00EE1981"/>
    <w:rsid w:val="00EE1F51"/>
    <w:rsid w:val="00EE24F0"/>
    <w:rsid w:val="00EE2B90"/>
    <w:rsid w:val="00EE2B93"/>
    <w:rsid w:val="00EE2DD6"/>
    <w:rsid w:val="00EE2E65"/>
    <w:rsid w:val="00EE35D1"/>
    <w:rsid w:val="00EE37EB"/>
    <w:rsid w:val="00EE3881"/>
    <w:rsid w:val="00EE3DFE"/>
    <w:rsid w:val="00EE3EEA"/>
    <w:rsid w:val="00EE40D7"/>
    <w:rsid w:val="00EE4181"/>
    <w:rsid w:val="00EE42B2"/>
    <w:rsid w:val="00EE49D2"/>
    <w:rsid w:val="00EE4F2C"/>
    <w:rsid w:val="00EE51CE"/>
    <w:rsid w:val="00EE52BC"/>
    <w:rsid w:val="00EE5460"/>
    <w:rsid w:val="00EE56E1"/>
    <w:rsid w:val="00EE5AB2"/>
    <w:rsid w:val="00EE62E2"/>
    <w:rsid w:val="00EE6970"/>
    <w:rsid w:val="00EE6E06"/>
    <w:rsid w:val="00EE78D4"/>
    <w:rsid w:val="00EE7AF3"/>
    <w:rsid w:val="00EE7DB5"/>
    <w:rsid w:val="00EE7DC6"/>
    <w:rsid w:val="00EF0086"/>
    <w:rsid w:val="00EF00BF"/>
    <w:rsid w:val="00EF019F"/>
    <w:rsid w:val="00EF041B"/>
    <w:rsid w:val="00EF0CFD"/>
    <w:rsid w:val="00EF0E20"/>
    <w:rsid w:val="00EF10AE"/>
    <w:rsid w:val="00EF1776"/>
    <w:rsid w:val="00EF19A8"/>
    <w:rsid w:val="00EF1FDC"/>
    <w:rsid w:val="00EF20EA"/>
    <w:rsid w:val="00EF25E4"/>
    <w:rsid w:val="00EF2CC9"/>
    <w:rsid w:val="00EF2E44"/>
    <w:rsid w:val="00EF2FED"/>
    <w:rsid w:val="00EF32D3"/>
    <w:rsid w:val="00EF3628"/>
    <w:rsid w:val="00EF3789"/>
    <w:rsid w:val="00EF380F"/>
    <w:rsid w:val="00EF3997"/>
    <w:rsid w:val="00EF3AAC"/>
    <w:rsid w:val="00EF3ACE"/>
    <w:rsid w:val="00EF3F5D"/>
    <w:rsid w:val="00EF45AD"/>
    <w:rsid w:val="00EF4A52"/>
    <w:rsid w:val="00EF4D4A"/>
    <w:rsid w:val="00EF5489"/>
    <w:rsid w:val="00EF5560"/>
    <w:rsid w:val="00EF55FC"/>
    <w:rsid w:val="00EF5F2C"/>
    <w:rsid w:val="00EF619B"/>
    <w:rsid w:val="00EF6889"/>
    <w:rsid w:val="00EF6C7F"/>
    <w:rsid w:val="00EF6DE9"/>
    <w:rsid w:val="00EF6F55"/>
    <w:rsid w:val="00EF7060"/>
    <w:rsid w:val="00EF73D7"/>
    <w:rsid w:val="00EF769D"/>
    <w:rsid w:val="00EF7710"/>
    <w:rsid w:val="00EF7AD6"/>
    <w:rsid w:val="00EF7B0E"/>
    <w:rsid w:val="00EF7C5E"/>
    <w:rsid w:val="00F00055"/>
    <w:rsid w:val="00F00323"/>
    <w:rsid w:val="00F0043F"/>
    <w:rsid w:val="00F00735"/>
    <w:rsid w:val="00F00B55"/>
    <w:rsid w:val="00F00B7C"/>
    <w:rsid w:val="00F01AC4"/>
    <w:rsid w:val="00F01E62"/>
    <w:rsid w:val="00F02506"/>
    <w:rsid w:val="00F027CA"/>
    <w:rsid w:val="00F02865"/>
    <w:rsid w:val="00F02932"/>
    <w:rsid w:val="00F02987"/>
    <w:rsid w:val="00F029FA"/>
    <w:rsid w:val="00F02AD1"/>
    <w:rsid w:val="00F031DF"/>
    <w:rsid w:val="00F0347A"/>
    <w:rsid w:val="00F03977"/>
    <w:rsid w:val="00F039D8"/>
    <w:rsid w:val="00F03B99"/>
    <w:rsid w:val="00F03DA3"/>
    <w:rsid w:val="00F0417F"/>
    <w:rsid w:val="00F0444F"/>
    <w:rsid w:val="00F048F3"/>
    <w:rsid w:val="00F04F35"/>
    <w:rsid w:val="00F0509B"/>
    <w:rsid w:val="00F05E26"/>
    <w:rsid w:val="00F06515"/>
    <w:rsid w:val="00F065B7"/>
    <w:rsid w:val="00F065D0"/>
    <w:rsid w:val="00F06BB9"/>
    <w:rsid w:val="00F06F36"/>
    <w:rsid w:val="00F07180"/>
    <w:rsid w:val="00F071A7"/>
    <w:rsid w:val="00F07980"/>
    <w:rsid w:val="00F07BE5"/>
    <w:rsid w:val="00F10032"/>
    <w:rsid w:val="00F107B2"/>
    <w:rsid w:val="00F10C14"/>
    <w:rsid w:val="00F10D7E"/>
    <w:rsid w:val="00F10EF7"/>
    <w:rsid w:val="00F10F5F"/>
    <w:rsid w:val="00F10FDC"/>
    <w:rsid w:val="00F10FDF"/>
    <w:rsid w:val="00F10FF9"/>
    <w:rsid w:val="00F11B32"/>
    <w:rsid w:val="00F11CDE"/>
    <w:rsid w:val="00F11CF8"/>
    <w:rsid w:val="00F120FB"/>
    <w:rsid w:val="00F121B8"/>
    <w:rsid w:val="00F123CE"/>
    <w:rsid w:val="00F12D3C"/>
    <w:rsid w:val="00F12E32"/>
    <w:rsid w:val="00F12E5C"/>
    <w:rsid w:val="00F13524"/>
    <w:rsid w:val="00F141E4"/>
    <w:rsid w:val="00F14659"/>
    <w:rsid w:val="00F146ED"/>
    <w:rsid w:val="00F14D01"/>
    <w:rsid w:val="00F14E7D"/>
    <w:rsid w:val="00F14F60"/>
    <w:rsid w:val="00F1510C"/>
    <w:rsid w:val="00F154CF"/>
    <w:rsid w:val="00F15C84"/>
    <w:rsid w:val="00F15FDD"/>
    <w:rsid w:val="00F1644E"/>
    <w:rsid w:val="00F168A4"/>
    <w:rsid w:val="00F16B1D"/>
    <w:rsid w:val="00F16B67"/>
    <w:rsid w:val="00F16E58"/>
    <w:rsid w:val="00F1755B"/>
    <w:rsid w:val="00F2057E"/>
    <w:rsid w:val="00F20ABD"/>
    <w:rsid w:val="00F20CC3"/>
    <w:rsid w:val="00F20CC7"/>
    <w:rsid w:val="00F212BC"/>
    <w:rsid w:val="00F214C9"/>
    <w:rsid w:val="00F2192C"/>
    <w:rsid w:val="00F219EA"/>
    <w:rsid w:val="00F21A79"/>
    <w:rsid w:val="00F21F6E"/>
    <w:rsid w:val="00F223D2"/>
    <w:rsid w:val="00F22F20"/>
    <w:rsid w:val="00F23884"/>
    <w:rsid w:val="00F23B3A"/>
    <w:rsid w:val="00F23C77"/>
    <w:rsid w:val="00F23CE4"/>
    <w:rsid w:val="00F23D6D"/>
    <w:rsid w:val="00F23DB8"/>
    <w:rsid w:val="00F23DC6"/>
    <w:rsid w:val="00F23F87"/>
    <w:rsid w:val="00F247A0"/>
    <w:rsid w:val="00F24CBD"/>
    <w:rsid w:val="00F250C7"/>
    <w:rsid w:val="00F253CC"/>
    <w:rsid w:val="00F2551C"/>
    <w:rsid w:val="00F256F3"/>
    <w:rsid w:val="00F2579B"/>
    <w:rsid w:val="00F25A36"/>
    <w:rsid w:val="00F25CD8"/>
    <w:rsid w:val="00F2600C"/>
    <w:rsid w:val="00F26A2B"/>
    <w:rsid w:val="00F26BDA"/>
    <w:rsid w:val="00F2702A"/>
    <w:rsid w:val="00F270F1"/>
    <w:rsid w:val="00F2770D"/>
    <w:rsid w:val="00F2796D"/>
    <w:rsid w:val="00F27A79"/>
    <w:rsid w:val="00F27EFA"/>
    <w:rsid w:val="00F3016F"/>
    <w:rsid w:val="00F301F1"/>
    <w:rsid w:val="00F3062D"/>
    <w:rsid w:val="00F30798"/>
    <w:rsid w:val="00F308DF"/>
    <w:rsid w:val="00F31532"/>
    <w:rsid w:val="00F318EF"/>
    <w:rsid w:val="00F31B3A"/>
    <w:rsid w:val="00F3246D"/>
    <w:rsid w:val="00F32627"/>
    <w:rsid w:val="00F328BD"/>
    <w:rsid w:val="00F32FE2"/>
    <w:rsid w:val="00F330B0"/>
    <w:rsid w:val="00F330E4"/>
    <w:rsid w:val="00F33748"/>
    <w:rsid w:val="00F33955"/>
    <w:rsid w:val="00F346AD"/>
    <w:rsid w:val="00F34712"/>
    <w:rsid w:val="00F34753"/>
    <w:rsid w:val="00F34B5A"/>
    <w:rsid w:val="00F34E3D"/>
    <w:rsid w:val="00F351BB"/>
    <w:rsid w:val="00F35543"/>
    <w:rsid w:val="00F3585A"/>
    <w:rsid w:val="00F36342"/>
    <w:rsid w:val="00F363AB"/>
    <w:rsid w:val="00F367FD"/>
    <w:rsid w:val="00F3684D"/>
    <w:rsid w:val="00F3692A"/>
    <w:rsid w:val="00F36BBC"/>
    <w:rsid w:val="00F36BD1"/>
    <w:rsid w:val="00F36DD3"/>
    <w:rsid w:val="00F37106"/>
    <w:rsid w:val="00F3776F"/>
    <w:rsid w:val="00F4059E"/>
    <w:rsid w:val="00F40950"/>
    <w:rsid w:val="00F40F53"/>
    <w:rsid w:val="00F4155B"/>
    <w:rsid w:val="00F41724"/>
    <w:rsid w:val="00F417F4"/>
    <w:rsid w:val="00F42613"/>
    <w:rsid w:val="00F42707"/>
    <w:rsid w:val="00F42A0E"/>
    <w:rsid w:val="00F42AAE"/>
    <w:rsid w:val="00F430D3"/>
    <w:rsid w:val="00F435E2"/>
    <w:rsid w:val="00F4360C"/>
    <w:rsid w:val="00F4406D"/>
    <w:rsid w:val="00F4462C"/>
    <w:rsid w:val="00F446F9"/>
    <w:rsid w:val="00F44A15"/>
    <w:rsid w:val="00F44C09"/>
    <w:rsid w:val="00F44CA5"/>
    <w:rsid w:val="00F44D14"/>
    <w:rsid w:val="00F44EEC"/>
    <w:rsid w:val="00F44FED"/>
    <w:rsid w:val="00F45089"/>
    <w:rsid w:val="00F45631"/>
    <w:rsid w:val="00F458B4"/>
    <w:rsid w:val="00F45942"/>
    <w:rsid w:val="00F45ADC"/>
    <w:rsid w:val="00F45B86"/>
    <w:rsid w:val="00F45BF1"/>
    <w:rsid w:val="00F460BD"/>
    <w:rsid w:val="00F461C2"/>
    <w:rsid w:val="00F46421"/>
    <w:rsid w:val="00F468DA"/>
    <w:rsid w:val="00F46DCE"/>
    <w:rsid w:val="00F47077"/>
    <w:rsid w:val="00F476EA"/>
    <w:rsid w:val="00F50213"/>
    <w:rsid w:val="00F503E5"/>
    <w:rsid w:val="00F506DB"/>
    <w:rsid w:val="00F50950"/>
    <w:rsid w:val="00F50BA8"/>
    <w:rsid w:val="00F50C83"/>
    <w:rsid w:val="00F50E2F"/>
    <w:rsid w:val="00F5120C"/>
    <w:rsid w:val="00F5126E"/>
    <w:rsid w:val="00F512BA"/>
    <w:rsid w:val="00F519CF"/>
    <w:rsid w:val="00F51C73"/>
    <w:rsid w:val="00F52036"/>
    <w:rsid w:val="00F5266C"/>
    <w:rsid w:val="00F52731"/>
    <w:rsid w:val="00F52B18"/>
    <w:rsid w:val="00F537C8"/>
    <w:rsid w:val="00F53D74"/>
    <w:rsid w:val="00F540ED"/>
    <w:rsid w:val="00F54184"/>
    <w:rsid w:val="00F54512"/>
    <w:rsid w:val="00F54740"/>
    <w:rsid w:val="00F54ECA"/>
    <w:rsid w:val="00F550DF"/>
    <w:rsid w:val="00F5519E"/>
    <w:rsid w:val="00F55253"/>
    <w:rsid w:val="00F5569F"/>
    <w:rsid w:val="00F557DF"/>
    <w:rsid w:val="00F56089"/>
    <w:rsid w:val="00F560E0"/>
    <w:rsid w:val="00F56735"/>
    <w:rsid w:val="00F56791"/>
    <w:rsid w:val="00F56BA5"/>
    <w:rsid w:val="00F56C88"/>
    <w:rsid w:val="00F56E69"/>
    <w:rsid w:val="00F5742D"/>
    <w:rsid w:val="00F57702"/>
    <w:rsid w:val="00F57724"/>
    <w:rsid w:val="00F57825"/>
    <w:rsid w:val="00F57978"/>
    <w:rsid w:val="00F57B9F"/>
    <w:rsid w:val="00F57D68"/>
    <w:rsid w:val="00F607B9"/>
    <w:rsid w:val="00F60E22"/>
    <w:rsid w:val="00F60E5B"/>
    <w:rsid w:val="00F6165A"/>
    <w:rsid w:val="00F61A1A"/>
    <w:rsid w:val="00F61FE4"/>
    <w:rsid w:val="00F62282"/>
    <w:rsid w:val="00F62600"/>
    <w:rsid w:val="00F62748"/>
    <w:rsid w:val="00F62D1E"/>
    <w:rsid w:val="00F63CCB"/>
    <w:rsid w:val="00F640C5"/>
    <w:rsid w:val="00F648AC"/>
    <w:rsid w:val="00F649AD"/>
    <w:rsid w:val="00F64B8B"/>
    <w:rsid w:val="00F64DB1"/>
    <w:rsid w:val="00F6538D"/>
    <w:rsid w:val="00F653D2"/>
    <w:rsid w:val="00F65545"/>
    <w:rsid w:val="00F659EC"/>
    <w:rsid w:val="00F66EB7"/>
    <w:rsid w:val="00F6703B"/>
    <w:rsid w:val="00F670EC"/>
    <w:rsid w:val="00F6731B"/>
    <w:rsid w:val="00F674F4"/>
    <w:rsid w:val="00F67A50"/>
    <w:rsid w:val="00F67B09"/>
    <w:rsid w:val="00F67C38"/>
    <w:rsid w:val="00F70327"/>
    <w:rsid w:val="00F70472"/>
    <w:rsid w:val="00F711C6"/>
    <w:rsid w:val="00F7124D"/>
    <w:rsid w:val="00F71A9D"/>
    <w:rsid w:val="00F7244A"/>
    <w:rsid w:val="00F72BD4"/>
    <w:rsid w:val="00F73170"/>
    <w:rsid w:val="00F73584"/>
    <w:rsid w:val="00F73687"/>
    <w:rsid w:val="00F739DF"/>
    <w:rsid w:val="00F74290"/>
    <w:rsid w:val="00F746C3"/>
    <w:rsid w:val="00F74AEA"/>
    <w:rsid w:val="00F74E0A"/>
    <w:rsid w:val="00F75766"/>
    <w:rsid w:val="00F75A47"/>
    <w:rsid w:val="00F75A6B"/>
    <w:rsid w:val="00F75F3C"/>
    <w:rsid w:val="00F76487"/>
    <w:rsid w:val="00F764FE"/>
    <w:rsid w:val="00F76E2B"/>
    <w:rsid w:val="00F778C2"/>
    <w:rsid w:val="00F779E6"/>
    <w:rsid w:val="00F77DF8"/>
    <w:rsid w:val="00F804AE"/>
    <w:rsid w:val="00F8067B"/>
    <w:rsid w:val="00F808E8"/>
    <w:rsid w:val="00F80A4F"/>
    <w:rsid w:val="00F81147"/>
    <w:rsid w:val="00F815A6"/>
    <w:rsid w:val="00F816DE"/>
    <w:rsid w:val="00F81873"/>
    <w:rsid w:val="00F81BE3"/>
    <w:rsid w:val="00F82261"/>
    <w:rsid w:val="00F82DD5"/>
    <w:rsid w:val="00F82E43"/>
    <w:rsid w:val="00F838C4"/>
    <w:rsid w:val="00F83A86"/>
    <w:rsid w:val="00F83DA0"/>
    <w:rsid w:val="00F843AA"/>
    <w:rsid w:val="00F84B1C"/>
    <w:rsid w:val="00F84D44"/>
    <w:rsid w:val="00F852F7"/>
    <w:rsid w:val="00F852FC"/>
    <w:rsid w:val="00F85337"/>
    <w:rsid w:val="00F85A52"/>
    <w:rsid w:val="00F860B1"/>
    <w:rsid w:val="00F866A6"/>
    <w:rsid w:val="00F869AF"/>
    <w:rsid w:val="00F869E0"/>
    <w:rsid w:val="00F87234"/>
    <w:rsid w:val="00F877C0"/>
    <w:rsid w:val="00F87F8D"/>
    <w:rsid w:val="00F90217"/>
    <w:rsid w:val="00F9043B"/>
    <w:rsid w:val="00F904FB"/>
    <w:rsid w:val="00F90590"/>
    <w:rsid w:val="00F90767"/>
    <w:rsid w:val="00F90AEF"/>
    <w:rsid w:val="00F90C3E"/>
    <w:rsid w:val="00F90CAC"/>
    <w:rsid w:val="00F90CC2"/>
    <w:rsid w:val="00F90CE4"/>
    <w:rsid w:val="00F91160"/>
    <w:rsid w:val="00F91190"/>
    <w:rsid w:val="00F91542"/>
    <w:rsid w:val="00F917D1"/>
    <w:rsid w:val="00F91A90"/>
    <w:rsid w:val="00F91BBA"/>
    <w:rsid w:val="00F91BDC"/>
    <w:rsid w:val="00F92433"/>
    <w:rsid w:val="00F92850"/>
    <w:rsid w:val="00F93573"/>
    <w:rsid w:val="00F93F64"/>
    <w:rsid w:val="00F94216"/>
    <w:rsid w:val="00F9451A"/>
    <w:rsid w:val="00F9491D"/>
    <w:rsid w:val="00F94D7F"/>
    <w:rsid w:val="00F954CA"/>
    <w:rsid w:val="00F9568E"/>
    <w:rsid w:val="00F957AE"/>
    <w:rsid w:val="00F95A27"/>
    <w:rsid w:val="00F95AED"/>
    <w:rsid w:val="00F96160"/>
    <w:rsid w:val="00F96333"/>
    <w:rsid w:val="00F964F8"/>
    <w:rsid w:val="00F9653B"/>
    <w:rsid w:val="00F965F5"/>
    <w:rsid w:val="00F9666C"/>
    <w:rsid w:val="00F96778"/>
    <w:rsid w:val="00F967D9"/>
    <w:rsid w:val="00F9741B"/>
    <w:rsid w:val="00F97516"/>
    <w:rsid w:val="00F97A52"/>
    <w:rsid w:val="00F97E2D"/>
    <w:rsid w:val="00F97E62"/>
    <w:rsid w:val="00FA02EB"/>
    <w:rsid w:val="00FA0338"/>
    <w:rsid w:val="00FA0711"/>
    <w:rsid w:val="00FA08DD"/>
    <w:rsid w:val="00FA093F"/>
    <w:rsid w:val="00FA0B53"/>
    <w:rsid w:val="00FA0D48"/>
    <w:rsid w:val="00FA0E77"/>
    <w:rsid w:val="00FA0F86"/>
    <w:rsid w:val="00FA174E"/>
    <w:rsid w:val="00FA1A07"/>
    <w:rsid w:val="00FA1A78"/>
    <w:rsid w:val="00FA1FAA"/>
    <w:rsid w:val="00FA1FBB"/>
    <w:rsid w:val="00FA2595"/>
    <w:rsid w:val="00FA26BE"/>
    <w:rsid w:val="00FA2E9D"/>
    <w:rsid w:val="00FA35B3"/>
    <w:rsid w:val="00FA3664"/>
    <w:rsid w:val="00FA3858"/>
    <w:rsid w:val="00FA3987"/>
    <w:rsid w:val="00FA4035"/>
    <w:rsid w:val="00FA410D"/>
    <w:rsid w:val="00FA4293"/>
    <w:rsid w:val="00FA46DA"/>
    <w:rsid w:val="00FA4AD3"/>
    <w:rsid w:val="00FA4F8C"/>
    <w:rsid w:val="00FA57A0"/>
    <w:rsid w:val="00FA5957"/>
    <w:rsid w:val="00FA5C21"/>
    <w:rsid w:val="00FA5EAE"/>
    <w:rsid w:val="00FA60B9"/>
    <w:rsid w:val="00FA65A6"/>
    <w:rsid w:val="00FA65BB"/>
    <w:rsid w:val="00FA66D9"/>
    <w:rsid w:val="00FA6A30"/>
    <w:rsid w:val="00FA6C23"/>
    <w:rsid w:val="00FA6DA6"/>
    <w:rsid w:val="00FA737F"/>
    <w:rsid w:val="00FA7494"/>
    <w:rsid w:val="00FA7605"/>
    <w:rsid w:val="00FA77B7"/>
    <w:rsid w:val="00FA7CE6"/>
    <w:rsid w:val="00FB05F9"/>
    <w:rsid w:val="00FB069F"/>
    <w:rsid w:val="00FB098E"/>
    <w:rsid w:val="00FB0A94"/>
    <w:rsid w:val="00FB0FCF"/>
    <w:rsid w:val="00FB1084"/>
    <w:rsid w:val="00FB1351"/>
    <w:rsid w:val="00FB14D9"/>
    <w:rsid w:val="00FB1666"/>
    <w:rsid w:val="00FB1AC2"/>
    <w:rsid w:val="00FB2096"/>
    <w:rsid w:val="00FB2E57"/>
    <w:rsid w:val="00FB2ED7"/>
    <w:rsid w:val="00FB3D94"/>
    <w:rsid w:val="00FB3F52"/>
    <w:rsid w:val="00FB3F5D"/>
    <w:rsid w:val="00FB40FF"/>
    <w:rsid w:val="00FB4364"/>
    <w:rsid w:val="00FB43DD"/>
    <w:rsid w:val="00FB465A"/>
    <w:rsid w:val="00FB4BD3"/>
    <w:rsid w:val="00FB4EB8"/>
    <w:rsid w:val="00FB4F03"/>
    <w:rsid w:val="00FB509B"/>
    <w:rsid w:val="00FB52E5"/>
    <w:rsid w:val="00FB54A0"/>
    <w:rsid w:val="00FB57E4"/>
    <w:rsid w:val="00FB5AF0"/>
    <w:rsid w:val="00FB5E1B"/>
    <w:rsid w:val="00FB62CF"/>
    <w:rsid w:val="00FB6330"/>
    <w:rsid w:val="00FB64DE"/>
    <w:rsid w:val="00FB6512"/>
    <w:rsid w:val="00FB68F0"/>
    <w:rsid w:val="00FB7137"/>
    <w:rsid w:val="00FB7604"/>
    <w:rsid w:val="00FB7B6A"/>
    <w:rsid w:val="00FC0F90"/>
    <w:rsid w:val="00FC1660"/>
    <w:rsid w:val="00FC171D"/>
    <w:rsid w:val="00FC2226"/>
    <w:rsid w:val="00FC27FD"/>
    <w:rsid w:val="00FC2959"/>
    <w:rsid w:val="00FC2B0C"/>
    <w:rsid w:val="00FC3301"/>
    <w:rsid w:val="00FC33C2"/>
    <w:rsid w:val="00FC3B9C"/>
    <w:rsid w:val="00FC3E44"/>
    <w:rsid w:val="00FC4122"/>
    <w:rsid w:val="00FC415B"/>
    <w:rsid w:val="00FC47E0"/>
    <w:rsid w:val="00FC488C"/>
    <w:rsid w:val="00FC551C"/>
    <w:rsid w:val="00FC563C"/>
    <w:rsid w:val="00FC5691"/>
    <w:rsid w:val="00FC5AF3"/>
    <w:rsid w:val="00FC5F75"/>
    <w:rsid w:val="00FC5F82"/>
    <w:rsid w:val="00FC6038"/>
    <w:rsid w:val="00FC634A"/>
    <w:rsid w:val="00FC6A5B"/>
    <w:rsid w:val="00FC7319"/>
    <w:rsid w:val="00FC73F0"/>
    <w:rsid w:val="00FC7D96"/>
    <w:rsid w:val="00FD05AE"/>
    <w:rsid w:val="00FD05B2"/>
    <w:rsid w:val="00FD0BD9"/>
    <w:rsid w:val="00FD0C3E"/>
    <w:rsid w:val="00FD0EFE"/>
    <w:rsid w:val="00FD0F00"/>
    <w:rsid w:val="00FD11D8"/>
    <w:rsid w:val="00FD125C"/>
    <w:rsid w:val="00FD13DD"/>
    <w:rsid w:val="00FD17E0"/>
    <w:rsid w:val="00FD1971"/>
    <w:rsid w:val="00FD1A5F"/>
    <w:rsid w:val="00FD1ABA"/>
    <w:rsid w:val="00FD1AFA"/>
    <w:rsid w:val="00FD1CEF"/>
    <w:rsid w:val="00FD21C6"/>
    <w:rsid w:val="00FD21EF"/>
    <w:rsid w:val="00FD26A1"/>
    <w:rsid w:val="00FD27E6"/>
    <w:rsid w:val="00FD2E3F"/>
    <w:rsid w:val="00FD2FDF"/>
    <w:rsid w:val="00FD34DD"/>
    <w:rsid w:val="00FD3AB2"/>
    <w:rsid w:val="00FD3C3B"/>
    <w:rsid w:val="00FD3D23"/>
    <w:rsid w:val="00FD44C4"/>
    <w:rsid w:val="00FD46A6"/>
    <w:rsid w:val="00FD4EC1"/>
    <w:rsid w:val="00FD4F75"/>
    <w:rsid w:val="00FD51B3"/>
    <w:rsid w:val="00FD532B"/>
    <w:rsid w:val="00FD54AD"/>
    <w:rsid w:val="00FD54DA"/>
    <w:rsid w:val="00FD5921"/>
    <w:rsid w:val="00FD60E3"/>
    <w:rsid w:val="00FD66F9"/>
    <w:rsid w:val="00FD6A8F"/>
    <w:rsid w:val="00FD70E8"/>
    <w:rsid w:val="00FD729D"/>
    <w:rsid w:val="00FD76F2"/>
    <w:rsid w:val="00FD79FD"/>
    <w:rsid w:val="00FD79FF"/>
    <w:rsid w:val="00FE0851"/>
    <w:rsid w:val="00FE0BC9"/>
    <w:rsid w:val="00FE0E59"/>
    <w:rsid w:val="00FE0EE6"/>
    <w:rsid w:val="00FE12C4"/>
    <w:rsid w:val="00FE15F2"/>
    <w:rsid w:val="00FE18F9"/>
    <w:rsid w:val="00FE1DFE"/>
    <w:rsid w:val="00FE1F1B"/>
    <w:rsid w:val="00FE1F8C"/>
    <w:rsid w:val="00FE29EC"/>
    <w:rsid w:val="00FE31D6"/>
    <w:rsid w:val="00FE350D"/>
    <w:rsid w:val="00FE376F"/>
    <w:rsid w:val="00FE3895"/>
    <w:rsid w:val="00FE45EF"/>
    <w:rsid w:val="00FE487F"/>
    <w:rsid w:val="00FE4928"/>
    <w:rsid w:val="00FE5017"/>
    <w:rsid w:val="00FE5044"/>
    <w:rsid w:val="00FE52B3"/>
    <w:rsid w:val="00FE5E14"/>
    <w:rsid w:val="00FE625D"/>
    <w:rsid w:val="00FE66A3"/>
    <w:rsid w:val="00FE6755"/>
    <w:rsid w:val="00FE6783"/>
    <w:rsid w:val="00FE6A28"/>
    <w:rsid w:val="00FE6B45"/>
    <w:rsid w:val="00FE6BB0"/>
    <w:rsid w:val="00FE6F27"/>
    <w:rsid w:val="00FE6F82"/>
    <w:rsid w:val="00FE70DE"/>
    <w:rsid w:val="00FE7413"/>
    <w:rsid w:val="00FE762A"/>
    <w:rsid w:val="00FF08C7"/>
    <w:rsid w:val="00FF09B0"/>
    <w:rsid w:val="00FF11B9"/>
    <w:rsid w:val="00FF14ED"/>
    <w:rsid w:val="00FF1520"/>
    <w:rsid w:val="00FF1BD8"/>
    <w:rsid w:val="00FF1F7E"/>
    <w:rsid w:val="00FF222C"/>
    <w:rsid w:val="00FF22DB"/>
    <w:rsid w:val="00FF2616"/>
    <w:rsid w:val="00FF2672"/>
    <w:rsid w:val="00FF2A34"/>
    <w:rsid w:val="00FF2E0B"/>
    <w:rsid w:val="00FF2FF7"/>
    <w:rsid w:val="00FF342C"/>
    <w:rsid w:val="00FF3556"/>
    <w:rsid w:val="00FF3DC3"/>
    <w:rsid w:val="00FF3EF8"/>
    <w:rsid w:val="00FF4706"/>
    <w:rsid w:val="00FF4711"/>
    <w:rsid w:val="00FF48F6"/>
    <w:rsid w:val="00FF4930"/>
    <w:rsid w:val="00FF4D55"/>
    <w:rsid w:val="00FF4E38"/>
    <w:rsid w:val="00FF4F04"/>
    <w:rsid w:val="00FF5166"/>
    <w:rsid w:val="00FF522C"/>
    <w:rsid w:val="00FF5851"/>
    <w:rsid w:val="00FF5EE6"/>
    <w:rsid w:val="00FF6B2C"/>
    <w:rsid w:val="00FF7876"/>
    <w:rsid w:val="00FF7B79"/>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
    <w:link w:val="ListParagraphChar"/>
    <w:uiPriority w:val="99"/>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4D658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List Paragraph11 Char"/>
    <w:link w:val="ListParagraph"/>
    <w:uiPriority w:val="99"/>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lorfulList-Accent11">
    <w:name w:val="Colorful List - Accent 11"/>
    <w:uiPriority w:val="34"/>
    <w:qFormat/>
    <w:rsid w:val="00915FF9"/>
    <w:pPr>
      <w:ind w:left="720"/>
    </w:pPr>
    <w:rPr>
      <w:rFonts w:ascii="Cambria" w:eastAsia="Cambria" w:hAnsi="Cambria" w:cs="Cambria"/>
      <w:color w:val="000000"/>
      <w:sz w:val="24"/>
      <w:szCs w:val="24"/>
      <w:u w:color="000000"/>
      <w:lang w:val="en-US"/>
    </w:rPr>
  </w:style>
  <w:style w:type="character" w:customStyle="1" w:styleId="BodyTextIndentChar1">
    <w:name w:val="Body Text Indent Char1"/>
    <w:locked/>
    <w:rsid w:val="007F5661"/>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947A7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lang w:val="es-US" w:eastAsia="es-US"/>
    </w:rPr>
  </w:style>
  <w:style w:type="character" w:customStyle="1" w:styleId="sf1c7242d">
    <w:name w:val="sf1c7242d"/>
    <w:basedOn w:val="DefaultParagraphFont"/>
    <w:rsid w:val="00AA4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
    <w:link w:val="ListParagraphChar"/>
    <w:uiPriority w:val="99"/>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4D658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List Paragraph11 Char"/>
    <w:link w:val="ListParagraph"/>
    <w:uiPriority w:val="99"/>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lorfulList-Accent11">
    <w:name w:val="Colorful List - Accent 11"/>
    <w:uiPriority w:val="34"/>
    <w:qFormat/>
    <w:rsid w:val="00915FF9"/>
    <w:pPr>
      <w:ind w:left="720"/>
    </w:pPr>
    <w:rPr>
      <w:rFonts w:ascii="Cambria" w:eastAsia="Cambria" w:hAnsi="Cambria" w:cs="Cambria"/>
      <w:color w:val="000000"/>
      <w:sz w:val="24"/>
      <w:szCs w:val="24"/>
      <w:u w:color="000000"/>
      <w:lang w:val="en-US"/>
    </w:rPr>
  </w:style>
  <w:style w:type="character" w:customStyle="1" w:styleId="BodyTextIndentChar1">
    <w:name w:val="Body Text Indent Char1"/>
    <w:locked/>
    <w:rsid w:val="007F5661"/>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947A7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lang w:val="es-US" w:eastAsia="es-US"/>
    </w:rPr>
  </w:style>
  <w:style w:type="character" w:customStyle="1" w:styleId="sf1c7242d">
    <w:name w:val="sf1c7242d"/>
    <w:basedOn w:val="DefaultParagraphFont"/>
    <w:rsid w:val="00AA4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287054287">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1000965">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746683242">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04010748">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44467">
      <w:bodyDiv w:val="1"/>
      <w:marLeft w:val="0"/>
      <w:marRight w:val="0"/>
      <w:marTop w:val="0"/>
      <w:marBottom w:val="0"/>
      <w:divBdr>
        <w:top w:val="none" w:sz="0" w:space="0" w:color="auto"/>
        <w:left w:val="none" w:sz="0" w:space="0" w:color="auto"/>
        <w:bottom w:val="none" w:sz="0" w:space="0" w:color="auto"/>
        <w:right w:val="none" w:sz="0" w:space="0" w:color="auto"/>
      </w:divBdr>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6748">
      <w:bodyDiv w:val="1"/>
      <w:marLeft w:val="0"/>
      <w:marRight w:val="0"/>
      <w:marTop w:val="0"/>
      <w:marBottom w:val="0"/>
      <w:divBdr>
        <w:top w:val="none" w:sz="0" w:space="0" w:color="auto"/>
        <w:left w:val="none" w:sz="0" w:space="0" w:color="auto"/>
        <w:bottom w:val="none" w:sz="0" w:space="0" w:color="auto"/>
        <w:right w:val="none" w:sz="0" w:space="0" w:color="auto"/>
      </w:divBdr>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54901013">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 w:id="972365312">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 Id="rId13" Type="http://schemas.openxmlformats.org/officeDocument/2006/relationships/hyperlink" Target="http://www.echr.coe.int/Documents/FS_Non_bis_in_idem_ENG.pdf" TargetMode="External"/><Relationship Id="rId3"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7"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12" Type="http://schemas.openxmlformats.org/officeDocument/2006/relationships/hyperlink" Target="https://rm.coe.int/CoERMPublicCommonSearchServices/DisplayDCTMContent?documentId=09000016800c96fd" TargetMode="External"/><Relationship Id="rId2" Type="http://schemas.openxmlformats.org/officeDocument/2006/relationships/hyperlink" Target="https://www.oas.org/juridico/mla/sp/per/sp_per-int-text-cpp.pdf" TargetMode="External"/><Relationship Id="rId1" Type="http://schemas.openxmlformats.org/officeDocument/2006/relationships/hyperlink" Target="http://www.leyes.congreso.gob.pe/Documentos/DecretosLegislativos/00752.pdf" TargetMode="External"/><Relationship Id="rId6"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11" Type="http://schemas.openxmlformats.org/officeDocument/2006/relationships/hyperlink" Target="http://www.echr.coe.int/Documents/Convention_SPA.pd" TargetMode="External"/><Relationship Id="rId5"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15" Type="http://schemas.openxmlformats.org/officeDocument/2006/relationships/hyperlink" Target="https://www.cidh.oas.org/PRIVADAS/reglasminimasnoprivativas.htm" TargetMode="External"/><Relationship Id="rId10" Type="http://schemas.openxmlformats.org/officeDocument/2006/relationships/hyperlink" Target="http://joomla.corteidh.or.cr:8080/joomla/es/casos-contenciosos/38-jurisprudencia/386-corte-idh-caso-de-la-cruz-flores-vs-peru-fondo-reparaciones-y-costas-sentencia-de-18-de-noviembre-de-2004-serie-c-no-115" TargetMode="External"/><Relationship Id="rId4"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9"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14" Type="http://schemas.openxmlformats.org/officeDocument/2006/relationships/hyperlink" Target="http://hudoc.echr.coe.int/e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73F1-E68E-4BCF-8511-AF67DF52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18260</Words>
  <Characters>104083</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4</cp:revision>
  <cp:lastPrinted>2017-06-16T19:29:00Z</cp:lastPrinted>
  <dcterms:created xsi:type="dcterms:W3CDTF">2017-06-20T15:25:00Z</dcterms:created>
  <dcterms:modified xsi:type="dcterms:W3CDTF">2017-06-20T15:42:00Z</dcterms:modified>
</cp:coreProperties>
</file>