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BF123" w14:textId="77777777" w:rsidR="00040C3A" w:rsidRPr="009B3BD2" w:rsidRDefault="00C0075D" w:rsidP="00627C9F">
      <w:pPr>
        <w:jc w:val="both"/>
        <w:rPr>
          <w:rFonts w:asciiTheme="majorHAnsi" w:hAnsiTheme="majorHAnsi" w:cs="Univers"/>
          <w:b/>
          <w:bCs/>
          <w:sz w:val="20"/>
          <w:szCs w:val="20"/>
          <w:lang w:val="pt-BR"/>
        </w:rPr>
      </w:pPr>
      <w:r w:rsidRPr="009B3BD2">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09C5A04" wp14:editId="793613D5">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1181C" w14:textId="77777777" w:rsidR="00B63908" w:rsidRDefault="00B63908" w:rsidP="00AE5488">
                            <w:r>
                              <w:rPr>
                                <w:noProof/>
                              </w:rPr>
                              <w:drawing>
                                <wp:inline distT="0" distB="0" distL="0" distR="0" wp14:anchorId="4C0356DE" wp14:editId="3728619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" filled="f" stroked="f" strokeweight=".5pt">
                <v:path arrowok="t"/>
                <v:textbox>
                  <w:txbxContent>
                    <w:p w14:paraId="2051181C" w14:textId="77777777" w:rsidR="00B63908" w:rsidRDefault="00B63908" w:rsidP="00AE5488">
                      <w:r>
                        <w:rPr>
                          <w:noProof/>
                        </w:rPr>
                        <w:drawing>
                          <wp:inline distT="0" distB="0" distL="0" distR="0" wp14:anchorId="4C0356DE" wp14:editId="3728619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9B3BD2">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AA3BE0D" wp14:editId="66BED34F">
                <wp:simplePos x="0" y="0"/>
                <wp:positionH relativeFrom="column">
                  <wp:posOffset>-415925</wp:posOffset>
                </wp:positionH>
                <wp:positionV relativeFrom="paragraph">
                  <wp:posOffset>-439420</wp:posOffset>
                </wp:positionV>
                <wp:extent cx="1543050" cy="9096375"/>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003B3A93" w:rsidRPr="009B3BD2">
        <w:rPr>
          <w:rFonts w:asciiTheme="majorHAnsi" w:hAnsiTheme="majorHAnsi" w:cs="Univers"/>
          <w:b/>
          <w:bCs/>
          <w:sz w:val="20"/>
          <w:szCs w:val="20"/>
          <w:lang w:val="pt-BR"/>
        </w:rPr>
        <w:t xml:space="preserve"> </w:t>
      </w:r>
    </w:p>
    <w:p w14:paraId="323E91EC" w14:textId="77777777" w:rsidR="00040C3A" w:rsidRPr="009B3BD2" w:rsidRDefault="00040C3A" w:rsidP="00040C3A">
      <w:pPr>
        <w:tabs>
          <w:tab w:val="center" w:pos="5400"/>
        </w:tabs>
        <w:suppressAutoHyphens/>
        <w:jc w:val="both"/>
        <w:rPr>
          <w:rFonts w:asciiTheme="majorHAnsi" w:hAnsiTheme="majorHAnsi"/>
          <w:sz w:val="20"/>
          <w:szCs w:val="20"/>
          <w:lang w:val="pt-BR"/>
        </w:rPr>
      </w:pPr>
    </w:p>
    <w:p w14:paraId="2570EC25" w14:textId="77777777" w:rsidR="00040C3A" w:rsidRPr="009B3BD2" w:rsidRDefault="00040C3A" w:rsidP="00040C3A">
      <w:pPr>
        <w:tabs>
          <w:tab w:val="center" w:pos="5400"/>
        </w:tabs>
        <w:suppressAutoHyphens/>
        <w:jc w:val="both"/>
        <w:rPr>
          <w:rFonts w:asciiTheme="majorHAnsi" w:hAnsiTheme="majorHAnsi"/>
          <w:sz w:val="20"/>
          <w:szCs w:val="20"/>
          <w:lang w:val="pt-BR"/>
        </w:rPr>
      </w:pPr>
    </w:p>
    <w:p w14:paraId="78200002" w14:textId="77777777" w:rsidR="005128E4" w:rsidRPr="009B3BD2" w:rsidRDefault="005128E4" w:rsidP="00040C3A">
      <w:pPr>
        <w:tabs>
          <w:tab w:val="center" w:pos="5400"/>
        </w:tabs>
        <w:suppressAutoHyphens/>
        <w:rPr>
          <w:rFonts w:asciiTheme="majorHAnsi" w:hAnsiTheme="majorHAnsi"/>
          <w:sz w:val="20"/>
          <w:szCs w:val="20"/>
          <w:lang w:val="pt-BR"/>
        </w:rPr>
      </w:pPr>
    </w:p>
    <w:p w14:paraId="7EAD523F" w14:textId="77777777" w:rsidR="005128E4" w:rsidRPr="009B3BD2" w:rsidRDefault="005128E4" w:rsidP="00040C3A">
      <w:pPr>
        <w:tabs>
          <w:tab w:val="center" w:pos="5400"/>
        </w:tabs>
        <w:suppressAutoHyphens/>
        <w:rPr>
          <w:rFonts w:asciiTheme="majorHAnsi" w:hAnsiTheme="majorHAnsi"/>
          <w:sz w:val="20"/>
          <w:szCs w:val="20"/>
          <w:lang w:val="pt-BR"/>
        </w:rPr>
      </w:pPr>
    </w:p>
    <w:p w14:paraId="5A392F19" w14:textId="77777777" w:rsidR="005128E4" w:rsidRPr="009B3BD2" w:rsidRDefault="005128E4" w:rsidP="00040C3A">
      <w:pPr>
        <w:tabs>
          <w:tab w:val="center" w:pos="5400"/>
        </w:tabs>
        <w:suppressAutoHyphens/>
        <w:rPr>
          <w:rFonts w:asciiTheme="majorHAnsi" w:hAnsiTheme="majorHAnsi"/>
          <w:sz w:val="20"/>
          <w:szCs w:val="20"/>
          <w:lang w:val="pt-BR"/>
        </w:rPr>
      </w:pPr>
    </w:p>
    <w:p w14:paraId="5ED0C7CB" w14:textId="77777777" w:rsidR="00040C3A" w:rsidRPr="009B3BD2" w:rsidRDefault="00040C3A" w:rsidP="005128E4">
      <w:pPr>
        <w:tabs>
          <w:tab w:val="center" w:pos="5400"/>
        </w:tabs>
        <w:suppressAutoHyphens/>
        <w:jc w:val="center"/>
        <w:rPr>
          <w:rFonts w:asciiTheme="majorHAnsi" w:hAnsiTheme="majorHAnsi"/>
          <w:sz w:val="20"/>
          <w:szCs w:val="20"/>
          <w:lang w:val="pt-BR"/>
        </w:rPr>
      </w:pPr>
    </w:p>
    <w:p w14:paraId="0A8D9E4D" w14:textId="77777777" w:rsidR="00040C3A" w:rsidRPr="009B3BD2" w:rsidRDefault="00040C3A" w:rsidP="005128E4">
      <w:pPr>
        <w:tabs>
          <w:tab w:val="center" w:pos="5400"/>
        </w:tabs>
        <w:suppressAutoHyphens/>
        <w:jc w:val="center"/>
        <w:rPr>
          <w:rFonts w:asciiTheme="majorHAnsi" w:hAnsiTheme="majorHAnsi"/>
          <w:sz w:val="20"/>
          <w:szCs w:val="20"/>
          <w:lang w:val="pt-BR"/>
        </w:rPr>
      </w:pPr>
    </w:p>
    <w:p w14:paraId="75FEA47F" w14:textId="77777777" w:rsidR="005B52B0" w:rsidRPr="009B3BD2" w:rsidRDefault="005B52B0" w:rsidP="005128E4">
      <w:pPr>
        <w:tabs>
          <w:tab w:val="center" w:pos="5400"/>
        </w:tabs>
        <w:suppressAutoHyphens/>
        <w:jc w:val="center"/>
        <w:rPr>
          <w:rFonts w:asciiTheme="majorHAnsi" w:hAnsiTheme="majorHAnsi"/>
          <w:sz w:val="20"/>
          <w:szCs w:val="20"/>
          <w:lang w:val="pt-BR"/>
        </w:rPr>
      </w:pPr>
    </w:p>
    <w:p w14:paraId="44F982A3" w14:textId="77777777" w:rsidR="005B52B0" w:rsidRPr="009B3BD2" w:rsidRDefault="005B52B0" w:rsidP="005128E4">
      <w:pPr>
        <w:tabs>
          <w:tab w:val="center" w:pos="5400"/>
        </w:tabs>
        <w:suppressAutoHyphens/>
        <w:jc w:val="center"/>
        <w:rPr>
          <w:rFonts w:asciiTheme="majorHAnsi" w:hAnsiTheme="majorHAnsi"/>
          <w:sz w:val="20"/>
          <w:szCs w:val="20"/>
          <w:lang w:val="pt-BR"/>
        </w:rPr>
      </w:pPr>
    </w:p>
    <w:p w14:paraId="331593A3" w14:textId="77777777" w:rsidR="005B52B0" w:rsidRPr="009B3BD2" w:rsidRDefault="005B52B0" w:rsidP="005128E4">
      <w:pPr>
        <w:tabs>
          <w:tab w:val="center" w:pos="5400"/>
        </w:tabs>
        <w:suppressAutoHyphens/>
        <w:jc w:val="center"/>
        <w:rPr>
          <w:rFonts w:asciiTheme="majorHAnsi" w:hAnsiTheme="majorHAnsi"/>
          <w:sz w:val="20"/>
          <w:szCs w:val="20"/>
          <w:lang w:val="pt-BR"/>
        </w:rPr>
      </w:pPr>
    </w:p>
    <w:p w14:paraId="5DCDA7AF" w14:textId="77777777" w:rsidR="00040C3A" w:rsidRPr="009B3BD2" w:rsidRDefault="00040C3A" w:rsidP="00040C3A">
      <w:pPr>
        <w:tabs>
          <w:tab w:val="center" w:pos="5400"/>
        </w:tabs>
        <w:suppressAutoHyphens/>
        <w:jc w:val="center"/>
        <w:rPr>
          <w:rFonts w:asciiTheme="majorHAnsi" w:hAnsiTheme="majorHAnsi"/>
          <w:sz w:val="20"/>
          <w:szCs w:val="20"/>
          <w:lang w:val="pt-BR"/>
        </w:rPr>
      </w:pPr>
    </w:p>
    <w:p w14:paraId="35A6CBC0" w14:textId="77777777" w:rsidR="00040C3A" w:rsidRPr="009B3BD2" w:rsidRDefault="00040C3A" w:rsidP="00040C3A">
      <w:pPr>
        <w:tabs>
          <w:tab w:val="center" w:pos="5400"/>
        </w:tabs>
        <w:suppressAutoHyphens/>
        <w:jc w:val="center"/>
        <w:rPr>
          <w:rFonts w:asciiTheme="majorHAnsi" w:hAnsiTheme="majorHAnsi"/>
          <w:sz w:val="20"/>
          <w:szCs w:val="20"/>
          <w:lang w:val="pt-BR"/>
        </w:rPr>
      </w:pPr>
    </w:p>
    <w:p w14:paraId="5AE36329" w14:textId="77777777" w:rsidR="00040C3A" w:rsidRPr="009B3BD2" w:rsidRDefault="00C0075D" w:rsidP="00040C3A">
      <w:pPr>
        <w:tabs>
          <w:tab w:val="center" w:pos="5400"/>
        </w:tabs>
        <w:suppressAutoHyphens/>
        <w:jc w:val="center"/>
        <w:rPr>
          <w:rFonts w:asciiTheme="majorHAnsi" w:hAnsiTheme="majorHAnsi"/>
          <w:sz w:val="20"/>
          <w:szCs w:val="20"/>
          <w:lang w:val="pt-BR"/>
        </w:rPr>
      </w:pPr>
      <w:r w:rsidRPr="009B3BD2">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1BD6EB1" wp14:editId="1B4C52D8">
                <wp:simplePos x="0" y="0"/>
                <wp:positionH relativeFrom="column">
                  <wp:posOffset>1352550</wp:posOffset>
                </wp:positionH>
                <wp:positionV relativeFrom="paragraph">
                  <wp:posOffset>107315</wp:posOffset>
                </wp:positionV>
                <wp:extent cx="4441190" cy="21812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B05B2" w14:textId="2483AD38" w:rsidR="00B63908" w:rsidRPr="00B06C1C" w:rsidRDefault="00B63908"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130/17</w:t>
                            </w:r>
                          </w:p>
                          <w:p w14:paraId="62264D29" w14:textId="77777777" w:rsidR="00B63908" w:rsidRPr="00093196" w:rsidRDefault="00B63908"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13.044</w:t>
                            </w:r>
                          </w:p>
                          <w:p w14:paraId="726B1361" w14:textId="77777777" w:rsidR="00B63908" w:rsidRPr="0010736F" w:rsidRDefault="00B6390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14:paraId="10D36940" w14:textId="77777777" w:rsidR="00B63908" w:rsidRPr="0010736F" w:rsidRDefault="00B63908"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9797D37" w14:textId="77777777" w:rsidR="00B63908" w:rsidRPr="005E21D4" w:rsidRDefault="00B63908" w:rsidP="00997BC5">
                            <w:pPr>
                              <w:spacing w:line="276" w:lineRule="auto"/>
                              <w:rPr>
                                <w:rFonts w:asciiTheme="majorHAnsi" w:hAnsiTheme="majorHAnsi" w:cs="Arial"/>
                                <w:color w:val="0D0D0D" w:themeColor="text1" w:themeTint="F2"/>
                                <w:szCs w:val="22"/>
                                <w:lang w:val="es-VE"/>
                              </w:rPr>
                            </w:pPr>
                            <w:r>
                              <w:rPr>
                                <w:rFonts w:ascii="Cambria" w:hAnsi="Cambria"/>
                                <w:lang w:val="es-ES"/>
                              </w:rPr>
                              <w:t>GUSTAVO FRANCISCO PETRO URREGO</w:t>
                            </w:r>
                          </w:p>
                          <w:p w14:paraId="64C56CF6" w14:textId="3B58D653" w:rsidR="00B63908" w:rsidRPr="00305949" w:rsidRDefault="00B63908" w:rsidP="00997BC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
                              </w:rPr>
                              <w:t>COLOMBIA</w:t>
                            </w:r>
                          </w:p>
                          <w:p w14:paraId="04F20C3C" w14:textId="77777777" w:rsidR="00B63908" w:rsidRPr="00AE5488" w:rsidRDefault="00B6390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14:paraId="1D4B05B2" w14:textId="2483AD38" w:rsidR="00B63908" w:rsidRPr="00B06C1C" w:rsidRDefault="00B63908"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130/17</w:t>
                      </w:r>
                    </w:p>
                    <w:p w14:paraId="62264D29" w14:textId="77777777" w:rsidR="00B63908" w:rsidRPr="00093196" w:rsidRDefault="00B63908"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13.044</w:t>
                      </w:r>
                    </w:p>
                    <w:p w14:paraId="726B1361" w14:textId="77777777" w:rsidR="00B63908" w:rsidRPr="0010736F" w:rsidRDefault="00B6390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14:paraId="10D36940" w14:textId="77777777" w:rsidR="00B63908" w:rsidRPr="0010736F" w:rsidRDefault="00B63908"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9797D37" w14:textId="77777777" w:rsidR="00B63908" w:rsidRPr="005E21D4" w:rsidRDefault="00B63908" w:rsidP="00997BC5">
                      <w:pPr>
                        <w:spacing w:line="276" w:lineRule="auto"/>
                        <w:rPr>
                          <w:rFonts w:asciiTheme="majorHAnsi" w:hAnsiTheme="majorHAnsi" w:cs="Arial"/>
                          <w:color w:val="0D0D0D" w:themeColor="text1" w:themeTint="F2"/>
                          <w:szCs w:val="22"/>
                          <w:lang w:val="es-VE"/>
                        </w:rPr>
                      </w:pPr>
                      <w:r>
                        <w:rPr>
                          <w:rFonts w:ascii="Cambria" w:hAnsi="Cambria"/>
                          <w:lang w:val="es-ES"/>
                        </w:rPr>
                        <w:t>GUSTAVO FRANCISCO PETRO URREGO</w:t>
                      </w:r>
                    </w:p>
                    <w:p w14:paraId="64C56CF6" w14:textId="3B58D653" w:rsidR="00B63908" w:rsidRPr="00305949" w:rsidRDefault="00B63908" w:rsidP="00997BC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
                        </w:rPr>
                        <w:t>COLOMBIA</w:t>
                      </w:r>
                    </w:p>
                    <w:p w14:paraId="04F20C3C" w14:textId="77777777" w:rsidR="00B63908" w:rsidRPr="00AE5488" w:rsidRDefault="00B63908" w:rsidP="007A5817">
                      <w:pPr>
                        <w:rPr>
                          <w:color w:val="0D0D0D" w:themeColor="text1" w:themeTint="F2"/>
                          <w:lang w:val="es-ES_tradnl"/>
                        </w:rPr>
                      </w:pPr>
                    </w:p>
                  </w:txbxContent>
                </v:textbox>
              </v:shape>
            </w:pict>
          </mc:Fallback>
        </mc:AlternateContent>
      </w:r>
      <w:r w:rsidRPr="009B3BD2">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A12FA70" wp14:editId="251E8FF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3C9F8" w14:textId="23C289A6" w:rsidR="00B63908" w:rsidRPr="00391735" w:rsidRDefault="00B63908" w:rsidP="007A5817">
                            <w:pPr>
                              <w:spacing w:line="276" w:lineRule="auto"/>
                              <w:jc w:val="right"/>
                              <w:rPr>
                                <w:rFonts w:asciiTheme="minorHAnsi" w:hAnsiTheme="minorHAnsi"/>
                                <w:color w:val="FFFFFF" w:themeColor="background1"/>
                                <w:sz w:val="22"/>
                                <w:lang w:val="pt-BR"/>
                              </w:rPr>
                            </w:pPr>
                            <w:r w:rsidRPr="00391735">
                              <w:rPr>
                                <w:rFonts w:asciiTheme="minorHAnsi" w:hAnsiTheme="minorHAnsi"/>
                                <w:color w:val="FFFFFF" w:themeColor="background1"/>
                                <w:sz w:val="22"/>
                                <w:lang w:val="pt-BR"/>
                              </w:rPr>
                              <w:t>OEA/Ser.L/V/II.165</w:t>
                            </w:r>
                          </w:p>
                          <w:p w14:paraId="3328075C" w14:textId="244BF7B0" w:rsidR="00B63908" w:rsidRPr="00391735" w:rsidRDefault="00B63908" w:rsidP="007A5817">
                            <w:pPr>
                              <w:spacing w:line="276" w:lineRule="auto"/>
                              <w:jc w:val="right"/>
                              <w:rPr>
                                <w:rFonts w:asciiTheme="minorHAnsi" w:hAnsiTheme="minorHAnsi"/>
                                <w:color w:val="FFFFFF" w:themeColor="background1"/>
                                <w:sz w:val="22"/>
                                <w:lang w:val="pt-BR"/>
                              </w:rPr>
                            </w:pPr>
                            <w:r w:rsidRPr="00391735">
                              <w:rPr>
                                <w:rFonts w:asciiTheme="minorHAnsi" w:hAnsiTheme="minorHAnsi"/>
                                <w:color w:val="FFFFFF" w:themeColor="background1"/>
                                <w:sz w:val="22"/>
                                <w:lang w:val="pt-BR"/>
                              </w:rPr>
                              <w:t>Doc. 156</w:t>
                            </w:r>
                          </w:p>
                          <w:p w14:paraId="21AF2D37" w14:textId="61CC9752" w:rsidR="00B63908" w:rsidRPr="005859A2" w:rsidRDefault="00B63908"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25 octubre</w:t>
                            </w:r>
                            <w:r w:rsidRPr="005859A2">
                              <w:rPr>
                                <w:rFonts w:asciiTheme="minorHAnsi" w:hAnsiTheme="minorHAnsi"/>
                                <w:color w:val="FFFFFF" w:themeColor="background1"/>
                                <w:sz w:val="22"/>
                                <w:lang w:val="es-VE"/>
                              </w:rPr>
                              <w:t xml:space="preserve"> 2017</w:t>
                            </w:r>
                          </w:p>
                          <w:p w14:paraId="586653D2" w14:textId="77777777" w:rsidR="00B63908" w:rsidRPr="000C5BC3" w:rsidRDefault="00B63908"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14:paraId="35C3C9F8" w14:textId="23C289A6" w:rsidR="00B63908" w:rsidRPr="00391735" w:rsidRDefault="00B63908" w:rsidP="007A5817">
                      <w:pPr>
                        <w:spacing w:line="276" w:lineRule="auto"/>
                        <w:jc w:val="right"/>
                        <w:rPr>
                          <w:rFonts w:asciiTheme="minorHAnsi" w:hAnsiTheme="minorHAnsi"/>
                          <w:color w:val="FFFFFF" w:themeColor="background1"/>
                          <w:sz w:val="22"/>
                          <w:lang w:val="pt-BR"/>
                        </w:rPr>
                      </w:pPr>
                      <w:r w:rsidRPr="00391735">
                        <w:rPr>
                          <w:rFonts w:asciiTheme="minorHAnsi" w:hAnsiTheme="minorHAnsi"/>
                          <w:color w:val="FFFFFF" w:themeColor="background1"/>
                          <w:sz w:val="22"/>
                          <w:lang w:val="pt-BR"/>
                        </w:rPr>
                        <w:t>OEA/Ser.L/V/II.165</w:t>
                      </w:r>
                    </w:p>
                    <w:p w14:paraId="3328075C" w14:textId="244BF7B0" w:rsidR="00B63908" w:rsidRPr="00391735" w:rsidRDefault="00B63908" w:rsidP="007A5817">
                      <w:pPr>
                        <w:spacing w:line="276" w:lineRule="auto"/>
                        <w:jc w:val="right"/>
                        <w:rPr>
                          <w:rFonts w:asciiTheme="minorHAnsi" w:hAnsiTheme="minorHAnsi"/>
                          <w:color w:val="FFFFFF" w:themeColor="background1"/>
                          <w:sz w:val="22"/>
                          <w:lang w:val="pt-BR"/>
                        </w:rPr>
                      </w:pPr>
                      <w:r w:rsidRPr="00391735">
                        <w:rPr>
                          <w:rFonts w:asciiTheme="minorHAnsi" w:hAnsiTheme="minorHAnsi"/>
                          <w:color w:val="FFFFFF" w:themeColor="background1"/>
                          <w:sz w:val="22"/>
                          <w:lang w:val="pt-BR"/>
                        </w:rPr>
                        <w:t>Doc. 156</w:t>
                      </w:r>
                    </w:p>
                    <w:p w14:paraId="21AF2D37" w14:textId="61CC9752" w:rsidR="00B63908" w:rsidRPr="005859A2" w:rsidRDefault="00B63908"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25 octubre</w:t>
                      </w:r>
                      <w:r w:rsidRPr="005859A2">
                        <w:rPr>
                          <w:rFonts w:asciiTheme="minorHAnsi" w:hAnsiTheme="minorHAnsi"/>
                          <w:color w:val="FFFFFF" w:themeColor="background1"/>
                          <w:sz w:val="22"/>
                          <w:lang w:val="es-VE"/>
                        </w:rPr>
                        <w:t xml:space="preserve"> 2017</w:t>
                      </w:r>
                    </w:p>
                    <w:p w14:paraId="586653D2" w14:textId="77777777" w:rsidR="00B63908" w:rsidRPr="000C5BC3" w:rsidRDefault="00B63908"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v:textbox>
              </v:shape>
            </w:pict>
          </mc:Fallback>
        </mc:AlternateContent>
      </w:r>
    </w:p>
    <w:p w14:paraId="605FF0A3" w14:textId="77777777" w:rsidR="00040C3A" w:rsidRPr="009B3BD2" w:rsidRDefault="00040C3A" w:rsidP="00040C3A">
      <w:pPr>
        <w:tabs>
          <w:tab w:val="center" w:pos="5400"/>
        </w:tabs>
        <w:suppressAutoHyphens/>
        <w:jc w:val="center"/>
        <w:rPr>
          <w:rFonts w:asciiTheme="majorHAnsi" w:hAnsiTheme="majorHAnsi"/>
          <w:sz w:val="20"/>
          <w:szCs w:val="20"/>
          <w:lang w:val="pt-BR"/>
        </w:rPr>
      </w:pPr>
    </w:p>
    <w:p w14:paraId="5B9F87C3" w14:textId="77777777" w:rsidR="00040C3A" w:rsidRPr="009B3BD2" w:rsidRDefault="00040C3A" w:rsidP="00040C3A">
      <w:pPr>
        <w:tabs>
          <w:tab w:val="center" w:pos="5400"/>
        </w:tabs>
        <w:suppressAutoHyphens/>
        <w:jc w:val="center"/>
        <w:rPr>
          <w:rFonts w:asciiTheme="majorHAnsi" w:hAnsiTheme="majorHAnsi"/>
          <w:sz w:val="20"/>
          <w:szCs w:val="20"/>
          <w:lang w:val="pt-BR"/>
        </w:rPr>
      </w:pPr>
    </w:p>
    <w:p w14:paraId="122828EC" w14:textId="77777777" w:rsidR="00040C3A" w:rsidRPr="009B3BD2" w:rsidRDefault="00040C3A" w:rsidP="00040C3A">
      <w:pPr>
        <w:tabs>
          <w:tab w:val="center" w:pos="5400"/>
        </w:tabs>
        <w:suppressAutoHyphens/>
        <w:jc w:val="center"/>
        <w:rPr>
          <w:rFonts w:asciiTheme="majorHAnsi" w:hAnsiTheme="majorHAnsi" w:cs="Arial"/>
          <w:sz w:val="20"/>
          <w:szCs w:val="20"/>
          <w:lang w:val="pt-BR"/>
        </w:rPr>
      </w:pPr>
    </w:p>
    <w:p w14:paraId="29B69A7C" w14:textId="77777777" w:rsidR="00040C3A" w:rsidRPr="009B3BD2" w:rsidRDefault="00040C3A" w:rsidP="00040C3A">
      <w:pPr>
        <w:tabs>
          <w:tab w:val="center" w:pos="5400"/>
        </w:tabs>
        <w:suppressAutoHyphens/>
        <w:jc w:val="center"/>
        <w:rPr>
          <w:rFonts w:asciiTheme="majorHAnsi" w:hAnsiTheme="majorHAnsi"/>
          <w:sz w:val="20"/>
          <w:szCs w:val="20"/>
          <w:lang w:val="pt-BR"/>
        </w:rPr>
      </w:pPr>
    </w:p>
    <w:p w14:paraId="5D515C17" w14:textId="77777777" w:rsidR="00040C3A" w:rsidRPr="009B3BD2" w:rsidRDefault="00040C3A" w:rsidP="00040C3A">
      <w:pPr>
        <w:tabs>
          <w:tab w:val="center" w:pos="5400"/>
        </w:tabs>
        <w:suppressAutoHyphens/>
        <w:jc w:val="center"/>
        <w:rPr>
          <w:rFonts w:asciiTheme="majorHAnsi" w:hAnsiTheme="majorHAnsi"/>
          <w:sz w:val="20"/>
          <w:szCs w:val="20"/>
          <w:lang w:val="pt-BR"/>
        </w:rPr>
      </w:pPr>
    </w:p>
    <w:p w14:paraId="1546BE6B" w14:textId="77777777" w:rsidR="00040C3A" w:rsidRPr="009B3BD2" w:rsidRDefault="00040C3A" w:rsidP="00040C3A">
      <w:pPr>
        <w:tabs>
          <w:tab w:val="center" w:pos="5400"/>
        </w:tabs>
        <w:suppressAutoHyphens/>
        <w:jc w:val="center"/>
        <w:rPr>
          <w:rFonts w:asciiTheme="majorHAnsi" w:hAnsiTheme="majorHAnsi"/>
          <w:sz w:val="20"/>
          <w:szCs w:val="20"/>
          <w:lang w:val="pt-BR"/>
        </w:rPr>
      </w:pPr>
    </w:p>
    <w:p w14:paraId="5603BD1A" w14:textId="77777777" w:rsidR="00040C3A" w:rsidRPr="009B3BD2" w:rsidRDefault="00040C3A" w:rsidP="00040C3A">
      <w:pPr>
        <w:tabs>
          <w:tab w:val="center" w:pos="5400"/>
        </w:tabs>
        <w:suppressAutoHyphens/>
        <w:jc w:val="center"/>
        <w:rPr>
          <w:rFonts w:asciiTheme="majorHAnsi" w:hAnsiTheme="majorHAnsi"/>
          <w:sz w:val="20"/>
          <w:szCs w:val="20"/>
          <w:lang w:val="pt-BR"/>
        </w:rPr>
      </w:pPr>
    </w:p>
    <w:p w14:paraId="687A6B0E" w14:textId="77777777" w:rsidR="005128E4" w:rsidRPr="009B3BD2" w:rsidRDefault="005128E4" w:rsidP="00040C3A">
      <w:pPr>
        <w:tabs>
          <w:tab w:val="center" w:pos="5400"/>
        </w:tabs>
        <w:suppressAutoHyphens/>
        <w:jc w:val="center"/>
        <w:rPr>
          <w:rFonts w:asciiTheme="majorHAnsi" w:hAnsiTheme="majorHAnsi"/>
          <w:sz w:val="20"/>
          <w:szCs w:val="20"/>
          <w:lang w:val="pt-BR"/>
        </w:rPr>
      </w:pPr>
    </w:p>
    <w:p w14:paraId="3B69E568" w14:textId="77777777" w:rsidR="00040C3A" w:rsidRPr="009B3BD2" w:rsidRDefault="00040C3A" w:rsidP="00040C3A">
      <w:pPr>
        <w:tabs>
          <w:tab w:val="center" w:pos="5400"/>
        </w:tabs>
        <w:suppressAutoHyphens/>
        <w:jc w:val="center"/>
        <w:rPr>
          <w:rFonts w:asciiTheme="majorHAnsi" w:hAnsiTheme="majorHAnsi"/>
          <w:sz w:val="20"/>
          <w:szCs w:val="20"/>
          <w:lang w:val="pt-BR"/>
        </w:rPr>
      </w:pPr>
    </w:p>
    <w:p w14:paraId="6892A125" w14:textId="77777777" w:rsidR="005128E4" w:rsidRPr="009B3BD2" w:rsidRDefault="005128E4" w:rsidP="00040C3A">
      <w:pPr>
        <w:tabs>
          <w:tab w:val="center" w:pos="5400"/>
        </w:tabs>
        <w:suppressAutoHyphens/>
        <w:jc w:val="center"/>
        <w:rPr>
          <w:rFonts w:asciiTheme="majorHAnsi" w:hAnsiTheme="majorHAnsi"/>
          <w:sz w:val="20"/>
          <w:szCs w:val="20"/>
          <w:lang w:val="pt-BR"/>
        </w:rPr>
      </w:pPr>
    </w:p>
    <w:p w14:paraId="5C3CE487" w14:textId="77777777" w:rsidR="005128E4" w:rsidRPr="009B3BD2" w:rsidRDefault="005128E4" w:rsidP="00040C3A">
      <w:pPr>
        <w:tabs>
          <w:tab w:val="center" w:pos="5400"/>
        </w:tabs>
        <w:suppressAutoHyphens/>
        <w:jc w:val="center"/>
        <w:rPr>
          <w:rFonts w:asciiTheme="majorHAnsi" w:hAnsiTheme="majorHAnsi"/>
          <w:sz w:val="20"/>
          <w:szCs w:val="20"/>
          <w:lang w:val="pt-BR"/>
        </w:rPr>
      </w:pPr>
    </w:p>
    <w:p w14:paraId="2717F1F3" w14:textId="77777777" w:rsidR="005128E4" w:rsidRPr="009B3BD2" w:rsidRDefault="005128E4" w:rsidP="00040C3A">
      <w:pPr>
        <w:tabs>
          <w:tab w:val="center" w:pos="5400"/>
        </w:tabs>
        <w:suppressAutoHyphens/>
        <w:jc w:val="center"/>
        <w:rPr>
          <w:rFonts w:asciiTheme="majorHAnsi" w:hAnsiTheme="majorHAnsi"/>
          <w:sz w:val="20"/>
          <w:szCs w:val="20"/>
          <w:lang w:val="pt-BR"/>
        </w:rPr>
      </w:pPr>
    </w:p>
    <w:p w14:paraId="5CA9C820" w14:textId="77777777" w:rsidR="00040C3A" w:rsidRPr="009B3BD2" w:rsidRDefault="00040C3A" w:rsidP="00040C3A">
      <w:pPr>
        <w:tabs>
          <w:tab w:val="center" w:pos="5400"/>
        </w:tabs>
        <w:suppressAutoHyphens/>
        <w:jc w:val="center"/>
        <w:rPr>
          <w:rFonts w:asciiTheme="majorHAnsi" w:hAnsiTheme="majorHAnsi"/>
          <w:sz w:val="20"/>
          <w:szCs w:val="20"/>
          <w:lang w:val="pt-BR"/>
        </w:rPr>
      </w:pPr>
    </w:p>
    <w:p w14:paraId="786F4D16" w14:textId="77777777" w:rsidR="00040C3A" w:rsidRPr="009B3BD2" w:rsidRDefault="00040C3A" w:rsidP="00040C3A">
      <w:pPr>
        <w:tabs>
          <w:tab w:val="center" w:pos="5400"/>
        </w:tabs>
        <w:suppressAutoHyphens/>
        <w:jc w:val="center"/>
        <w:rPr>
          <w:rFonts w:asciiTheme="majorHAnsi" w:hAnsiTheme="majorHAnsi"/>
          <w:sz w:val="20"/>
          <w:szCs w:val="20"/>
          <w:lang w:val="pt-BR"/>
        </w:rPr>
      </w:pPr>
    </w:p>
    <w:p w14:paraId="60ED408C"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08D228EF"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017905C9"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1ADFA2E6"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107911D9"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0FAE6AF8"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314A5F9C"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0D42A5A6"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50D99574"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4647518E"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39107E9E"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48D6388F"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5D449286"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2AB610F2"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25B4EDD4" w14:textId="77777777" w:rsidR="00A50FCF" w:rsidRPr="009B3BD2" w:rsidRDefault="00C0075D" w:rsidP="00040C3A">
      <w:pPr>
        <w:tabs>
          <w:tab w:val="center" w:pos="5400"/>
        </w:tabs>
        <w:suppressAutoHyphens/>
        <w:jc w:val="center"/>
        <w:rPr>
          <w:rFonts w:asciiTheme="majorHAnsi" w:hAnsiTheme="majorHAnsi"/>
          <w:sz w:val="20"/>
          <w:szCs w:val="20"/>
          <w:lang w:val="pt-BR"/>
        </w:rPr>
      </w:pPr>
      <w:r w:rsidRPr="009B3BD2">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0854162" wp14:editId="332A19DB">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A1811" w14:textId="6E9D7623" w:rsidR="00B63908" w:rsidRPr="00890650" w:rsidRDefault="00B63908"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en su </w:t>
                            </w:r>
                            <w:r>
                              <w:rPr>
                                <w:rFonts w:asciiTheme="majorHAnsi" w:hAnsiTheme="majorHAnsi"/>
                                <w:color w:val="0D0D0D" w:themeColor="text1" w:themeTint="F2"/>
                                <w:sz w:val="18"/>
                                <w:szCs w:val="20"/>
                                <w:lang w:val="es-ES"/>
                              </w:rPr>
                              <w:t xml:space="preserve">Sesión Nº 2102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25 de octubre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165º Período de S</w:t>
                            </w:r>
                            <w:r w:rsidRPr="00890650">
                              <w:rPr>
                                <w:rFonts w:asciiTheme="majorHAnsi" w:hAnsiTheme="majorHAnsi" w:cs="Univers"/>
                                <w:color w:val="0D0D0D" w:themeColor="text1" w:themeTint="F2"/>
                                <w:sz w:val="18"/>
                                <w:szCs w:val="20"/>
                                <w:lang w:val="es-ES_tradnl"/>
                              </w:rPr>
                              <w:t>esiones</w:t>
                            </w:r>
                            <w:r>
                              <w:rPr>
                                <w:rFonts w:asciiTheme="majorHAnsi" w:hAnsiTheme="majorHAnsi" w:cs="Univers"/>
                                <w:color w:val="0D0D0D" w:themeColor="text1" w:themeTint="F2"/>
                                <w:sz w:val="18"/>
                                <w:szCs w:val="20"/>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71CA1811" w14:textId="6E9D7623" w:rsidR="00B63908" w:rsidRPr="00890650" w:rsidRDefault="00B63908"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en su </w:t>
                      </w:r>
                      <w:r>
                        <w:rPr>
                          <w:rFonts w:asciiTheme="majorHAnsi" w:hAnsiTheme="majorHAnsi"/>
                          <w:color w:val="0D0D0D" w:themeColor="text1" w:themeTint="F2"/>
                          <w:sz w:val="18"/>
                          <w:szCs w:val="20"/>
                          <w:lang w:val="es-ES"/>
                        </w:rPr>
                        <w:t xml:space="preserve">Sesión Nº 2102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25 de octubre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165º Período de S</w:t>
                      </w:r>
                      <w:r w:rsidRPr="00890650">
                        <w:rPr>
                          <w:rFonts w:asciiTheme="majorHAnsi" w:hAnsiTheme="majorHAnsi" w:cs="Univers"/>
                          <w:color w:val="0D0D0D" w:themeColor="text1" w:themeTint="F2"/>
                          <w:sz w:val="18"/>
                          <w:szCs w:val="20"/>
                          <w:lang w:val="es-ES_tradnl"/>
                        </w:rPr>
                        <w:t>esiones</w:t>
                      </w:r>
                      <w:r>
                        <w:rPr>
                          <w:rFonts w:asciiTheme="majorHAnsi" w:hAnsiTheme="majorHAnsi" w:cs="Univers"/>
                          <w:color w:val="0D0D0D" w:themeColor="text1" w:themeTint="F2"/>
                          <w:sz w:val="18"/>
                          <w:szCs w:val="20"/>
                          <w:lang w:val="es-ES_tradnl"/>
                        </w:rPr>
                        <w:t>.</w:t>
                      </w:r>
                    </w:p>
                  </w:txbxContent>
                </v:textbox>
              </v:shape>
            </w:pict>
          </mc:Fallback>
        </mc:AlternateContent>
      </w:r>
    </w:p>
    <w:p w14:paraId="2914B6A8"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1AB0204D"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71D3F892"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6BF3E7A2"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070A0F97" w14:textId="77777777" w:rsidR="00A50FCF" w:rsidRPr="009B3BD2" w:rsidRDefault="00C0075D" w:rsidP="00040C3A">
      <w:pPr>
        <w:tabs>
          <w:tab w:val="center" w:pos="5400"/>
        </w:tabs>
        <w:suppressAutoHyphens/>
        <w:jc w:val="center"/>
        <w:rPr>
          <w:rFonts w:asciiTheme="majorHAnsi" w:hAnsiTheme="majorHAnsi"/>
          <w:sz w:val="20"/>
          <w:szCs w:val="20"/>
          <w:lang w:val="pt-BR"/>
        </w:rPr>
      </w:pPr>
      <w:r w:rsidRPr="009B3BD2">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12EA472" wp14:editId="2567AAF8">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5546B" w14:textId="25CEC7E9" w:rsidR="00B63908" w:rsidRPr="002F7043" w:rsidRDefault="00B63908"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Nº</w:t>
                            </w:r>
                            <w:r w:rsidRPr="00890650">
                              <w:rPr>
                                <w:rFonts w:asciiTheme="majorHAnsi" w:hAnsiTheme="majorHAnsi"/>
                                <w:color w:val="595959" w:themeColor="text1" w:themeTint="A6"/>
                                <w:sz w:val="18"/>
                                <w:szCs w:val="18"/>
                                <w:lang w:val="pt-BR"/>
                              </w:rPr>
                              <w:t xml:space="preserve"> </w:t>
                            </w:r>
                            <w:r w:rsidRPr="00093196">
                              <w:rPr>
                                <w:rFonts w:asciiTheme="majorHAnsi" w:hAnsiTheme="majorHAnsi"/>
                                <w:color w:val="595959" w:themeColor="text1" w:themeTint="A6"/>
                                <w:sz w:val="18"/>
                                <w:szCs w:val="18"/>
                                <w:lang w:val="pt-BR"/>
                              </w:rPr>
                              <w:t xml:space="preserve"> </w:t>
                            </w:r>
                            <w:r w:rsidRPr="002F7043">
                              <w:rPr>
                                <w:rFonts w:asciiTheme="majorHAnsi" w:hAnsiTheme="majorHAnsi"/>
                                <w:color w:val="595959" w:themeColor="text1" w:themeTint="A6"/>
                                <w:sz w:val="18"/>
                                <w:szCs w:val="18"/>
                                <w:lang w:val="pt-BR"/>
                              </w:rPr>
                              <w:t xml:space="preserve">130/17, Caso </w:t>
                            </w:r>
                            <w:r>
                              <w:rPr>
                                <w:rFonts w:asciiTheme="majorHAnsi" w:hAnsiTheme="majorHAnsi"/>
                                <w:color w:val="595959" w:themeColor="text1" w:themeTint="A6"/>
                                <w:sz w:val="18"/>
                                <w:szCs w:val="18"/>
                                <w:lang w:val="pt-BR"/>
                              </w:rPr>
                              <w:t>Nº</w:t>
                            </w:r>
                            <w:r w:rsidR="00AC787F">
                              <w:rPr>
                                <w:rFonts w:asciiTheme="majorHAnsi" w:hAnsiTheme="majorHAnsi"/>
                                <w:color w:val="595959" w:themeColor="text1" w:themeTint="A6"/>
                                <w:sz w:val="18"/>
                                <w:szCs w:val="18"/>
                                <w:lang w:val="pt-BR"/>
                              </w:rPr>
                              <w:t xml:space="preserve"> </w:t>
                            </w:r>
                            <w:r w:rsidRPr="002F7043">
                              <w:rPr>
                                <w:rFonts w:asciiTheme="majorHAnsi" w:hAnsiTheme="majorHAnsi"/>
                                <w:color w:val="595959" w:themeColor="text1" w:themeTint="A6"/>
                                <w:sz w:val="18"/>
                                <w:szCs w:val="18"/>
                                <w:lang w:val="pt-BR"/>
                              </w:rPr>
                              <w:t>13.044</w:t>
                            </w:r>
                          </w:p>
                          <w:p w14:paraId="7D345A91" w14:textId="56D606CF" w:rsidR="00B63908" w:rsidRPr="00D21876" w:rsidRDefault="00B63908" w:rsidP="00EB1199">
                            <w:pPr>
                              <w:spacing w:line="276" w:lineRule="auto"/>
                              <w:rPr>
                                <w:rFonts w:asciiTheme="majorHAnsi" w:hAnsiTheme="majorHAnsi"/>
                                <w:color w:val="595959" w:themeColor="text1" w:themeTint="A6"/>
                                <w:sz w:val="18"/>
                                <w:szCs w:val="18"/>
                                <w:lang w:val="es-VE"/>
                              </w:rPr>
                            </w:pPr>
                            <w:r w:rsidRPr="00D21876">
                              <w:rPr>
                                <w:rFonts w:asciiTheme="majorHAnsi" w:hAnsiTheme="majorHAnsi"/>
                                <w:color w:val="595959" w:themeColor="text1" w:themeTint="A6"/>
                                <w:sz w:val="18"/>
                                <w:szCs w:val="18"/>
                                <w:lang w:val="es-VE"/>
                              </w:rPr>
                              <w:t xml:space="preserve">Fondo. </w:t>
                            </w:r>
                            <w:r>
                              <w:rPr>
                                <w:rFonts w:asciiTheme="majorHAnsi" w:hAnsiTheme="majorHAnsi"/>
                                <w:color w:val="595959" w:themeColor="text1" w:themeTint="A6"/>
                                <w:sz w:val="18"/>
                                <w:szCs w:val="18"/>
                                <w:lang w:val="es-VE"/>
                              </w:rPr>
                              <w:t xml:space="preserve">Gustavo Francisco </w:t>
                            </w:r>
                            <w:proofErr w:type="spellStart"/>
                            <w:r>
                              <w:rPr>
                                <w:rFonts w:asciiTheme="majorHAnsi" w:hAnsiTheme="majorHAnsi"/>
                                <w:color w:val="595959" w:themeColor="text1" w:themeTint="A6"/>
                                <w:sz w:val="18"/>
                                <w:szCs w:val="18"/>
                                <w:lang w:val="es-VE"/>
                              </w:rPr>
                              <w:t>Petro</w:t>
                            </w:r>
                            <w:proofErr w:type="spellEnd"/>
                            <w:r>
                              <w:rPr>
                                <w:rFonts w:asciiTheme="majorHAnsi" w:hAnsiTheme="majorHAnsi"/>
                                <w:color w:val="595959" w:themeColor="text1" w:themeTint="A6"/>
                                <w:sz w:val="18"/>
                                <w:szCs w:val="18"/>
                                <w:lang w:val="es-VE"/>
                              </w:rPr>
                              <w:t xml:space="preserve"> Urrego</w:t>
                            </w:r>
                            <w:r w:rsidRPr="00D21876">
                              <w:rPr>
                                <w:rFonts w:asciiTheme="majorHAnsi" w:hAnsiTheme="majorHAnsi"/>
                                <w:color w:val="595959" w:themeColor="text1" w:themeTint="A6"/>
                                <w:sz w:val="18"/>
                                <w:szCs w:val="18"/>
                                <w:lang w:val="es-VE"/>
                              </w:rPr>
                              <w:t>.</w:t>
                            </w:r>
                            <w:r w:rsidRPr="002F7043">
                              <w:rPr>
                                <w:rFonts w:asciiTheme="majorHAnsi" w:hAnsiTheme="majorHAnsi"/>
                                <w:color w:val="595959" w:themeColor="text1" w:themeTint="A6"/>
                                <w:sz w:val="18"/>
                                <w:szCs w:val="18"/>
                                <w:lang w:val="es-PE"/>
                              </w:rPr>
                              <w:t>Colombia. 25 de octubre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3175546B" w14:textId="25CEC7E9" w:rsidR="00B63908" w:rsidRPr="002F7043" w:rsidRDefault="00B63908"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w:t>
                      </w:r>
                      <w:r>
                        <w:rPr>
                          <w:rFonts w:asciiTheme="majorHAnsi" w:hAnsiTheme="majorHAnsi"/>
                          <w:color w:val="595959" w:themeColor="text1" w:themeTint="A6"/>
                          <w:sz w:val="18"/>
                          <w:szCs w:val="18"/>
                          <w:lang w:val="pt-BR"/>
                        </w:rPr>
                        <w:t>Nº</w:t>
                      </w:r>
                      <w:r w:rsidRPr="00890650">
                        <w:rPr>
                          <w:rFonts w:asciiTheme="majorHAnsi" w:hAnsiTheme="majorHAnsi"/>
                          <w:color w:val="595959" w:themeColor="text1" w:themeTint="A6"/>
                          <w:sz w:val="18"/>
                          <w:szCs w:val="18"/>
                          <w:lang w:val="pt-BR"/>
                        </w:rPr>
                        <w:t xml:space="preserve"> </w:t>
                      </w:r>
                      <w:r w:rsidRPr="00093196">
                        <w:rPr>
                          <w:rFonts w:asciiTheme="majorHAnsi" w:hAnsiTheme="majorHAnsi"/>
                          <w:color w:val="595959" w:themeColor="text1" w:themeTint="A6"/>
                          <w:sz w:val="18"/>
                          <w:szCs w:val="18"/>
                          <w:lang w:val="pt-BR"/>
                        </w:rPr>
                        <w:t xml:space="preserve"> </w:t>
                      </w:r>
                      <w:r w:rsidRPr="002F7043">
                        <w:rPr>
                          <w:rFonts w:asciiTheme="majorHAnsi" w:hAnsiTheme="majorHAnsi"/>
                          <w:color w:val="595959" w:themeColor="text1" w:themeTint="A6"/>
                          <w:sz w:val="18"/>
                          <w:szCs w:val="18"/>
                          <w:lang w:val="pt-BR"/>
                        </w:rPr>
                        <w:t xml:space="preserve">130/17, Caso </w:t>
                      </w:r>
                      <w:r>
                        <w:rPr>
                          <w:rFonts w:asciiTheme="majorHAnsi" w:hAnsiTheme="majorHAnsi"/>
                          <w:color w:val="595959" w:themeColor="text1" w:themeTint="A6"/>
                          <w:sz w:val="18"/>
                          <w:szCs w:val="18"/>
                          <w:lang w:val="pt-BR"/>
                        </w:rPr>
                        <w:t>Nº</w:t>
                      </w:r>
                      <w:r w:rsidR="00AC787F">
                        <w:rPr>
                          <w:rFonts w:asciiTheme="majorHAnsi" w:hAnsiTheme="majorHAnsi"/>
                          <w:color w:val="595959" w:themeColor="text1" w:themeTint="A6"/>
                          <w:sz w:val="18"/>
                          <w:szCs w:val="18"/>
                          <w:lang w:val="pt-BR"/>
                        </w:rPr>
                        <w:t xml:space="preserve"> </w:t>
                      </w:r>
                      <w:r w:rsidRPr="002F7043">
                        <w:rPr>
                          <w:rFonts w:asciiTheme="majorHAnsi" w:hAnsiTheme="majorHAnsi"/>
                          <w:color w:val="595959" w:themeColor="text1" w:themeTint="A6"/>
                          <w:sz w:val="18"/>
                          <w:szCs w:val="18"/>
                          <w:lang w:val="pt-BR"/>
                        </w:rPr>
                        <w:t>13.044</w:t>
                      </w:r>
                    </w:p>
                    <w:p w14:paraId="7D345A91" w14:textId="56D606CF" w:rsidR="00B63908" w:rsidRPr="00D21876" w:rsidRDefault="00B63908" w:rsidP="00EB1199">
                      <w:pPr>
                        <w:spacing w:line="276" w:lineRule="auto"/>
                        <w:rPr>
                          <w:rFonts w:asciiTheme="majorHAnsi" w:hAnsiTheme="majorHAnsi"/>
                          <w:color w:val="595959" w:themeColor="text1" w:themeTint="A6"/>
                          <w:sz w:val="18"/>
                          <w:szCs w:val="18"/>
                          <w:lang w:val="es-VE"/>
                        </w:rPr>
                      </w:pPr>
                      <w:r w:rsidRPr="00D21876">
                        <w:rPr>
                          <w:rFonts w:asciiTheme="majorHAnsi" w:hAnsiTheme="majorHAnsi"/>
                          <w:color w:val="595959" w:themeColor="text1" w:themeTint="A6"/>
                          <w:sz w:val="18"/>
                          <w:szCs w:val="18"/>
                          <w:lang w:val="es-VE"/>
                        </w:rPr>
                        <w:t xml:space="preserve">Fondo. </w:t>
                      </w:r>
                      <w:r>
                        <w:rPr>
                          <w:rFonts w:asciiTheme="majorHAnsi" w:hAnsiTheme="majorHAnsi"/>
                          <w:color w:val="595959" w:themeColor="text1" w:themeTint="A6"/>
                          <w:sz w:val="18"/>
                          <w:szCs w:val="18"/>
                          <w:lang w:val="es-VE"/>
                        </w:rPr>
                        <w:t xml:space="preserve">Gustavo Francisco </w:t>
                      </w:r>
                      <w:proofErr w:type="spellStart"/>
                      <w:r>
                        <w:rPr>
                          <w:rFonts w:asciiTheme="majorHAnsi" w:hAnsiTheme="majorHAnsi"/>
                          <w:color w:val="595959" w:themeColor="text1" w:themeTint="A6"/>
                          <w:sz w:val="18"/>
                          <w:szCs w:val="18"/>
                          <w:lang w:val="es-VE"/>
                        </w:rPr>
                        <w:t>Petro</w:t>
                      </w:r>
                      <w:proofErr w:type="spellEnd"/>
                      <w:r>
                        <w:rPr>
                          <w:rFonts w:asciiTheme="majorHAnsi" w:hAnsiTheme="majorHAnsi"/>
                          <w:color w:val="595959" w:themeColor="text1" w:themeTint="A6"/>
                          <w:sz w:val="18"/>
                          <w:szCs w:val="18"/>
                          <w:lang w:val="es-VE"/>
                        </w:rPr>
                        <w:t xml:space="preserve"> Urrego</w:t>
                      </w:r>
                      <w:r w:rsidRPr="00D21876">
                        <w:rPr>
                          <w:rFonts w:asciiTheme="majorHAnsi" w:hAnsiTheme="majorHAnsi"/>
                          <w:color w:val="595959" w:themeColor="text1" w:themeTint="A6"/>
                          <w:sz w:val="18"/>
                          <w:szCs w:val="18"/>
                          <w:lang w:val="es-VE"/>
                        </w:rPr>
                        <w:t>.</w:t>
                      </w:r>
                      <w:r w:rsidRPr="002F7043">
                        <w:rPr>
                          <w:rFonts w:asciiTheme="majorHAnsi" w:hAnsiTheme="majorHAnsi"/>
                          <w:color w:val="595959" w:themeColor="text1" w:themeTint="A6"/>
                          <w:sz w:val="18"/>
                          <w:szCs w:val="18"/>
                          <w:lang w:val="es-PE"/>
                        </w:rPr>
                        <w:t>Colombia. 25 de octubre de 2017.</w:t>
                      </w:r>
                    </w:p>
                  </w:txbxContent>
                </v:textbox>
              </v:shape>
            </w:pict>
          </mc:Fallback>
        </mc:AlternateContent>
      </w:r>
    </w:p>
    <w:p w14:paraId="2804D053" w14:textId="77777777" w:rsidR="00A50FCF" w:rsidRPr="009B3BD2" w:rsidRDefault="00A50FCF" w:rsidP="00040C3A">
      <w:pPr>
        <w:tabs>
          <w:tab w:val="center" w:pos="5400"/>
        </w:tabs>
        <w:suppressAutoHyphens/>
        <w:jc w:val="center"/>
        <w:rPr>
          <w:rFonts w:asciiTheme="majorHAnsi" w:hAnsiTheme="majorHAnsi"/>
          <w:sz w:val="20"/>
          <w:szCs w:val="20"/>
          <w:lang w:val="pt-BR"/>
        </w:rPr>
      </w:pPr>
    </w:p>
    <w:p w14:paraId="5BB8CA08" w14:textId="77777777" w:rsidR="0090270B" w:rsidRPr="009B3BD2" w:rsidRDefault="00C0075D" w:rsidP="005516A1">
      <w:pPr>
        <w:tabs>
          <w:tab w:val="center" w:pos="5400"/>
        </w:tabs>
        <w:suppressAutoHyphens/>
        <w:jc w:val="center"/>
        <w:rPr>
          <w:rFonts w:asciiTheme="majorHAnsi" w:hAnsiTheme="majorHAnsi"/>
          <w:b/>
          <w:sz w:val="20"/>
          <w:szCs w:val="20"/>
          <w:lang w:val="pt-BR"/>
        </w:rPr>
      </w:pPr>
      <w:r w:rsidRPr="009B3BD2">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516A1D2" wp14:editId="204AB1D5">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88D7C" w14:textId="77777777" w:rsidR="00B63908" w:rsidRPr="00D72DC6" w:rsidRDefault="00B63908" w:rsidP="00F02AD1">
                            <w:pPr>
                              <w:rPr>
                                <w:color w:val="FFFFFF" w:themeColor="background1"/>
                              </w:rPr>
                            </w:pPr>
                            <w:r w:rsidRPr="00D72DC6">
                              <w:rPr>
                                <w:noProof/>
                                <w:color w:val="FFFFFF" w:themeColor="background1"/>
                              </w:rPr>
                              <w:drawing>
                                <wp:inline distT="0" distB="0" distL="0" distR="0" wp14:anchorId="2334704A" wp14:editId="2DC4949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14:paraId="3B088D7C" w14:textId="77777777" w:rsidR="00B63908" w:rsidRPr="00D72DC6" w:rsidRDefault="00B63908" w:rsidP="00F02AD1">
                      <w:pPr>
                        <w:rPr>
                          <w:color w:val="FFFFFF" w:themeColor="background1"/>
                        </w:rPr>
                      </w:pPr>
                      <w:r w:rsidRPr="00D72DC6">
                        <w:rPr>
                          <w:noProof/>
                          <w:color w:val="FFFFFF" w:themeColor="background1"/>
                        </w:rPr>
                        <w:drawing>
                          <wp:inline distT="0" distB="0" distL="0" distR="0" wp14:anchorId="2334704A" wp14:editId="2DC4949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B3BD2">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C950939" wp14:editId="2C8FCF89">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71981" w14:textId="77777777" w:rsidR="00B63908" w:rsidRPr="004B7EB6" w:rsidRDefault="00B6390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14:paraId="7D671981" w14:textId="77777777" w:rsidR="00B63908" w:rsidRPr="004B7EB6" w:rsidRDefault="00B6390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2B727E" w14:textId="77777777" w:rsidR="0070697F" w:rsidRPr="009B3BD2" w:rsidRDefault="0070697F" w:rsidP="005516A1">
      <w:pPr>
        <w:tabs>
          <w:tab w:val="center" w:pos="5400"/>
        </w:tabs>
        <w:suppressAutoHyphens/>
        <w:jc w:val="center"/>
        <w:rPr>
          <w:rFonts w:asciiTheme="majorHAnsi" w:hAnsiTheme="majorHAnsi"/>
          <w:b/>
          <w:sz w:val="20"/>
          <w:szCs w:val="20"/>
          <w:lang w:val="pt-BR"/>
        </w:rPr>
        <w:sectPr w:rsidR="0070697F" w:rsidRPr="009B3BD2"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2CD42098" w14:textId="5EDD4FC4" w:rsidR="004B316C" w:rsidRPr="009B3BD2" w:rsidRDefault="002F7043"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pt-BR"/>
        </w:rPr>
      </w:pPr>
      <w:r>
        <w:rPr>
          <w:rFonts w:asciiTheme="majorHAnsi" w:eastAsia="Times New Roman" w:hAnsiTheme="majorHAnsi"/>
          <w:b/>
          <w:sz w:val="20"/>
          <w:szCs w:val="20"/>
          <w:bdr w:val="none" w:sz="0" w:space="0" w:color="auto"/>
          <w:lang w:val="pt-BR"/>
        </w:rPr>
        <w:lastRenderedPageBreak/>
        <w:t>INFORME Nº</w:t>
      </w:r>
      <w:r w:rsidR="005859A2">
        <w:rPr>
          <w:rFonts w:asciiTheme="majorHAnsi" w:eastAsia="Times New Roman" w:hAnsiTheme="majorHAnsi"/>
          <w:b/>
          <w:sz w:val="20"/>
          <w:szCs w:val="20"/>
          <w:bdr w:val="none" w:sz="0" w:space="0" w:color="auto"/>
          <w:lang w:val="pt-BR"/>
        </w:rPr>
        <w:t xml:space="preserve"> 130</w:t>
      </w:r>
      <w:r w:rsidR="00305949" w:rsidRPr="009B3BD2">
        <w:rPr>
          <w:rFonts w:asciiTheme="majorHAnsi" w:eastAsia="Times New Roman" w:hAnsiTheme="majorHAnsi"/>
          <w:b/>
          <w:sz w:val="20"/>
          <w:szCs w:val="20"/>
          <w:bdr w:val="none" w:sz="0" w:space="0" w:color="auto"/>
          <w:lang w:val="pt-BR"/>
        </w:rPr>
        <w:t>/1</w:t>
      </w:r>
      <w:r w:rsidR="00F674F4" w:rsidRPr="009B3BD2">
        <w:rPr>
          <w:rFonts w:asciiTheme="majorHAnsi" w:eastAsia="Times New Roman" w:hAnsiTheme="majorHAnsi"/>
          <w:b/>
          <w:sz w:val="20"/>
          <w:szCs w:val="20"/>
          <w:bdr w:val="none" w:sz="0" w:space="0" w:color="auto"/>
          <w:lang w:val="pt-BR"/>
        </w:rPr>
        <w:t>7</w:t>
      </w:r>
    </w:p>
    <w:p w14:paraId="60F3325F" w14:textId="465A9EE5" w:rsidR="004B316C" w:rsidRPr="009B3BD2" w:rsidRDefault="00A00F81"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pt-BR"/>
        </w:rPr>
      </w:pPr>
      <w:r w:rsidRPr="009B3BD2">
        <w:rPr>
          <w:rFonts w:asciiTheme="majorHAnsi" w:eastAsia="Times New Roman" w:hAnsiTheme="majorHAnsi"/>
          <w:b/>
          <w:sz w:val="20"/>
          <w:szCs w:val="20"/>
          <w:bdr w:val="none" w:sz="0" w:space="0" w:color="auto"/>
          <w:lang w:val="pt-BR"/>
        </w:rPr>
        <w:t xml:space="preserve">CASO </w:t>
      </w:r>
      <w:r w:rsidR="002F7043">
        <w:rPr>
          <w:rFonts w:asciiTheme="majorHAnsi" w:eastAsia="Times New Roman" w:hAnsiTheme="majorHAnsi"/>
          <w:b/>
          <w:sz w:val="20"/>
          <w:szCs w:val="20"/>
          <w:bdr w:val="none" w:sz="0" w:space="0" w:color="auto"/>
          <w:lang w:val="pt-BR"/>
        </w:rPr>
        <w:t xml:space="preserve">Nº </w:t>
      </w:r>
      <w:r w:rsidRPr="009B3BD2">
        <w:rPr>
          <w:rFonts w:asciiTheme="majorHAnsi" w:eastAsia="Times New Roman" w:hAnsiTheme="majorHAnsi"/>
          <w:b/>
          <w:sz w:val="20"/>
          <w:szCs w:val="20"/>
          <w:bdr w:val="none" w:sz="0" w:space="0" w:color="auto"/>
          <w:lang w:val="pt-BR"/>
        </w:rPr>
        <w:t>13.044</w:t>
      </w:r>
    </w:p>
    <w:p w14:paraId="6CE04777" w14:textId="77777777" w:rsidR="004B316C" w:rsidRPr="00C14D68"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pt-BR"/>
        </w:rPr>
      </w:pPr>
      <w:r w:rsidRPr="00C14D68">
        <w:rPr>
          <w:rFonts w:asciiTheme="majorHAnsi" w:eastAsia="Times New Roman" w:hAnsiTheme="majorHAnsi"/>
          <w:sz w:val="20"/>
          <w:szCs w:val="20"/>
          <w:bdr w:val="none" w:sz="0" w:space="0" w:color="auto"/>
          <w:lang w:val="pt-BR"/>
        </w:rPr>
        <w:t>FONDO</w:t>
      </w:r>
    </w:p>
    <w:p w14:paraId="7322A214" w14:textId="77777777" w:rsidR="00B06C1C" w:rsidRPr="00C14D68" w:rsidRDefault="00A00F81"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pt-BR"/>
        </w:rPr>
      </w:pPr>
      <w:r w:rsidRPr="00C14D68">
        <w:rPr>
          <w:rFonts w:asciiTheme="majorHAnsi" w:eastAsia="Times New Roman" w:hAnsiTheme="majorHAnsi"/>
          <w:sz w:val="20"/>
          <w:szCs w:val="20"/>
          <w:bdr w:val="none" w:sz="0" w:space="0" w:color="auto"/>
          <w:lang w:val="pt-BR"/>
        </w:rPr>
        <w:t>GUSTAVO FRANCISCO PETRO URREGO</w:t>
      </w:r>
    </w:p>
    <w:p w14:paraId="12B0D13B" w14:textId="77777777" w:rsidR="00B06C1C" w:rsidRPr="009B3BD2" w:rsidRDefault="00A00F81"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sidRPr="009B3BD2">
        <w:rPr>
          <w:rFonts w:asciiTheme="majorHAnsi" w:eastAsia="Times New Roman" w:hAnsiTheme="majorHAnsi"/>
          <w:sz w:val="20"/>
          <w:szCs w:val="20"/>
          <w:bdr w:val="none" w:sz="0" w:space="0" w:color="auto"/>
          <w:lang w:val="es-VE"/>
        </w:rPr>
        <w:t>COLOMBIA</w:t>
      </w:r>
    </w:p>
    <w:p w14:paraId="24577092" w14:textId="34D4B5E4" w:rsidR="0073741F" w:rsidRPr="009B3BD2" w:rsidRDefault="005859A2"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Pr>
          <w:rFonts w:asciiTheme="majorHAnsi" w:eastAsia="Times New Roman" w:hAnsiTheme="majorHAnsi"/>
          <w:sz w:val="20"/>
          <w:szCs w:val="20"/>
          <w:bdr w:val="none" w:sz="0" w:space="0" w:color="auto"/>
          <w:lang w:val="es-VE"/>
        </w:rPr>
        <w:t>25 DE OCTUBRE</w:t>
      </w:r>
      <w:r w:rsidR="00713F6D" w:rsidRPr="009B3BD2">
        <w:rPr>
          <w:rFonts w:asciiTheme="majorHAnsi" w:eastAsia="Times New Roman" w:hAnsiTheme="majorHAnsi"/>
          <w:sz w:val="20"/>
          <w:szCs w:val="20"/>
          <w:bdr w:val="none" w:sz="0" w:space="0" w:color="auto"/>
          <w:lang w:val="es-VE"/>
        </w:rPr>
        <w:t xml:space="preserve"> </w:t>
      </w:r>
      <w:r w:rsidR="00F674F4" w:rsidRPr="009B3BD2">
        <w:rPr>
          <w:rFonts w:asciiTheme="majorHAnsi" w:eastAsia="Times New Roman" w:hAnsiTheme="majorHAnsi"/>
          <w:sz w:val="20"/>
          <w:szCs w:val="20"/>
          <w:bdr w:val="none" w:sz="0" w:space="0" w:color="auto"/>
          <w:lang w:val="es-VE"/>
        </w:rPr>
        <w:t>DE 2017</w:t>
      </w:r>
    </w:p>
    <w:p w14:paraId="498643FD" w14:textId="77777777" w:rsidR="004B316C" w:rsidRPr="009B3BD2"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0"/>
          <w:szCs w:val="20"/>
          <w:lang w:val="es-VE"/>
        </w:rPr>
      </w:pPr>
    </w:p>
    <w:p w14:paraId="3EEB2E88" w14:textId="77777777" w:rsidR="0070697F" w:rsidRPr="009B3BD2" w:rsidRDefault="00AA09A2" w:rsidP="00D64E6C">
      <w:pPr>
        <w:tabs>
          <w:tab w:val="center" w:pos="5400"/>
        </w:tabs>
        <w:suppressAutoHyphens/>
        <w:spacing w:line="276" w:lineRule="auto"/>
        <w:jc w:val="center"/>
        <w:rPr>
          <w:rFonts w:asciiTheme="majorHAnsi" w:hAnsiTheme="majorHAnsi"/>
          <w:b/>
          <w:szCs w:val="20"/>
          <w:lang w:val="es-ES_tradnl"/>
        </w:rPr>
      </w:pPr>
      <w:r w:rsidRPr="009B3BD2">
        <w:rPr>
          <w:rFonts w:asciiTheme="majorHAnsi" w:hAnsiTheme="majorHAnsi"/>
          <w:b/>
          <w:szCs w:val="20"/>
          <w:lang w:val="es-ES_tradnl"/>
        </w:rPr>
        <w:t>Í</w:t>
      </w:r>
      <w:r w:rsidR="00DC7023" w:rsidRPr="009B3BD2">
        <w:rPr>
          <w:rFonts w:asciiTheme="majorHAnsi" w:hAnsiTheme="majorHAnsi"/>
          <w:b/>
          <w:szCs w:val="20"/>
          <w:lang w:val="es-ES_tradnl"/>
        </w:rPr>
        <w:t>NDICE</w:t>
      </w:r>
    </w:p>
    <w:sdt>
      <w:sdtPr>
        <w:rPr>
          <w:rFonts w:ascii="Times New Roman" w:eastAsia="Arial Unicode MS" w:hAnsi="Times New Roman" w:cs="Times New Roman"/>
          <w:b w:val="0"/>
          <w:bCs w:val="0"/>
          <w:color w:val="auto"/>
          <w:sz w:val="24"/>
          <w:szCs w:val="24"/>
          <w:bdr w:val="nil"/>
          <w:lang w:eastAsia="en-US"/>
        </w:rPr>
        <w:id w:val="423147485"/>
        <w:docPartObj>
          <w:docPartGallery w:val="Table of Contents"/>
          <w:docPartUnique/>
        </w:docPartObj>
      </w:sdtPr>
      <w:sdtEndPr>
        <w:rPr>
          <w:noProof/>
        </w:rPr>
      </w:sdtEndPr>
      <w:sdtContent>
        <w:p w14:paraId="5F64E747" w14:textId="77777777" w:rsidR="00F87E49" w:rsidRPr="009B3BD2" w:rsidRDefault="00F87E49">
          <w:pPr>
            <w:pStyle w:val="TOCHeading"/>
            <w:rPr>
              <w:sz w:val="20"/>
              <w:szCs w:val="20"/>
            </w:rPr>
          </w:pPr>
        </w:p>
        <w:p w14:paraId="15A41F72" w14:textId="77777777" w:rsidR="005859A2" w:rsidRPr="005859A2" w:rsidRDefault="00F87E49">
          <w:pPr>
            <w:pStyle w:val="TOC1"/>
            <w:rPr>
              <w:rFonts w:eastAsiaTheme="minorEastAsia" w:cstheme="minorBidi"/>
              <w:b w:val="0"/>
              <w:bdr w:val="none" w:sz="0" w:space="0" w:color="auto"/>
            </w:rPr>
          </w:pPr>
          <w:r w:rsidRPr="009B3BD2">
            <w:fldChar w:fldCharType="begin"/>
          </w:r>
          <w:r w:rsidRPr="009B3BD2">
            <w:instrText xml:space="preserve"> TOC \o "1-3" \h \z \u </w:instrText>
          </w:r>
          <w:r w:rsidRPr="009B3BD2">
            <w:fldChar w:fldCharType="separate"/>
          </w:r>
          <w:hyperlink w:anchor="_Toc497398847" w:history="1">
            <w:r w:rsidR="005859A2" w:rsidRPr="005859A2">
              <w:rPr>
                <w:rStyle w:val="Hyperlink"/>
                <w:rFonts w:eastAsiaTheme="majorEastAsia"/>
                <w:bCs/>
                <w:lang w:val="es-VE"/>
              </w:rPr>
              <w:t>I.</w:t>
            </w:r>
            <w:r w:rsidR="005859A2" w:rsidRPr="005859A2">
              <w:rPr>
                <w:rFonts w:eastAsiaTheme="minorEastAsia" w:cstheme="minorBidi"/>
                <w:b w:val="0"/>
                <w:bdr w:val="none" w:sz="0" w:space="0" w:color="auto"/>
              </w:rPr>
              <w:tab/>
            </w:r>
            <w:r w:rsidR="005859A2" w:rsidRPr="005859A2">
              <w:rPr>
                <w:rStyle w:val="Hyperlink"/>
                <w:rFonts w:eastAsiaTheme="majorEastAsia" w:cstheme="majorBidi"/>
                <w:bCs/>
                <w:lang w:val="es-VE"/>
              </w:rPr>
              <w:t>RESUMEN</w:t>
            </w:r>
            <w:r w:rsidR="005859A2" w:rsidRPr="005859A2">
              <w:rPr>
                <w:webHidden/>
              </w:rPr>
              <w:tab/>
            </w:r>
            <w:r w:rsidR="005859A2" w:rsidRPr="00391735">
              <w:rPr>
                <w:b w:val="0"/>
                <w:webHidden/>
              </w:rPr>
              <w:fldChar w:fldCharType="begin"/>
            </w:r>
            <w:r w:rsidR="005859A2" w:rsidRPr="00391735">
              <w:rPr>
                <w:b w:val="0"/>
                <w:webHidden/>
              </w:rPr>
              <w:instrText xml:space="preserve"> PAGEREF _Toc497398847 \h </w:instrText>
            </w:r>
            <w:r w:rsidR="005859A2" w:rsidRPr="00391735">
              <w:rPr>
                <w:b w:val="0"/>
                <w:webHidden/>
              </w:rPr>
            </w:r>
            <w:r w:rsidR="005859A2" w:rsidRPr="00391735">
              <w:rPr>
                <w:b w:val="0"/>
                <w:webHidden/>
              </w:rPr>
              <w:fldChar w:fldCharType="separate"/>
            </w:r>
            <w:r w:rsidR="004B63AB" w:rsidRPr="00391735">
              <w:rPr>
                <w:b w:val="0"/>
                <w:webHidden/>
              </w:rPr>
              <w:t>3</w:t>
            </w:r>
            <w:r w:rsidR="005859A2" w:rsidRPr="00391735">
              <w:rPr>
                <w:b w:val="0"/>
                <w:webHidden/>
              </w:rPr>
              <w:fldChar w:fldCharType="end"/>
            </w:r>
          </w:hyperlink>
        </w:p>
        <w:p w14:paraId="54571D33" w14:textId="77777777" w:rsidR="005859A2" w:rsidRPr="005859A2" w:rsidRDefault="001B7F04">
          <w:pPr>
            <w:pStyle w:val="TOC1"/>
            <w:rPr>
              <w:rFonts w:eastAsiaTheme="minorEastAsia" w:cstheme="minorBidi"/>
              <w:b w:val="0"/>
              <w:bdr w:val="none" w:sz="0" w:space="0" w:color="auto"/>
            </w:rPr>
          </w:pPr>
          <w:hyperlink w:anchor="_Toc497398848" w:history="1">
            <w:r w:rsidR="005859A2" w:rsidRPr="005859A2">
              <w:rPr>
                <w:rStyle w:val="Hyperlink"/>
              </w:rPr>
              <w:t>II.</w:t>
            </w:r>
            <w:r w:rsidR="005859A2" w:rsidRPr="005859A2">
              <w:rPr>
                <w:rFonts w:eastAsiaTheme="minorEastAsia" w:cstheme="minorBidi"/>
                <w:b w:val="0"/>
                <w:bdr w:val="none" w:sz="0" w:space="0" w:color="auto"/>
              </w:rPr>
              <w:tab/>
            </w:r>
            <w:r w:rsidR="005859A2" w:rsidRPr="005859A2">
              <w:rPr>
                <w:rStyle w:val="Hyperlink"/>
              </w:rPr>
              <w:t>ALEGATOS DE LAS PARTES</w:t>
            </w:r>
            <w:r w:rsidR="005859A2" w:rsidRPr="005859A2">
              <w:rPr>
                <w:webHidden/>
              </w:rPr>
              <w:tab/>
            </w:r>
            <w:r w:rsidR="005859A2" w:rsidRPr="00391735">
              <w:rPr>
                <w:b w:val="0"/>
                <w:webHidden/>
              </w:rPr>
              <w:fldChar w:fldCharType="begin"/>
            </w:r>
            <w:r w:rsidR="005859A2" w:rsidRPr="00391735">
              <w:rPr>
                <w:b w:val="0"/>
                <w:webHidden/>
              </w:rPr>
              <w:instrText xml:space="preserve"> PAGEREF _Toc497398848 \h </w:instrText>
            </w:r>
            <w:r w:rsidR="005859A2" w:rsidRPr="00391735">
              <w:rPr>
                <w:b w:val="0"/>
                <w:webHidden/>
              </w:rPr>
            </w:r>
            <w:r w:rsidR="005859A2" w:rsidRPr="00391735">
              <w:rPr>
                <w:b w:val="0"/>
                <w:webHidden/>
              </w:rPr>
              <w:fldChar w:fldCharType="separate"/>
            </w:r>
            <w:r w:rsidR="004B63AB" w:rsidRPr="00391735">
              <w:rPr>
                <w:b w:val="0"/>
                <w:webHidden/>
              </w:rPr>
              <w:t>4</w:t>
            </w:r>
            <w:r w:rsidR="005859A2" w:rsidRPr="00391735">
              <w:rPr>
                <w:b w:val="0"/>
                <w:webHidden/>
              </w:rPr>
              <w:fldChar w:fldCharType="end"/>
            </w:r>
          </w:hyperlink>
        </w:p>
        <w:p w14:paraId="2D07FDA1" w14:textId="77777777" w:rsidR="005859A2" w:rsidRPr="005859A2" w:rsidRDefault="001B7F04">
          <w:pPr>
            <w:pStyle w:val="TOC2"/>
            <w:rPr>
              <w:rFonts w:asciiTheme="majorHAnsi" w:eastAsiaTheme="minorEastAsia" w:hAnsiTheme="majorHAnsi" w:cstheme="minorBidi"/>
              <w:noProof/>
              <w:sz w:val="20"/>
              <w:szCs w:val="20"/>
              <w:bdr w:val="none" w:sz="0" w:space="0" w:color="auto"/>
            </w:rPr>
          </w:pPr>
          <w:hyperlink w:anchor="_Toc497398849" w:history="1">
            <w:r w:rsidR="005859A2" w:rsidRPr="005859A2">
              <w:rPr>
                <w:rStyle w:val="Hyperlink"/>
                <w:rFonts w:asciiTheme="majorHAnsi" w:hAnsiTheme="majorHAnsi"/>
                <w:noProof/>
                <w:sz w:val="20"/>
                <w:szCs w:val="20"/>
              </w:rPr>
              <w:t>A.</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noProof/>
                <w:sz w:val="20"/>
                <w:szCs w:val="20"/>
              </w:rPr>
              <w:t>Parte peticionaria</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_Toc497398849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4</w:t>
            </w:r>
            <w:r w:rsidR="005859A2" w:rsidRPr="005859A2">
              <w:rPr>
                <w:rFonts w:asciiTheme="majorHAnsi" w:hAnsiTheme="majorHAnsi"/>
                <w:noProof/>
                <w:webHidden/>
                <w:sz w:val="20"/>
                <w:szCs w:val="20"/>
              </w:rPr>
              <w:fldChar w:fldCharType="end"/>
            </w:r>
          </w:hyperlink>
        </w:p>
        <w:p w14:paraId="2699C3A2" w14:textId="77777777" w:rsidR="005859A2" w:rsidRPr="005859A2" w:rsidRDefault="001B7F04">
          <w:pPr>
            <w:pStyle w:val="TOC2"/>
            <w:rPr>
              <w:rFonts w:asciiTheme="majorHAnsi" w:eastAsiaTheme="minorEastAsia" w:hAnsiTheme="majorHAnsi" w:cstheme="minorBidi"/>
              <w:noProof/>
              <w:sz w:val="20"/>
              <w:szCs w:val="20"/>
              <w:bdr w:val="none" w:sz="0" w:space="0" w:color="auto"/>
            </w:rPr>
          </w:pPr>
          <w:hyperlink w:anchor="_Toc497398850" w:history="1">
            <w:r w:rsidR="005859A2" w:rsidRPr="005859A2">
              <w:rPr>
                <w:rStyle w:val="Hyperlink"/>
                <w:rFonts w:asciiTheme="majorHAnsi" w:hAnsiTheme="majorHAnsi"/>
                <w:noProof/>
                <w:sz w:val="20"/>
                <w:szCs w:val="20"/>
              </w:rPr>
              <w:t>B.</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noProof/>
                <w:sz w:val="20"/>
                <w:szCs w:val="20"/>
              </w:rPr>
              <w:t>Estado</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_Toc497398850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6</w:t>
            </w:r>
            <w:r w:rsidR="005859A2" w:rsidRPr="005859A2">
              <w:rPr>
                <w:rFonts w:asciiTheme="majorHAnsi" w:hAnsiTheme="majorHAnsi"/>
                <w:noProof/>
                <w:webHidden/>
                <w:sz w:val="20"/>
                <w:szCs w:val="20"/>
              </w:rPr>
              <w:fldChar w:fldCharType="end"/>
            </w:r>
          </w:hyperlink>
        </w:p>
        <w:p w14:paraId="73F2F5E4" w14:textId="77777777" w:rsidR="005859A2" w:rsidRPr="005859A2" w:rsidRDefault="001B7F04">
          <w:pPr>
            <w:pStyle w:val="TOC1"/>
            <w:rPr>
              <w:rFonts w:eastAsiaTheme="minorEastAsia" w:cstheme="minorBidi"/>
              <w:b w:val="0"/>
              <w:bdr w:val="none" w:sz="0" w:space="0" w:color="auto"/>
            </w:rPr>
          </w:pPr>
          <w:hyperlink w:anchor="_Toc497398851" w:history="1">
            <w:r w:rsidR="005859A2" w:rsidRPr="005859A2">
              <w:rPr>
                <w:rStyle w:val="Hyperlink"/>
              </w:rPr>
              <w:t>III.</w:t>
            </w:r>
            <w:r w:rsidR="005859A2" w:rsidRPr="005859A2">
              <w:rPr>
                <w:rFonts w:eastAsiaTheme="minorEastAsia" w:cstheme="minorBidi"/>
                <w:b w:val="0"/>
                <w:bdr w:val="none" w:sz="0" w:space="0" w:color="auto"/>
              </w:rPr>
              <w:tab/>
            </w:r>
            <w:r w:rsidR="005859A2" w:rsidRPr="005859A2">
              <w:rPr>
                <w:rStyle w:val="Hyperlink"/>
              </w:rPr>
              <w:t>DETERMINACIONES DE HECHO</w:t>
            </w:r>
            <w:r w:rsidR="005859A2" w:rsidRPr="005859A2">
              <w:rPr>
                <w:webHidden/>
              </w:rPr>
              <w:tab/>
            </w:r>
            <w:r w:rsidR="005859A2" w:rsidRPr="00391735">
              <w:rPr>
                <w:b w:val="0"/>
                <w:webHidden/>
              </w:rPr>
              <w:fldChar w:fldCharType="begin"/>
            </w:r>
            <w:r w:rsidR="005859A2" w:rsidRPr="00391735">
              <w:rPr>
                <w:b w:val="0"/>
                <w:webHidden/>
              </w:rPr>
              <w:instrText xml:space="preserve"> PAGEREF _Toc497398851 \h </w:instrText>
            </w:r>
            <w:r w:rsidR="005859A2" w:rsidRPr="00391735">
              <w:rPr>
                <w:b w:val="0"/>
                <w:webHidden/>
              </w:rPr>
            </w:r>
            <w:r w:rsidR="005859A2" w:rsidRPr="00391735">
              <w:rPr>
                <w:b w:val="0"/>
                <w:webHidden/>
              </w:rPr>
              <w:fldChar w:fldCharType="separate"/>
            </w:r>
            <w:r w:rsidR="004B63AB" w:rsidRPr="00391735">
              <w:rPr>
                <w:b w:val="0"/>
                <w:webHidden/>
              </w:rPr>
              <w:t>7</w:t>
            </w:r>
            <w:r w:rsidR="005859A2" w:rsidRPr="00391735">
              <w:rPr>
                <w:b w:val="0"/>
                <w:webHidden/>
              </w:rPr>
              <w:fldChar w:fldCharType="end"/>
            </w:r>
          </w:hyperlink>
        </w:p>
        <w:p w14:paraId="4AD01613" w14:textId="77777777" w:rsidR="005859A2" w:rsidRPr="005859A2" w:rsidRDefault="001B7F04">
          <w:pPr>
            <w:pStyle w:val="TOC2"/>
            <w:rPr>
              <w:rFonts w:asciiTheme="majorHAnsi" w:eastAsiaTheme="minorEastAsia" w:hAnsiTheme="majorHAnsi" w:cstheme="minorBidi"/>
              <w:noProof/>
              <w:sz w:val="20"/>
              <w:szCs w:val="20"/>
              <w:bdr w:val="none" w:sz="0" w:space="0" w:color="auto"/>
            </w:rPr>
          </w:pPr>
          <w:hyperlink w:anchor="_Toc497398852" w:history="1">
            <w:r w:rsidR="005859A2" w:rsidRPr="005859A2">
              <w:rPr>
                <w:rStyle w:val="Hyperlink"/>
                <w:rFonts w:asciiTheme="majorHAnsi" w:hAnsiTheme="majorHAnsi" w:cs="Arial"/>
                <w:bCs/>
                <w:iCs/>
                <w:noProof/>
                <w:sz w:val="20"/>
                <w:szCs w:val="20"/>
                <w:lang w:val="pt-BR"/>
              </w:rPr>
              <w:t>A.</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cs="Arial"/>
                <w:bCs/>
                <w:iCs/>
                <w:noProof/>
                <w:sz w:val="20"/>
                <w:szCs w:val="20"/>
                <w:lang w:val="pt-BR"/>
              </w:rPr>
              <w:t>Sobre Gustavo Francisco Petro Urrego</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_Toc497398852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7</w:t>
            </w:r>
            <w:r w:rsidR="005859A2" w:rsidRPr="005859A2">
              <w:rPr>
                <w:rFonts w:asciiTheme="majorHAnsi" w:hAnsiTheme="majorHAnsi"/>
                <w:noProof/>
                <w:webHidden/>
                <w:sz w:val="20"/>
                <w:szCs w:val="20"/>
              </w:rPr>
              <w:fldChar w:fldCharType="end"/>
            </w:r>
          </w:hyperlink>
        </w:p>
        <w:p w14:paraId="2BEBC69F" w14:textId="103B6937" w:rsidR="005859A2" w:rsidRPr="005859A2" w:rsidRDefault="001B7F04">
          <w:pPr>
            <w:pStyle w:val="TOC2"/>
            <w:rPr>
              <w:rFonts w:asciiTheme="majorHAnsi" w:eastAsiaTheme="minorEastAsia" w:hAnsiTheme="majorHAnsi" w:cstheme="minorBidi"/>
              <w:noProof/>
              <w:sz w:val="20"/>
              <w:szCs w:val="20"/>
              <w:bdr w:val="none" w:sz="0" w:space="0" w:color="auto"/>
            </w:rPr>
          </w:pPr>
          <w:hyperlink w:anchor="_Toc497398853" w:history="1">
            <w:r w:rsidR="005859A2" w:rsidRPr="005859A2">
              <w:rPr>
                <w:rStyle w:val="Hyperlink"/>
                <w:rFonts w:asciiTheme="majorHAnsi" w:hAnsiTheme="majorHAnsi" w:cs="Arial"/>
                <w:bCs/>
                <w:iCs/>
                <w:noProof/>
                <w:sz w:val="20"/>
                <w:szCs w:val="20"/>
                <w:lang w:val="es-VE"/>
              </w:rPr>
              <w:t>B.</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cs="Arial"/>
                <w:bCs/>
                <w:iCs/>
                <w:noProof/>
                <w:sz w:val="20"/>
                <w:szCs w:val="20"/>
                <w:lang w:val="es-VE"/>
              </w:rPr>
              <w:t>Sobre el marco normativo relevante a los procedimientos disciplinarios-sancionatorio</w:t>
            </w:r>
            <w:r w:rsidR="0018291A">
              <w:rPr>
                <w:rStyle w:val="Hyperlink"/>
                <w:rFonts w:asciiTheme="majorHAnsi" w:hAnsiTheme="majorHAnsi" w:cs="Arial"/>
                <w:bCs/>
                <w:iCs/>
                <w:noProof/>
                <w:sz w:val="20"/>
                <w:szCs w:val="20"/>
                <w:lang w:val="es-VE"/>
              </w:rPr>
              <w:t>s</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_Toc497398853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7</w:t>
            </w:r>
            <w:r w:rsidR="005859A2" w:rsidRPr="005859A2">
              <w:rPr>
                <w:rFonts w:asciiTheme="majorHAnsi" w:hAnsiTheme="majorHAnsi"/>
                <w:noProof/>
                <w:webHidden/>
                <w:sz w:val="20"/>
                <w:szCs w:val="20"/>
              </w:rPr>
              <w:fldChar w:fldCharType="end"/>
            </w:r>
          </w:hyperlink>
        </w:p>
        <w:p w14:paraId="0F2F94EF" w14:textId="77777777" w:rsidR="005859A2" w:rsidRPr="005859A2" w:rsidRDefault="001B7F04">
          <w:pPr>
            <w:pStyle w:val="TOC3"/>
            <w:tabs>
              <w:tab w:val="left" w:pos="2160"/>
            </w:tabs>
            <w:rPr>
              <w:rFonts w:asciiTheme="majorHAnsi" w:eastAsiaTheme="minorEastAsia" w:hAnsiTheme="majorHAnsi" w:cstheme="minorBidi"/>
              <w:noProof/>
              <w:sz w:val="20"/>
              <w:szCs w:val="20"/>
              <w:bdr w:val="none" w:sz="0" w:space="0" w:color="auto"/>
            </w:rPr>
          </w:pPr>
          <w:hyperlink w:anchor="_Toc497398854" w:history="1">
            <w:r w:rsidR="005859A2" w:rsidRPr="005859A2">
              <w:rPr>
                <w:rStyle w:val="Hyperlink"/>
                <w:rFonts w:asciiTheme="majorHAnsi" w:hAnsiTheme="majorHAnsi"/>
                <w:noProof/>
                <w:sz w:val="20"/>
                <w:szCs w:val="20"/>
                <w:lang w:val="es-CO"/>
              </w:rPr>
              <w:t>1.</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noProof/>
                <w:sz w:val="20"/>
                <w:szCs w:val="20"/>
                <w:lang w:val="es-CO"/>
              </w:rPr>
              <w:t>Constitución Política</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_Toc497398854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7</w:t>
            </w:r>
            <w:r w:rsidR="005859A2" w:rsidRPr="005859A2">
              <w:rPr>
                <w:rFonts w:asciiTheme="majorHAnsi" w:hAnsiTheme="majorHAnsi"/>
                <w:noProof/>
                <w:webHidden/>
                <w:sz w:val="20"/>
                <w:szCs w:val="20"/>
              </w:rPr>
              <w:fldChar w:fldCharType="end"/>
            </w:r>
          </w:hyperlink>
        </w:p>
        <w:p w14:paraId="2F716021" w14:textId="77777777" w:rsidR="005859A2" w:rsidRPr="005859A2" w:rsidRDefault="001B7F04">
          <w:pPr>
            <w:pStyle w:val="TOC3"/>
            <w:tabs>
              <w:tab w:val="left" w:pos="2160"/>
            </w:tabs>
            <w:rPr>
              <w:rFonts w:asciiTheme="majorHAnsi" w:eastAsiaTheme="minorEastAsia" w:hAnsiTheme="majorHAnsi" w:cstheme="minorBidi"/>
              <w:noProof/>
              <w:sz w:val="20"/>
              <w:szCs w:val="20"/>
              <w:bdr w:val="none" w:sz="0" w:space="0" w:color="auto"/>
            </w:rPr>
          </w:pPr>
          <w:hyperlink w:anchor="_Toc497398855" w:history="1">
            <w:r w:rsidR="005859A2" w:rsidRPr="005859A2">
              <w:rPr>
                <w:rStyle w:val="Hyperlink"/>
                <w:rFonts w:asciiTheme="majorHAnsi" w:hAnsiTheme="majorHAnsi"/>
                <w:noProof/>
                <w:sz w:val="20"/>
                <w:szCs w:val="20"/>
                <w:lang w:val="es-CO"/>
              </w:rPr>
              <w:t>2.</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noProof/>
                <w:sz w:val="20"/>
                <w:szCs w:val="20"/>
                <w:lang w:val="es-CO"/>
              </w:rPr>
              <w:t>Código Disciplinario Único</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_Toc497398855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8</w:t>
            </w:r>
            <w:r w:rsidR="005859A2" w:rsidRPr="005859A2">
              <w:rPr>
                <w:rFonts w:asciiTheme="majorHAnsi" w:hAnsiTheme="majorHAnsi"/>
                <w:noProof/>
                <w:webHidden/>
                <w:sz w:val="20"/>
                <w:szCs w:val="20"/>
              </w:rPr>
              <w:fldChar w:fldCharType="end"/>
            </w:r>
          </w:hyperlink>
        </w:p>
        <w:p w14:paraId="2B819A85" w14:textId="77777777" w:rsidR="005859A2" w:rsidRPr="005859A2" w:rsidRDefault="001B7F04">
          <w:pPr>
            <w:pStyle w:val="TOC3"/>
            <w:tabs>
              <w:tab w:val="left" w:pos="2160"/>
            </w:tabs>
            <w:rPr>
              <w:rFonts w:asciiTheme="majorHAnsi" w:eastAsiaTheme="minorEastAsia" w:hAnsiTheme="majorHAnsi" w:cstheme="minorBidi"/>
              <w:noProof/>
              <w:sz w:val="20"/>
              <w:szCs w:val="20"/>
              <w:bdr w:val="none" w:sz="0" w:space="0" w:color="auto"/>
            </w:rPr>
          </w:pPr>
          <w:hyperlink w:anchor="_Toc497398856" w:history="1">
            <w:r w:rsidR="005859A2" w:rsidRPr="005859A2">
              <w:rPr>
                <w:rStyle w:val="Hyperlink"/>
                <w:rFonts w:asciiTheme="majorHAnsi" w:hAnsiTheme="majorHAnsi"/>
                <w:noProof/>
                <w:sz w:val="20"/>
                <w:szCs w:val="20"/>
                <w:lang w:val="es-CO"/>
              </w:rPr>
              <w:t>3.</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noProof/>
                <w:sz w:val="20"/>
                <w:szCs w:val="20"/>
                <w:lang w:val="es-CO"/>
              </w:rPr>
              <w:t>Ley 1437 de 2011</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_Toc497398856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10</w:t>
            </w:r>
            <w:r w:rsidR="005859A2" w:rsidRPr="005859A2">
              <w:rPr>
                <w:rFonts w:asciiTheme="majorHAnsi" w:hAnsiTheme="majorHAnsi"/>
                <w:noProof/>
                <w:webHidden/>
                <w:sz w:val="20"/>
                <w:szCs w:val="20"/>
              </w:rPr>
              <w:fldChar w:fldCharType="end"/>
            </w:r>
          </w:hyperlink>
        </w:p>
        <w:p w14:paraId="2611B390" w14:textId="77777777" w:rsidR="005859A2" w:rsidRPr="005859A2" w:rsidRDefault="001B7F04">
          <w:pPr>
            <w:pStyle w:val="TOC2"/>
            <w:rPr>
              <w:rFonts w:asciiTheme="majorHAnsi" w:eastAsiaTheme="minorEastAsia" w:hAnsiTheme="majorHAnsi" w:cstheme="minorBidi"/>
              <w:noProof/>
              <w:sz w:val="20"/>
              <w:szCs w:val="20"/>
              <w:bdr w:val="none" w:sz="0" w:space="0" w:color="auto"/>
            </w:rPr>
          </w:pPr>
          <w:hyperlink w:anchor="_Toc497398857" w:history="1">
            <w:r w:rsidR="005859A2" w:rsidRPr="005859A2">
              <w:rPr>
                <w:rStyle w:val="Hyperlink"/>
                <w:rFonts w:asciiTheme="majorHAnsi" w:hAnsiTheme="majorHAnsi" w:cs="Arial"/>
                <w:bCs/>
                <w:iCs/>
                <w:noProof/>
                <w:sz w:val="20"/>
                <w:szCs w:val="20"/>
                <w:lang w:val="es-VE"/>
              </w:rPr>
              <w:t>C.</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cs="Arial"/>
                <w:bCs/>
                <w:iCs/>
                <w:noProof/>
                <w:sz w:val="20"/>
                <w:szCs w:val="20"/>
                <w:lang w:val="es-VE"/>
              </w:rPr>
              <w:t>Antecedentes del primer proceso disciplinario</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_Toc497398857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10</w:t>
            </w:r>
            <w:r w:rsidR="005859A2" w:rsidRPr="005859A2">
              <w:rPr>
                <w:rFonts w:asciiTheme="majorHAnsi" w:hAnsiTheme="majorHAnsi"/>
                <w:noProof/>
                <w:webHidden/>
                <w:sz w:val="20"/>
                <w:szCs w:val="20"/>
              </w:rPr>
              <w:fldChar w:fldCharType="end"/>
            </w:r>
          </w:hyperlink>
        </w:p>
        <w:p w14:paraId="10226D96" w14:textId="77777777" w:rsidR="005859A2" w:rsidRPr="005859A2" w:rsidRDefault="001B7F04">
          <w:pPr>
            <w:pStyle w:val="TOC2"/>
            <w:rPr>
              <w:rFonts w:asciiTheme="majorHAnsi" w:eastAsiaTheme="minorEastAsia" w:hAnsiTheme="majorHAnsi" w:cstheme="minorBidi"/>
              <w:noProof/>
              <w:sz w:val="20"/>
              <w:szCs w:val="20"/>
              <w:bdr w:val="none" w:sz="0" w:space="0" w:color="auto"/>
            </w:rPr>
          </w:pPr>
          <w:hyperlink w:anchor="_Toc497398858" w:history="1">
            <w:r w:rsidR="005859A2" w:rsidRPr="005859A2">
              <w:rPr>
                <w:rStyle w:val="Hyperlink"/>
                <w:rFonts w:asciiTheme="majorHAnsi" w:hAnsiTheme="majorHAnsi" w:cs="Arial"/>
                <w:bCs/>
                <w:iCs/>
                <w:noProof/>
                <w:sz w:val="20"/>
                <w:szCs w:val="20"/>
                <w:lang w:val="es-VE"/>
              </w:rPr>
              <w:t>D.</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cs="Arial"/>
                <w:bCs/>
                <w:iCs/>
                <w:noProof/>
                <w:sz w:val="20"/>
                <w:szCs w:val="20"/>
                <w:lang w:val="es-VE"/>
              </w:rPr>
              <w:t>Sobre el primer proceso disciplinario</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_Toc497398858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13</w:t>
            </w:r>
            <w:r w:rsidR="005859A2" w:rsidRPr="005859A2">
              <w:rPr>
                <w:rFonts w:asciiTheme="majorHAnsi" w:hAnsiTheme="majorHAnsi"/>
                <w:noProof/>
                <w:webHidden/>
                <w:sz w:val="20"/>
                <w:szCs w:val="20"/>
              </w:rPr>
              <w:fldChar w:fldCharType="end"/>
            </w:r>
          </w:hyperlink>
        </w:p>
        <w:p w14:paraId="13D2D7E8" w14:textId="77777777" w:rsidR="005859A2" w:rsidRPr="005859A2" w:rsidRDefault="001B7F04">
          <w:pPr>
            <w:pStyle w:val="TOC3"/>
            <w:tabs>
              <w:tab w:val="left" w:pos="2160"/>
            </w:tabs>
            <w:rPr>
              <w:rFonts w:asciiTheme="majorHAnsi" w:eastAsiaTheme="minorEastAsia" w:hAnsiTheme="majorHAnsi" w:cstheme="minorBidi"/>
              <w:noProof/>
              <w:sz w:val="20"/>
              <w:szCs w:val="20"/>
              <w:bdr w:val="none" w:sz="0" w:space="0" w:color="auto"/>
            </w:rPr>
          </w:pPr>
          <w:hyperlink w:anchor="_Toc497398859" w:history="1">
            <w:r w:rsidR="005859A2" w:rsidRPr="005859A2">
              <w:rPr>
                <w:rStyle w:val="Hyperlink"/>
                <w:rFonts w:asciiTheme="majorHAnsi" w:hAnsiTheme="majorHAnsi"/>
                <w:noProof/>
                <w:sz w:val="20"/>
                <w:szCs w:val="20"/>
                <w:lang w:val="es-VE"/>
              </w:rPr>
              <w:t>1.</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noProof/>
                <w:sz w:val="20"/>
                <w:szCs w:val="20"/>
                <w:lang w:val="es-VE"/>
              </w:rPr>
              <w:t>Cargos disciplinarios</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_Toc497398859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13</w:t>
            </w:r>
            <w:r w:rsidR="005859A2" w:rsidRPr="005859A2">
              <w:rPr>
                <w:rFonts w:asciiTheme="majorHAnsi" w:hAnsiTheme="majorHAnsi"/>
                <w:noProof/>
                <w:webHidden/>
                <w:sz w:val="20"/>
                <w:szCs w:val="20"/>
              </w:rPr>
              <w:fldChar w:fldCharType="end"/>
            </w:r>
          </w:hyperlink>
        </w:p>
        <w:p w14:paraId="1AB18C8A" w14:textId="77777777" w:rsidR="005859A2" w:rsidRPr="005859A2" w:rsidRDefault="001B7F04">
          <w:pPr>
            <w:pStyle w:val="TOC3"/>
            <w:tabs>
              <w:tab w:val="left" w:pos="2160"/>
            </w:tabs>
            <w:rPr>
              <w:rFonts w:asciiTheme="majorHAnsi" w:eastAsiaTheme="minorEastAsia" w:hAnsiTheme="majorHAnsi" w:cstheme="minorBidi"/>
              <w:noProof/>
              <w:sz w:val="20"/>
              <w:szCs w:val="20"/>
              <w:bdr w:val="none" w:sz="0" w:space="0" w:color="auto"/>
            </w:rPr>
          </w:pPr>
          <w:hyperlink w:anchor="_Toc497398860" w:history="1">
            <w:r w:rsidR="005859A2" w:rsidRPr="005859A2">
              <w:rPr>
                <w:rStyle w:val="Hyperlink"/>
                <w:rFonts w:asciiTheme="majorHAnsi" w:hAnsiTheme="majorHAnsi"/>
                <w:noProof/>
                <w:sz w:val="20"/>
                <w:szCs w:val="20"/>
                <w:lang w:val="es-VE"/>
              </w:rPr>
              <w:t>2.</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noProof/>
                <w:sz w:val="20"/>
                <w:szCs w:val="20"/>
                <w:lang w:val="es-VE"/>
              </w:rPr>
              <w:t>Decisión sancionatoria de única instancia</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_Toc497398860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14</w:t>
            </w:r>
            <w:r w:rsidR="005859A2" w:rsidRPr="005859A2">
              <w:rPr>
                <w:rFonts w:asciiTheme="majorHAnsi" w:hAnsiTheme="majorHAnsi"/>
                <w:noProof/>
                <w:webHidden/>
                <w:sz w:val="20"/>
                <w:szCs w:val="20"/>
              </w:rPr>
              <w:fldChar w:fldCharType="end"/>
            </w:r>
          </w:hyperlink>
        </w:p>
        <w:p w14:paraId="286958E2" w14:textId="77777777" w:rsidR="005859A2" w:rsidRPr="005859A2" w:rsidRDefault="001B7F04">
          <w:pPr>
            <w:pStyle w:val="TOC3"/>
            <w:tabs>
              <w:tab w:val="left" w:pos="2160"/>
            </w:tabs>
            <w:rPr>
              <w:rFonts w:asciiTheme="majorHAnsi" w:eastAsiaTheme="minorEastAsia" w:hAnsiTheme="majorHAnsi" w:cstheme="minorBidi"/>
              <w:noProof/>
              <w:sz w:val="20"/>
              <w:szCs w:val="20"/>
              <w:bdr w:val="none" w:sz="0" w:space="0" w:color="auto"/>
            </w:rPr>
          </w:pPr>
          <w:hyperlink w:anchor="_Toc497398861" w:history="1">
            <w:r w:rsidR="005859A2" w:rsidRPr="005859A2">
              <w:rPr>
                <w:rStyle w:val="Hyperlink"/>
                <w:rFonts w:asciiTheme="majorHAnsi" w:hAnsiTheme="majorHAnsi"/>
                <w:noProof/>
                <w:sz w:val="20"/>
                <w:szCs w:val="20"/>
                <w:lang w:val="es-VE"/>
              </w:rPr>
              <w:t>3.</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noProof/>
                <w:sz w:val="20"/>
                <w:szCs w:val="20"/>
                <w:lang w:val="es-VE"/>
              </w:rPr>
              <w:t>Recurso de reposición</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_Toc497398861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17</w:t>
            </w:r>
            <w:r w:rsidR="005859A2" w:rsidRPr="005859A2">
              <w:rPr>
                <w:rFonts w:asciiTheme="majorHAnsi" w:hAnsiTheme="majorHAnsi"/>
                <w:noProof/>
                <w:webHidden/>
                <w:sz w:val="20"/>
                <w:szCs w:val="20"/>
              </w:rPr>
              <w:fldChar w:fldCharType="end"/>
            </w:r>
          </w:hyperlink>
        </w:p>
        <w:p w14:paraId="6C83AC44" w14:textId="77777777" w:rsidR="005859A2" w:rsidRPr="005859A2" w:rsidRDefault="001B7F04">
          <w:pPr>
            <w:pStyle w:val="TOC3"/>
            <w:tabs>
              <w:tab w:val="left" w:pos="2160"/>
            </w:tabs>
            <w:rPr>
              <w:rFonts w:asciiTheme="majorHAnsi" w:eastAsiaTheme="minorEastAsia" w:hAnsiTheme="majorHAnsi" w:cstheme="minorBidi"/>
              <w:noProof/>
              <w:sz w:val="20"/>
              <w:szCs w:val="20"/>
              <w:bdr w:val="none" w:sz="0" w:space="0" w:color="auto"/>
            </w:rPr>
          </w:pPr>
          <w:hyperlink w:anchor="_Toc497398862" w:history="1">
            <w:r w:rsidR="005859A2" w:rsidRPr="005859A2">
              <w:rPr>
                <w:rStyle w:val="Hyperlink"/>
                <w:rFonts w:asciiTheme="majorHAnsi" w:hAnsiTheme="majorHAnsi"/>
                <w:noProof/>
                <w:sz w:val="20"/>
                <w:szCs w:val="20"/>
                <w:lang w:val="es-VE"/>
              </w:rPr>
              <w:t>4.</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noProof/>
                <w:sz w:val="20"/>
                <w:szCs w:val="20"/>
                <w:lang w:val="es-VE"/>
              </w:rPr>
              <w:t>Demanda de nulidad y restablecimiento del derecho</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_Toc497398862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19</w:t>
            </w:r>
            <w:r w:rsidR="005859A2" w:rsidRPr="005859A2">
              <w:rPr>
                <w:rFonts w:asciiTheme="majorHAnsi" w:hAnsiTheme="majorHAnsi"/>
                <w:noProof/>
                <w:webHidden/>
                <w:sz w:val="20"/>
                <w:szCs w:val="20"/>
              </w:rPr>
              <w:fldChar w:fldCharType="end"/>
            </w:r>
          </w:hyperlink>
        </w:p>
        <w:p w14:paraId="1274A890" w14:textId="77777777" w:rsidR="005859A2" w:rsidRPr="005859A2" w:rsidRDefault="001B7F04">
          <w:pPr>
            <w:pStyle w:val="TOC2"/>
            <w:rPr>
              <w:rFonts w:asciiTheme="majorHAnsi" w:eastAsiaTheme="minorEastAsia" w:hAnsiTheme="majorHAnsi" w:cstheme="minorBidi"/>
              <w:noProof/>
              <w:sz w:val="20"/>
              <w:szCs w:val="20"/>
              <w:bdr w:val="none" w:sz="0" w:space="0" w:color="auto"/>
            </w:rPr>
          </w:pPr>
          <w:hyperlink w:anchor="_Toc497398863" w:history="1">
            <w:r w:rsidR="005859A2" w:rsidRPr="005859A2">
              <w:rPr>
                <w:rStyle w:val="Hyperlink"/>
                <w:rFonts w:asciiTheme="majorHAnsi" w:hAnsiTheme="majorHAnsi" w:cs="Arial"/>
                <w:bCs/>
                <w:iCs/>
                <w:noProof/>
                <w:sz w:val="20"/>
                <w:szCs w:val="20"/>
                <w:lang w:val="es-VE"/>
              </w:rPr>
              <w:t>E.</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cs="Arial"/>
                <w:bCs/>
                <w:iCs/>
                <w:noProof/>
                <w:sz w:val="20"/>
                <w:szCs w:val="20"/>
                <w:lang w:val="es-VE"/>
              </w:rPr>
              <w:t>Sobre el segundo proceso disciplinario</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_Toc497398863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20</w:t>
            </w:r>
            <w:r w:rsidR="005859A2" w:rsidRPr="005859A2">
              <w:rPr>
                <w:rFonts w:asciiTheme="majorHAnsi" w:hAnsiTheme="majorHAnsi"/>
                <w:noProof/>
                <w:webHidden/>
                <w:sz w:val="20"/>
                <w:szCs w:val="20"/>
              </w:rPr>
              <w:fldChar w:fldCharType="end"/>
            </w:r>
          </w:hyperlink>
        </w:p>
        <w:p w14:paraId="20735988" w14:textId="77777777" w:rsidR="005859A2" w:rsidRPr="005859A2" w:rsidRDefault="001B7F04">
          <w:pPr>
            <w:pStyle w:val="TOC3"/>
            <w:tabs>
              <w:tab w:val="left" w:pos="2160"/>
            </w:tabs>
            <w:rPr>
              <w:rFonts w:asciiTheme="majorHAnsi" w:eastAsiaTheme="minorEastAsia" w:hAnsiTheme="majorHAnsi" w:cstheme="minorBidi"/>
              <w:noProof/>
              <w:sz w:val="20"/>
              <w:szCs w:val="20"/>
              <w:bdr w:val="none" w:sz="0" w:space="0" w:color="auto"/>
            </w:rPr>
          </w:pPr>
          <w:hyperlink w:anchor="_Toc497398864" w:history="1">
            <w:r w:rsidR="005859A2" w:rsidRPr="005859A2">
              <w:rPr>
                <w:rStyle w:val="Hyperlink"/>
                <w:rFonts w:asciiTheme="majorHAnsi" w:hAnsiTheme="majorHAnsi"/>
                <w:noProof/>
                <w:sz w:val="20"/>
                <w:szCs w:val="20"/>
                <w:lang w:val="es-CO"/>
              </w:rPr>
              <w:t>1.</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noProof/>
                <w:sz w:val="20"/>
                <w:szCs w:val="20"/>
                <w:lang w:val="es-CO"/>
              </w:rPr>
              <w:t>Cargos disciplinarios</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_Toc497398864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21</w:t>
            </w:r>
            <w:r w:rsidR="005859A2" w:rsidRPr="005859A2">
              <w:rPr>
                <w:rFonts w:asciiTheme="majorHAnsi" w:hAnsiTheme="majorHAnsi"/>
                <w:noProof/>
                <w:webHidden/>
                <w:sz w:val="20"/>
                <w:szCs w:val="20"/>
              </w:rPr>
              <w:fldChar w:fldCharType="end"/>
            </w:r>
          </w:hyperlink>
        </w:p>
        <w:p w14:paraId="043E793F" w14:textId="77777777" w:rsidR="005859A2" w:rsidRPr="005859A2" w:rsidRDefault="001B7F04">
          <w:pPr>
            <w:pStyle w:val="TOC3"/>
            <w:tabs>
              <w:tab w:val="left" w:pos="2160"/>
            </w:tabs>
            <w:rPr>
              <w:rFonts w:asciiTheme="majorHAnsi" w:eastAsiaTheme="minorEastAsia" w:hAnsiTheme="majorHAnsi" w:cstheme="minorBidi"/>
              <w:noProof/>
              <w:sz w:val="20"/>
              <w:szCs w:val="20"/>
              <w:bdr w:val="none" w:sz="0" w:space="0" w:color="auto"/>
            </w:rPr>
          </w:pPr>
          <w:hyperlink w:anchor="_Toc497398865" w:history="1">
            <w:r w:rsidR="005859A2" w:rsidRPr="005859A2">
              <w:rPr>
                <w:rStyle w:val="Hyperlink"/>
                <w:rFonts w:asciiTheme="majorHAnsi" w:hAnsiTheme="majorHAnsi"/>
                <w:noProof/>
                <w:sz w:val="20"/>
                <w:szCs w:val="20"/>
                <w:lang w:val="es-CO"/>
              </w:rPr>
              <w:t>2.</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noProof/>
                <w:sz w:val="20"/>
                <w:szCs w:val="20"/>
                <w:lang w:val="es-CO"/>
              </w:rPr>
              <w:t>Suspensión del Decreto 364 por el Consejo de Estado</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_Toc497398865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21</w:t>
            </w:r>
            <w:r w:rsidR="005859A2" w:rsidRPr="005859A2">
              <w:rPr>
                <w:rFonts w:asciiTheme="majorHAnsi" w:hAnsiTheme="majorHAnsi"/>
                <w:noProof/>
                <w:webHidden/>
                <w:sz w:val="20"/>
                <w:szCs w:val="20"/>
              </w:rPr>
              <w:fldChar w:fldCharType="end"/>
            </w:r>
          </w:hyperlink>
        </w:p>
        <w:p w14:paraId="6BBE1A42" w14:textId="77777777" w:rsidR="005859A2" w:rsidRPr="005859A2" w:rsidRDefault="001B7F04">
          <w:pPr>
            <w:pStyle w:val="TOC3"/>
            <w:tabs>
              <w:tab w:val="left" w:pos="2160"/>
            </w:tabs>
            <w:rPr>
              <w:rFonts w:asciiTheme="majorHAnsi" w:eastAsiaTheme="minorEastAsia" w:hAnsiTheme="majorHAnsi" w:cstheme="minorBidi"/>
              <w:noProof/>
              <w:sz w:val="20"/>
              <w:szCs w:val="20"/>
              <w:bdr w:val="none" w:sz="0" w:space="0" w:color="auto"/>
            </w:rPr>
          </w:pPr>
          <w:hyperlink w:anchor="_Toc497398866" w:history="1">
            <w:r w:rsidR="005859A2" w:rsidRPr="005859A2">
              <w:rPr>
                <w:rStyle w:val="Hyperlink"/>
                <w:rFonts w:asciiTheme="majorHAnsi" w:hAnsiTheme="majorHAnsi"/>
                <w:noProof/>
                <w:sz w:val="20"/>
                <w:szCs w:val="20"/>
                <w:lang w:val="es-CO"/>
              </w:rPr>
              <w:t>3.</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noProof/>
                <w:sz w:val="20"/>
                <w:szCs w:val="20"/>
                <w:lang w:val="es-CO"/>
              </w:rPr>
              <w:t>Decisión sancionatoria de única instancia</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_Toc497398866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22</w:t>
            </w:r>
            <w:r w:rsidR="005859A2" w:rsidRPr="005859A2">
              <w:rPr>
                <w:rFonts w:asciiTheme="majorHAnsi" w:hAnsiTheme="majorHAnsi"/>
                <w:noProof/>
                <w:webHidden/>
                <w:sz w:val="20"/>
                <w:szCs w:val="20"/>
              </w:rPr>
              <w:fldChar w:fldCharType="end"/>
            </w:r>
          </w:hyperlink>
        </w:p>
        <w:p w14:paraId="770254E7" w14:textId="77777777" w:rsidR="005859A2" w:rsidRPr="005859A2" w:rsidRDefault="001B7F04">
          <w:pPr>
            <w:pStyle w:val="TOC3"/>
            <w:tabs>
              <w:tab w:val="left" w:pos="2160"/>
            </w:tabs>
            <w:rPr>
              <w:rFonts w:asciiTheme="majorHAnsi" w:eastAsiaTheme="minorEastAsia" w:hAnsiTheme="majorHAnsi" w:cstheme="minorBidi"/>
              <w:noProof/>
              <w:sz w:val="20"/>
              <w:szCs w:val="20"/>
              <w:bdr w:val="none" w:sz="0" w:space="0" w:color="auto"/>
            </w:rPr>
          </w:pPr>
          <w:hyperlink w:anchor="_Toc497398867" w:history="1">
            <w:r w:rsidR="005859A2" w:rsidRPr="005859A2">
              <w:rPr>
                <w:rStyle w:val="Hyperlink"/>
                <w:rFonts w:asciiTheme="majorHAnsi" w:hAnsiTheme="majorHAnsi"/>
                <w:noProof/>
                <w:sz w:val="20"/>
                <w:szCs w:val="20"/>
                <w:lang w:val="es-CO"/>
              </w:rPr>
              <w:t>4.</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noProof/>
                <w:sz w:val="20"/>
                <w:szCs w:val="20"/>
                <w:lang w:val="es-CO"/>
              </w:rPr>
              <w:t>Promulgación de la Ley 1864 de 2017</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_Toc497398867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22</w:t>
            </w:r>
            <w:r w:rsidR="005859A2" w:rsidRPr="005859A2">
              <w:rPr>
                <w:rFonts w:asciiTheme="majorHAnsi" w:hAnsiTheme="majorHAnsi"/>
                <w:noProof/>
                <w:webHidden/>
                <w:sz w:val="20"/>
                <w:szCs w:val="20"/>
              </w:rPr>
              <w:fldChar w:fldCharType="end"/>
            </w:r>
          </w:hyperlink>
        </w:p>
        <w:p w14:paraId="2F8016BC" w14:textId="77777777" w:rsidR="005859A2" w:rsidRPr="005859A2" w:rsidRDefault="001B7F04">
          <w:pPr>
            <w:pStyle w:val="TOC2"/>
            <w:rPr>
              <w:rFonts w:asciiTheme="majorHAnsi" w:eastAsiaTheme="minorEastAsia" w:hAnsiTheme="majorHAnsi" w:cstheme="minorBidi"/>
              <w:noProof/>
              <w:sz w:val="20"/>
              <w:szCs w:val="20"/>
              <w:bdr w:val="none" w:sz="0" w:space="0" w:color="auto"/>
            </w:rPr>
          </w:pPr>
          <w:hyperlink w:anchor="_Toc497398868" w:history="1">
            <w:r w:rsidR="005859A2" w:rsidRPr="005859A2">
              <w:rPr>
                <w:rStyle w:val="Hyperlink"/>
                <w:rFonts w:asciiTheme="majorHAnsi" w:hAnsiTheme="majorHAnsi" w:cs="Arial"/>
                <w:bCs/>
                <w:iCs/>
                <w:noProof/>
                <w:sz w:val="20"/>
                <w:szCs w:val="20"/>
                <w:lang w:val="es-VE"/>
              </w:rPr>
              <w:t>F.</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cs="Arial"/>
                <w:bCs/>
                <w:iCs/>
                <w:noProof/>
                <w:sz w:val="20"/>
                <w:szCs w:val="20"/>
                <w:lang w:val="es-VE"/>
              </w:rPr>
              <w:t>Sobre el tercer proceso por responsabilidad fiscal</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_Toc497398868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23</w:t>
            </w:r>
            <w:r w:rsidR="005859A2" w:rsidRPr="005859A2">
              <w:rPr>
                <w:rFonts w:asciiTheme="majorHAnsi" w:hAnsiTheme="majorHAnsi"/>
                <w:noProof/>
                <w:webHidden/>
                <w:sz w:val="20"/>
                <w:szCs w:val="20"/>
              </w:rPr>
              <w:fldChar w:fldCharType="end"/>
            </w:r>
          </w:hyperlink>
        </w:p>
        <w:p w14:paraId="5FF4E4AA" w14:textId="77777777" w:rsidR="005859A2" w:rsidRPr="005859A2" w:rsidRDefault="001B7F04">
          <w:pPr>
            <w:pStyle w:val="TOC2"/>
            <w:rPr>
              <w:rFonts w:asciiTheme="majorHAnsi" w:eastAsiaTheme="minorEastAsia" w:hAnsiTheme="majorHAnsi" w:cstheme="minorBidi"/>
              <w:noProof/>
              <w:sz w:val="20"/>
              <w:szCs w:val="20"/>
              <w:bdr w:val="none" w:sz="0" w:space="0" w:color="auto"/>
            </w:rPr>
          </w:pPr>
          <w:hyperlink w:anchor="_Toc497398869" w:history="1">
            <w:r w:rsidR="005859A2" w:rsidRPr="005859A2">
              <w:rPr>
                <w:rStyle w:val="Hyperlink"/>
                <w:rFonts w:asciiTheme="majorHAnsi" w:hAnsiTheme="majorHAnsi" w:cs="Arial"/>
                <w:bCs/>
                <w:iCs/>
                <w:noProof/>
                <w:sz w:val="20"/>
                <w:szCs w:val="20"/>
                <w:lang w:val="es-VE"/>
              </w:rPr>
              <w:t>G.</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cs="Arial"/>
                <w:bCs/>
                <w:iCs/>
                <w:noProof/>
                <w:sz w:val="20"/>
                <w:szCs w:val="20"/>
                <w:lang w:val="es-VE"/>
              </w:rPr>
              <w:t>Sobre la multa de la Superintendencia de Industria y Comercio</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_Toc497398869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23</w:t>
            </w:r>
            <w:r w:rsidR="005859A2" w:rsidRPr="005859A2">
              <w:rPr>
                <w:rFonts w:asciiTheme="majorHAnsi" w:hAnsiTheme="majorHAnsi"/>
                <w:noProof/>
                <w:webHidden/>
                <w:sz w:val="20"/>
                <w:szCs w:val="20"/>
              </w:rPr>
              <w:fldChar w:fldCharType="end"/>
            </w:r>
          </w:hyperlink>
        </w:p>
        <w:p w14:paraId="50F53AB4" w14:textId="77777777" w:rsidR="005859A2" w:rsidRPr="005859A2" w:rsidRDefault="001B7F04">
          <w:pPr>
            <w:pStyle w:val="TOC1"/>
            <w:rPr>
              <w:rFonts w:eastAsiaTheme="minorEastAsia" w:cstheme="minorBidi"/>
              <w:b w:val="0"/>
              <w:bdr w:val="none" w:sz="0" w:space="0" w:color="auto"/>
            </w:rPr>
          </w:pPr>
          <w:hyperlink w:anchor="_Toc497398870" w:history="1">
            <w:r w:rsidR="005859A2" w:rsidRPr="005859A2">
              <w:rPr>
                <w:rStyle w:val="Hyperlink"/>
              </w:rPr>
              <w:t>IV.</w:t>
            </w:r>
            <w:r w:rsidR="005859A2" w:rsidRPr="005859A2">
              <w:rPr>
                <w:rFonts w:eastAsiaTheme="minorEastAsia" w:cstheme="minorBidi"/>
                <w:b w:val="0"/>
                <w:bdr w:val="none" w:sz="0" w:space="0" w:color="auto"/>
              </w:rPr>
              <w:tab/>
            </w:r>
            <w:r w:rsidR="005859A2" w:rsidRPr="005859A2">
              <w:rPr>
                <w:rStyle w:val="Hyperlink"/>
              </w:rPr>
              <w:t>ANÁLISIS DE DERECHO</w:t>
            </w:r>
            <w:r w:rsidR="005859A2" w:rsidRPr="005859A2">
              <w:rPr>
                <w:webHidden/>
              </w:rPr>
              <w:tab/>
            </w:r>
            <w:r w:rsidR="005859A2" w:rsidRPr="00391735">
              <w:rPr>
                <w:b w:val="0"/>
                <w:webHidden/>
              </w:rPr>
              <w:fldChar w:fldCharType="begin"/>
            </w:r>
            <w:r w:rsidR="005859A2" w:rsidRPr="00391735">
              <w:rPr>
                <w:b w:val="0"/>
                <w:webHidden/>
              </w:rPr>
              <w:instrText xml:space="preserve"> PAGEREF _Toc497398870 \h </w:instrText>
            </w:r>
            <w:r w:rsidR="005859A2" w:rsidRPr="00391735">
              <w:rPr>
                <w:b w:val="0"/>
                <w:webHidden/>
              </w:rPr>
            </w:r>
            <w:r w:rsidR="005859A2" w:rsidRPr="00391735">
              <w:rPr>
                <w:b w:val="0"/>
                <w:webHidden/>
              </w:rPr>
              <w:fldChar w:fldCharType="separate"/>
            </w:r>
            <w:r w:rsidR="004B63AB" w:rsidRPr="00391735">
              <w:rPr>
                <w:b w:val="0"/>
                <w:webHidden/>
              </w:rPr>
              <w:t>24</w:t>
            </w:r>
            <w:r w:rsidR="005859A2" w:rsidRPr="00391735">
              <w:rPr>
                <w:b w:val="0"/>
                <w:webHidden/>
              </w:rPr>
              <w:fldChar w:fldCharType="end"/>
            </w:r>
          </w:hyperlink>
        </w:p>
        <w:p w14:paraId="6AD9E946" w14:textId="77777777" w:rsidR="005859A2" w:rsidRPr="005859A2" w:rsidRDefault="001B7F04">
          <w:pPr>
            <w:pStyle w:val="TOC1"/>
            <w:rPr>
              <w:rFonts w:eastAsiaTheme="minorEastAsia" w:cstheme="minorBidi"/>
              <w:b w:val="0"/>
              <w:bdr w:val="none" w:sz="0" w:space="0" w:color="auto"/>
            </w:rPr>
          </w:pPr>
          <w:hyperlink w:anchor="_Toc497398871" w:history="1">
            <w:r w:rsidR="005859A2" w:rsidRPr="005859A2">
              <w:rPr>
                <w:rStyle w:val="Hyperlink"/>
                <w:lang w:val="es-CO"/>
              </w:rPr>
              <w:t>A.</w:t>
            </w:r>
            <w:r w:rsidR="005859A2" w:rsidRPr="005859A2">
              <w:rPr>
                <w:rFonts w:eastAsiaTheme="minorEastAsia" w:cstheme="minorBidi"/>
                <w:b w:val="0"/>
                <w:bdr w:val="none" w:sz="0" w:space="0" w:color="auto"/>
              </w:rPr>
              <w:tab/>
            </w:r>
            <w:r w:rsidR="005859A2" w:rsidRPr="005859A2">
              <w:rPr>
                <w:rStyle w:val="Hyperlink"/>
                <w:lang w:val="es-CO"/>
              </w:rPr>
              <w:t>Derechos políticos en relación con los artículos 1.1 y 2 de la Convención Americana</w:t>
            </w:r>
            <w:r w:rsidR="005859A2" w:rsidRPr="005859A2">
              <w:rPr>
                <w:webHidden/>
              </w:rPr>
              <w:tab/>
            </w:r>
            <w:r w:rsidR="005859A2" w:rsidRPr="00391735">
              <w:rPr>
                <w:b w:val="0"/>
                <w:webHidden/>
              </w:rPr>
              <w:fldChar w:fldCharType="begin"/>
            </w:r>
            <w:r w:rsidR="005859A2" w:rsidRPr="00391735">
              <w:rPr>
                <w:b w:val="0"/>
                <w:webHidden/>
              </w:rPr>
              <w:instrText xml:space="preserve"> PAGEREF _Toc497398871 \h </w:instrText>
            </w:r>
            <w:r w:rsidR="005859A2" w:rsidRPr="00391735">
              <w:rPr>
                <w:b w:val="0"/>
                <w:webHidden/>
              </w:rPr>
            </w:r>
            <w:r w:rsidR="005859A2" w:rsidRPr="00391735">
              <w:rPr>
                <w:b w:val="0"/>
                <w:webHidden/>
              </w:rPr>
              <w:fldChar w:fldCharType="separate"/>
            </w:r>
            <w:r w:rsidR="004B63AB" w:rsidRPr="00391735">
              <w:rPr>
                <w:b w:val="0"/>
                <w:webHidden/>
              </w:rPr>
              <w:t>24</w:t>
            </w:r>
            <w:r w:rsidR="005859A2" w:rsidRPr="00391735">
              <w:rPr>
                <w:b w:val="0"/>
                <w:webHidden/>
              </w:rPr>
              <w:fldChar w:fldCharType="end"/>
            </w:r>
          </w:hyperlink>
        </w:p>
        <w:p w14:paraId="44D7131F" w14:textId="77777777" w:rsidR="005859A2" w:rsidRPr="005859A2" w:rsidRDefault="001B7F04">
          <w:pPr>
            <w:pStyle w:val="TOC2"/>
            <w:rPr>
              <w:rFonts w:asciiTheme="majorHAnsi" w:eastAsiaTheme="minorEastAsia" w:hAnsiTheme="majorHAnsi" w:cstheme="minorBidi"/>
              <w:noProof/>
              <w:sz w:val="20"/>
              <w:szCs w:val="20"/>
              <w:bdr w:val="none" w:sz="0" w:space="0" w:color="auto"/>
            </w:rPr>
          </w:pPr>
          <w:hyperlink w:anchor="_Toc497398872" w:history="1">
            <w:r w:rsidR="005859A2" w:rsidRPr="005859A2">
              <w:rPr>
                <w:rStyle w:val="Hyperlink"/>
                <w:rFonts w:asciiTheme="majorHAnsi" w:hAnsiTheme="majorHAnsi"/>
                <w:noProof/>
                <w:sz w:val="20"/>
                <w:szCs w:val="20"/>
              </w:rPr>
              <w:t>1.</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noProof/>
                <w:sz w:val="20"/>
                <w:szCs w:val="20"/>
              </w:rPr>
              <w:t>Consideraciones generales</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_Toc497398872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24</w:t>
            </w:r>
            <w:r w:rsidR="005859A2" w:rsidRPr="005859A2">
              <w:rPr>
                <w:rFonts w:asciiTheme="majorHAnsi" w:hAnsiTheme="majorHAnsi"/>
                <w:noProof/>
                <w:webHidden/>
                <w:sz w:val="20"/>
                <w:szCs w:val="20"/>
              </w:rPr>
              <w:fldChar w:fldCharType="end"/>
            </w:r>
          </w:hyperlink>
        </w:p>
        <w:p w14:paraId="0A056D4C" w14:textId="77777777" w:rsidR="005859A2" w:rsidRPr="005859A2" w:rsidRDefault="001B7F04">
          <w:pPr>
            <w:pStyle w:val="TOC2"/>
            <w:rPr>
              <w:rFonts w:asciiTheme="majorHAnsi" w:eastAsiaTheme="minorEastAsia" w:hAnsiTheme="majorHAnsi" w:cstheme="minorBidi"/>
              <w:noProof/>
              <w:sz w:val="20"/>
              <w:szCs w:val="20"/>
              <w:bdr w:val="none" w:sz="0" w:space="0" w:color="auto"/>
            </w:rPr>
          </w:pPr>
          <w:hyperlink w:anchor="_Toc497398873" w:history="1">
            <w:r w:rsidR="005859A2" w:rsidRPr="005859A2">
              <w:rPr>
                <w:rStyle w:val="Hyperlink"/>
                <w:rFonts w:asciiTheme="majorHAnsi" w:hAnsiTheme="majorHAnsi"/>
                <w:noProof/>
                <w:sz w:val="20"/>
                <w:szCs w:val="20"/>
              </w:rPr>
              <w:t>2.</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noProof/>
                <w:sz w:val="20"/>
                <w:szCs w:val="20"/>
              </w:rPr>
              <w:t>Análisis del presente caso</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_Toc497398873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26</w:t>
            </w:r>
            <w:r w:rsidR="005859A2" w:rsidRPr="005859A2">
              <w:rPr>
                <w:rFonts w:asciiTheme="majorHAnsi" w:hAnsiTheme="majorHAnsi"/>
                <w:noProof/>
                <w:webHidden/>
                <w:sz w:val="20"/>
                <w:szCs w:val="20"/>
              </w:rPr>
              <w:fldChar w:fldCharType="end"/>
            </w:r>
          </w:hyperlink>
        </w:p>
        <w:p w14:paraId="0D3EB8B5" w14:textId="77777777" w:rsidR="005859A2" w:rsidRPr="005859A2" w:rsidRDefault="001B7F04">
          <w:pPr>
            <w:pStyle w:val="TOC1"/>
            <w:rPr>
              <w:rFonts w:eastAsiaTheme="minorEastAsia" w:cstheme="minorBidi"/>
              <w:b w:val="0"/>
              <w:bdr w:val="none" w:sz="0" w:space="0" w:color="auto"/>
            </w:rPr>
          </w:pPr>
          <w:hyperlink w:anchor="_Toc497398874" w:history="1">
            <w:r w:rsidR="005859A2" w:rsidRPr="005859A2">
              <w:rPr>
                <w:rStyle w:val="Hyperlink"/>
                <w:lang w:val="es-CO"/>
              </w:rPr>
              <w:t>B.</w:t>
            </w:r>
            <w:r w:rsidR="005859A2" w:rsidRPr="005859A2">
              <w:rPr>
                <w:rFonts w:eastAsiaTheme="minorEastAsia" w:cstheme="minorBidi"/>
                <w:b w:val="0"/>
                <w:bdr w:val="none" w:sz="0" w:space="0" w:color="auto"/>
              </w:rPr>
              <w:tab/>
            </w:r>
            <w:r w:rsidR="005859A2" w:rsidRPr="005859A2">
              <w:rPr>
                <w:rStyle w:val="Hyperlink"/>
                <w:lang w:val="es-CO"/>
              </w:rPr>
              <w:t>Derecho a las garantías judiciales y protección judicial</w:t>
            </w:r>
            <w:r w:rsidR="005859A2" w:rsidRPr="005859A2">
              <w:rPr>
                <w:webHidden/>
              </w:rPr>
              <w:tab/>
            </w:r>
            <w:r w:rsidR="005859A2" w:rsidRPr="00391735">
              <w:rPr>
                <w:b w:val="0"/>
                <w:webHidden/>
              </w:rPr>
              <w:fldChar w:fldCharType="begin"/>
            </w:r>
            <w:r w:rsidR="005859A2" w:rsidRPr="00391735">
              <w:rPr>
                <w:b w:val="0"/>
                <w:webHidden/>
              </w:rPr>
              <w:instrText xml:space="preserve"> PAGEREF _Toc497398874 \h </w:instrText>
            </w:r>
            <w:r w:rsidR="005859A2" w:rsidRPr="00391735">
              <w:rPr>
                <w:b w:val="0"/>
                <w:webHidden/>
              </w:rPr>
            </w:r>
            <w:r w:rsidR="005859A2" w:rsidRPr="00391735">
              <w:rPr>
                <w:b w:val="0"/>
                <w:webHidden/>
              </w:rPr>
              <w:fldChar w:fldCharType="separate"/>
            </w:r>
            <w:r w:rsidR="004B63AB" w:rsidRPr="00391735">
              <w:rPr>
                <w:b w:val="0"/>
                <w:webHidden/>
              </w:rPr>
              <w:t>27</w:t>
            </w:r>
            <w:r w:rsidR="005859A2" w:rsidRPr="00391735">
              <w:rPr>
                <w:b w:val="0"/>
                <w:webHidden/>
              </w:rPr>
              <w:fldChar w:fldCharType="end"/>
            </w:r>
          </w:hyperlink>
        </w:p>
        <w:p w14:paraId="3A409ECB" w14:textId="77777777" w:rsidR="005859A2" w:rsidRPr="005859A2" w:rsidRDefault="001B7F04">
          <w:pPr>
            <w:pStyle w:val="TOC2"/>
            <w:rPr>
              <w:rFonts w:asciiTheme="majorHAnsi" w:eastAsiaTheme="minorEastAsia" w:hAnsiTheme="majorHAnsi" w:cstheme="minorBidi"/>
              <w:noProof/>
              <w:sz w:val="20"/>
              <w:szCs w:val="20"/>
              <w:bdr w:val="none" w:sz="0" w:space="0" w:color="auto"/>
            </w:rPr>
          </w:pPr>
          <w:hyperlink w:anchor="_Toc497398875" w:history="1">
            <w:r w:rsidR="005859A2" w:rsidRPr="005859A2">
              <w:rPr>
                <w:rStyle w:val="Hyperlink"/>
                <w:rFonts w:asciiTheme="majorHAnsi" w:hAnsiTheme="majorHAnsi"/>
                <w:noProof/>
                <w:sz w:val="20"/>
                <w:szCs w:val="20"/>
              </w:rPr>
              <w:t>1.</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noProof/>
                <w:sz w:val="20"/>
                <w:szCs w:val="20"/>
              </w:rPr>
              <w:t>Consideraciones generales</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_Toc497398875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27</w:t>
            </w:r>
            <w:r w:rsidR="005859A2" w:rsidRPr="005859A2">
              <w:rPr>
                <w:rFonts w:asciiTheme="majorHAnsi" w:hAnsiTheme="majorHAnsi"/>
                <w:noProof/>
                <w:webHidden/>
                <w:sz w:val="20"/>
                <w:szCs w:val="20"/>
              </w:rPr>
              <w:fldChar w:fldCharType="end"/>
            </w:r>
          </w:hyperlink>
        </w:p>
        <w:p w14:paraId="5C189D92" w14:textId="77777777" w:rsidR="005859A2" w:rsidRPr="005859A2" w:rsidRDefault="001B7F04">
          <w:pPr>
            <w:pStyle w:val="TOC2"/>
            <w:rPr>
              <w:rFonts w:asciiTheme="majorHAnsi" w:eastAsiaTheme="minorEastAsia" w:hAnsiTheme="majorHAnsi" w:cstheme="minorBidi"/>
              <w:noProof/>
              <w:sz w:val="20"/>
              <w:szCs w:val="20"/>
              <w:bdr w:val="none" w:sz="0" w:space="0" w:color="auto"/>
            </w:rPr>
          </w:pPr>
          <w:hyperlink w:anchor="_Toc497398876" w:history="1">
            <w:r w:rsidR="005859A2" w:rsidRPr="005859A2">
              <w:rPr>
                <w:rStyle w:val="Hyperlink"/>
                <w:rFonts w:asciiTheme="majorHAnsi" w:hAnsiTheme="majorHAnsi"/>
                <w:noProof/>
                <w:sz w:val="20"/>
                <w:szCs w:val="20"/>
                <w:lang w:val="es-CO"/>
              </w:rPr>
              <w:t>2.</w:t>
            </w:r>
            <w:r w:rsidR="005859A2" w:rsidRPr="005859A2">
              <w:rPr>
                <w:rFonts w:asciiTheme="majorHAnsi" w:eastAsiaTheme="minorEastAsia" w:hAnsiTheme="majorHAnsi" w:cstheme="minorBidi"/>
                <w:noProof/>
                <w:sz w:val="20"/>
                <w:szCs w:val="20"/>
                <w:bdr w:val="none" w:sz="0" w:space="0" w:color="auto"/>
              </w:rPr>
              <w:tab/>
            </w:r>
            <w:r w:rsidR="005859A2" w:rsidRPr="005859A2">
              <w:rPr>
                <w:rStyle w:val="Hyperlink"/>
                <w:rFonts w:asciiTheme="majorHAnsi" w:hAnsiTheme="majorHAnsi"/>
                <w:noProof/>
                <w:sz w:val="20"/>
                <w:szCs w:val="20"/>
              </w:rPr>
              <w:t>Análisis del presente caso</w:t>
            </w:r>
            <w:r w:rsidR="005859A2" w:rsidRPr="005859A2">
              <w:rPr>
                <w:rFonts w:asciiTheme="majorHAnsi" w:hAnsiTheme="majorHAnsi"/>
                <w:noProof/>
                <w:webHidden/>
                <w:sz w:val="20"/>
                <w:szCs w:val="20"/>
              </w:rPr>
              <w:tab/>
            </w:r>
            <w:r w:rsidR="005859A2" w:rsidRPr="005859A2">
              <w:rPr>
                <w:rFonts w:asciiTheme="majorHAnsi" w:hAnsiTheme="majorHAnsi"/>
                <w:noProof/>
                <w:webHidden/>
                <w:sz w:val="20"/>
                <w:szCs w:val="20"/>
              </w:rPr>
              <w:fldChar w:fldCharType="begin"/>
            </w:r>
            <w:r w:rsidR="005859A2" w:rsidRPr="005859A2">
              <w:rPr>
                <w:rFonts w:asciiTheme="majorHAnsi" w:hAnsiTheme="majorHAnsi"/>
                <w:noProof/>
                <w:webHidden/>
                <w:sz w:val="20"/>
                <w:szCs w:val="20"/>
              </w:rPr>
              <w:instrText xml:space="preserve"> PAGEREF _Toc497398876 \h </w:instrText>
            </w:r>
            <w:r w:rsidR="005859A2" w:rsidRPr="005859A2">
              <w:rPr>
                <w:rFonts w:asciiTheme="majorHAnsi" w:hAnsiTheme="majorHAnsi"/>
                <w:noProof/>
                <w:webHidden/>
                <w:sz w:val="20"/>
                <w:szCs w:val="20"/>
              </w:rPr>
            </w:r>
            <w:r w:rsidR="005859A2" w:rsidRPr="005859A2">
              <w:rPr>
                <w:rFonts w:asciiTheme="majorHAnsi" w:hAnsiTheme="majorHAnsi"/>
                <w:noProof/>
                <w:webHidden/>
                <w:sz w:val="20"/>
                <w:szCs w:val="20"/>
              </w:rPr>
              <w:fldChar w:fldCharType="separate"/>
            </w:r>
            <w:r w:rsidR="004B63AB">
              <w:rPr>
                <w:rFonts w:asciiTheme="majorHAnsi" w:hAnsiTheme="majorHAnsi"/>
                <w:noProof/>
                <w:webHidden/>
                <w:sz w:val="20"/>
                <w:szCs w:val="20"/>
              </w:rPr>
              <w:t>28</w:t>
            </w:r>
            <w:r w:rsidR="005859A2" w:rsidRPr="005859A2">
              <w:rPr>
                <w:rFonts w:asciiTheme="majorHAnsi" w:hAnsiTheme="majorHAnsi"/>
                <w:noProof/>
                <w:webHidden/>
                <w:sz w:val="20"/>
                <w:szCs w:val="20"/>
              </w:rPr>
              <w:fldChar w:fldCharType="end"/>
            </w:r>
          </w:hyperlink>
        </w:p>
        <w:p w14:paraId="3761E359" w14:textId="77777777" w:rsidR="005859A2" w:rsidRPr="005859A2" w:rsidRDefault="001B7F04">
          <w:pPr>
            <w:pStyle w:val="TOC1"/>
            <w:rPr>
              <w:rFonts w:eastAsiaTheme="minorEastAsia" w:cstheme="minorBidi"/>
              <w:b w:val="0"/>
              <w:bdr w:val="none" w:sz="0" w:space="0" w:color="auto"/>
            </w:rPr>
          </w:pPr>
          <w:hyperlink w:anchor="_Toc497398877" w:history="1">
            <w:r w:rsidR="005859A2" w:rsidRPr="005859A2">
              <w:rPr>
                <w:rStyle w:val="Hyperlink"/>
                <w:lang w:val="es-CO"/>
              </w:rPr>
              <w:t>C.</w:t>
            </w:r>
            <w:r w:rsidR="005859A2" w:rsidRPr="005859A2">
              <w:rPr>
                <w:rFonts w:eastAsiaTheme="minorEastAsia" w:cstheme="minorBidi"/>
                <w:b w:val="0"/>
                <w:bdr w:val="none" w:sz="0" w:space="0" w:color="auto"/>
              </w:rPr>
              <w:tab/>
            </w:r>
            <w:r w:rsidR="005859A2" w:rsidRPr="005859A2">
              <w:rPr>
                <w:rStyle w:val="Hyperlink"/>
                <w:lang w:val="es-CO"/>
              </w:rPr>
              <w:t>Igualdad ante la ley y protección judicial</w:t>
            </w:r>
            <w:r w:rsidR="005859A2" w:rsidRPr="005859A2">
              <w:rPr>
                <w:webHidden/>
              </w:rPr>
              <w:tab/>
            </w:r>
            <w:r w:rsidR="005859A2" w:rsidRPr="00391735">
              <w:rPr>
                <w:b w:val="0"/>
                <w:webHidden/>
              </w:rPr>
              <w:fldChar w:fldCharType="begin"/>
            </w:r>
            <w:r w:rsidR="005859A2" w:rsidRPr="00391735">
              <w:rPr>
                <w:b w:val="0"/>
                <w:webHidden/>
              </w:rPr>
              <w:instrText xml:space="preserve"> PAGEREF _Toc497398877 \h </w:instrText>
            </w:r>
            <w:r w:rsidR="005859A2" w:rsidRPr="00391735">
              <w:rPr>
                <w:b w:val="0"/>
                <w:webHidden/>
              </w:rPr>
            </w:r>
            <w:r w:rsidR="005859A2" w:rsidRPr="00391735">
              <w:rPr>
                <w:b w:val="0"/>
                <w:webHidden/>
              </w:rPr>
              <w:fldChar w:fldCharType="separate"/>
            </w:r>
            <w:r w:rsidR="004B63AB" w:rsidRPr="00391735">
              <w:rPr>
                <w:b w:val="0"/>
                <w:webHidden/>
              </w:rPr>
              <w:t>30</w:t>
            </w:r>
            <w:r w:rsidR="005859A2" w:rsidRPr="00391735">
              <w:rPr>
                <w:b w:val="0"/>
                <w:webHidden/>
              </w:rPr>
              <w:fldChar w:fldCharType="end"/>
            </w:r>
          </w:hyperlink>
        </w:p>
        <w:p w14:paraId="415BAA18" w14:textId="77777777" w:rsidR="005859A2" w:rsidRPr="005859A2" w:rsidRDefault="001B7F04">
          <w:pPr>
            <w:pStyle w:val="TOC1"/>
            <w:rPr>
              <w:rFonts w:eastAsiaTheme="minorEastAsia" w:cstheme="minorBidi"/>
              <w:b w:val="0"/>
              <w:bdr w:val="none" w:sz="0" w:space="0" w:color="auto"/>
            </w:rPr>
          </w:pPr>
          <w:hyperlink w:anchor="_Toc497398878" w:history="1">
            <w:r w:rsidR="005859A2" w:rsidRPr="005859A2">
              <w:rPr>
                <w:rStyle w:val="Hyperlink"/>
              </w:rPr>
              <w:t>V.</w:t>
            </w:r>
            <w:r w:rsidR="005859A2" w:rsidRPr="005859A2">
              <w:rPr>
                <w:rFonts w:eastAsiaTheme="minorEastAsia" w:cstheme="minorBidi"/>
                <w:b w:val="0"/>
                <w:bdr w:val="none" w:sz="0" w:space="0" w:color="auto"/>
              </w:rPr>
              <w:tab/>
            </w:r>
            <w:r w:rsidR="005859A2" w:rsidRPr="005859A2">
              <w:rPr>
                <w:rStyle w:val="Hyperlink"/>
              </w:rPr>
              <w:t>CONCLUSIONES</w:t>
            </w:r>
            <w:r w:rsidR="005859A2" w:rsidRPr="005859A2">
              <w:rPr>
                <w:webHidden/>
              </w:rPr>
              <w:tab/>
            </w:r>
            <w:r w:rsidR="005859A2" w:rsidRPr="00391735">
              <w:rPr>
                <w:b w:val="0"/>
                <w:webHidden/>
              </w:rPr>
              <w:fldChar w:fldCharType="begin"/>
            </w:r>
            <w:r w:rsidR="005859A2" w:rsidRPr="00391735">
              <w:rPr>
                <w:b w:val="0"/>
                <w:webHidden/>
              </w:rPr>
              <w:instrText xml:space="preserve"> PAGEREF _Toc497398878 \h </w:instrText>
            </w:r>
            <w:r w:rsidR="005859A2" w:rsidRPr="00391735">
              <w:rPr>
                <w:b w:val="0"/>
                <w:webHidden/>
              </w:rPr>
            </w:r>
            <w:r w:rsidR="005859A2" w:rsidRPr="00391735">
              <w:rPr>
                <w:b w:val="0"/>
                <w:webHidden/>
              </w:rPr>
              <w:fldChar w:fldCharType="separate"/>
            </w:r>
            <w:r w:rsidR="004B63AB" w:rsidRPr="00391735">
              <w:rPr>
                <w:b w:val="0"/>
                <w:webHidden/>
              </w:rPr>
              <w:t>31</w:t>
            </w:r>
            <w:r w:rsidR="005859A2" w:rsidRPr="00391735">
              <w:rPr>
                <w:b w:val="0"/>
                <w:webHidden/>
              </w:rPr>
              <w:fldChar w:fldCharType="end"/>
            </w:r>
          </w:hyperlink>
        </w:p>
        <w:p w14:paraId="74992F9C" w14:textId="77777777" w:rsidR="005859A2" w:rsidRPr="005859A2" w:rsidRDefault="001B7F04">
          <w:pPr>
            <w:pStyle w:val="TOC1"/>
            <w:rPr>
              <w:rFonts w:eastAsiaTheme="minorEastAsia" w:cstheme="minorBidi"/>
              <w:b w:val="0"/>
              <w:bdr w:val="none" w:sz="0" w:space="0" w:color="auto"/>
            </w:rPr>
          </w:pPr>
          <w:hyperlink w:anchor="_Toc497398879" w:history="1">
            <w:r w:rsidR="005859A2" w:rsidRPr="005859A2">
              <w:rPr>
                <w:rStyle w:val="Hyperlink"/>
              </w:rPr>
              <w:t>VI.</w:t>
            </w:r>
            <w:r w:rsidR="005859A2" w:rsidRPr="005859A2">
              <w:rPr>
                <w:rFonts w:eastAsiaTheme="minorEastAsia" w:cstheme="minorBidi"/>
                <w:b w:val="0"/>
                <w:bdr w:val="none" w:sz="0" w:space="0" w:color="auto"/>
              </w:rPr>
              <w:tab/>
            </w:r>
            <w:r w:rsidR="005859A2" w:rsidRPr="005859A2">
              <w:rPr>
                <w:rStyle w:val="Hyperlink"/>
              </w:rPr>
              <w:t>RECOMENDACIONES</w:t>
            </w:r>
            <w:r w:rsidR="005859A2" w:rsidRPr="005859A2">
              <w:rPr>
                <w:webHidden/>
              </w:rPr>
              <w:tab/>
            </w:r>
            <w:r w:rsidR="005859A2" w:rsidRPr="00391735">
              <w:rPr>
                <w:b w:val="0"/>
                <w:webHidden/>
              </w:rPr>
              <w:fldChar w:fldCharType="begin"/>
            </w:r>
            <w:r w:rsidR="005859A2" w:rsidRPr="00391735">
              <w:rPr>
                <w:b w:val="0"/>
                <w:webHidden/>
              </w:rPr>
              <w:instrText xml:space="preserve"> PAGEREF _Toc497398879 \h </w:instrText>
            </w:r>
            <w:r w:rsidR="005859A2" w:rsidRPr="00391735">
              <w:rPr>
                <w:b w:val="0"/>
                <w:webHidden/>
              </w:rPr>
            </w:r>
            <w:r w:rsidR="005859A2" w:rsidRPr="00391735">
              <w:rPr>
                <w:b w:val="0"/>
                <w:webHidden/>
              </w:rPr>
              <w:fldChar w:fldCharType="separate"/>
            </w:r>
            <w:r w:rsidR="004B63AB" w:rsidRPr="00391735">
              <w:rPr>
                <w:b w:val="0"/>
                <w:webHidden/>
              </w:rPr>
              <w:t>32</w:t>
            </w:r>
            <w:r w:rsidR="005859A2" w:rsidRPr="00391735">
              <w:rPr>
                <w:b w:val="0"/>
                <w:webHidden/>
              </w:rPr>
              <w:fldChar w:fldCharType="end"/>
            </w:r>
          </w:hyperlink>
        </w:p>
        <w:p w14:paraId="62DEAA12" w14:textId="77777777" w:rsidR="00F87E49" w:rsidRPr="009B3BD2" w:rsidRDefault="00F87E49" w:rsidP="00967A97">
          <w:pPr>
            <w:tabs>
              <w:tab w:val="left" w:pos="720"/>
            </w:tabs>
          </w:pPr>
          <w:r w:rsidRPr="009B3BD2">
            <w:rPr>
              <w:rFonts w:asciiTheme="majorHAnsi" w:hAnsiTheme="majorHAnsi"/>
              <w:b/>
              <w:bCs/>
              <w:noProof/>
              <w:sz w:val="20"/>
              <w:szCs w:val="20"/>
            </w:rPr>
            <w:fldChar w:fldCharType="end"/>
          </w:r>
        </w:p>
      </w:sdtContent>
    </w:sdt>
    <w:p w14:paraId="132F5773" w14:textId="77777777" w:rsidR="00C12DEE" w:rsidRPr="009B3BD2" w:rsidRDefault="00C12DEE" w:rsidP="00C12DEE">
      <w:pPr>
        <w:rPr>
          <w:rFonts w:asciiTheme="majorHAnsi" w:hAnsiTheme="majorHAnsi"/>
          <w:sz w:val="20"/>
          <w:szCs w:val="20"/>
          <w:lang w:val="es-VE"/>
        </w:rPr>
      </w:pPr>
    </w:p>
    <w:p w14:paraId="1A3A8144" w14:textId="77777777" w:rsidR="00C12DEE" w:rsidRPr="009B3BD2" w:rsidRDefault="00C12DEE" w:rsidP="00C12DEE">
      <w:pPr>
        <w:rPr>
          <w:rFonts w:asciiTheme="majorHAnsi" w:hAnsiTheme="majorHAnsi"/>
          <w:sz w:val="20"/>
          <w:szCs w:val="20"/>
          <w:lang w:val="es-VE"/>
        </w:rPr>
      </w:pPr>
    </w:p>
    <w:p w14:paraId="517DC0CE" w14:textId="77777777" w:rsidR="00C12DEE" w:rsidRPr="009B3BD2" w:rsidRDefault="00014BFF" w:rsidP="00C12DEE">
      <w:pPr>
        <w:rPr>
          <w:rFonts w:asciiTheme="majorHAnsi" w:hAnsiTheme="majorHAnsi"/>
          <w:sz w:val="20"/>
          <w:szCs w:val="20"/>
          <w:lang w:val="es-VE"/>
        </w:rPr>
      </w:pPr>
      <w:r w:rsidRPr="009B3BD2">
        <w:rPr>
          <w:rFonts w:asciiTheme="majorHAnsi" w:hAnsiTheme="majorHAnsi"/>
          <w:sz w:val="20"/>
          <w:szCs w:val="20"/>
          <w:lang w:val="es-VE"/>
        </w:rPr>
        <w:br w:type="page"/>
      </w:r>
    </w:p>
    <w:p w14:paraId="605A7407" w14:textId="67167CD8" w:rsidR="004B316C" w:rsidRPr="008F58F5" w:rsidRDefault="00C14D68"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pt-BR"/>
        </w:rPr>
      </w:pPr>
      <w:r w:rsidRPr="008F58F5">
        <w:rPr>
          <w:rFonts w:asciiTheme="majorHAnsi" w:eastAsia="Times New Roman" w:hAnsiTheme="majorHAnsi"/>
          <w:b/>
          <w:sz w:val="18"/>
          <w:szCs w:val="18"/>
          <w:bdr w:val="none" w:sz="0" w:space="0" w:color="auto"/>
          <w:lang w:val="pt-BR"/>
        </w:rPr>
        <w:lastRenderedPageBreak/>
        <w:t xml:space="preserve">INFORME Nº </w:t>
      </w:r>
      <w:r w:rsidR="005859A2" w:rsidRPr="008F58F5">
        <w:rPr>
          <w:rFonts w:asciiTheme="majorHAnsi" w:eastAsia="Times New Roman" w:hAnsiTheme="majorHAnsi"/>
          <w:b/>
          <w:sz w:val="18"/>
          <w:szCs w:val="18"/>
          <w:bdr w:val="none" w:sz="0" w:space="0" w:color="auto"/>
          <w:lang w:val="pt-BR"/>
        </w:rPr>
        <w:t>130</w:t>
      </w:r>
      <w:r w:rsidR="00F674F4" w:rsidRPr="008F58F5">
        <w:rPr>
          <w:rFonts w:asciiTheme="majorHAnsi" w:eastAsia="Times New Roman" w:hAnsiTheme="majorHAnsi"/>
          <w:b/>
          <w:sz w:val="18"/>
          <w:szCs w:val="18"/>
          <w:bdr w:val="none" w:sz="0" w:space="0" w:color="auto"/>
          <w:lang w:val="pt-BR"/>
        </w:rPr>
        <w:t>/17</w:t>
      </w:r>
    </w:p>
    <w:p w14:paraId="09221E8B" w14:textId="441F81C9" w:rsidR="004B316C" w:rsidRPr="008F58F5" w:rsidRDefault="00A00F81"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pt-BR"/>
        </w:rPr>
      </w:pPr>
      <w:r w:rsidRPr="008F58F5">
        <w:rPr>
          <w:rFonts w:asciiTheme="majorHAnsi" w:eastAsia="Times New Roman" w:hAnsiTheme="majorHAnsi"/>
          <w:b/>
          <w:sz w:val="18"/>
          <w:szCs w:val="18"/>
          <w:bdr w:val="none" w:sz="0" w:space="0" w:color="auto"/>
          <w:lang w:val="pt-BR"/>
        </w:rPr>
        <w:t xml:space="preserve">CASO </w:t>
      </w:r>
      <w:r w:rsidR="00C14D68" w:rsidRPr="008F58F5">
        <w:rPr>
          <w:rFonts w:asciiTheme="majorHAnsi" w:eastAsia="Times New Roman" w:hAnsiTheme="majorHAnsi"/>
          <w:b/>
          <w:sz w:val="18"/>
          <w:szCs w:val="18"/>
          <w:bdr w:val="none" w:sz="0" w:space="0" w:color="auto"/>
          <w:lang w:val="pt-BR"/>
        </w:rPr>
        <w:t xml:space="preserve">Nº </w:t>
      </w:r>
      <w:r w:rsidRPr="008F58F5">
        <w:rPr>
          <w:rFonts w:asciiTheme="majorHAnsi" w:eastAsia="Times New Roman" w:hAnsiTheme="majorHAnsi"/>
          <w:b/>
          <w:sz w:val="18"/>
          <w:szCs w:val="18"/>
          <w:bdr w:val="none" w:sz="0" w:space="0" w:color="auto"/>
          <w:lang w:val="pt-BR"/>
        </w:rPr>
        <w:t>13.044</w:t>
      </w:r>
    </w:p>
    <w:p w14:paraId="7CFA607B" w14:textId="77777777" w:rsidR="004B316C" w:rsidRPr="008F58F5" w:rsidRDefault="004B316C"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pt-BR"/>
        </w:rPr>
      </w:pPr>
      <w:r w:rsidRPr="008F58F5">
        <w:rPr>
          <w:rFonts w:asciiTheme="majorHAnsi" w:eastAsia="Times New Roman" w:hAnsiTheme="majorHAnsi"/>
          <w:sz w:val="18"/>
          <w:szCs w:val="18"/>
          <w:bdr w:val="none" w:sz="0" w:space="0" w:color="auto"/>
          <w:lang w:val="pt-BR"/>
        </w:rPr>
        <w:t>FONDO</w:t>
      </w:r>
    </w:p>
    <w:p w14:paraId="2C545269" w14:textId="77777777" w:rsidR="00B06C1C" w:rsidRPr="008F58F5" w:rsidRDefault="00A00F81"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pt-BR"/>
        </w:rPr>
      </w:pPr>
      <w:r w:rsidRPr="008F58F5">
        <w:rPr>
          <w:rFonts w:asciiTheme="majorHAnsi" w:eastAsia="Times New Roman" w:hAnsiTheme="majorHAnsi"/>
          <w:sz w:val="18"/>
          <w:szCs w:val="18"/>
          <w:bdr w:val="none" w:sz="0" w:space="0" w:color="auto"/>
          <w:lang w:val="pt-BR"/>
        </w:rPr>
        <w:t>GUSTAVO FRANCISCO PETRO URREGO</w:t>
      </w:r>
    </w:p>
    <w:p w14:paraId="39EA4635" w14:textId="718E10A6" w:rsidR="00B06C1C" w:rsidRPr="00B144FB" w:rsidRDefault="00A00F81"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VE"/>
        </w:rPr>
      </w:pPr>
      <w:r w:rsidRPr="00B144FB">
        <w:rPr>
          <w:rFonts w:asciiTheme="majorHAnsi" w:eastAsia="Times New Roman" w:hAnsiTheme="majorHAnsi"/>
          <w:sz w:val="18"/>
          <w:szCs w:val="18"/>
          <w:bdr w:val="none" w:sz="0" w:space="0" w:color="auto"/>
          <w:lang w:val="es-VE"/>
        </w:rPr>
        <w:t>COLOMBIA</w:t>
      </w:r>
      <w:r w:rsidR="00A14B6C" w:rsidRPr="00B144FB">
        <w:rPr>
          <w:rStyle w:val="FootnoteReference"/>
          <w:rFonts w:asciiTheme="majorHAnsi" w:eastAsia="Times New Roman" w:hAnsiTheme="majorHAnsi"/>
          <w:sz w:val="18"/>
          <w:szCs w:val="18"/>
          <w:bdr w:val="none" w:sz="0" w:space="0" w:color="auto"/>
          <w:lang w:val="es-VE"/>
        </w:rPr>
        <w:footnoteReference w:id="2"/>
      </w:r>
    </w:p>
    <w:p w14:paraId="6B9444B4" w14:textId="7E514C71" w:rsidR="004B316C" w:rsidRPr="00B144FB" w:rsidRDefault="004B63AB" w:rsidP="00B330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VE"/>
        </w:rPr>
      </w:pPr>
      <w:r>
        <w:rPr>
          <w:rFonts w:asciiTheme="majorHAnsi" w:eastAsia="Times New Roman" w:hAnsiTheme="majorHAnsi"/>
          <w:sz w:val="18"/>
          <w:szCs w:val="18"/>
          <w:bdr w:val="none" w:sz="0" w:space="0" w:color="auto"/>
          <w:lang w:val="es-VE"/>
        </w:rPr>
        <w:t>25 DE OCTUBRE</w:t>
      </w:r>
      <w:r w:rsidR="00EE2F4E" w:rsidRPr="00B144FB">
        <w:rPr>
          <w:rFonts w:asciiTheme="majorHAnsi" w:eastAsia="Times New Roman" w:hAnsiTheme="majorHAnsi"/>
          <w:sz w:val="18"/>
          <w:szCs w:val="18"/>
          <w:bdr w:val="none" w:sz="0" w:space="0" w:color="auto"/>
          <w:lang w:val="es-VE"/>
        </w:rPr>
        <w:t xml:space="preserve"> </w:t>
      </w:r>
      <w:r w:rsidR="00EB1199" w:rsidRPr="00B144FB">
        <w:rPr>
          <w:rFonts w:asciiTheme="majorHAnsi" w:eastAsia="Times New Roman" w:hAnsiTheme="majorHAnsi"/>
          <w:sz w:val="18"/>
          <w:szCs w:val="18"/>
          <w:bdr w:val="none" w:sz="0" w:space="0" w:color="auto"/>
          <w:lang w:val="es-VE"/>
        </w:rPr>
        <w:t>DE 201</w:t>
      </w:r>
      <w:r w:rsidR="00F674F4" w:rsidRPr="00B144FB">
        <w:rPr>
          <w:rFonts w:asciiTheme="majorHAnsi" w:eastAsia="Times New Roman" w:hAnsiTheme="majorHAnsi"/>
          <w:sz w:val="18"/>
          <w:szCs w:val="18"/>
          <w:bdr w:val="none" w:sz="0" w:space="0" w:color="auto"/>
          <w:lang w:val="es-VE"/>
        </w:rPr>
        <w:t>7</w:t>
      </w:r>
    </w:p>
    <w:p w14:paraId="7C8A6978" w14:textId="77777777" w:rsidR="00967A97" w:rsidRPr="009B3BD2" w:rsidRDefault="00967A97" w:rsidP="00B330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20"/>
          <w:bdr w:val="none" w:sz="0" w:space="0" w:color="auto"/>
          <w:lang w:val="es-VE"/>
        </w:rPr>
      </w:pPr>
    </w:p>
    <w:p w14:paraId="321CAB59" w14:textId="77777777" w:rsidR="004B316C" w:rsidRPr="009B3BD2"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VE"/>
        </w:rPr>
      </w:pPr>
    </w:p>
    <w:p w14:paraId="10E635D9" w14:textId="77777777" w:rsidR="00E40449" w:rsidRPr="009B3BD2" w:rsidRDefault="00E40449" w:rsidP="007406C4">
      <w:pPr>
        <w:pStyle w:val="Heading1"/>
        <w:keepLines/>
        <w:numPr>
          <w:ilvl w:val="0"/>
          <w:numId w:val="54"/>
        </w:numPr>
        <w:pBdr>
          <w:top w:val="nil"/>
          <w:left w:val="nil"/>
          <w:bottom w:val="nil"/>
          <w:right w:val="nil"/>
          <w:between w:val="nil"/>
          <w:bar w:val="nil"/>
        </w:pBdr>
        <w:tabs>
          <w:tab w:val="clear" w:pos="1440"/>
        </w:tabs>
        <w:ind w:left="720" w:firstLine="0"/>
        <w:rPr>
          <w:rFonts w:ascii="Cambria" w:eastAsiaTheme="majorEastAsia" w:hAnsi="Cambria" w:cstheme="majorBidi"/>
          <w:bCs/>
          <w:bdr w:val="nil"/>
          <w:lang w:val="es-VE"/>
        </w:rPr>
      </w:pPr>
      <w:bookmarkStart w:id="1" w:name="_Toc370840743"/>
      <w:bookmarkStart w:id="2" w:name="_Toc370840839"/>
      <w:bookmarkStart w:id="3" w:name="_Toc423514405"/>
      <w:bookmarkStart w:id="4" w:name="_Toc433115981"/>
      <w:bookmarkStart w:id="5" w:name="_Toc444958124"/>
      <w:bookmarkStart w:id="6" w:name="_Toc479004109"/>
      <w:bookmarkStart w:id="7" w:name="_Toc497398847"/>
      <w:r w:rsidRPr="009B3BD2">
        <w:rPr>
          <w:rFonts w:ascii="Cambria" w:eastAsiaTheme="majorEastAsia" w:hAnsi="Cambria" w:cstheme="majorBidi"/>
          <w:bCs/>
          <w:bdr w:val="nil"/>
          <w:lang w:val="es-VE"/>
        </w:rPr>
        <w:t>RESUMEN</w:t>
      </w:r>
      <w:bookmarkEnd w:id="1"/>
      <w:bookmarkEnd w:id="2"/>
      <w:bookmarkEnd w:id="3"/>
      <w:bookmarkEnd w:id="4"/>
      <w:bookmarkEnd w:id="5"/>
      <w:bookmarkEnd w:id="6"/>
      <w:bookmarkEnd w:id="7"/>
    </w:p>
    <w:p w14:paraId="6AAC885E" w14:textId="77777777" w:rsidR="00E40449" w:rsidRPr="009B3BD2" w:rsidRDefault="00E40449" w:rsidP="00E40449">
      <w:pPr>
        <w:jc w:val="both"/>
        <w:rPr>
          <w:rFonts w:asciiTheme="majorHAnsi" w:hAnsiTheme="majorHAnsi" w:cs="Arial"/>
          <w:sz w:val="20"/>
          <w:szCs w:val="20"/>
          <w:lang w:val="es-ES"/>
        </w:rPr>
      </w:pPr>
    </w:p>
    <w:p w14:paraId="77F86360" w14:textId="77777777" w:rsidR="00AF0A62" w:rsidRPr="009B3BD2" w:rsidRDefault="000D3883" w:rsidP="00A80459">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Cambria" w:hAnsi="Cambria"/>
          <w:sz w:val="20"/>
          <w:szCs w:val="20"/>
          <w:lang w:val="es-VE"/>
        </w:rPr>
      </w:pPr>
      <w:r w:rsidRPr="009B3BD2">
        <w:rPr>
          <w:rFonts w:ascii="Cambria" w:hAnsi="Cambria"/>
          <w:sz w:val="20"/>
          <w:szCs w:val="20"/>
          <w:lang w:val="es-VE"/>
        </w:rPr>
        <w:t xml:space="preserve">El </w:t>
      </w:r>
      <w:r w:rsidR="00AF0A62" w:rsidRPr="009B3BD2">
        <w:rPr>
          <w:rFonts w:ascii="Cambria" w:hAnsi="Cambria"/>
          <w:sz w:val="20"/>
          <w:szCs w:val="20"/>
          <w:lang w:val="es-VE"/>
        </w:rPr>
        <w:t>28</w:t>
      </w:r>
      <w:r w:rsidRPr="009B3BD2">
        <w:rPr>
          <w:rFonts w:ascii="Cambria" w:hAnsi="Cambria"/>
          <w:sz w:val="20"/>
          <w:szCs w:val="20"/>
          <w:lang w:val="es-VE"/>
        </w:rPr>
        <w:t xml:space="preserve"> de </w:t>
      </w:r>
      <w:r w:rsidR="00AF0A62" w:rsidRPr="009B3BD2">
        <w:rPr>
          <w:rFonts w:ascii="Cambria" w:hAnsi="Cambria"/>
          <w:sz w:val="20"/>
          <w:szCs w:val="20"/>
          <w:lang w:val="es-VE"/>
        </w:rPr>
        <w:t>octubre</w:t>
      </w:r>
      <w:r w:rsidRPr="009B3BD2">
        <w:rPr>
          <w:rFonts w:ascii="Cambria" w:hAnsi="Cambria"/>
          <w:sz w:val="20"/>
          <w:szCs w:val="20"/>
          <w:lang w:val="es-VE"/>
        </w:rPr>
        <w:t xml:space="preserve"> de </w:t>
      </w:r>
      <w:r w:rsidR="00AF0A62" w:rsidRPr="009B3BD2">
        <w:rPr>
          <w:rFonts w:ascii="Cambria" w:hAnsi="Cambria"/>
          <w:sz w:val="20"/>
          <w:szCs w:val="20"/>
          <w:lang w:val="es-VE"/>
        </w:rPr>
        <w:t>2013</w:t>
      </w:r>
      <w:r w:rsidRPr="009B3BD2">
        <w:rPr>
          <w:rFonts w:ascii="Cambria" w:hAnsi="Cambria"/>
          <w:sz w:val="20"/>
          <w:szCs w:val="20"/>
          <w:lang w:val="es-VE"/>
        </w:rPr>
        <w:t xml:space="preserve"> la Comisión Interamericana de Derechos Humanos (en adelante “la Comisión Interamericana”, “la Comisión” o “la CIDH”) recibió</w:t>
      </w:r>
      <w:r w:rsidR="006948EB" w:rsidRPr="009B3BD2">
        <w:rPr>
          <w:rFonts w:ascii="Cambria" w:hAnsi="Cambria"/>
          <w:sz w:val="20"/>
          <w:szCs w:val="20"/>
          <w:lang w:val="es-VE"/>
        </w:rPr>
        <w:t xml:space="preserve"> una petición presentada por </w:t>
      </w:r>
      <w:r w:rsidR="00AF0A62" w:rsidRPr="009B3BD2">
        <w:rPr>
          <w:rFonts w:ascii="Cambria" w:hAnsi="Cambria"/>
          <w:sz w:val="20"/>
          <w:szCs w:val="20"/>
          <w:lang w:val="es-VE"/>
        </w:rPr>
        <w:t>el Colectivo de Abogad</w:t>
      </w:r>
      <w:r w:rsidR="00835E22" w:rsidRPr="009B3BD2">
        <w:rPr>
          <w:rFonts w:ascii="Cambria" w:hAnsi="Cambria"/>
          <w:sz w:val="20"/>
          <w:szCs w:val="20"/>
          <w:lang w:val="es-VE"/>
        </w:rPr>
        <w:t>os José Alvear Restrepo –CCAJAR–</w:t>
      </w:r>
      <w:r w:rsidR="00AF0A62" w:rsidRPr="009B3BD2">
        <w:rPr>
          <w:rFonts w:ascii="Cambria" w:hAnsi="Cambria"/>
          <w:sz w:val="20"/>
          <w:szCs w:val="20"/>
          <w:lang w:val="es-VE"/>
        </w:rPr>
        <w:t xml:space="preserve"> y la Asociación para la Prom</w:t>
      </w:r>
      <w:r w:rsidR="00835E22" w:rsidRPr="009B3BD2">
        <w:rPr>
          <w:rFonts w:ascii="Cambria" w:hAnsi="Cambria"/>
          <w:sz w:val="20"/>
          <w:szCs w:val="20"/>
          <w:lang w:val="es-VE"/>
        </w:rPr>
        <w:t>oción Social Alternativa –MINGA–</w:t>
      </w:r>
      <w:r w:rsidR="00AF0A62" w:rsidRPr="009B3BD2">
        <w:rPr>
          <w:rFonts w:ascii="Cambria" w:hAnsi="Cambria"/>
          <w:sz w:val="20"/>
          <w:szCs w:val="20"/>
          <w:lang w:val="es-VE"/>
        </w:rPr>
        <w:t xml:space="preserve"> (en adelante “la parte peticionaria”) en la cual se alega la responsabilidad internacional de la República de Colombia (en adelante “el Estado colombiano”, “el Estado” o “Colombia”) por supuestas violaciones de derechos humanos cometidas en perjuicio de Gustavo Francisco </w:t>
      </w:r>
      <w:proofErr w:type="spellStart"/>
      <w:r w:rsidR="00AF0A62" w:rsidRPr="009B3BD2">
        <w:rPr>
          <w:rFonts w:ascii="Cambria" w:hAnsi="Cambria"/>
          <w:sz w:val="20"/>
          <w:szCs w:val="20"/>
          <w:lang w:val="es-VE"/>
        </w:rPr>
        <w:t>Petro</w:t>
      </w:r>
      <w:proofErr w:type="spellEnd"/>
      <w:r w:rsidR="00AF0A62" w:rsidRPr="009B3BD2">
        <w:rPr>
          <w:rFonts w:ascii="Cambria" w:hAnsi="Cambria"/>
          <w:sz w:val="20"/>
          <w:szCs w:val="20"/>
          <w:lang w:val="es-VE"/>
        </w:rPr>
        <w:t xml:space="preserve"> Urrego. </w:t>
      </w:r>
    </w:p>
    <w:p w14:paraId="0F0942EE" w14:textId="77777777" w:rsidR="009A19DA" w:rsidRPr="009B3BD2" w:rsidRDefault="009A19DA" w:rsidP="00D6051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themeColor="text1"/>
          <w:sz w:val="20"/>
          <w:szCs w:val="20"/>
          <w:lang w:val="es-VE"/>
        </w:rPr>
      </w:pPr>
    </w:p>
    <w:p w14:paraId="09A0FA1B" w14:textId="276354FA" w:rsidR="00222BB9" w:rsidRDefault="00621F19" w:rsidP="00222BB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u w:color="000000"/>
          <w:lang w:val="es-VE" w:eastAsia="es-ES"/>
        </w:rPr>
      </w:pPr>
      <w:r w:rsidRPr="009B3BD2">
        <w:rPr>
          <w:rFonts w:ascii="Cambria" w:eastAsia="Times New Roman" w:hAnsi="Cambria"/>
          <w:color w:val="000000"/>
          <w:sz w:val="20"/>
          <w:szCs w:val="20"/>
          <w:u w:color="000000"/>
          <w:lang w:val="es-VE" w:eastAsia="es-ES"/>
        </w:rPr>
        <w:t>La parte peticionaria refirió q</w:t>
      </w:r>
      <w:r w:rsidR="00FA20D3" w:rsidRPr="009B3BD2">
        <w:rPr>
          <w:rFonts w:ascii="Cambria" w:eastAsia="Times New Roman" w:hAnsi="Cambria"/>
          <w:color w:val="000000"/>
          <w:sz w:val="20"/>
          <w:szCs w:val="20"/>
          <w:u w:color="000000"/>
          <w:lang w:val="es-VE" w:eastAsia="es-ES"/>
        </w:rPr>
        <w:t xml:space="preserve">ue </w:t>
      </w:r>
      <w:r w:rsidR="00E72790" w:rsidRPr="009B3BD2">
        <w:rPr>
          <w:rFonts w:ascii="Cambria" w:eastAsia="Times New Roman" w:hAnsi="Cambria"/>
          <w:color w:val="000000"/>
          <w:sz w:val="20"/>
          <w:szCs w:val="20"/>
          <w:u w:color="000000"/>
          <w:lang w:val="es-VE" w:eastAsia="es-ES"/>
        </w:rPr>
        <w:t xml:space="preserve">la presunta víctima, mientras se desempeñaba como Alcalde Mayor de Bogotá, fue sometida a </w:t>
      </w:r>
      <w:r w:rsidR="00960215" w:rsidRPr="009B3BD2">
        <w:rPr>
          <w:rFonts w:ascii="Cambria" w:eastAsia="Times New Roman" w:hAnsi="Cambria"/>
          <w:color w:val="000000"/>
          <w:sz w:val="20"/>
          <w:szCs w:val="20"/>
          <w:u w:color="000000"/>
          <w:lang w:val="es-VE" w:eastAsia="es-ES"/>
        </w:rPr>
        <w:t xml:space="preserve">una serie de procesos </w:t>
      </w:r>
      <w:r w:rsidR="00810B67" w:rsidRPr="009B3BD2">
        <w:rPr>
          <w:rFonts w:ascii="Cambria" w:eastAsia="Times New Roman" w:hAnsi="Cambria"/>
          <w:color w:val="000000"/>
          <w:sz w:val="20"/>
          <w:szCs w:val="20"/>
          <w:u w:color="000000"/>
          <w:lang w:val="es-VE" w:eastAsia="es-ES"/>
        </w:rPr>
        <w:t>sancionatorios.</w:t>
      </w:r>
      <w:r w:rsidR="00960215" w:rsidRPr="009B3BD2">
        <w:rPr>
          <w:rFonts w:ascii="Cambria" w:eastAsia="Times New Roman" w:hAnsi="Cambria"/>
          <w:color w:val="000000"/>
          <w:sz w:val="20"/>
          <w:szCs w:val="20"/>
          <w:u w:color="000000"/>
          <w:lang w:val="es-VE" w:eastAsia="es-ES"/>
        </w:rPr>
        <w:t xml:space="preserve"> En particular, refirió que en el marco de los dos procesos disciplinarios iniciados por parte del</w:t>
      </w:r>
      <w:r w:rsidR="00E72790" w:rsidRPr="009B3BD2">
        <w:rPr>
          <w:rFonts w:ascii="Cambria" w:eastAsia="Times New Roman" w:hAnsi="Cambria"/>
          <w:color w:val="000000"/>
          <w:sz w:val="20"/>
          <w:szCs w:val="20"/>
          <w:u w:color="000000"/>
          <w:lang w:val="es-VE" w:eastAsia="es-ES"/>
        </w:rPr>
        <w:t xml:space="preserve"> Procurador General de la Nación</w:t>
      </w:r>
      <w:r w:rsidR="00960215" w:rsidRPr="009B3BD2">
        <w:rPr>
          <w:rFonts w:ascii="Cambria" w:eastAsia="Times New Roman" w:hAnsi="Cambria"/>
          <w:color w:val="000000"/>
          <w:sz w:val="20"/>
          <w:szCs w:val="20"/>
          <w:u w:color="000000"/>
          <w:lang w:val="es-VE" w:eastAsia="es-ES"/>
        </w:rPr>
        <w:t xml:space="preserve"> le impusieron la sanción de inhabilitación, y que dichos procesos fueron iniciados de manera discriminatoria, como una represalia a su ideología política, con el objeto de propiciar su salida del cargo para el que fue electo. Indicó que en el marco de los procesos disciplinarios se cometieron una serie de violaciones al debido proceso</w:t>
      </w:r>
      <w:r w:rsidR="00FE1849" w:rsidRPr="009B3BD2">
        <w:rPr>
          <w:rFonts w:ascii="Cambria" w:eastAsia="Times New Roman" w:hAnsi="Cambria"/>
          <w:color w:val="000000"/>
          <w:sz w:val="20"/>
          <w:szCs w:val="20"/>
          <w:u w:color="000000"/>
          <w:lang w:val="es-VE" w:eastAsia="es-ES"/>
        </w:rPr>
        <w:t>,</w:t>
      </w:r>
      <w:r w:rsidR="00960215" w:rsidRPr="009B3BD2">
        <w:rPr>
          <w:rFonts w:ascii="Cambria" w:eastAsia="Times New Roman" w:hAnsi="Cambria"/>
          <w:color w:val="000000"/>
          <w:sz w:val="20"/>
          <w:szCs w:val="20"/>
          <w:u w:color="000000"/>
          <w:lang w:val="es-VE" w:eastAsia="es-ES"/>
        </w:rPr>
        <w:t xml:space="preserve"> y manifestó </w:t>
      </w:r>
      <w:r w:rsidR="00F0549F" w:rsidRPr="009B3BD2">
        <w:rPr>
          <w:rFonts w:ascii="Cambria" w:eastAsia="Times New Roman" w:hAnsi="Cambria"/>
          <w:color w:val="000000"/>
          <w:sz w:val="20"/>
          <w:szCs w:val="20"/>
          <w:u w:color="000000"/>
          <w:lang w:val="es-VE" w:eastAsia="es-ES"/>
        </w:rPr>
        <w:t xml:space="preserve">que la facultad de inhabilitar por vía disciplinaria con que cuenta el Procurador General </w:t>
      </w:r>
      <w:r w:rsidR="006345BD" w:rsidRPr="009B3BD2">
        <w:rPr>
          <w:rFonts w:ascii="Cambria" w:eastAsia="Times New Roman" w:hAnsi="Cambria"/>
          <w:color w:val="000000"/>
          <w:sz w:val="20"/>
          <w:szCs w:val="20"/>
          <w:u w:color="000000"/>
          <w:lang w:val="es-VE" w:eastAsia="es-ES"/>
        </w:rPr>
        <w:t>de la Nación resulta contraria</w:t>
      </w:r>
      <w:r w:rsidR="00F0549F" w:rsidRPr="009B3BD2">
        <w:rPr>
          <w:rFonts w:ascii="Cambria" w:eastAsia="Times New Roman" w:hAnsi="Cambria"/>
          <w:color w:val="000000"/>
          <w:sz w:val="20"/>
          <w:szCs w:val="20"/>
          <w:u w:color="000000"/>
          <w:lang w:val="es-VE" w:eastAsia="es-ES"/>
        </w:rPr>
        <w:t xml:space="preserve"> </w:t>
      </w:r>
      <w:r w:rsidR="006345BD" w:rsidRPr="009B3BD2">
        <w:rPr>
          <w:rFonts w:ascii="Cambria" w:eastAsia="Times New Roman" w:hAnsi="Cambria"/>
          <w:color w:val="000000"/>
          <w:sz w:val="20"/>
          <w:szCs w:val="20"/>
          <w:u w:color="000000"/>
          <w:lang w:val="es-VE" w:eastAsia="es-ES"/>
        </w:rPr>
        <w:t xml:space="preserve">a la Convención Americana. </w:t>
      </w:r>
      <w:r w:rsidR="00810B67" w:rsidRPr="009B3BD2">
        <w:rPr>
          <w:rFonts w:ascii="Cambria" w:eastAsia="Times New Roman" w:hAnsi="Cambria"/>
          <w:color w:val="000000"/>
          <w:sz w:val="20"/>
          <w:szCs w:val="20"/>
          <w:u w:color="000000"/>
          <w:lang w:val="es-VE" w:eastAsia="es-ES"/>
        </w:rPr>
        <w:t xml:space="preserve">Con posterioridad la presunta víctima informó acerca de dos sanciones </w:t>
      </w:r>
      <w:r w:rsidR="00ED3D80" w:rsidRPr="009B3BD2">
        <w:rPr>
          <w:rFonts w:ascii="Cambria" w:eastAsia="Times New Roman" w:hAnsi="Cambria"/>
          <w:color w:val="000000"/>
          <w:sz w:val="20"/>
          <w:szCs w:val="20"/>
          <w:u w:color="000000"/>
          <w:lang w:val="es-VE" w:eastAsia="es-ES"/>
        </w:rPr>
        <w:t xml:space="preserve">adicionales </w:t>
      </w:r>
      <w:r w:rsidR="00B7425E" w:rsidRPr="009B3BD2">
        <w:rPr>
          <w:rFonts w:ascii="Cambria" w:eastAsia="Times New Roman" w:hAnsi="Cambria"/>
          <w:color w:val="000000"/>
          <w:sz w:val="20"/>
          <w:szCs w:val="20"/>
          <w:u w:color="000000"/>
          <w:lang w:val="es-VE" w:eastAsia="es-ES"/>
        </w:rPr>
        <w:t>impuestas</w:t>
      </w:r>
      <w:r w:rsidR="00810B67" w:rsidRPr="009B3BD2">
        <w:rPr>
          <w:rFonts w:ascii="Cambria" w:eastAsia="Times New Roman" w:hAnsi="Cambria"/>
          <w:color w:val="000000"/>
          <w:sz w:val="20"/>
          <w:szCs w:val="20"/>
          <w:u w:color="000000"/>
          <w:lang w:val="es-VE" w:eastAsia="es-ES"/>
        </w:rPr>
        <w:t xml:space="preserve">, así como una modificación </w:t>
      </w:r>
      <w:r w:rsidR="00C77AF6" w:rsidRPr="009B3BD2">
        <w:rPr>
          <w:rFonts w:ascii="Cambria" w:eastAsia="Times New Roman" w:hAnsi="Cambria"/>
          <w:color w:val="000000"/>
          <w:sz w:val="20"/>
          <w:szCs w:val="20"/>
          <w:u w:color="000000"/>
          <w:lang w:val="es-VE" w:eastAsia="es-ES"/>
        </w:rPr>
        <w:t xml:space="preserve">en la normativa </w:t>
      </w:r>
      <w:r w:rsidR="00810B67" w:rsidRPr="009B3BD2">
        <w:rPr>
          <w:rFonts w:ascii="Cambria" w:eastAsia="Times New Roman" w:hAnsi="Cambria"/>
          <w:color w:val="000000"/>
          <w:sz w:val="20"/>
          <w:szCs w:val="20"/>
          <w:u w:color="000000"/>
          <w:lang w:val="es-VE" w:eastAsia="es-ES"/>
        </w:rPr>
        <w:t>penal que contempla como delito</w:t>
      </w:r>
      <w:r w:rsidR="00B7425E" w:rsidRPr="009B3BD2">
        <w:rPr>
          <w:rFonts w:ascii="Cambria" w:eastAsia="Times New Roman" w:hAnsi="Cambria"/>
          <w:color w:val="000000"/>
          <w:sz w:val="20"/>
          <w:szCs w:val="20"/>
          <w:u w:color="000000"/>
          <w:lang w:val="es-VE" w:eastAsia="es-ES"/>
        </w:rPr>
        <w:t xml:space="preserve"> que una persona sea electa para un cargo de elección popular estando inhabilitado por decisi</w:t>
      </w:r>
      <w:r w:rsidR="006A11F7" w:rsidRPr="009B3BD2">
        <w:rPr>
          <w:rFonts w:ascii="Cambria" w:eastAsia="Times New Roman" w:hAnsi="Cambria"/>
          <w:color w:val="000000"/>
          <w:sz w:val="20"/>
          <w:szCs w:val="20"/>
          <w:u w:color="000000"/>
          <w:lang w:val="es-VE" w:eastAsia="es-ES"/>
        </w:rPr>
        <w:t>ón judicial, disciplinaria o fiscal.</w:t>
      </w:r>
    </w:p>
    <w:p w14:paraId="28BFCD78" w14:textId="77777777" w:rsidR="0018291A" w:rsidRPr="0018291A" w:rsidRDefault="0018291A" w:rsidP="0018291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olor w:val="000000"/>
          <w:sz w:val="20"/>
          <w:szCs w:val="20"/>
          <w:u w:color="000000"/>
          <w:lang w:val="es-VE" w:eastAsia="es-ES"/>
        </w:rPr>
      </w:pPr>
    </w:p>
    <w:p w14:paraId="7FA7A343" w14:textId="7EBBFB97" w:rsidR="00770C6C" w:rsidRPr="009B3BD2" w:rsidRDefault="00222BB9" w:rsidP="00550D5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u w:color="000000"/>
          <w:lang w:val="es-VE" w:eastAsia="es-ES"/>
        </w:rPr>
      </w:pPr>
      <w:r w:rsidRPr="009B3BD2">
        <w:rPr>
          <w:rFonts w:ascii="Cambria" w:eastAsia="Times New Roman" w:hAnsi="Cambria"/>
          <w:color w:val="000000"/>
          <w:sz w:val="20"/>
          <w:szCs w:val="20"/>
          <w:u w:color="000000"/>
          <w:lang w:val="es-VE" w:eastAsia="es-ES"/>
        </w:rPr>
        <w:t xml:space="preserve">El Estado refirió que </w:t>
      </w:r>
      <w:r w:rsidR="00550D5D" w:rsidRPr="009B3BD2">
        <w:rPr>
          <w:rFonts w:ascii="Cambria" w:eastAsia="Times New Roman" w:hAnsi="Cambria"/>
          <w:color w:val="000000"/>
          <w:sz w:val="20"/>
          <w:szCs w:val="20"/>
          <w:u w:color="000000"/>
          <w:lang w:val="es-VE" w:eastAsia="es-ES"/>
        </w:rPr>
        <w:t>los funcionarios son re</w:t>
      </w:r>
      <w:r w:rsidR="00821827" w:rsidRPr="009B3BD2">
        <w:rPr>
          <w:rFonts w:ascii="Cambria" w:eastAsia="Times New Roman" w:hAnsi="Cambria"/>
          <w:color w:val="000000"/>
          <w:sz w:val="20"/>
          <w:szCs w:val="20"/>
          <w:u w:color="000000"/>
          <w:lang w:val="es-VE" w:eastAsia="es-ES"/>
        </w:rPr>
        <w:t>sponsables por infringir las leye</w:t>
      </w:r>
      <w:r w:rsidR="00550D5D" w:rsidRPr="009B3BD2">
        <w:rPr>
          <w:rFonts w:ascii="Cambria" w:eastAsia="Times New Roman" w:hAnsi="Cambria"/>
          <w:color w:val="000000"/>
          <w:sz w:val="20"/>
          <w:szCs w:val="20"/>
          <w:u w:color="000000"/>
          <w:lang w:val="es-VE" w:eastAsia="es-ES"/>
        </w:rPr>
        <w:t>s o extralimitarse en sus funciones, y que la presunta víctima fue sometida a procesos disciplinarios en virtud de una serie de denuncias prese</w:t>
      </w:r>
      <w:r w:rsidR="0018291A">
        <w:rPr>
          <w:rFonts w:ascii="Cambria" w:eastAsia="Times New Roman" w:hAnsi="Cambria"/>
          <w:color w:val="000000"/>
          <w:sz w:val="20"/>
          <w:szCs w:val="20"/>
          <w:u w:color="000000"/>
          <w:lang w:val="es-VE" w:eastAsia="es-ES"/>
        </w:rPr>
        <w:t xml:space="preserve">ntadas en su contra. </w:t>
      </w:r>
      <w:r w:rsidR="005F0FDA" w:rsidRPr="009B3BD2">
        <w:rPr>
          <w:rFonts w:ascii="Cambria" w:eastAsia="Times New Roman" w:hAnsi="Cambria"/>
          <w:color w:val="000000"/>
          <w:sz w:val="20"/>
          <w:szCs w:val="20"/>
          <w:u w:color="000000"/>
          <w:lang w:val="es-VE" w:eastAsia="es-ES"/>
        </w:rPr>
        <w:t xml:space="preserve">Manifestó </w:t>
      </w:r>
      <w:r w:rsidR="00550D5D" w:rsidRPr="009B3BD2">
        <w:rPr>
          <w:rFonts w:ascii="Cambria" w:eastAsia="Times New Roman" w:hAnsi="Cambria"/>
          <w:color w:val="000000"/>
          <w:sz w:val="20"/>
          <w:szCs w:val="20"/>
          <w:u w:color="000000"/>
          <w:lang w:val="es-VE" w:eastAsia="es-ES"/>
        </w:rPr>
        <w:t xml:space="preserve">que la facultad del Procurador General de la Nación para imponer la sanción de inhabilitación no desconoce la Convención Americana, y que las sanciones impuestas a la presunta víctima fueron consecuencia de procesos con pleno respeto a las garantías procesales que permiten un control jurisdiccional integral. </w:t>
      </w:r>
    </w:p>
    <w:p w14:paraId="3BD5CBB7" w14:textId="77777777" w:rsidR="00C77AF6" w:rsidRPr="009B3BD2" w:rsidRDefault="00C77AF6" w:rsidP="00C77AF6">
      <w:pPr>
        <w:pStyle w:val="ListParagraph"/>
        <w:rPr>
          <w:rFonts w:eastAsia="Times New Roman"/>
          <w:sz w:val="20"/>
          <w:szCs w:val="20"/>
          <w:lang w:val="es-VE"/>
        </w:rPr>
      </w:pPr>
    </w:p>
    <w:p w14:paraId="740D4325" w14:textId="13F50D44" w:rsidR="00C77AF6" w:rsidRPr="009B3BD2" w:rsidRDefault="00C77AF6" w:rsidP="00550D5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olor w:val="000000"/>
          <w:sz w:val="20"/>
          <w:szCs w:val="20"/>
          <w:u w:color="000000"/>
          <w:lang w:val="es-VE" w:eastAsia="es-ES"/>
        </w:rPr>
      </w:pPr>
      <w:r w:rsidRPr="009B3BD2">
        <w:rPr>
          <w:rFonts w:asciiTheme="majorHAnsi" w:hAnsiTheme="majorHAnsi"/>
          <w:sz w:val="20"/>
          <w:szCs w:val="20"/>
          <w:lang w:val="es-VE"/>
        </w:rPr>
        <w:t xml:space="preserve">El 18 de marzo de 2014 la CIDH solicitó la adopción de medidas cautelares a favor de Gustavo Francisco </w:t>
      </w:r>
      <w:proofErr w:type="spellStart"/>
      <w:r w:rsidRPr="009B3BD2">
        <w:rPr>
          <w:rFonts w:asciiTheme="majorHAnsi" w:hAnsiTheme="majorHAnsi"/>
          <w:sz w:val="20"/>
          <w:szCs w:val="20"/>
          <w:lang w:val="es-VE"/>
        </w:rPr>
        <w:t>Petro</w:t>
      </w:r>
      <w:proofErr w:type="spellEnd"/>
      <w:r w:rsidRPr="009B3BD2">
        <w:rPr>
          <w:rFonts w:asciiTheme="majorHAnsi" w:hAnsiTheme="majorHAnsi"/>
          <w:sz w:val="20"/>
          <w:szCs w:val="20"/>
          <w:lang w:val="es-VE"/>
        </w:rPr>
        <w:t xml:space="preserve"> Urrego, entonces Alcalde Mayor de la ciudad de Bogotá D.C., Colombia y requirió a Colombia “que suspenda inmediatamente los efectos de la decisión de 9 de diciembre de 2013, emitida y ratificada por la Procuraduría General de la Nación el 13 de enero de 2014, a fin de garantizar el ejercicio de los derechos políticos del señor Gustavo Francisco </w:t>
      </w:r>
      <w:proofErr w:type="spellStart"/>
      <w:r w:rsidRPr="009B3BD2">
        <w:rPr>
          <w:rFonts w:asciiTheme="majorHAnsi" w:hAnsiTheme="majorHAnsi"/>
          <w:sz w:val="20"/>
          <w:szCs w:val="20"/>
          <w:lang w:val="es-VE"/>
        </w:rPr>
        <w:t>Petro</w:t>
      </w:r>
      <w:proofErr w:type="spellEnd"/>
      <w:r w:rsidRPr="009B3BD2">
        <w:rPr>
          <w:rFonts w:asciiTheme="majorHAnsi" w:hAnsiTheme="majorHAnsi"/>
          <w:sz w:val="20"/>
          <w:szCs w:val="20"/>
          <w:lang w:val="es-VE"/>
        </w:rPr>
        <w:t xml:space="preserve"> Urrego y pueda cumplir con el periodo para el cual fue elegido como Alcalde de la ciudad de Bogotá D.C. el 30 de octubre de 2011, hasta que la CIDH se haya pronunciado sobre la petición individual P-1742-13”. Desde entonces, ambas partes han suministrado a la CIDH información actualizada en varias ocasiones.</w:t>
      </w:r>
    </w:p>
    <w:p w14:paraId="5D2F5027" w14:textId="77777777" w:rsidR="00550D5D" w:rsidRPr="009B3BD2" w:rsidRDefault="00550D5D" w:rsidP="00550D5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olor w:val="000000"/>
          <w:sz w:val="20"/>
          <w:szCs w:val="20"/>
          <w:u w:color="000000"/>
          <w:lang w:val="es-VE" w:eastAsia="es-ES"/>
        </w:rPr>
      </w:pPr>
    </w:p>
    <w:p w14:paraId="7B22CA19" w14:textId="3B0A9EC1" w:rsidR="00501185" w:rsidRPr="009B3BD2" w:rsidRDefault="006948EB" w:rsidP="003073C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hAnsi="Cambria"/>
          <w:color w:val="000000" w:themeColor="text1"/>
          <w:sz w:val="20"/>
          <w:szCs w:val="20"/>
          <w:lang w:val="es-VE"/>
        </w:rPr>
        <w:t xml:space="preserve">La Comisión aprobó el </w:t>
      </w:r>
      <w:r w:rsidR="00501185" w:rsidRPr="009B3BD2">
        <w:rPr>
          <w:rFonts w:ascii="Cambria" w:hAnsi="Cambria"/>
          <w:color w:val="000000" w:themeColor="text1"/>
          <w:sz w:val="20"/>
          <w:szCs w:val="20"/>
          <w:lang w:val="es-VE"/>
        </w:rPr>
        <w:t>Informe de Admisibilidad No. 60/16 el 6</w:t>
      </w:r>
      <w:r w:rsidRPr="009B3BD2">
        <w:rPr>
          <w:rFonts w:ascii="Cambria" w:hAnsi="Cambria"/>
          <w:color w:val="000000" w:themeColor="text1"/>
          <w:sz w:val="20"/>
          <w:szCs w:val="20"/>
          <w:lang w:val="es-VE"/>
        </w:rPr>
        <w:t xml:space="preserve"> de </w:t>
      </w:r>
      <w:r w:rsidR="00501185" w:rsidRPr="009B3BD2">
        <w:rPr>
          <w:rFonts w:ascii="Cambria" w:hAnsi="Cambria"/>
          <w:color w:val="000000" w:themeColor="text1"/>
          <w:sz w:val="20"/>
          <w:szCs w:val="20"/>
          <w:lang w:val="es-VE"/>
        </w:rPr>
        <w:t>diciembre</w:t>
      </w:r>
      <w:r w:rsidRPr="009B3BD2">
        <w:rPr>
          <w:rFonts w:ascii="Cambria" w:hAnsi="Cambria"/>
          <w:color w:val="000000" w:themeColor="text1"/>
          <w:sz w:val="20"/>
          <w:szCs w:val="20"/>
          <w:lang w:val="es-VE"/>
        </w:rPr>
        <w:t xml:space="preserve"> </w:t>
      </w:r>
      <w:r w:rsidR="00501185" w:rsidRPr="009B3BD2">
        <w:rPr>
          <w:rFonts w:ascii="Cambria" w:hAnsi="Cambria"/>
          <w:sz w:val="20"/>
          <w:szCs w:val="20"/>
          <w:lang w:val="es-VE"/>
        </w:rPr>
        <w:t>de 2016</w:t>
      </w:r>
      <w:r w:rsidR="009D1387" w:rsidRPr="009B3BD2">
        <w:rPr>
          <w:rFonts w:ascii="Cambria" w:hAnsi="Cambria"/>
          <w:sz w:val="20"/>
          <w:szCs w:val="20"/>
          <w:lang w:val="es-VE"/>
        </w:rPr>
        <w:t xml:space="preserve">.  El </w:t>
      </w:r>
      <w:r w:rsidR="00501185" w:rsidRPr="009B3BD2">
        <w:rPr>
          <w:rFonts w:ascii="Cambria" w:hAnsi="Cambria"/>
          <w:sz w:val="20"/>
          <w:szCs w:val="20"/>
          <w:lang w:val="es-ES_tradnl"/>
        </w:rPr>
        <w:t>14</w:t>
      </w:r>
      <w:r w:rsidR="009D1387" w:rsidRPr="009B3BD2">
        <w:rPr>
          <w:rFonts w:ascii="Cambria" w:hAnsi="Cambria"/>
          <w:sz w:val="20"/>
          <w:szCs w:val="20"/>
          <w:lang w:val="es-ES_tradnl"/>
        </w:rPr>
        <w:t xml:space="preserve"> de </w:t>
      </w:r>
      <w:r w:rsidR="00501185" w:rsidRPr="009B3BD2">
        <w:rPr>
          <w:rFonts w:ascii="Cambria" w:hAnsi="Cambria"/>
          <w:sz w:val="20"/>
          <w:szCs w:val="20"/>
          <w:lang w:val="es-ES_tradnl"/>
        </w:rPr>
        <w:t>diciembre</w:t>
      </w:r>
      <w:r w:rsidR="009D1387" w:rsidRPr="009B3BD2">
        <w:rPr>
          <w:rFonts w:ascii="Cambria" w:hAnsi="Cambria"/>
          <w:sz w:val="20"/>
          <w:szCs w:val="20"/>
          <w:lang w:val="es-ES_tradnl"/>
        </w:rPr>
        <w:t xml:space="preserve"> de </w:t>
      </w:r>
      <w:r w:rsidR="00501185" w:rsidRPr="009B3BD2">
        <w:rPr>
          <w:rFonts w:ascii="Cambria" w:hAnsi="Cambria"/>
          <w:sz w:val="20"/>
          <w:szCs w:val="20"/>
          <w:lang w:val="es-ES_tradnl"/>
        </w:rPr>
        <w:t>2016</w:t>
      </w:r>
      <w:r w:rsidR="009D1387" w:rsidRPr="009B3BD2">
        <w:rPr>
          <w:rFonts w:ascii="Cambria" w:hAnsi="Cambria"/>
          <w:sz w:val="20"/>
          <w:szCs w:val="20"/>
          <w:lang w:val="es-ES_tradnl"/>
        </w:rPr>
        <w:t xml:space="preserve"> la Comisión notificó dicho informe a las partes y se puso a su disposición a fin de llegar a una solución amistosa</w:t>
      </w:r>
      <w:r w:rsidR="003073C3" w:rsidRPr="009B3BD2">
        <w:rPr>
          <w:rFonts w:ascii="Cambria" w:hAnsi="Cambria"/>
          <w:sz w:val="20"/>
          <w:szCs w:val="20"/>
          <w:lang w:val="es-ES_tradnl"/>
        </w:rPr>
        <w:t xml:space="preserve">. La parte peticionaria manifestó interés en solución amistosa, sin embargo el Estado no se pronunció al respecto. </w:t>
      </w:r>
      <w:r w:rsidR="00026321" w:rsidRPr="009B3BD2">
        <w:rPr>
          <w:rFonts w:ascii="Cambria" w:hAnsi="Cambria"/>
          <w:sz w:val="20"/>
          <w:szCs w:val="20"/>
          <w:lang w:val="es-ES_tradnl"/>
        </w:rPr>
        <w:t xml:space="preserve"> </w:t>
      </w:r>
      <w:r w:rsidR="00501185" w:rsidRPr="009B3BD2">
        <w:rPr>
          <w:rFonts w:ascii="Cambria" w:hAnsi="Cambria"/>
          <w:sz w:val="20"/>
          <w:szCs w:val="20"/>
          <w:lang w:val="es-ES_tradnl"/>
        </w:rPr>
        <w:t>El 9</w:t>
      </w:r>
      <w:r w:rsidR="00026321" w:rsidRPr="009B3BD2">
        <w:rPr>
          <w:rFonts w:ascii="Cambria" w:hAnsi="Cambria"/>
          <w:sz w:val="20"/>
          <w:szCs w:val="20"/>
          <w:lang w:val="es-ES_tradnl"/>
        </w:rPr>
        <w:t xml:space="preserve"> de </w:t>
      </w:r>
      <w:r w:rsidR="00501185" w:rsidRPr="009B3BD2">
        <w:rPr>
          <w:rFonts w:ascii="Cambria" w:hAnsi="Cambria"/>
          <w:sz w:val="20"/>
          <w:szCs w:val="20"/>
          <w:lang w:val="es-ES_tradnl"/>
        </w:rPr>
        <w:t>marzo</w:t>
      </w:r>
      <w:r w:rsidR="00026321" w:rsidRPr="009B3BD2">
        <w:rPr>
          <w:rFonts w:ascii="Cambria" w:hAnsi="Cambria"/>
          <w:sz w:val="20"/>
          <w:szCs w:val="20"/>
          <w:lang w:val="es-ES_tradnl"/>
        </w:rPr>
        <w:t xml:space="preserve"> de </w:t>
      </w:r>
      <w:r w:rsidR="00501185" w:rsidRPr="009B3BD2">
        <w:rPr>
          <w:rFonts w:ascii="Cambria" w:hAnsi="Cambria"/>
          <w:sz w:val="20"/>
          <w:szCs w:val="20"/>
          <w:lang w:val="es-ES_tradnl"/>
        </w:rPr>
        <w:t>2017</w:t>
      </w:r>
      <w:r w:rsidR="00F40146" w:rsidRPr="009B3BD2">
        <w:rPr>
          <w:rFonts w:ascii="Cambria" w:hAnsi="Cambria"/>
          <w:sz w:val="20"/>
          <w:szCs w:val="20"/>
          <w:lang w:val="es-ES_tradnl"/>
        </w:rPr>
        <w:t xml:space="preserve"> la parte peticionaria</w:t>
      </w:r>
      <w:r w:rsidR="00026321" w:rsidRPr="009B3BD2">
        <w:rPr>
          <w:rFonts w:ascii="Cambria" w:hAnsi="Cambria"/>
          <w:sz w:val="20"/>
          <w:szCs w:val="20"/>
          <w:lang w:val="es-ES_tradnl"/>
        </w:rPr>
        <w:t xml:space="preserve"> presentó sus observaci</w:t>
      </w:r>
      <w:r w:rsidR="00501185" w:rsidRPr="009B3BD2">
        <w:rPr>
          <w:rFonts w:ascii="Cambria" w:hAnsi="Cambria"/>
          <w:sz w:val="20"/>
          <w:szCs w:val="20"/>
          <w:lang w:val="es-ES_tradnl"/>
        </w:rPr>
        <w:t>ones adicionales sobre el fondo.</w:t>
      </w:r>
      <w:r w:rsidR="00B43D0C" w:rsidRPr="009B3BD2">
        <w:rPr>
          <w:rFonts w:ascii="Cambria" w:hAnsi="Cambria"/>
          <w:sz w:val="20"/>
          <w:szCs w:val="20"/>
          <w:lang w:val="es-ES_tradnl"/>
        </w:rPr>
        <w:t xml:space="preserve"> Dichas observaciones fueron trasladadas al Estado colombiano el 21 de abril de 2017. A la </w:t>
      </w:r>
      <w:r w:rsidR="00B43D0C" w:rsidRPr="009B3BD2">
        <w:rPr>
          <w:rFonts w:ascii="Cambria" w:hAnsi="Cambria"/>
          <w:sz w:val="20"/>
          <w:szCs w:val="20"/>
          <w:lang w:val="es-ES_tradnl"/>
        </w:rPr>
        <w:lastRenderedPageBreak/>
        <w:t>fecha de emisión del presente informe</w:t>
      </w:r>
      <w:r w:rsidR="00D1696F" w:rsidRPr="009B3BD2">
        <w:rPr>
          <w:rFonts w:ascii="Cambria" w:hAnsi="Cambria"/>
          <w:sz w:val="20"/>
          <w:szCs w:val="20"/>
          <w:lang w:val="es-ES_tradnl"/>
        </w:rPr>
        <w:t>,</w:t>
      </w:r>
      <w:r w:rsidR="00B43D0C" w:rsidRPr="009B3BD2">
        <w:rPr>
          <w:rFonts w:ascii="Cambria" w:hAnsi="Cambria"/>
          <w:sz w:val="20"/>
          <w:szCs w:val="20"/>
          <w:lang w:val="es-ES_tradnl"/>
        </w:rPr>
        <w:t xml:space="preserve"> el Estado no ha presentado sus observaciones adicionales sobre el fondo. </w:t>
      </w:r>
      <w:r w:rsidR="007211DE" w:rsidRPr="009B3BD2">
        <w:rPr>
          <w:rFonts w:ascii="Cambria" w:hAnsi="Cambria"/>
          <w:sz w:val="20"/>
          <w:szCs w:val="20"/>
          <w:lang w:val="es-ES_tradnl"/>
        </w:rPr>
        <w:t xml:space="preserve">Toda la información recibida fue debidamente trasladada entre las partes. </w:t>
      </w:r>
    </w:p>
    <w:p w14:paraId="00B00A6F" w14:textId="77777777" w:rsidR="009A19DA" w:rsidRPr="009B3BD2" w:rsidRDefault="009A19DA" w:rsidP="00B43D0C">
      <w:pPr>
        <w:rPr>
          <w:color w:val="000000" w:themeColor="text1"/>
          <w:sz w:val="20"/>
          <w:szCs w:val="20"/>
          <w:lang w:val="es-VE"/>
        </w:rPr>
      </w:pPr>
    </w:p>
    <w:p w14:paraId="42150A00" w14:textId="3EA2F6BE" w:rsidR="00A307AC" w:rsidRPr="009B3BD2" w:rsidRDefault="00FB6B56" w:rsidP="0024594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hAnsi="Cambria"/>
          <w:color w:val="000000" w:themeColor="text1"/>
          <w:sz w:val="20"/>
          <w:szCs w:val="20"/>
          <w:lang w:val="es-VE"/>
        </w:rPr>
        <w:t xml:space="preserve">Con base en las determinaciones de hecho y de derecho, la Comisión Interamericana concluyó que el Estado es responsable por la violación de los artículos 8.1, </w:t>
      </w:r>
      <w:r w:rsidR="00DF33E6">
        <w:rPr>
          <w:rFonts w:ascii="Cambria" w:hAnsi="Cambria"/>
          <w:color w:val="000000" w:themeColor="text1"/>
          <w:sz w:val="20"/>
          <w:szCs w:val="20"/>
          <w:lang w:val="es-VE"/>
        </w:rPr>
        <w:t xml:space="preserve">8.2, </w:t>
      </w:r>
      <w:r w:rsidRPr="009B3BD2">
        <w:rPr>
          <w:rFonts w:ascii="Cambria" w:hAnsi="Cambria"/>
          <w:color w:val="000000" w:themeColor="text1"/>
          <w:sz w:val="20"/>
          <w:szCs w:val="20"/>
          <w:lang w:val="es-VE"/>
        </w:rPr>
        <w:t>8.2 h), 23</w:t>
      </w:r>
      <w:r w:rsidR="00B40090" w:rsidRPr="009B3BD2">
        <w:rPr>
          <w:rFonts w:ascii="Cambria" w:hAnsi="Cambria"/>
          <w:color w:val="000000" w:themeColor="text1"/>
          <w:sz w:val="20"/>
          <w:szCs w:val="20"/>
          <w:lang w:val="es-VE"/>
        </w:rPr>
        <w:t>.1,</w:t>
      </w:r>
      <w:r w:rsidR="0024594D" w:rsidRPr="009B3BD2">
        <w:rPr>
          <w:rFonts w:ascii="Cambria" w:hAnsi="Cambria"/>
          <w:color w:val="000000" w:themeColor="text1"/>
          <w:sz w:val="20"/>
          <w:szCs w:val="20"/>
          <w:lang w:val="es-VE"/>
        </w:rPr>
        <w:t xml:space="preserve"> 23.2</w:t>
      </w:r>
      <w:r w:rsidRPr="009B3BD2">
        <w:rPr>
          <w:rFonts w:ascii="Cambria" w:hAnsi="Cambria"/>
          <w:color w:val="000000" w:themeColor="text1"/>
          <w:sz w:val="20"/>
          <w:szCs w:val="20"/>
          <w:lang w:val="es-VE"/>
        </w:rPr>
        <w:t xml:space="preserve"> y 25</w:t>
      </w:r>
      <w:r w:rsidR="0024594D" w:rsidRPr="009B3BD2">
        <w:rPr>
          <w:rFonts w:ascii="Cambria" w:hAnsi="Cambria"/>
          <w:color w:val="000000" w:themeColor="text1"/>
          <w:sz w:val="20"/>
          <w:szCs w:val="20"/>
          <w:lang w:val="es-VE"/>
        </w:rPr>
        <w:t>.1</w:t>
      </w:r>
      <w:r w:rsidRPr="009B3BD2">
        <w:rPr>
          <w:rFonts w:ascii="Cambria" w:hAnsi="Cambria"/>
          <w:color w:val="000000" w:themeColor="text1"/>
          <w:sz w:val="20"/>
          <w:szCs w:val="20"/>
          <w:lang w:val="es-VE"/>
        </w:rPr>
        <w:t xml:space="preserve"> de la Convención Americana en relación con las obligaciones establecidas en los artículos </w:t>
      </w:r>
      <w:r w:rsidR="008F58F5">
        <w:rPr>
          <w:rFonts w:ascii="Cambria" w:hAnsi="Cambria"/>
          <w:color w:val="000000" w:themeColor="text1"/>
          <w:sz w:val="20"/>
          <w:szCs w:val="20"/>
          <w:lang w:val="es-VE"/>
        </w:rPr>
        <w:t xml:space="preserve">24, </w:t>
      </w:r>
      <w:r w:rsidRPr="009B3BD2">
        <w:rPr>
          <w:rFonts w:ascii="Cambria" w:hAnsi="Cambria"/>
          <w:color w:val="000000" w:themeColor="text1"/>
          <w:sz w:val="20"/>
          <w:szCs w:val="20"/>
          <w:lang w:val="es-VE"/>
        </w:rPr>
        <w:t xml:space="preserve">1.1 y 2 del mismo instrumento, en perjuicio de </w:t>
      </w:r>
      <w:r w:rsidR="005F0FDA" w:rsidRPr="009B3BD2">
        <w:rPr>
          <w:rFonts w:ascii="Cambria" w:hAnsi="Cambria"/>
          <w:color w:val="000000" w:themeColor="text1"/>
          <w:sz w:val="20"/>
          <w:szCs w:val="20"/>
          <w:lang w:val="es-VE"/>
        </w:rPr>
        <w:t xml:space="preserve">Gustavo Francisco </w:t>
      </w:r>
      <w:proofErr w:type="spellStart"/>
      <w:r w:rsidR="005F0FDA" w:rsidRPr="009B3BD2">
        <w:rPr>
          <w:rFonts w:ascii="Cambria" w:hAnsi="Cambria"/>
          <w:color w:val="000000" w:themeColor="text1"/>
          <w:sz w:val="20"/>
          <w:szCs w:val="20"/>
          <w:lang w:val="es-VE"/>
        </w:rPr>
        <w:t>Petro</w:t>
      </w:r>
      <w:proofErr w:type="spellEnd"/>
      <w:r w:rsidR="005F0FDA" w:rsidRPr="009B3BD2">
        <w:rPr>
          <w:rFonts w:ascii="Cambria" w:hAnsi="Cambria"/>
          <w:color w:val="000000" w:themeColor="text1"/>
          <w:sz w:val="20"/>
          <w:szCs w:val="20"/>
          <w:lang w:val="es-VE"/>
        </w:rPr>
        <w:t xml:space="preserve"> Urrego</w:t>
      </w:r>
      <w:r w:rsidRPr="009B3BD2">
        <w:rPr>
          <w:rFonts w:ascii="Cambria" w:hAnsi="Cambria"/>
          <w:color w:val="000000" w:themeColor="text1"/>
          <w:sz w:val="20"/>
          <w:szCs w:val="20"/>
          <w:lang w:val="es-VE"/>
        </w:rPr>
        <w:t>. La Comisión formuló las recomendaciones respectivas.</w:t>
      </w:r>
    </w:p>
    <w:p w14:paraId="7C8D06C8" w14:textId="3C2D8428" w:rsidR="0024594D" w:rsidRPr="009B3BD2" w:rsidRDefault="00FB6B56" w:rsidP="00816CF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themeColor="text1"/>
          <w:sz w:val="20"/>
          <w:szCs w:val="20"/>
          <w:lang w:val="es-VE"/>
        </w:rPr>
      </w:pPr>
      <w:r w:rsidRPr="009B3BD2">
        <w:rPr>
          <w:rFonts w:ascii="Cambria" w:hAnsi="Cambria"/>
          <w:color w:val="000000" w:themeColor="text1"/>
          <w:sz w:val="20"/>
          <w:szCs w:val="20"/>
          <w:lang w:val="es-VE"/>
        </w:rPr>
        <w:t xml:space="preserve">  </w:t>
      </w:r>
      <w:bookmarkStart w:id="8" w:name="_Toc370840745"/>
      <w:bookmarkStart w:id="9" w:name="_Toc370840841"/>
    </w:p>
    <w:p w14:paraId="494A2B48" w14:textId="77777777" w:rsidR="00E40449" w:rsidRPr="009B3BD2" w:rsidRDefault="0072115B" w:rsidP="007406C4">
      <w:pPr>
        <w:pStyle w:val="Heading1"/>
        <w:numPr>
          <w:ilvl w:val="0"/>
          <w:numId w:val="54"/>
        </w:numPr>
        <w:tabs>
          <w:tab w:val="clear" w:pos="1440"/>
        </w:tabs>
      </w:pPr>
      <w:bookmarkStart w:id="10" w:name="_Toc497398848"/>
      <w:r w:rsidRPr="009B3BD2">
        <w:t>ALEGATOS DE LAS PARTES</w:t>
      </w:r>
      <w:bookmarkEnd w:id="10"/>
      <w:r w:rsidRPr="009B3BD2">
        <w:t xml:space="preserve"> </w:t>
      </w:r>
      <w:bookmarkEnd w:id="8"/>
      <w:bookmarkEnd w:id="9"/>
    </w:p>
    <w:p w14:paraId="3D6B3B81" w14:textId="77777777" w:rsidR="00E40449" w:rsidRPr="009B3BD2" w:rsidRDefault="00E40449" w:rsidP="00E40449">
      <w:pPr>
        <w:rPr>
          <w:rFonts w:asciiTheme="majorHAnsi" w:hAnsiTheme="majorHAnsi"/>
          <w:sz w:val="20"/>
          <w:szCs w:val="20"/>
          <w:lang w:val="es-CO"/>
        </w:rPr>
      </w:pPr>
    </w:p>
    <w:p w14:paraId="55D68F3D" w14:textId="77777777" w:rsidR="000271BA" w:rsidRPr="009B3BD2" w:rsidRDefault="00EE2F4E" w:rsidP="007406C4">
      <w:pPr>
        <w:pStyle w:val="Heading2"/>
        <w:numPr>
          <w:ilvl w:val="0"/>
          <w:numId w:val="57"/>
        </w:numPr>
      </w:pPr>
      <w:bookmarkStart w:id="11" w:name="_Toc423514408"/>
      <w:bookmarkStart w:id="12" w:name="_Toc433115984"/>
      <w:bookmarkStart w:id="13" w:name="_Toc444958127"/>
      <w:bookmarkStart w:id="14" w:name="_Toc479004112"/>
      <w:bookmarkStart w:id="15" w:name="_Toc497398849"/>
      <w:r w:rsidRPr="009B3BD2">
        <w:t>P</w:t>
      </w:r>
      <w:bookmarkEnd w:id="11"/>
      <w:bookmarkEnd w:id="12"/>
      <w:bookmarkEnd w:id="13"/>
      <w:bookmarkEnd w:id="14"/>
      <w:r w:rsidR="00296006" w:rsidRPr="009B3BD2">
        <w:t>arte peticionaria</w:t>
      </w:r>
      <w:bookmarkEnd w:id="15"/>
    </w:p>
    <w:p w14:paraId="23420D06" w14:textId="77777777" w:rsidR="006D482D" w:rsidRPr="009B3BD2" w:rsidRDefault="006D482D" w:rsidP="006D482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themeColor="text1"/>
          <w:sz w:val="20"/>
          <w:szCs w:val="20"/>
          <w:lang w:val="es-VE"/>
        </w:rPr>
      </w:pPr>
    </w:p>
    <w:p w14:paraId="37FA6E4E" w14:textId="77777777" w:rsidR="006D482D" w:rsidRPr="009B3BD2" w:rsidRDefault="006D482D" w:rsidP="0016105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9B3BD2">
        <w:rPr>
          <w:rFonts w:asciiTheme="majorHAnsi" w:hAnsiTheme="majorHAnsi"/>
          <w:sz w:val="20"/>
          <w:szCs w:val="20"/>
          <w:lang w:val="es-ES"/>
        </w:rPr>
        <w:t xml:space="preserve">La parte peticionaria afirmó a modo de contexto, que Gustavo </w:t>
      </w:r>
      <w:proofErr w:type="spellStart"/>
      <w:r w:rsidRPr="009B3BD2">
        <w:rPr>
          <w:rFonts w:asciiTheme="majorHAnsi" w:hAnsiTheme="majorHAnsi"/>
          <w:sz w:val="20"/>
          <w:szCs w:val="20"/>
          <w:lang w:val="es-ES"/>
        </w:rPr>
        <w:t>Petro</w:t>
      </w:r>
      <w:proofErr w:type="spellEnd"/>
      <w:r w:rsidRPr="009B3BD2">
        <w:rPr>
          <w:rFonts w:asciiTheme="majorHAnsi" w:hAnsiTheme="majorHAnsi"/>
          <w:sz w:val="20"/>
          <w:szCs w:val="20"/>
          <w:lang w:val="es-ES"/>
        </w:rPr>
        <w:t xml:space="preserve">, </w:t>
      </w:r>
      <w:r w:rsidR="0016105F" w:rsidRPr="009B3BD2">
        <w:rPr>
          <w:rFonts w:asciiTheme="majorHAnsi" w:hAnsiTheme="majorHAnsi"/>
          <w:sz w:val="20"/>
          <w:szCs w:val="20"/>
          <w:lang w:val="es-ES"/>
        </w:rPr>
        <w:t>ha tenido una carrera política desde 1981 mediante cargos de representación popular</w:t>
      </w:r>
      <w:r w:rsidR="00F35959" w:rsidRPr="009B3BD2">
        <w:rPr>
          <w:rFonts w:asciiTheme="majorHAnsi" w:hAnsiTheme="majorHAnsi"/>
          <w:sz w:val="20"/>
          <w:szCs w:val="20"/>
          <w:lang w:val="es-ES"/>
        </w:rPr>
        <w:t xml:space="preserve">. </w:t>
      </w:r>
      <w:r w:rsidR="0016105F" w:rsidRPr="009B3BD2">
        <w:rPr>
          <w:rFonts w:asciiTheme="majorHAnsi" w:hAnsiTheme="majorHAnsi"/>
          <w:sz w:val="20"/>
          <w:szCs w:val="20"/>
          <w:lang w:val="es-ES"/>
        </w:rPr>
        <w:t>Indicó</w:t>
      </w:r>
      <w:r w:rsidRPr="009B3BD2">
        <w:rPr>
          <w:rFonts w:asciiTheme="majorHAnsi" w:hAnsiTheme="majorHAnsi"/>
          <w:sz w:val="20"/>
          <w:szCs w:val="20"/>
          <w:lang w:val="es-ES"/>
        </w:rPr>
        <w:t xml:space="preserve"> que se presentó como candidato a la Alcaldía de Bogotá D.C. y que el 30 de octubre de 2011 ganó las elecciones.</w:t>
      </w:r>
    </w:p>
    <w:p w14:paraId="1D6678FC" w14:textId="77777777" w:rsidR="003C6041" w:rsidRPr="009B3BD2" w:rsidRDefault="003C6041" w:rsidP="00CA52D8">
      <w:pPr>
        <w:rPr>
          <w:rFonts w:eastAsia="Calibri"/>
          <w:sz w:val="20"/>
          <w:szCs w:val="20"/>
          <w:bdr w:val="none" w:sz="0" w:space="0" w:color="auto"/>
          <w:lang w:val="es-CO"/>
        </w:rPr>
      </w:pPr>
    </w:p>
    <w:p w14:paraId="7F3C1C6E" w14:textId="242856EF" w:rsidR="003C6041" w:rsidRPr="009B3BD2" w:rsidRDefault="003C6041"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eastAsia="Calibri" w:hAnsi="Cambria"/>
          <w:sz w:val="20"/>
          <w:szCs w:val="20"/>
          <w:bdr w:val="none" w:sz="0" w:space="0" w:color="auto"/>
          <w:lang w:val="es-CO"/>
        </w:rPr>
        <w:t>Refirió que mediante auto 275 de 2011 la Corte Constitucional  declaró el incumplimiento de la dependencia</w:t>
      </w:r>
      <w:r w:rsidR="006F7A92" w:rsidRPr="009B3BD2">
        <w:rPr>
          <w:rFonts w:ascii="Cambria" w:eastAsia="Calibri" w:hAnsi="Cambria"/>
          <w:sz w:val="20"/>
          <w:szCs w:val="20"/>
          <w:bdr w:val="none" w:sz="0" w:space="0" w:color="auto"/>
          <w:lang w:val="es-CO"/>
        </w:rPr>
        <w:t xml:space="preserve"> de la Alcaldía Mayor de Bogotá - </w:t>
      </w:r>
      <w:r w:rsidRPr="009B3BD2">
        <w:rPr>
          <w:rFonts w:ascii="Cambria" w:eastAsia="Calibri" w:hAnsi="Cambria"/>
          <w:sz w:val="20"/>
          <w:szCs w:val="20"/>
          <w:bdr w:val="none" w:sz="0" w:space="0" w:color="auto"/>
          <w:lang w:val="es-CO"/>
        </w:rPr>
        <w:t xml:space="preserve">Unidad Administrativa Especial de Servicios Públicos (UAESP), de las órdenes proferidas en la sentencia T-724 de 2003 y los criterios generales fijados en el auto 268 de </w:t>
      </w:r>
      <w:r w:rsidR="00FE1849" w:rsidRPr="009B3BD2">
        <w:rPr>
          <w:rFonts w:ascii="Cambria" w:eastAsia="Calibri" w:hAnsi="Cambria"/>
          <w:sz w:val="20"/>
          <w:szCs w:val="20"/>
          <w:bdr w:val="none" w:sz="0" w:space="0" w:color="auto"/>
          <w:lang w:val="es-CO"/>
        </w:rPr>
        <w:t xml:space="preserve">2010 referidos a la obligación </w:t>
      </w:r>
      <w:r w:rsidRPr="009B3BD2">
        <w:rPr>
          <w:rFonts w:ascii="Cambria" w:eastAsia="Calibri" w:hAnsi="Cambria"/>
          <w:sz w:val="20"/>
          <w:szCs w:val="20"/>
          <w:bdr w:val="none" w:sz="0" w:space="0" w:color="auto"/>
          <w:lang w:val="es-CO"/>
        </w:rPr>
        <w:t>de la UAESP de definir un esquema de metas de corto plazo destinado a la formalización y regulación de la población recicladora de Bogotá.</w:t>
      </w:r>
    </w:p>
    <w:p w14:paraId="401BB3B4" w14:textId="77777777" w:rsidR="003C6041" w:rsidRPr="009B3BD2" w:rsidRDefault="003C6041" w:rsidP="003C6041">
      <w:pPr>
        <w:pStyle w:val="ListParagraph"/>
        <w:rPr>
          <w:rFonts w:eastAsia="Calibri"/>
          <w:sz w:val="20"/>
          <w:szCs w:val="20"/>
          <w:bdr w:val="none" w:sz="0" w:space="0" w:color="auto"/>
          <w:lang w:val="es-CO"/>
        </w:rPr>
      </w:pPr>
    </w:p>
    <w:p w14:paraId="01C9D118" w14:textId="77777777" w:rsidR="0016105F" w:rsidRPr="009B3BD2" w:rsidRDefault="003C6041"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eastAsia="Calibri" w:hAnsi="Cambria"/>
          <w:sz w:val="20"/>
          <w:szCs w:val="20"/>
          <w:bdr w:val="none" w:sz="0" w:space="0" w:color="auto"/>
          <w:lang w:val="es-CO"/>
        </w:rPr>
        <w:t>Indicó que con el objeto de cumplir con la orden anterior, la Alcaldía Mayor de Bogotá constituyó una empresa pública para asumir la prestación del servicio de aseo a partir del 18 de noviembre de 2012, fecha en la que finalizaba la concesión de este servicio público a favor de los operadores privados.  Argumentó que est</w:t>
      </w:r>
      <w:r w:rsidR="0016105F" w:rsidRPr="009B3BD2">
        <w:rPr>
          <w:rFonts w:ascii="Cambria" w:eastAsia="Calibri" w:hAnsi="Cambria"/>
          <w:sz w:val="20"/>
          <w:szCs w:val="20"/>
          <w:bdr w:val="none" w:sz="0" w:space="0" w:color="auto"/>
          <w:lang w:val="es-CO"/>
        </w:rPr>
        <w:t xml:space="preserve">e cambio tenía la intención de incluir a la comunidad recicladora en la prestación del servicio público de aseo, la cual ha sido históricamente discriminada. </w:t>
      </w:r>
    </w:p>
    <w:p w14:paraId="36672AE2" w14:textId="77777777" w:rsidR="003C6041" w:rsidRPr="009B3BD2" w:rsidRDefault="003C6041" w:rsidP="0016105F">
      <w:pPr>
        <w:rPr>
          <w:rFonts w:eastAsia="Calibri"/>
          <w:sz w:val="20"/>
          <w:szCs w:val="20"/>
          <w:bdr w:val="none" w:sz="0" w:space="0" w:color="auto"/>
          <w:lang w:val="es-CO"/>
        </w:rPr>
      </w:pPr>
    </w:p>
    <w:p w14:paraId="2EE4FD8A" w14:textId="77777777" w:rsidR="003C6041" w:rsidRPr="009B3BD2" w:rsidRDefault="003C6041"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eastAsia="Calibri" w:hAnsi="Cambria"/>
          <w:sz w:val="20"/>
          <w:szCs w:val="20"/>
          <w:bdr w:val="none" w:sz="0" w:space="0" w:color="auto"/>
          <w:lang w:val="es-CO"/>
        </w:rPr>
        <w:t>Expresó que a mediados de diciembre de 2012 se produjo un colapso en la recolección de basuras</w:t>
      </w:r>
      <w:r w:rsidR="00CA52D8" w:rsidRPr="009B3BD2">
        <w:rPr>
          <w:rFonts w:ascii="Cambria" w:eastAsia="Calibri" w:hAnsi="Cambria"/>
          <w:sz w:val="20"/>
          <w:szCs w:val="20"/>
          <w:bdr w:val="none" w:sz="0" w:space="0" w:color="auto"/>
          <w:lang w:val="es-CO"/>
        </w:rPr>
        <w:t>,</w:t>
      </w:r>
      <w:r w:rsidRPr="009B3BD2">
        <w:rPr>
          <w:rFonts w:ascii="Cambria" w:eastAsia="Calibri" w:hAnsi="Cambria"/>
          <w:sz w:val="20"/>
          <w:szCs w:val="20"/>
          <w:bdr w:val="none" w:sz="0" w:space="0" w:color="auto"/>
          <w:lang w:val="es-CO"/>
        </w:rPr>
        <w:t xml:space="preserve"> en el tránsito entre el esquema público y privado. Indicó que dicho colapso se dio luego que los operadores privados que prestaban el servicio se negaron a retornar los vehículos compactadores y otros equipos técnicos pese a que era su obligación según los términos del contrato de concesión. </w:t>
      </w:r>
    </w:p>
    <w:p w14:paraId="21DF7505" w14:textId="77777777" w:rsidR="003C6041" w:rsidRPr="009B3BD2" w:rsidRDefault="003C6041" w:rsidP="003C6041">
      <w:pPr>
        <w:pStyle w:val="ListParagraph"/>
        <w:rPr>
          <w:rFonts w:eastAsia="Calibri"/>
          <w:sz w:val="20"/>
          <w:szCs w:val="20"/>
          <w:bdr w:val="none" w:sz="0" w:space="0" w:color="auto"/>
          <w:lang w:val="es-CO"/>
        </w:rPr>
      </w:pPr>
    </w:p>
    <w:p w14:paraId="14990B26" w14:textId="77777777" w:rsidR="003C6041" w:rsidRPr="009B3BD2" w:rsidRDefault="003C6041"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eastAsia="Calibri" w:hAnsi="Cambria"/>
          <w:sz w:val="20"/>
          <w:szCs w:val="20"/>
          <w:bdr w:val="none" w:sz="0" w:space="0" w:color="auto"/>
          <w:lang w:val="es-CO"/>
        </w:rPr>
        <w:t>Indicó que en razón de lo anterior, se iniciaron investigaciones penales y disciplinari</w:t>
      </w:r>
      <w:r w:rsidR="00595F63" w:rsidRPr="009B3BD2">
        <w:rPr>
          <w:rFonts w:ascii="Cambria" w:eastAsia="Calibri" w:hAnsi="Cambria"/>
          <w:sz w:val="20"/>
          <w:szCs w:val="20"/>
          <w:bdr w:val="none" w:sz="0" w:space="0" w:color="auto"/>
          <w:lang w:val="es-CO"/>
        </w:rPr>
        <w:t xml:space="preserve">as contra la presunta víctima. </w:t>
      </w:r>
      <w:r w:rsidRPr="009B3BD2">
        <w:rPr>
          <w:rFonts w:ascii="Cambria" w:eastAsia="Calibri" w:hAnsi="Cambria"/>
          <w:sz w:val="20"/>
          <w:szCs w:val="20"/>
          <w:bdr w:val="none" w:sz="0" w:space="0" w:color="auto"/>
          <w:lang w:val="es-CO"/>
        </w:rPr>
        <w:t xml:space="preserve">En cuanto al proceso penal, manifestó que el 21 de noviembre de 2014 se hizo público que la Fiscalía archivaría la investigación penal por falta de mérito.   </w:t>
      </w:r>
    </w:p>
    <w:p w14:paraId="4E4D6B79" w14:textId="77777777" w:rsidR="003C6041" w:rsidRPr="009B3BD2" w:rsidRDefault="003C6041" w:rsidP="003C6041">
      <w:pPr>
        <w:pStyle w:val="ListParagraph"/>
        <w:rPr>
          <w:rFonts w:eastAsia="Calibri"/>
          <w:sz w:val="20"/>
          <w:szCs w:val="20"/>
          <w:bdr w:val="none" w:sz="0" w:space="0" w:color="auto"/>
          <w:lang w:val="es-CO"/>
        </w:rPr>
      </w:pPr>
    </w:p>
    <w:p w14:paraId="0B20E36B" w14:textId="77777777" w:rsidR="003073C3" w:rsidRPr="009B3BD2" w:rsidRDefault="003C6041"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eastAsia="Calibri" w:hAnsi="Cambria"/>
          <w:sz w:val="20"/>
          <w:szCs w:val="20"/>
          <w:bdr w:val="none" w:sz="0" w:space="0" w:color="auto"/>
          <w:lang w:val="es-CO"/>
        </w:rPr>
        <w:t>Con respecto al proceso disciplinario, indicó que el 16 de enero de 2013 la Sala Disciplinaria de la Procuraduría General de la Nación emitió un auto de apertura de investigación disciplinaria</w:t>
      </w:r>
      <w:r w:rsidR="003073C3" w:rsidRPr="009B3BD2">
        <w:rPr>
          <w:rFonts w:ascii="Cambria" w:eastAsia="Calibri" w:hAnsi="Cambria"/>
          <w:sz w:val="20"/>
          <w:szCs w:val="20"/>
          <w:bdr w:val="none" w:sz="0" w:space="0" w:color="auto"/>
          <w:lang w:val="es-CO"/>
        </w:rPr>
        <w:t xml:space="preserve"> contra la presunta víctima por tres </w:t>
      </w:r>
      <w:r w:rsidRPr="009B3BD2">
        <w:rPr>
          <w:rFonts w:ascii="Cambria" w:eastAsia="Calibri" w:hAnsi="Cambria"/>
          <w:sz w:val="20"/>
          <w:szCs w:val="20"/>
          <w:bdr w:val="none" w:sz="0" w:space="0" w:color="auto"/>
          <w:lang w:val="es-CO"/>
        </w:rPr>
        <w:t>faltas al</w:t>
      </w:r>
      <w:r w:rsidR="001654DC" w:rsidRPr="009B3BD2">
        <w:rPr>
          <w:rFonts w:ascii="Cambria" w:eastAsia="Calibri" w:hAnsi="Cambria"/>
          <w:sz w:val="20"/>
          <w:szCs w:val="20"/>
          <w:bdr w:val="none" w:sz="0" w:space="0" w:color="auto"/>
          <w:lang w:val="es-CO"/>
        </w:rPr>
        <w:t xml:space="preserve"> Código Disciplinario Único</w:t>
      </w:r>
      <w:r w:rsidR="003073C3" w:rsidRPr="009B3BD2">
        <w:rPr>
          <w:rFonts w:ascii="Cambria" w:eastAsia="Calibri" w:hAnsi="Cambria"/>
          <w:sz w:val="20"/>
          <w:szCs w:val="20"/>
          <w:bdr w:val="none" w:sz="0" w:space="0" w:color="auto"/>
          <w:lang w:val="es-CO"/>
        </w:rPr>
        <w:t>.</w:t>
      </w:r>
      <w:r w:rsidR="001654DC" w:rsidRPr="009B3BD2">
        <w:rPr>
          <w:rFonts w:ascii="Cambria" w:eastAsia="Calibri" w:hAnsi="Cambria"/>
          <w:sz w:val="20"/>
          <w:szCs w:val="20"/>
          <w:bdr w:val="none" w:sz="0" w:space="0" w:color="auto"/>
          <w:lang w:val="es-CO"/>
        </w:rPr>
        <w:t xml:space="preserve"> </w:t>
      </w:r>
    </w:p>
    <w:p w14:paraId="07C126EA" w14:textId="77777777" w:rsidR="003C6041" w:rsidRPr="009B3BD2" w:rsidRDefault="003C6041" w:rsidP="002B27A5">
      <w:pPr>
        <w:rPr>
          <w:rFonts w:eastAsia="Calibri"/>
          <w:sz w:val="20"/>
          <w:szCs w:val="20"/>
          <w:bdr w:val="none" w:sz="0" w:space="0" w:color="auto"/>
          <w:lang w:val="es-CO"/>
        </w:rPr>
      </w:pPr>
    </w:p>
    <w:p w14:paraId="17FE847A" w14:textId="177A30C0" w:rsidR="00EE57CE" w:rsidRPr="009B3BD2" w:rsidRDefault="00F25A1F"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Calibri" w:hAnsiTheme="majorHAnsi"/>
          <w:sz w:val="20"/>
          <w:szCs w:val="20"/>
          <w:bdr w:val="none" w:sz="0" w:space="0" w:color="auto"/>
          <w:lang w:val="es-VE"/>
        </w:rPr>
      </w:pPr>
      <w:r>
        <w:rPr>
          <w:rFonts w:asciiTheme="majorHAnsi" w:eastAsia="Calibri" w:hAnsiTheme="majorHAnsi"/>
          <w:sz w:val="20"/>
          <w:szCs w:val="20"/>
          <w:bdr w:val="none" w:sz="0" w:space="0" w:color="auto"/>
          <w:lang w:val="es-CO"/>
        </w:rPr>
        <w:t xml:space="preserve">Expresó </w:t>
      </w:r>
      <w:r w:rsidR="003C6041" w:rsidRPr="009B3BD2">
        <w:rPr>
          <w:rFonts w:asciiTheme="majorHAnsi" w:eastAsia="Calibri" w:hAnsiTheme="majorHAnsi"/>
          <w:sz w:val="20"/>
          <w:szCs w:val="20"/>
          <w:bdr w:val="none" w:sz="0" w:space="0" w:color="auto"/>
          <w:lang w:val="es-CO"/>
        </w:rPr>
        <w:t>que el 9 de diciembre de 2013 la Procuraduría declaró responsable disciplinariamente a la presunta víct</w:t>
      </w:r>
      <w:r w:rsidR="003073C3" w:rsidRPr="009B3BD2">
        <w:rPr>
          <w:rFonts w:asciiTheme="majorHAnsi" w:eastAsia="Calibri" w:hAnsiTheme="majorHAnsi"/>
          <w:sz w:val="20"/>
          <w:szCs w:val="20"/>
          <w:bdr w:val="none" w:sz="0" w:space="0" w:color="auto"/>
          <w:lang w:val="es-CO"/>
        </w:rPr>
        <w:t xml:space="preserve">ima </w:t>
      </w:r>
      <w:r w:rsidR="00EE57CE" w:rsidRPr="009B3BD2">
        <w:rPr>
          <w:rFonts w:asciiTheme="majorHAnsi" w:eastAsia="Calibri" w:hAnsiTheme="majorHAnsi"/>
          <w:sz w:val="20"/>
          <w:szCs w:val="20"/>
          <w:bdr w:val="none" w:sz="0" w:space="0" w:color="auto"/>
          <w:lang w:val="es-CO"/>
        </w:rPr>
        <w:t xml:space="preserve">por incurrir en las faltas gravísimas contenidas en los numerales 31, 37 y 60 del artículo 48 del Código Disciplinario Único y le </w:t>
      </w:r>
      <w:r w:rsidR="002C1C42" w:rsidRPr="009B3BD2">
        <w:rPr>
          <w:rFonts w:asciiTheme="majorHAnsi" w:eastAsia="Calibri" w:hAnsiTheme="majorHAnsi"/>
          <w:sz w:val="20"/>
          <w:szCs w:val="20"/>
          <w:bdr w:val="none" w:sz="0" w:space="0" w:color="auto"/>
          <w:lang w:val="es-VE"/>
        </w:rPr>
        <w:t xml:space="preserve">impuso </w:t>
      </w:r>
      <w:r w:rsidR="00EE57CE" w:rsidRPr="009B3BD2">
        <w:rPr>
          <w:rFonts w:asciiTheme="majorHAnsi" w:eastAsia="Calibri" w:hAnsiTheme="majorHAnsi"/>
          <w:sz w:val="20"/>
          <w:szCs w:val="20"/>
          <w:bdr w:val="none" w:sz="0" w:space="0" w:color="auto"/>
          <w:lang w:val="es-VE"/>
        </w:rPr>
        <w:t>la sanción de destitución así como inhabilitación general por el término de 15 años.</w:t>
      </w:r>
    </w:p>
    <w:p w14:paraId="1A2CE8E8" w14:textId="77777777" w:rsidR="00EE57CE" w:rsidRPr="009B3BD2" w:rsidRDefault="00EE57CE" w:rsidP="002B27A5">
      <w:pPr>
        <w:pStyle w:val="ListParagraph"/>
        <w:rPr>
          <w:rFonts w:eastAsia="Calibri"/>
          <w:sz w:val="20"/>
          <w:szCs w:val="20"/>
          <w:bdr w:val="none" w:sz="0" w:space="0" w:color="auto"/>
          <w:lang w:val="es-CO"/>
        </w:rPr>
      </w:pPr>
    </w:p>
    <w:p w14:paraId="47EFC2AE" w14:textId="6FCA5F51" w:rsidR="002F1330" w:rsidRPr="009B3BD2" w:rsidRDefault="003C6041" w:rsidP="002F133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eastAsia="Calibri" w:hAnsi="Cambria"/>
          <w:sz w:val="20"/>
          <w:szCs w:val="20"/>
          <w:bdr w:val="none" w:sz="0" w:space="0" w:color="auto"/>
          <w:lang w:val="es-CO"/>
        </w:rPr>
        <w:t>Indicó que contra dicha decisión la presunta víctima interpuso un recurso de reposición, el cual f</w:t>
      </w:r>
      <w:r w:rsidR="00C53261" w:rsidRPr="009B3BD2">
        <w:rPr>
          <w:rFonts w:ascii="Cambria" w:eastAsia="Calibri" w:hAnsi="Cambria"/>
          <w:sz w:val="20"/>
          <w:szCs w:val="20"/>
          <w:bdr w:val="none" w:sz="0" w:space="0" w:color="auto"/>
          <w:lang w:val="es-CO"/>
        </w:rPr>
        <w:t>u</w:t>
      </w:r>
      <w:r w:rsidRPr="009B3BD2">
        <w:rPr>
          <w:rFonts w:ascii="Cambria" w:eastAsia="Calibri" w:hAnsi="Cambria"/>
          <w:sz w:val="20"/>
          <w:szCs w:val="20"/>
          <w:bdr w:val="none" w:sz="0" w:space="0" w:color="auto"/>
          <w:lang w:val="es-CO"/>
        </w:rPr>
        <w:t xml:space="preserve">e resuelto negativamente el 13 de enero de 2014 confirmándose la decisión anterior. </w:t>
      </w:r>
    </w:p>
    <w:p w14:paraId="540C621B" w14:textId="77777777" w:rsidR="002F1330" w:rsidRPr="009B3BD2" w:rsidRDefault="002F1330" w:rsidP="002F1330">
      <w:pPr>
        <w:pStyle w:val="ListParagraph"/>
        <w:rPr>
          <w:color w:val="000000" w:themeColor="text1"/>
          <w:sz w:val="20"/>
          <w:szCs w:val="20"/>
          <w:lang w:val="es-VE"/>
        </w:rPr>
      </w:pPr>
    </w:p>
    <w:p w14:paraId="7A1C77ED" w14:textId="705AAEE9" w:rsidR="002F1330" w:rsidRPr="009B3BD2" w:rsidRDefault="002F1330" w:rsidP="002F133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hAnsi="Cambria"/>
          <w:color w:val="000000" w:themeColor="text1"/>
          <w:sz w:val="20"/>
          <w:szCs w:val="20"/>
          <w:lang w:val="es-VE"/>
        </w:rPr>
        <w:t>Refirió que el 28 de marzo de 2014</w:t>
      </w:r>
      <w:r w:rsidR="00994F6B" w:rsidRPr="009B3BD2">
        <w:rPr>
          <w:rFonts w:ascii="Cambria" w:hAnsi="Cambria"/>
          <w:color w:val="000000" w:themeColor="text1"/>
          <w:sz w:val="20"/>
          <w:szCs w:val="20"/>
          <w:lang w:val="es-VE"/>
        </w:rPr>
        <w:t xml:space="preserve"> </w:t>
      </w:r>
      <w:r w:rsidRPr="009B3BD2">
        <w:rPr>
          <w:rFonts w:ascii="Cambria" w:hAnsi="Cambria"/>
          <w:color w:val="000000" w:themeColor="text1"/>
          <w:sz w:val="20"/>
          <w:szCs w:val="20"/>
          <w:lang w:val="es-VE"/>
        </w:rPr>
        <w:t xml:space="preserve">presentó una demanda de nulidad y restablecimiento del derecho en contra de las decisiones de 9 de diciembre de 2013 y 13 de enero de 2014 </w:t>
      </w:r>
      <w:r w:rsidR="00994F6B" w:rsidRPr="009B3BD2">
        <w:rPr>
          <w:rFonts w:ascii="Cambria" w:hAnsi="Cambria"/>
          <w:color w:val="000000" w:themeColor="text1"/>
          <w:sz w:val="20"/>
          <w:szCs w:val="20"/>
          <w:lang w:val="es-VE"/>
        </w:rPr>
        <w:t xml:space="preserve"> y que el 13 de mayo de 2014 el Consejo de Estado decretó la suspensión p</w:t>
      </w:r>
      <w:r w:rsidR="00A14B6C" w:rsidRPr="009B3BD2">
        <w:rPr>
          <w:rFonts w:ascii="Cambria" w:hAnsi="Cambria"/>
          <w:color w:val="000000" w:themeColor="text1"/>
          <w:sz w:val="20"/>
          <w:szCs w:val="20"/>
          <w:lang w:val="es-VE"/>
        </w:rPr>
        <w:t xml:space="preserve">rovisional de ambas decisiones hasta que se pronunciare sobre el fondo del asunto. </w:t>
      </w:r>
    </w:p>
    <w:p w14:paraId="3131C24C" w14:textId="77777777" w:rsidR="00180300" w:rsidRPr="009B3BD2" w:rsidRDefault="00180300" w:rsidP="0018030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themeColor="text1"/>
          <w:sz w:val="20"/>
          <w:szCs w:val="20"/>
          <w:lang w:val="es-VE"/>
        </w:rPr>
      </w:pPr>
    </w:p>
    <w:p w14:paraId="5CF7B98C" w14:textId="77777777" w:rsidR="00B84675" w:rsidRPr="009B3BD2" w:rsidRDefault="003C6041" w:rsidP="00B8467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eastAsia="Calibri" w:hAnsi="Cambria"/>
          <w:sz w:val="20"/>
          <w:szCs w:val="20"/>
          <w:bdr w:val="none" w:sz="0" w:space="0" w:color="auto"/>
          <w:lang w:val="es-CO"/>
        </w:rPr>
        <w:lastRenderedPageBreak/>
        <w:t>Refirió que el 27 de junio de 2016 la Procuraduría General de la Nación profirió una segunda sanción en contra de la presunta víctima consistente en la suspensión e inhabilitación por 12 meses por supuestas irregularidades cometidas en la expedición del decreto del Plan de Ordenamiento Territorial. Indicó que según la Procuraduría, utilizó una vía inadecuada para aprobar dicho plan haciendo caso omiso que las normas vigentes confieren a los concejos municipales y distritales la competencia para la reglamentación del uso del suelo.</w:t>
      </w:r>
    </w:p>
    <w:p w14:paraId="22776E87" w14:textId="77777777" w:rsidR="00841CE4" w:rsidRPr="009B3BD2" w:rsidRDefault="00841CE4" w:rsidP="00841C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themeColor="text1"/>
          <w:sz w:val="20"/>
          <w:szCs w:val="20"/>
          <w:lang w:val="es-VE"/>
        </w:rPr>
      </w:pPr>
    </w:p>
    <w:p w14:paraId="5AD7E6EA" w14:textId="2A30DC99" w:rsidR="006C0364" w:rsidRPr="009B3BD2" w:rsidRDefault="003C6041"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eastAsia="Calibri" w:hAnsi="Cambria"/>
          <w:sz w:val="20"/>
          <w:szCs w:val="20"/>
          <w:bdr w:val="none" w:sz="0" w:space="0" w:color="auto"/>
          <w:lang w:val="es-CO"/>
        </w:rPr>
        <w:t xml:space="preserve">Por otra parte, indicó que el 27 de junio de 2016 la Directora </w:t>
      </w:r>
      <w:r w:rsidR="00A14B6C" w:rsidRPr="009B3BD2">
        <w:rPr>
          <w:rFonts w:ascii="Cambria" w:eastAsia="Calibri" w:hAnsi="Cambria"/>
          <w:sz w:val="20"/>
          <w:szCs w:val="20"/>
          <w:bdr w:val="none" w:sz="0" w:space="0" w:color="auto"/>
          <w:lang w:val="es-CO"/>
        </w:rPr>
        <w:t xml:space="preserve">de </w:t>
      </w:r>
      <w:r w:rsidRPr="009B3BD2">
        <w:rPr>
          <w:rFonts w:ascii="Cambria" w:eastAsia="Calibri" w:hAnsi="Cambria"/>
          <w:sz w:val="20"/>
          <w:szCs w:val="20"/>
          <w:bdr w:val="none" w:sz="0" w:space="0" w:color="auto"/>
          <w:lang w:val="es-CO"/>
        </w:rPr>
        <w:t>Responsabilidad Fiscal y Jurisdicción Coactiva de la Contraloría de Bogotá D.C., dictó el auto 01, mediante el cual resolvió fallar con responsabilidad fiscal en contra de la presunta víctima y otras personas “por las tarifas del servicio de transporte público Transmilenio S.A.” y le impuso la multa de $ 217.204.857.989 (USD 71.677.603,1)</w:t>
      </w:r>
      <w:r w:rsidR="0016105F" w:rsidRPr="009B3BD2">
        <w:rPr>
          <w:rFonts w:ascii="Cambria" w:eastAsia="Calibri" w:hAnsi="Cambria"/>
          <w:sz w:val="20"/>
          <w:szCs w:val="20"/>
          <w:bdr w:val="none" w:sz="0" w:space="0" w:color="auto"/>
          <w:lang w:val="es-CO"/>
        </w:rPr>
        <w:t>.</w:t>
      </w:r>
      <w:r w:rsidR="00BA24A2" w:rsidRPr="009B3BD2">
        <w:rPr>
          <w:rFonts w:ascii="Cambria" w:eastAsia="Calibri" w:hAnsi="Cambria"/>
          <w:sz w:val="20"/>
          <w:szCs w:val="20"/>
          <w:bdr w:val="none" w:sz="0" w:space="0" w:color="auto"/>
          <w:lang w:val="es-CO"/>
        </w:rPr>
        <w:t xml:space="preserve"> Indicó que tal multa fue consecuencia de que redujo los precios de la tarifa del Transmilenio.</w:t>
      </w:r>
    </w:p>
    <w:p w14:paraId="2A09B752" w14:textId="77777777" w:rsidR="00BA24A2" w:rsidRPr="009B3BD2" w:rsidRDefault="00BA24A2" w:rsidP="00BA24A2">
      <w:pPr>
        <w:rPr>
          <w:rFonts w:eastAsia="Calibri"/>
          <w:sz w:val="20"/>
          <w:szCs w:val="20"/>
          <w:bdr w:val="none" w:sz="0" w:space="0" w:color="auto"/>
          <w:lang w:val="es-CO"/>
        </w:rPr>
      </w:pPr>
    </w:p>
    <w:p w14:paraId="6E1566CC" w14:textId="3AC17101" w:rsidR="006C0364" w:rsidRPr="009B3BD2" w:rsidRDefault="003C6041"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eastAsia="Calibri" w:hAnsi="Cambria"/>
          <w:sz w:val="20"/>
          <w:szCs w:val="20"/>
          <w:bdr w:val="none" w:sz="0" w:space="0" w:color="auto"/>
          <w:lang w:val="es-CO"/>
        </w:rPr>
        <w:t>Refirió que el 15 y 16 de julio de 2016 presentó recursos de nulidades en co</w:t>
      </w:r>
      <w:r w:rsidR="00391735">
        <w:rPr>
          <w:rFonts w:ascii="Cambria" w:eastAsia="Calibri" w:hAnsi="Cambria"/>
          <w:sz w:val="20"/>
          <w:szCs w:val="20"/>
          <w:bdr w:val="none" w:sz="0" w:space="0" w:color="auto"/>
          <w:lang w:val="es-CO"/>
        </w:rPr>
        <w:t>ntra de la decisión anterior, los cuales fueron denegado</w:t>
      </w:r>
      <w:r w:rsidRPr="009B3BD2">
        <w:rPr>
          <w:rFonts w:ascii="Cambria" w:eastAsia="Calibri" w:hAnsi="Cambria"/>
          <w:sz w:val="20"/>
          <w:szCs w:val="20"/>
          <w:bdr w:val="none" w:sz="0" w:space="0" w:color="auto"/>
          <w:lang w:val="es-CO"/>
        </w:rPr>
        <w:t xml:space="preserve">s el 25 de julio de 2016. Expresó que presentó una nueva nulidad el 27 de julio de 2016 la cual se denegó el 3 de agosto del mismo año. </w:t>
      </w:r>
    </w:p>
    <w:p w14:paraId="4615A0B0" w14:textId="77777777" w:rsidR="006C0364" w:rsidRPr="009B3BD2" w:rsidRDefault="006C0364" w:rsidP="006C0364">
      <w:pPr>
        <w:pStyle w:val="ListParagraph"/>
        <w:rPr>
          <w:rFonts w:eastAsia="Calibri"/>
          <w:sz w:val="20"/>
          <w:szCs w:val="20"/>
          <w:bdr w:val="none" w:sz="0" w:space="0" w:color="auto"/>
          <w:lang w:val="es-CO"/>
        </w:rPr>
      </w:pPr>
    </w:p>
    <w:p w14:paraId="46C24E16" w14:textId="77777777" w:rsidR="006C0364" w:rsidRPr="009B3BD2" w:rsidRDefault="003C6041"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eastAsia="Calibri" w:hAnsi="Cambria"/>
          <w:sz w:val="20"/>
          <w:szCs w:val="20"/>
          <w:bdr w:val="none" w:sz="0" w:space="0" w:color="auto"/>
          <w:lang w:val="es-CO"/>
        </w:rPr>
        <w:t>Indicó que con posterioridad presentó recursos de reposición, los cuales fueron denegados el 27 de octubre de 2016. Asimismo presentó recursos de apelación, los cuales fueron resueltos negativamente el 29 de noviembre de 2016.</w:t>
      </w:r>
    </w:p>
    <w:p w14:paraId="273A8D24" w14:textId="77777777" w:rsidR="002F1330" w:rsidRPr="009B3BD2" w:rsidRDefault="002F1330" w:rsidP="002F1330">
      <w:pPr>
        <w:pStyle w:val="ListParagraph"/>
        <w:rPr>
          <w:color w:val="000000" w:themeColor="text1"/>
          <w:sz w:val="20"/>
          <w:szCs w:val="20"/>
          <w:lang w:val="es-VE"/>
        </w:rPr>
      </w:pPr>
    </w:p>
    <w:p w14:paraId="0C456E2E" w14:textId="77777777" w:rsidR="0017228B" w:rsidRPr="009B3BD2" w:rsidRDefault="0017228B"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hAnsi="Cambria"/>
          <w:color w:val="000000" w:themeColor="text1"/>
          <w:sz w:val="20"/>
          <w:szCs w:val="20"/>
          <w:lang w:val="es-VE"/>
        </w:rPr>
        <w:t xml:space="preserve">La parte peticionaria indicó que las sanciones impuestas a la presunta víctima le impedirían aspirar al cargo público de Presidente de la República en las elecciones que se llevarán a cabo el 27 de mayo de 2018, pese a que cuenta con </w:t>
      </w:r>
      <w:r w:rsidR="00C2104C" w:rsidRPr="009B3BD2">
        <w:rPr>
          <w:rFonts w:ascii="Cambria" w:hAnsi="Cambria"/>
          <w:color w:val="000000" w:themeColor="text1"/>
          <w:sz w:val="20"/>
          <w:szCs w:val="20"/>
          <w:lang w:val="es-VE"/>
        </w:rPr>
        <w:t xml:space="preserve">mucho </w:t>
      </w:r>
      <w:r w:rsidRPr="009B3BD2">
        <w:rPr>
          <w:rFonts w:ascii="Cambria" w:hAnsi="Cambria"/>
          <w:color w:val="000000" w:themeColor="text1"/>
          <w:sz w:val="20"/>
          <w:szCs w:val="20"/>
          <w:lang w:val="es-VE"/>
        </w:rPr>
        <w:t>apoyo popular según las encuestas.</w:t>
      </w:r>
    </w:p>
    <w:p w14:paraId="5EA094DB" w14:textId="77777777" w:rsidR="0017228B" w:rsidRPr="009B3BD2" w:rsidRDefault="0017228B" w:rsidP="0017228B">
      <w:pPr>
        <w:pStyle w:val="ListParagraph"/>
        <w:rPr>
          <w:sz w:val="20"/>
          <w:szCs w:val="20"/>
          <w:lang w:val="es-ES_tradnl"/>
        </w:rPr>
      </w:pPr>
    </w:p>
    <w:p w14:paraId="517B6D99" w14:textId="0D3073D2" w:rsidR="006C0364" w:rsidRPr="009B3BD2" w:rsidRDefault="003C6041"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hAnsi="Cambria"/>
          <w:sz w:val="20"/>
          <w:szCs w:val="20"/>
          <w:lang w:val="es-ES_tradnl"/>
        </w:rPr>
        <w:t>El detalle sobre los hechos y procesos será referido en el análisis fáctico de la Comisión, sobre la base de la información aportada por ambas partes. En esta sección se efectúa un resumen de los principales alega</w:t>
      </w:r>
      <w:r w:rsidR="00520230" w:rsidRPr="009B3BD2">
        <w:rPr>
          <w:rFonts w:ascii="Cambria" w:hAnsi="Cambria"/>
          <w:sz w:val="20"/>
          <w:szCs w:val="20"/>
          <w:lang w:val="es-ES_tradnl"/>
        </w:rPr>
        <w:t>tos jurídicos planteados por la parte</w:t>
      </w:r>
      <w:r w:rsidRPr="009B3BD2">
        <w:rPr>
          <w:rFonts w:ascii="Cambria" w:hAnsi="Cambria"/>
          <w:sz w:val="20"/>
          <w:szCs w:val="20"/>
          <w:lang w:val="es-ES_tradnl"/>
        </w:rPr>
        <w:t xml:space="preserve"> peticionari</w:t>
      </w:r>
      <w:r w:rsidR="00520230" w:rsidRPr="009B3BD2">
        <w:rPr>
          <w:rFonts w:ascii="Cambria" w:hAnsi="Cambria"/>
          <w:sz w:val="20"/>
          <w:szCs w:val="20"/>
          <w:lang w:val="es-ES_tradnl"/>
        </w:rPr>
        <w:t>a</w:t>
      </w:r>
      <w:r w:rsidRPr="009B3BD2">
        <w:rPr>
          <w:rFonts w:ascii="Cambria" w:hAnsi="Cambria"/>
          <w:sz w:val="20"/>
          <w:szCs w:val="20"/>
          <w:lang w:val="es-ES_tradnl"/>
        </w:rPr>
        <w:t xml:space="preserve"> durante la etapa de fondo.  </w:t>
      </w:r>
    </w:p>
    <w:p w14:paraId="072870D6" w14:textId="77777777" w:rsidR="006C0364" w:rsidRPr="009B3BD2" w:rsidRDefault="006C0364" w:rsidP="006C0364">
      <w:pPr>
        <w:pStyle w:val="ListParagraph"/>
        <w:rPr>
          <w:rFonts w:eastAsia="Calibri"/>
          <w:sz w:val="20"/>
          <w:szCs w:val="20"/>
          <w:bdr w:val="none" w:sz="0" w:space="0" w:color="auto"/>
          <w:lang w:val="es-CO"/>
        </w:rPr>
      </w:pPr>
    </w:p>
    <w:p w14:paraId="357D6496" w14:textId="319AE4DE" w:rsidR="003126A0" w:rsidRPr="009B3BD2" w:rsidRDefault="003C6041"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eastAsia="Calibri" w:hAnsi="Cambria"/>
          <w:sz w:val="20"/>
          <w:szCs w:val="20"/>
          <w:bdr w:val="none" w:sz="0" w:space="0" w:color="auto"/>
          <w:lang w:val="es-CO"/>
        </w:rPr>
        <w:t xml:space="preserve">La parte peticionaria argumentó que el Estado violó los </w:t>
      </w:r>
      <w:r w:rsidRPr="009B3BD2">
        <w:rPr>
          <w:rFonts w:ascii="Cambria" w:eastAsia="Calibri" w:hAnsi="Cambria"/>
          <w:b/>
          <w:sz w:val="20"/>
          <w:szCs w:val="20"/>
          <w:bdr w:val="none" w:sz="0" w:space="0" w:color="auto"/>
          <w:lang w:val="es-CO"/>
        </w:rPr>
        <w:t>derechos políticos</w:t>
      </w:r>
      <w:r w:rsidRPr="009B3BD2">
        <w:rPr>
          <w:rFonts w:ascii="Cambria" w:eastAsia="Calibri" w:hAnsi="Cambria"/>
          <w:sz w:val="20"/>
          <w:szCs w:val="20"/>
          <w:bdr w:val="none" w:sz="0" w:space="0" w:color="auto"/>
          <w:lang w:val="es-CO"/>
        </w:rPr>
        <w:t xml:space="preserve"> en relación con el </w:t>
      </w:r>
      <w:r w:rsidRPr="009B3BD2">
        <w:rPr>
          <w:rFonts w:ascii="Cambria" w:eastAsia="Calibri" w:hAnsi="Cambria"/>
          <w:b/>
          <w:sz w:val="20"/>
          <w:szCs w:val="20"/>
          <w:bdr w:val="none" w:sz="0" w:space="0" w:color="auto"/>
          <w:lang w:val="es-CO"/>
        </w:rPr>
        <w:t>deber de adoptar disposiciones de derecho</w:t>
      </w:r>
      <w:r w:rsidR="005674AE" w:rsidRPr="009B3BD2">
        <w:rPr>
          <w:rFonts w:ascii="Cambria" w:eastAsia="Calibri" w:hAnsi="Cambria"/>
          <w:b/>
          <w:sz w:val="20"/>
          <w:szCs w:val="20"/>
          <w:bdr w:val="none" w:sz="0" w:space="0" w:color="auto"/>
          <w:lang w:val="es-CO"/>
        </w:rPr>
        <w:t xml:space="preserve"> interno</w:t>
      </w:r>
      <w:r w:rsidR="003126A0" w:rsidRPr="009B3BD2">
        <w:rPr>
          <w:rFonts w:ascii="Cambria" w:eastAsia="Calibri" w:hAnsi="Cambria"/>
          <w:sz w:val="20"/>
          <w:szCs w:val="20"/>
          <w:bdr w:val="none" w:sz="0" w:space="0" w:color="auto"/>
          <w:lang w:val="es-CO"/>
        </w:rPr>
        <w:t xml:space="preserve"> ya que el artículo 277.6 de la Constitución reconoce la facultad del Procurador de disciplinar a funcionarios públicos y contempla como sanción la “desvinculación del cargo”. </w:t>
      </w:r>
      <w:r w:rsidR="00CF56FB" w:rsidRPr="009B3BD2">
        <w:rPr>
          <w:rFonts w:ascii="Cambria" w:eastAsia="Calibri" w:hAnsi="Cambria"/>
          <w:sz w:val="20"/>
          <w:szCs w:val="20"/>
          <w:bdr w:val="none" w:sz="0" w:space="0" w:color="auto"/>
          <w:lang w:val="es-CO"/>
        </w:rPr>
        <w:t>Agregó que, a</w:t>
      </w:r>
      <w:r w:rsidR="003126A0" w:rsidRPr="009B3BD2">
        <w:rPr>
          <w:rFonts w:ascii="Cambria" w:eastAsia="Calibri" w:hAnsi="Cambria"/>
          <w:sz w:val="20"/>
          <w:szCs w:val="20"/>
          <w:bdr w:val="none" w:sz="0" w:space="0" w:color="auto"/>
          <w:lang w:val="es-CO"/>
        </w:rPr>
        <w:t xml:space="preserve">simismo, el </w:t>
      </w:r>
      <w:r w:rsidR="008114AC" w:rsidRPr="009B3BD2">
        <w:rPr>
          <w:rFonts w:ascii="Cambria" w:eastAsia="Calibri" w:hAnsi="Cambria"/>
          <w:sz w:val="20"/>
          <w:szCs w:val="20"/>
          <w:bdr w:val="none" w:sz="0" w:space="0" w:color="auto"/>
          <w:lang w:val="es-CO"/>
        </w:rPr>
        <w:t xml:space="preserve">artículo 44 del </w:t>
      </w:r>
      <w:r w:rsidR="003126A0" w:rsidRPr="009B3BD2">
        <w:rPr>
          <w:rFonts w:ascii="Cambria" w:eastAsia="Calibri" w:hAnsi="Cambria"/>
          <w:sz w:val="20"/>
          <w:szCs w:val="20"/>
          <w:bdr w:val="none" w:sz="0" w:space="0" w:color="auto"/>
          <w:lang w:val="es-CO"/>
        </w:rPr>
        <w:t>Código Único Disciplinario contempla como sanción di</w:t>
      </w:r>
      <w:r w:rsidR="00595F63" w:rsidRPr="009B3BD2">
        <w:rPr>
          <w:rFonts w:ascii="Cambria" w:eastAsia="Calibri" w:hAnsi="Cambria"/>
          <w:sz w:val="20"/>
          <w:szCs w:val="20"/>
          <w:bdr w:val="none" w:sz="0" w:space="0" w:color="auto"/>
          <w:lang w:val="es-CO"/>
        </w:rPr>
        <w:t xml:space="preserve">sciplinaria la inhabilitación. </w:t>
      </w:r>
      <w:r w:rsidR="003126A0" w:rsidRPr="009B3BD2">
        <w:rPr>
          <w:rFonts w:ascii="Cambria" w:eastAsia="Calibri" w:hAnsi="Cambria"/>
          <w:sz w:val="20"/>
          <w:szCs w:val="20"/>
          <w:bdr w:val="none" w:sz="0" w:space="0" w:color="auto"/>
          <w:lang w:val="es-CO"/>
        </w:rPr>
        <w:t xml:space="preserve">Refirió al respecto que conforme a los estándares interamericanos, una restricción a los derechos políticos debe efectuarse por un juez competente a través de un proceso penal. </w:t>
      </w:r>
    </w:p>
    <w:p w14:paraId="268893BA" w14:textId="77777777" w:rsidR="001C1F25" w:rsidRPr="009B3BD2" w:rsidRDefault="001C1F25" w:rsidP="001C1F25">
      <w:pPr>
        <w:pStyle w:val="ListParagraph"/>
        <w:rPr>
          <w:color w:val="000000" w:themeColor="text1"/>
          <w:sz w:val="20"/>
          <w:szCs w:val="20"/>
          <w:lang w:val="es-VE"/>
        </w:rPr>
      </w:pPr>
    </w:p>
    <w:p w14:paraId="60981A1D" w14:textId="6D3641DE" w:rsidR="001C1F25" w:rsidRPr="009B3BD2" w:rsidRDefault="001C1F25"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hAnsi="Cambria"/>
          <w:color w:val="000000" w:themeColor="text1"/>
          <w:sz w:val="20"/>
          <w:szCs w:val="20"/>
          <w:lang w:val="es-VE"/>
        </w:rPr>
        <w:t>Añadió que las sanciones impuestas en contra</w:t>
      </w:r>
      <w:r w:rsidR="00504A50" w:rsidRPr="009B3BD2">
        <w:rPr>
          <w:rFonts w:ascii="Cambria" w:hAnsi="Cambria"/>
          <w:color w:val="000000" w:themeColor="text1"/>
          <w:sz w:val="20"/>
          <w:szCs w:val="20"/>
          <w:lang w:val="es-VE"/>
        </w:rPr>
        <w:t xml:space="preserve"> de la presunta víctima</w:t>
      </w:r>
      <w:r w:rsidRPr="009B3BD2">
        <w:rPr>
          <w:rFonts w:ascii="Cambria" w:hAnsi="Cambria"/>
          <w:color w:val="000000" w:themeColor="text1"/>
          <w:sz w:val="20"/>
          <w:szCs w:val="20"/>
          <w:lang w:val="es-VE"/>
        </w:rPr>
        <w:t xml:space="preserve"> implican </w:t>
      </w:r>
      <w:r w:rsidR="00504A50" w:rsidRPr="009B3BD2">
        <w:rPr>
          <w:rFonts w:ascii="Cambria" w:hAnsi="Cambria"/>
          <w:color w:val="000000" w:themeColor="text1"/>
          <w:sz w:val="20"/>
          <w:szCs w:val="20"/>
          <w:lang w:val="es-VE"/>
        </w:rPr>
        <w:t xml:space="preserve">su </w:t>
      </w:r>
      <w:r w:rsidRPr="009B3BD2">
        <w:rPr>
          <w:rFonts w:ascii="Cambria" w:hAnsi="Cambria"/>
          <w:color w:val="000000" w:themeColor="text1"/>
          <w:sz w:val="20"/>
          <w:szCs w:val="20"/>
          <w:lang w:val="es-VE"/>
        </w:rPr>
        <w:t>“muerte política</w:t>
      </w:r>
      <w:r w:rsidR="002C1C42" w:rsidRPr="009B3BD2">
        <w:rPr>
          <w:rFonts w:ascii="Cambria" w:hAnsi="Cambria"/>
          <w:color w:val="000000" w:themeColor="text1"/>
          <w:sz w:val="20"/>
          <w:szCs w:val="20"/>
          <w:lang w:val="es-VE"/>
        </w:rPr>
        <w:t>”</w:t>
      </w:r>
      <w:r w:rsidR="008F68ED" w:rsidRPr="009B3BD2">
        <w:rPr>
          <w:rFonts w:ascii="Cambria" w:hAnsi="Cambria"/>
          <w:color w:val="000000" w:themeColor="text1"/>
          <w:sz w:val="20"/>
          <w:szCs w:val="20"/>
          <w:lang w:val="es-VE"/>
        </w:rPr>
        <w:t>. En cuanto a la inhabilitación</w:t>
      </w:r>
      <w:r w:rsidR="00BA24A2" w:rsidRPr="009B3BD2">
        <w:rPr>
          <w:rFonts w:ascii="Cambria" w:hAnsi="Cambria"/>
          <w:color w:val="000000" w:themeColor="text1"/>
          <w:sz w:val="20"/>
          <w:szCs w:val="20"/>
          <w:lang w:val="es-VE"/>
        </w:rPr>
        <w:t>, que se encuentra suspendida</w:t>
      </w:r>
      <w:r w:rsidR="008F68ED" w:rsidRPr="009B3BD2">
        <w:rPr>
          <w:rFonts w:ascii="Cambria" w:hAnsi="Cambria"/>
          <w:color w:val="000000" w:themeColor="text1"/>
          <w:sz w:val="20"/>
          <w:szCs w:val="20"/>
          <w:lang w:val="es-VE"/>
        </w:rPr>
        <w:t xml:space="preserve">, refirió que </w:t>
      </w:r>
      <w:r w:rsidRPr="009B3BD2">
        <w:rPr>
          <w:rFonts w:ascii="Cambria" w:hAnsi="Cambria"/>
          <w:color w:val="000000" w:themeColor="text1"/>
          <w:sz w:val="20"/>
          <w:szCs w:val="20"/>
          <w:lang w:val="es-VE"/>
        </w:rPr>
        <w:t>de ejecutarse y dada su edad, implicaría que la presunta víc</w:t>
      </w:r>
      <w:r w:rsidR="00504A50" w:rsidRPr="009B3BD2">
        <w:rPr>
          <w:rFonts w:ascii="Cambria" w:hAnsi="Cambria"/>
          <w:color w:val="000000" w:themeColor="text1"/>
          <w:sz w:val="20"/>
          <w:szCs w:val="20"/>
          <w:lang w:val="es-VE"/>
        </w:rPr>
        <w:t>t</w:t>
      </w:r>
      <w:r w:rsidR="00983D55" w:rsidRPr="009B3BD2">
        <w:rPr>
          <w:rFonts w:ascii="Cambria" w:hAnsi="Cambria"/>
          <w:color w:val="000000" w:themeColor="text1"/>
          <w:sz w:val="20"/>
          <w:szCs w:val="20"/>
          <w:lang w:val="es-VE"/>
        </w:rPr>
        <w:t>im</w:t>
      </w:r>
      <w:r w:rsidR="0067645F" w:rsidRPr="009B3BD2">
        <w:rPr>
          <w:rFonts w:ascii="Cambria" w:hAnsi="Cambria"/>
          <w:color w:val="000000" w:themeColor="text1"/>
          <w:sz w:val="20"/>
          <w:szCs w:val="20"/>
          <w:lang w:val="es-VE"/>
        </w:rPr>
        <w:t xml:space="preserve">a nunca más podrá ser electo en un cargo público. Sobre la </w:t>
      </w:r>
      <w:r w:rsidR="00504A50" w:rsidRPr="009B3BD2">
        <w:rPr>
          <w:rFonts w:ascii="Cambria" w:hAnsi="Cambria"/>
          <w:color w:val="000000" w:themeColor="text1"/>
          <w:sz w:val="20"/>
          <w:szCs w:val="20"/>
          <w:lang w:val="es-VE"/>
        </w:rPr>
        <w:t xml:space="preserve">sanción fiscal </w:t>
      </w:r>
      <w:r w:rsidR="0067645F" w:rsidRPr="009B3BD2">
        <w:rPr>
          <w:rFonts w:ascii="Cambria" w:hAnsi="Cambria"/>
          <w:color w:val="000000" w:themeColor="text1"/>
          <w:sz w:val="20"/>
          <w:szCs w:val="20"/>
          <w:lang w:val="es-VE"/>
        </w:rPr>
        <w:t xml:space="preserve">refirió </w:t>
      </w:r>
      <w:r w:rsidR="00504A50" w:rsidRPr="009B3BD2">
        <w:rPr>
          <w:rFonts w:ascii="Cambria" w:hAnsi="Cambria"/>
          <w:color w:val="000000" w:themeColor="text1"/>
          <w:sz w:val="20"/>
          <w:szCs w:val="20"/>
          <w:lang w:val="es-VE"/>
        </w:rPr>
        <w:t xml:space="preserve">que el monto es impagable y lo coloca en una lista de deudores fiscales </w:t>
      </w:r>
      <w:r w:rsidR="001D71E4" w:rsidRPr="009B3BD2">
        <w:rPr>
          <w:rFonts w:ascii="Cambria" w:hAnsi="Cambria"/>
          <w:color w:val="000000" w:themeColor="text1"/>
          <w:sz w:val="20"/>
          <w:szCs w:val="20"/>
          <w:lang w:val="es-VE"/>
        </w:rPr>
        <w:t xml:space="preserve">que le impide posesionarse en cualquier cargo público. </w:t>
      </w:r>
      <w:r w:rsidR="008F60E8" w:rsidRPr="009B3BD2">
        <w:rPr>
          <w:rFonts w:ascii="Cambria" w:hAnsi="Cambria"/>
          <w:color w:val="000000" w:themeColor="text1"/>
          <w:sz w:val="20"/>
          <w:szCs w:val="20"/>
          <w:lang w:val="es-VE"/>
        </w:rPr>
        <w:t>A</w:t>
      </w:r>
      <w:r w:rsidR="006A11F7" w:rsidRPr="009B3BD2">
        <w:rPr>
          <w:rFonts w:ascii="Cambria" w:hAnsi="Cambria"/>
          <w:color w:val="000000" w:themeColor="text1"/>
          <w:sz w:val="20"/>
          <w:szCs w:val="20"/>
          <w:lang w:val="es-VE"/>
        </w:rPr>
        <w:t>rgumentó que recientemente se aprobó una reforma</w:t>
      </w:r>
      <w:r w:rsidR="008F60E8" w:rsidRPr="009B3BD2">
        <w:rPr>
          <w:rFonts w:ascii="Cambria" w:hAnsi="Cambria"/>
          <w:color w:val="000000" w:themeColor="text1"/>
          <w:sz w:val="20"/>
          <w:szCs w:val="20"/>
          <w:lang w:val="es-VE"/>
        </w:rPr>
        <w:t xml:space="preserve"> a la legislación penal</w:t>
      </w:r>
      <w:r w:rsidR="006A11F7" w:rsidRPr="009B3BD2">
        <w:rPr>
          <w:rFonts w:ascii="Cambria" w:hAnsi="Cambria"/>
          <w:color w:val="000000" w:themeColor="text1"/>
          <w:sz w:val="20"/>
          <w:szCs w:val="20"/>
          <w:lang w:val="es-VE"/>
        </w:rPr>
        <w:t xml:space="preserve"> que contempla como delito </w:t>
      </w:r>
      <w:r w:rsidR="0086287A" w:rsidRPr="009B3BD2">
        <w:rPr>
          <w:rFonts w:ascii="Cambria" w:hAnsi="Cambria"/>
          <w:color w:val="000000" w:themeColor="text1"/>
          <w:sz w:val="20"/>
          <w:szCs w:val="20"/>
          <w:lang w:val="es-VE"/>
        </w:rPr>
        <w:t>el acto de resultar elegido en un cargo estando inhabilitado</w:t>
      </w:r>
      <w:r w:rsidR="006A11F7" w:rsidRPr="009B3BD2">
        <w:rPr>
          <w:rFonts w:ascii="Cambria" w:hAnsi="Cambria"/>
          <w:color w:val="000000" w:themeColor="text1"/>
          <w:sz w:val="20"/>
          <w:szCs w:val="20"/>
          <w:lang w:val="es-VE"/>
        </w:rPr>
        <w:t xml:space="preserve"> por decisión judicial,</w:t>
      </w:r>
      <w:r w:rsidR="0086287A" w:rsidRPr="009B3BD2">
        <w:rPr>
          <w:rFonts w:ascii="Cambria" w:hAnsi="Cambria"/>
          <w:color w:val="000000" w:themeColor="text1"/>
          <w:sz w:val="20"/>
          <w:szCs w:val="20"/>
          <w:lang w:val="es-VE"/>
        </w:rPr>
        <w:t xml:space="preserve"> disciplinaria o fiscal. Destacaron que esto </w:t>
      </w:r>
      <w:r w:rsidR="006A11F7" w:rsidRPr="009B3BD2">
        <w:rPr>
          <w:rFonts w:ascii="Cambria" w:hAnsi="Cambria"/>
          <w:color w:val="000000" w:themeColor="text1"/>
          <w:sz w:val="20"/>
          <w:szCs w:val="20"/>
          <w:lang w:val="es-VE"/>
        </w:rPr>
        <w:t xml:space="preserve">impediría su participación en las elecciones </w:t>
      </w:r>
      <w:r w:rsidR="0035500C" w:rsidRPr="009B3BD2">
        <w:rPr>
          <w:rFonts w:ascii="Cambria" w:hAnsi="Cambria"/>
          <w:color w:val="000000" w:themeColor="text1"/>
          <w:sz w:val="20"/>
          <w:szCs w:val="20"/>
          <w:lang w:val="es-VE"/>
        </w:rPr>
        <w:t xml:space="preserve">presidenciales previstas para el </w:t>
      </w:r>
      <w:r w:rsidR="006A11F7" w:rsidRPr="009B3BD2">
        <w:rPr>
          <w:rFonts w:ascii="Cambria" w:hAnsi="Cambria"/>
          <w:color w:val="000000" w:themeColor="text1"/>
          <w:sz w:val="20"/>
          <w:szCs w:val="20"/>
          <w:lang w:val="es-VE"/>
        </w:rPr>
        <w:t>27 de mayo de 2018.</w:t>
      </w:r>
    </w:p>
    <w:p w14:paraId="462EB8AE" w14:textId="77777777" w:rsidR="008114AC" w:rsidRPr="009B3BD2" w:rsidRDefault="008114AC" w:rsidP="008250D5">
      <w:pPr>
        <w:pStyle w:val="ListParagraph"/>
        <w:rPr>
          <w:color w:val="000000" w:themeColor="text1"/>
          <w:sz w:val="20"/>
          <w:szCs w:val="20"/>
          <w:lang w:val="es-VE"/>
        </w:rPr>
      </w:pPr>
    </w:p>
    <w:p w14:paraId="2404936E" w14:textId="77777777" w:rsidR="007108E3" w:rsidRPr="009B3BD2" w:rsidRDefault="008114AC" w:rsidP="007108E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hAnsi="Cambria"/>
          <w:color w:val="000000" w:themeColor="text1"/>
          <w:sz w:val="20"/>
          <w:szCs w:val="20"/>
          <w:lang w:val="es-VE"/>
        </w:rPr>
        <w:t>Asimismo</w:t>
      </w:r>
      <w:r w:rsidR="003B4BF8" w:rsidRPr="009B3BD2">
        <w:rPr>
          <w:rFonts w:ascii="Cambria" w:hAnsi="Cambria"/>
          <w:color w:val="000000" w:themeColor="text1"/>
          <w:sz w:val="20"/>
          <w:szCs w:val="20"/>
          <w:lang w:val="es-VE"/>
        </w:rPr>
        <w:t>,</w:t>
      </w:r>
      <w:r w:rsidRPr="009B3BD2">
        <w:rPr>
          <w:rFonts w:ascii="Cambria" w:hAnsi="Cambria"/>
          <w:color w:val="000000" w:themeColor="text1"/>
          <w:sz w:val="20"/>
          <w:szCs w:val="20"/>
          <w:lang w:val="es-VE"/>
        </w:rPr>
        <w:t xml:space="preserve"> argumentó la violación del </w:t>
      </w:r>
      <w:r w:rsidRPr="009B3BD2">
        <w:rPr>
          <w:rFonts w:ascii="Cambria" w:hAnsi="Cambria"/>
          <w:b/>
          <w:color w:val="000000" w:themeColor="text1"/>
          <w:sz w:val="20"/>
          <w:szCs w:val="20"/>
          <w:lang w:val="es-VE"/>
        </w:rPr>
        <w:t>derecho a la igualdad</w:t>
      </w:r>
      <w:r w:rsidRPr="009B3BD2">
        <w:rPr>
          <w:rFonts w:ascii="Cambria" w:hAnsi="Cambria"/>
          <w:color w:val="000000" w:themeColor="text1"/>
          <w:sz w:val="20"/>
          <w:szCs w:val="20"/>
          <w:lang w:val="es-VE"/>
        </w:rPr>
        <w:t xml:space="preserve">, por considerar que </w:t>
      </w:r>
      <w:r w:rsidR="00EA5376" w:rsidRPr="009B3BD2">
        <w:rPr>
          <w:rFonts w:ascii="Cambria" w:hAnsi="Cambria"/>
          <w:color w:val="000000" w:themeColor="text1"/>
          <w:sz w:val="20"/>
          <w:szCs w:val="20"/>
          <w:lang w:val="es-VE"/>
        </w:rPr>
        <w:t xml:space="preserve">el proceso disciplinario en su contra por parte del Procurador General de la Nación “ha sido el resultado de un ejercicio discriminatorio </w:t>
      </w:r>
      <w:r w:rsidR="003B4BF8" w:rsidRPr="009B3BD2">
        <w:rPr>
          <w:rFonts w:ascii="Cambria" w:hAnsi="Cambria"/>
          <w:color w:val="000000" w:themeColor="text1"/>
          <w:sz w:val="20"/>
          <w:szCs w:val="20"/>
          <w:lang w:val="es-VE"/>
        </w:rPr>
        <w:t>por</w:t>
      </w:r>
      <w:r w:rsidR="00EA5376" w:rsidRPr="009B3BD2">
        <w:rPr>
          <w:rFonts w:ascii="Cambria" w:hAnsi="Cambria"/>
          <w:color w:val="000000" w:themeColor="text1"/>
          <w:sz w:val="20"/>
          <w:szCs w:val="20"/>
          <w:lang w:val="es-VE"/>
        </w:rPr>
        <w:t xml:space="preserve"> expresiones políticas alternativas a las dominantes”. Refirió que la conducta del entonces procurador era sesgada contra los funcionarios públicos de tendencia política distinta a la de él y en cambio es laxa cuando se trata de otros funcionarios que tienen nexos con “parapolítica”. </w:t>
      </w:r>
      <w:r w:rsidR="007108E3" w:rsidRPr="009B3BD2">
        <w:rPr>
          <w:rFonts w:ascii="Cambria" w:hAnsi="Cambria"/>
          <w:color w:val="000000" w:themeColor="text1"/>
          <w:sz w:val="20"/>
          <w:szCs w:val="20"/>
          <w:lang w:val="es-VE"/>
        </w:rPr>
        <w:t xml:space="preserve">Indicó que las convicciones religiosas y políticas del Procurador afectan la imparcialidad con la que actúa en los procesos disciplinarios. </w:t>
      </w:r>
    </w:p>
    <w:p w14:paraId="1FF8949F" w14:textId="77777777" w:rsidR="00C2104C" w:rsidRPr="009B3BD2" w:rsidRDefault="00C2104C" w:rsidP="00C2104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themeColor="text1"/>
          <w:sz w:val="20"/>
          <w:szCs w:val="20"/>
          <w:lang w:val="es-VE"/>
        </w:rPr>
      </w:pPr>
    </w:p>
    <w:p w14:paraId="70CF1E11" w14:textId="7B078494" w:rsidR="00F43435" w:rsidRPr="009B3BD2" w:rsidRDefault="00F97B39" w:rsidP="00F43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hAnsi="Cambria"/>
          <w:color w:val="000000" w:themeColor="text1"/>
          <w:sz w:val="20"/>
          <w:szCs w:val="20"/>
          <w:lang w:val="es-VE"/>
        </w:rPr>
        <w:t>Refirió q</w:t>
      </w:r>
      <w:r w:rsidR="003C1B7D" w:rsidRPr="009B3BD2">
        <w:rPr>
          <w:rFonts w:ascii="Cambria" w:hAnsi="Cambria"/>
          <w:color w:val="000000" w:themeColor="text1"/>
          <w:sz w:val="20"/>
          <w:szCs w:val="20"/>
          <w:lang w:val="es-VE"/>
        </w:rPr>
        <w:t xml:space="preserve">ue el Estado violó los </w:t>
      </w:r>
      <w:r w:rsidR="003C1B7D" w:rsidRPr="009B3BD2">
        <w:rPr>
          <w:rFonts w:ascii="Cambria" w:hAnsi="Cambria"/>
          <w:b/>
          <w:color w:val="000000" w:themeColor="text1"/>
          <w:sz w:val="20"/>
          <w:szCs w:val="20"/>
          <w:lang w:val="es-VE"/>
        </w:rPr>
        <w:t>derechos</w:t>
      </w:r>
      <w:r w:rsidRPr="009B3BD2">
        <w:rPr>
          <w:rFonts w:ascii="Cambria" w:hAnsi="Cambria"/>
          <w:b/>
          <w:color w:val="000000" w:themeColor="text1"/>
          <w:sz w:val="20"/>
          <w:szCs w:val="20"/>
          <w:lang w:val="es-VE"/>
        </w:rPr>
        <w:t xml:space="preserve"> a las gar</w:t>
      </w:r>
      <w:r w:rsidR="003C1B7D" w:rsidRPr="009B3BD2">
        <w:rPr>
          <w:rFonts w:ascii="Cambria" w:hAnsi="Cambria"/>
          <w:b/>
          <w:color w:val="000000" w:themeColor="text1"/>
          <w:sz w:val="20"/>
          <w:szCs w:val="20"/>
          <w:lang w:val="es-VE"/>
        </w:rPr>
        <w:t>antías judiciales y</w:t>
      </w:r>
      <w:r w:rsidRPr="009B3BD2">
        <w:rPr>
          <w:rFonts w:ascii="Cambria" w:hAnsi="Cambria"/>
          <w:b/>
          <w:color w:val="000000" w:themeColor="text1"/>
          <w:sz w:val="20"/>
          <w:szCs w:val="20"/>
          <w:lang w:val="es-VE"/>
        </w:rPr>
        <w:t xml:space="preserve"> protección judicial</w:t>
      </w:r>
      <w:r w:rsidRPr="009B3BD2">
        <w:rPr>
          <w:rFonts w:ascii="Cambria" w:hAnsi="Cambria"/>
          <w:color w:val="000000" w:themeColor="text1"/>
          <w:sz w:val="20"/>
          <w:szCs w:val="20"/>
          <w:lang w:val="es-VE"/>
        </w:rPr>
        <w:t xml:space="preserve"> </w:t>
      </w:r>
      <w:r w:rsidR="00725B59" w:rsidRPr="009B3BD2">
        <w:rPr>
          <w:rFonts w:ascii="Cambria" w:hAnsi="Cambria"/>
          <w:color w:val="000000" w:themeColor="text1"/>
          <w:sz w:val="20"/>
          <w:szCs w:val="20"/>
          <w:lang w:val="es-VE"/>
        </w:rPr>
        <w:t>en relación con la obligación de respetar los derechos y la igualdad ante la ley, porque el proceso al que fue sometido</w:t>
      </w:r>
      <w:r w:rsidR="007108E3" w:rsidRPr="009B3BD2">
        <w:rPr>
          <w:rFonts w:ascii="Cambria" w:hAnsi="Cambria"/>
          <w:color w:val="000000" w:themeColor="text1"/>
          <w:sz w:val="20"/>
          <w:szCs w:val="20"/>
          <w:lang w:val="es-VE"/>
        </w:rPr>
        <w:t xml:space="preserve"> el señor </w:t>
      </w:r>
      <w:proofErr w:type="spellStart"/>
      <w:r w:rsidR="007108E3" w:rsidRPr="009B3BD2">
        <w:rPr>
          <w:rFonts w:ascii="Cambria" w:hAnsi="Cambria"/>
          <w:color w:val="000000" w:themeColor="text1"/>
          <w:sz w:val="20"/>
          <w:szCs w:val="20"/>
          <w:lang w:val="es-VE"/>
        </w:rPr>
        <w:t>Petro</w:t>
      </w:r>
      <w:proofErr w:type="spellEnd"/>
      <w:r w:rsidR="007108E3" w:rsidRPr="009B3BD2">
        <w:rPr>
          <w:rFonts w:ascii="Cambria" w:hAnsi="Cambria"/>
          <w:color w:val="000000" w:themeColor="text1"/>
          <w:sz w:val="20"/>
          <w:szCs w:val="20"/>
          <w:lang w:val="es-VE"/>
        </w:rPr>
        <w:t xml:space="preserve"> </w:t>
      </w:r>
      <w:r w:rsidR="00725B59" w:rsidRPr="009B3BD2">
        <w:rPr>
          <w:rFonts w:ascii="Cambria" w:hAnsi="Cambria"/>
          <w:color w:val="000000" w:themeColor="text1"/>
          <w:sz w:val="20"/>
          <w:szCs w:val="20"/>
          <w:lang w:val="es-VE"/>
        </w:rPr>
        <w:t>por la Procuraduría</w:t>
      </w:r>
      <w:r w:rsidR="0049476E" w:rsidRPr="009B3BD2">
        <w:rPr>
          <w:rFonts w:ascii="Cambria" w:hAnsi="Cambria"/>
          <w:color w:val="000000" w:themeColor="text1"/>
          <w:sz w:val="20"/>
          <w:szCs w:val="20"/>
          <w:lang w:val="es-VE"/>
        </w:rPr>
        <w:t>,</w:t>
      </w:r>
      <w:r w:rsidR="00725B59" w:rsidRPr="009B3BD2">
        <w:rPr>
          <w:rFonts w:ascii="Cambria" w:hAnsi="Cambria"/>
          <w:color w:val="000000" w:themeColor="text1"/>
          <w:sz w:val="20"/>
          <w:szCs w:val="20"/>
          <w:lang w:val="es-VE"/>
        </w:rPr>
        <w:t xml:space="preserve"> incumple las obligaciones internacionales del Estado</w:t>
      </w:r>
      <w:r w:rsidR="00F02907" w:rsidRPr="009B3BD2">
        <w:rPr>
          <w:rFonts w:ascii="Cambria" w:hAnsi="Cambria"/>
          <w:color w:val="000000" w:themeColor="text1"/>
          <w:sz w:val="20"/>
          <w:szCs w:val="20"/>
          <w:lang w:val="es-VE"/>
        </w:rPr>
        <w:t>.</w:t>
      </w:r>
    </w:p>
    <w:p w14:paraId="54C17586" w14:textId="2C3DA189" w:rsidR="000A24F0" w:rsidRPr="009B3BD2" w:rsidRDefault="00F43435"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hAnsi="Cambria"/>
          <w:color w:val="000000" w:themeColor="text1"/>
          <w:sz w:val="20"/>
          <w:szCs w:val="20"/>
          <w:lang w:val="es-VE"/>
        </w:rPr>
        <w:lastRenderedPageBreak/>
        <w:t xml:space="preserve">Añadió que </w:t>
      </w:r>
      <w:r w:rsidR="00A770A5" w:rsidRPr="009B3BD2">
        <w:rPr>
          <w:rFonts w:ascii="Cambria" w:hAnsi="Cambria"/>
          <w:color w:val="000000" w:themeColor="text1"/>
          <w:sz w:val="20"/>
          <w:szCs w:val="20"/>
          <w:lang w:val="es-VE"/>
        </w:rPr>
        <w:t>el proceso  disciplinario al que fue sometida la presunta víctima no cuenta con las debidas garantías en lo que tiene que ver con imparcialidad,</w:t>
      </w:r>
      <w:r w:rsidR="0065706B" w:rsidRPr="009B3BD2">
        <w:rPr>
          <w:rFonts w:ascii="Cambria" w:hAnsi="Cambria"/>
          <w:color w:val="000000" w:themeColor="text1"/>
          <w:sz w:val="20"/>
          <w:szCs w:val="20"/>
          <w:lang w:val="es-VE"/>
        </w:rPr>
        <w:t xml:space="preserve"> </w:t>
      </w:r>
      <w:r w:rsidR="000A24F0" w:rsidRPr="009B3BD2">
        <w:rPr>
          <w:rFonts w:ascii="Cambria" w:hAnsi="Cambria"/>
          <w:color w:val="000000" w:themeColor="text1"/>
          <w:sz w:val="20"/>
          <w:szCs w:val="20"/>
          <w:lang w:val="es-VE"/>
        </w:rPr>
        <w:t xml:space="preserve">presunción de inocencia, </w:t>
      </w:r>
      <w:r w:rsidR="00A770A5" w:rsidRPr="009B3BD2">
        <w:rPr>
          <w:rFonts w:ascii="Cambria" w:hAnsi="Cambria"/>
          <w:color w:val="000000" w:themeColor="text1"/>
          <w:sz w:val="20"/>
          <w:szCs w:val="20"/>
          <w:lang w:val="es-VE"/>
        </w:rPr>
        <w:t>derecho de defensa, a</w:t>
      </w:r>
      <w:r w:rsidR="00595F63" w:rsidRPr="009B3BD2">
        <w:rPr>
          <w:rFonts w:ascii="Cambria" w:hAnsi="Cambria"/>
          <w:color w:val="000000" w:themeColor="text1"/>
          <w:sz w:val="20"/>
          <w:szCs w:val="20"/>
          <w:lang w:val="es-VE"/>
        </w:rPr>
        <w:t>ctividad probatoria y revisión.</w:t>
      </w:r>
      <w:r w:rsidR="00A770A5" w:rsidRPr="009B3BD2">
        <w:rPr>
          <w:rFonts w:ascii="Cambria" w:hAnsi="Cambria"/>
          <w:color w:val="000000" w:themeColor="text1"/>
          <w:sz w:val="20"/>
          <w:szCs w:val="20"/>
          <w:lang w:val="es-VE"/>
        </w:rPr>
        <w:t xml:space="preserve"> Refirió </w:t>
      </w:r>
      <w:r w:rsidR="000A24F0" w:rsidRPr="009B3BD2">
        <w:rPr>
          <w:rFonts w:ascii="Cambria" w:hAnsi="Cambria"/>
          <w:color w:val="000000" w:themeColor="text1"/>
          <w:sz w:val="20"/>
          <w:szCs w:val="20"/>
          <w:lang w:val="es-VE"/>
        </w:rPr>
        <w:t xml:space="preserve">que es el Procurador quien resuelve el recurso de </w:t>
      </w:r>
      <w:r w:rsidR="00067B87" w:rsidRPr="009B3BD2">
        <w:rPr>
          <w:rFonts w:ascii="Cambria" w:hAnsi="Cambria"/>
          <w:color w:val="000000" w:themeColor="text1"/>
          <w:sz w:val="20"/>
          <w:szCs w:val="20"/>
          <w:lang w:val="es-VE"/>
        </w:rPr>
        <w:t xml:space="preserve">reposición, por lo que no existe doble instancia. Asimismo, en cuanto a la imparcialidad y presunción de inocencia </w:t>
      </w:r>
      <w:r w:rsidR="00C16DC0" w:rsidRPr="009B3BD2">
        <w:rPr>
          <w:rFonts w:ascii="Cambria" w:hAnsi="Cambria"/>
          <w:color w:val="000000" w:themeColor="text1"/>
          <w:sz w:val="20"/>
          <w:szCs w:val="20"/>
          <w:lang w:val="es-VE"/>
        </w:rPr>
        <w:t xml:space="preserve">indicó que desde el pliego de cargos en su contra existen afirmaciones </w:t>
      </w:r>
      <w:r w:rsidR="00AA5943">
        <w:rPr>
          <w:rFonts w:ascii="Cambria" w:hAnsi="Cambria"/>
          <w:color w:val="000000" w:themeColor="text1"/>
          <w:sz w:val="20"/>
          <w:szCs w:val="20"/>
          <w:lang w:val="es-VE"/>
        </w:rPr>
        <w:t xml:space="preserve">y </w:t>
      </w:r>
      <w:r w:rsidR="00F02907" w:rsidRPr="009B3BD2">
        <w:rPr>
          <w:rFonts w:ascii="Cambria" w:hAnsi="Cambria"/>
          <w:color w:val="000000" w:themeColor="text1"/>
          <w:sz w:val="20"/>
          <w:szCs w:val="20"/>
          <w:lang w:val="es-VE"/>
        </w:rPr>
        <w:t xml:space="preserve">calificaciones de su gestión como Alcalde </w:t>
      </w:r>
      <w:r w:rsidR="00C16DC0" w:rsidRPr="009B3BD2">
        <w:rPr>
          <w:rFonts w:ascii="Cambria" w:hAnsi="Cambria"/>
          <w:color w:val="000000" w:themeColor="text1"/>
          <w:sz w:val="20"/>
          <w:szCs w:val="20"/>
          <w:lang w:val="es-VE"/>
        </w:rPr>
        <w:t xml:space="preserve">como “improvisación” o  “falta de planeación” que desvirtúan </w:t>
      </w:r>
      <w:r w:rsidR="0065706B" w:rsidRPr="009B3BD2">
        <w:rPr>
          <w:rFonts w:ascii="Cambria" w:hAnsi="Cambria"/>
          <w:color w:val="000000" w:themeColor="text1"/>
          <w:sz w:val="20"/>
          <w:szCs w:val="20"/>
          <w:lang w:val="es-VE"/>
        </w:rPr>
        <w:t xml:space="preserve">su presunción de inocencia y ponen en tela de juicio la imparcialidad de la autoridad disciplinaria. </w:t>
      </w:r>
    </w:p>
    <w:p w14:paraId="1CC67F8E" w14:textId="77777777" w:rsidR="00481F27" w:rsidRPr="009B3BD2" w:rsidRDefault="00481F27" w:rsidP="00481F27">
      <w:pPr>
        <w:pStyle w:val="ListParagraph"/>
        <w:rPr>
          <w:color w:val="000000" w:themeColor="text1"/>
          <w:sz w:val="20"/>
          <w:szCs w:val="20"/>
          <w:lang w:val="es-VE"/>
        </w:rPr>
      </w:pPr>
    </w:p>
    <w:p w14:paraId="06183751" w14:textId="19239DFA" w:rsidR="003905A1" w:rsidRPr="009B3BD2" w:rsidRDefault="00481F27" w:rsidP="00B5276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themeColor="text1"/>
          <w:sz w:val="20"/>
          <w:szCs w:val="20"/>
          <w:lang w:val="es-VE"/>
        </w:rPr>
      </w:pPr>
      <w:r w:rsidRPr="009B3BD2">
        <w:rPr>
          <w:rFonts w:ascii="Cambria" w:hAnsi="Cambria"/>
          <w:color w:val="000000" w:themeColor="text1"/>
          <w:sz w:val="20"/>
          <w:szCs w:val="20"/>
          <w:lang w:val="es-VE"/>
        </w:rPr>
        <w:t xml:space="preserve">Finalmente alegó la violación del </w:t>
      </w:r>
      <w:r w:rsidRPr="009B3BD2">
        <w:rPr>
          <w:rFonts w:ascii="Cambria" w:hAnsi="Cambria"/>
          <w:b/>
          <w:color w:val="000000" w:themeColor="text1"/>
          <w:sz w:val="20"/>
          <w:szCs w:val="20"/>
          <w:lang w:val="es-VE"/>
        </w:rPr>
        <w:t>derecho a la integridad personal</w:t>
      </w:r>
      <w:r w:rsidRPr="009B3BD2">
        <w:rPr>
          <w:rFonts w:ascii="Cambria" w:hAnsi="Cambria"/>
          <w:color w:val="000000" w:themeColor="text1"/>
          <w:sz w:val="20"/>
          <w:szCs w:val="20"/>
          <w:lang w:val="es-VE"/>
        </w:rPr>
        <w:t xml:space="preserve"> de la presunta víctima. Indicó por una parte que la arbitrariedad del proceso disciplinario en su contra generó afectaciones de orden moral en la presunta víctima y su familia y que ha recibido consistentes ataques perso</w:t>
      </w:r>
      <w:r w:rsidR="005D67C9" w:rsidRPr="009B3BD2">
        <w:rPr>
          <w:rFonts w:ascii="Cambria" w:hAnsi="Cambria"/>
          <w:color w:val="000000" w:themeColor="text1"/>
          <w:sz w:val="20"/>
          <w:szCs w:val="20"/>
          <w:lang w:val="es-VE"/>
        </w:rPr>
        <w:t xml:space="preserve">nales, amenazas y constante estigmatización </w:t>
      </w:r>
      <w:r w:rsidR="005D15A7" w:rsidRPr="009B3BD2">
        <w:rPr>
          <w:rFonts w:ascii="Cambria" w:hAnsi="Cambria"/>
          <w:color w:val="000000" w:themeColor="text1"/>
          <w:sz w:val="20"/>
          <w:szCs w:val="20"/>
          <w:lang w:val="es-VE"/>
        </w:rPr>
        <w:t xml:space="preserve">fomentada por la Procuraduría. </w:t>
      </w:r>
      <w:r w:rsidR="005D67C9" w:rsidRPr="009B3BD2">
        <w:rPr>
          <w:rFonts w:ascii="Cambria" w:hAnsi="Cambria"/>
          <w:color w:val="000000" w:themeColor="text1"/>
          <w:sz w:val="20"/>
          <w:szCs w:val="20"/>
          <w:lang w:val="es-VE"/>
        </w:rPr>
        <w:t>Por otra parte, refirió que ha persistido una s</w:t>
      </w:r>
      <w:r w:rsidR="00214761" w:rsidRPr="009B3BD2">
        <w:rPr>
          <w:rFonts w:ascii="Cambria" w:hAnsi="Cambria"/>
          <w:color w:val="000000" w:themeColor="text1"/>
          <w:sz w:val="20"/>
          <w:szCs w:val="20"/>
          <w:lang w:val="es-VE"/>
        </w:rPr>
        <w:t>ituación de riesgo para la vida e integridad personal de la presunta víctima lo que</w:t>
      </w:r>
      <w:r w:rsidR="009E719C" w:rsidRPr="009B3BD2">
        <w:rPr>
          <w:rFonts w:ascii="Cambria" w:hAnsi="Cambria"/>
          <w:color w:val="000000" w:themeColor="text1"/>
          <w:sz w:val="20"/>
          <w:szCs w:val="20"/>
          <w:lang w:val="es-VE"/>
        </w:rPr>
        <w:t xml:space="preserve"> conllevó a que la CIDH otorgara</w:t>
      </w:r>
      <w:r w:rsidR="00214761" w:rsidRPr="009B3BD2">
        <w:rPr>
          <w:rFonts w:ascii="Cambria" w:hAnsi="Cambria"/>
          <w:color w:val="000000" w:themeColor="text1"/>
          <w:sz w:val="20"/>
          <w:szCs w:val="20"/>
          <w:lang w:val="es-VE"/>
        </w:rPr>
        <w:t xml:space="preserve"> medidas cautelares a su favor. </w:t>
      </w:r>
    </w:p>
    <w:p w14:paraId="175F9B4C" w14:textId="77777777" w:rsidR="0049476E" w:rsidRPr="009B3BD2" w:rsidRDefault="0049476E" w:rsidP="004947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themeColor="text1"/>
          <w:sz w:val="20"/>
          <w:szCs w:val="20"/>
          <w:lang w:val="es-VE"/>
        </w:rPr>
      </w:pPr>
    </w:p>
    <w:p w14:paraId="2B13B32B" w14:textId="49A7971D" w:rsidR="00AA5943" w:rsidRDefault="00296006" w:rsidP="00AA5943">
      <w:pPr>
        <w:pStyle w:val="Heading2"/>
        <w:numPr>
          <w:ilvl w:val="0"/>
          <w:numId w:val="57"/>
        </w:numPr>
      </w:pPr>
      <w:bookmarkStart w:id="16" w:name="_Toc497398850"/>
      <w:r w:rsidRPr="009B3BD2">
        <w:t>Estado</w:t>
      </w:r>
      <w:bookmarkEnd w:id="16"/>
    </w:p>
    <w:p w14:paraId="3D5D2115" w14:textId="77777777" w:rsidR="00AA5943" w:rsidRPr="00AA5943" w:rsidRDefault="00AA5943" w:rsidP="00AA5943">
      <w:pPr>
        <w:rPr>
          <w:lang w:val="es-ES_tradnl"/>
        </w:rPr>
      </w:pPr>
    </w:p>
    <w:p w14:paraId="2AC7E63F" w14:textId="77777777" w:rsidR="0025633E" w:rsidRPr="009B3BD2" w:rsidRDefault="0025633E"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lang w:val="es-VE"/>
        </w:rPr>
      </w:pPr>
      <w:r w:rsidRPr="009B3BD2">
        <w:rPr>
          <w:rFonts w:ascii="Cambria" w:eastAsia="Calibri" w:hAnsi="Cambria"/>
          <w:sz w:val="20"/>
          <w:szCs w:val="20"/>
          <w:bdr w:val="none" w:sz="0" w:space="0" w:color="auto"/>
          <w:lang w:val="es-VE"/>
        </w:rPr>
        <w:t>El Estado no presentó observaciones en la etapa de fondo, por lo que la presente sección se basa en los argumentos esgrimidos durante la etapa de admisibilidad que guardan relación con el fondo.</w:t>
      </w:r>
    </w:p>
    <w:p w14:paraId="51D8CD1C" w14:textId="77777777" w:rsidR="0025633E" w:rsidRPr="009B3BD2" w:rsidRDefault="0025633E" w:rsidP="0025633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lang w:val="es-VE"/>
        </w:rPr>
      </w:pPr>
    </w:p>
    <w:p w14:paraId="05419D4B" w14:textId="75C97526" w:rsidR="002F3037" w:rsidRPr="009B3BD2" w:rsidRDefault="006508F6"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lang w:val="es-VE"/>
        </w:rPr>
      </w:pPr>
      <w:r w:rsidRPr="009B3BD2">
        <w:rPr>
          <w:rFonts w:ascii="Cambria" w:eastAsia="Calibri" w:hAnsi="Cambria"/>
          <w:sz w:val="20"/>
          <w:szCs w:val="20"/>
          <w:bdr w:val="none" w:sz="0" w:space="0" w:color="auto"/>
          <w:lang w:val="es-ES"/>
        </w:rPr>
        <w:t>A</w:t>
      </w:r>
      <w:r w:rsidR="00243408" w:rsidRPr="009B3BD2">
        <w:rPr>
          <w:rFonts w:ascii="Cambria" w:eastAsia="Calibri" w:hAnsi="Cambria"/>
          <w:sz w:val="20"/>
          <w:szCs w:val="20"/>
          <w:bdr w:val="none" w:sz="0" w:space="0" w:color="auto"/>
          <w:lang w:val="es-ES"/>
        </w:rPr>
        <w:t xml:space="preserve">legó que en diciembre de 2012 el despacho del Procurador General de la Nación recibió “múltiples quejas” en contra del señor Gustavo Francisco </w:t>
      </w:r>
      <w:proofErr w:type="spellStart"/>
      <w:r w:rsidR="00243408" w:rsidRPr="009B3BD2">
        <w:rPr>
          <w:rFonts w:ascii="Cambria" w:eastAsia="Calibri" w:hAnsi="Cambria"/>
          <w:sz w:val="20"/>
          <w:szCs w:val="20"/>
          <w:bdr w:val="none" w:sz="0" w:space="0" w:color="auto"/>
          <w:lang w:val="es-ES"/>
        </w:rPr>
        <w:t>Petro</w:t>
      </w:r>
      <w:proofErr w:type="spellEnd"/>
      <w:r w:rsidR="00243408" w:rsidRPr="009B3BD2">
        <w:rPr>
          <w:rFonts w:ascii="Cambria" w:eastAsia="Calibri" w:hAnsi="Cambria"/>
          <w:sz w:val="20"/>
          <w:szCs w:val="20"/>
          <w:bdr w:val="none" w:sz="0" w:space="0" w:color="auto"/>
          <w:lang w:val="es-ES"/>
        </w:rPr>
        <w:t xml:space="preserve"> Urrego relacionados con la prestación del servicio público de aseo en la ciudad de Bogotá</w:t>
      </w:r>
      <w:r w:rsidR="002F3037" w:rsidRPr="009B3BD2">
        <w:rPr>
          <w:rFonts w:ascii="Cambria" w:eastAsia="Calibri" w:hAnsi="Cambria"/>
          <w:sz w:val="20"/>
          <w:szCs w:val="20"/>
          <w:bdr w:val="none" w:sz="0" w:space="0" w:color="auto"/>
          <w:lang w:val="es-ES"/>
        </w:rPr>
        <w:t>.</w:t>
      </w:r>
    </w:p>
    <w:p w14:paraId="413BEBDC" w14:textId="77777777" w:rsidR="002F3037" w:rsidRPr="009B3BD2" w:rsidRDefault="002F3037" w:rsidP="002F303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lang w:val="es-VE"/>
        </w:rPr>
      </w:pPr>
    </w:p>
    <w:p w14:paraId="32D437CE" w14:textId="77777777" w:rsidR="005D15A7" w:rsidRPr="009B3BD2" w:rsidRDefault="002F3037"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lang w:val="es-VE"/>
        </w:rPr>
      </w:pPr>
      <w:r w:rsidRPr="009B3BD2">
        <w:rPr>
          <w:rFonts w:ascii="Cambria" w:eastAsia="Calibri" w:hAnsi="Cambria"/>
          <w:sz w:val="20"/>
          <w:szCs w:val="20"/>
          <w:bdr w:val="none" w:sz="0" w:space="0" w:color="auto"/>
          <w:lang w:val="es-ES"/>
        </w:rPr>
        <w:t>Indicó que el 16 de enero de 2013 con fundamento en el Código Disciplinari</w:t>
      </w:r>
      <w:r w:rsidR="00662918" w:rsidRPr="009B3BD2">
        <w:rPr>
          <w:rFonts w:ascii="Cambria" w:eastAsia="Calibri" w:hAnsi="Cambria"/>
          <w:sz w:val="20"/>
          <w:szCs w:val="20"/>
          <w:bdr w:val="none" w:sz="0" w:space="0" w:color="auto"/>
          <w:lang w:val="es-ES"/>
        </w:rPr>
        <w:t xml:space="preserve">o Único, </w:t>
      </w:r>
      <w:r w:rsidRPr="009B3BD2">
        <w:rPr>
          <w:rFonts w:ascii="Cambria" w:eastAsia="Calibri" w:hAnsi="Cambria"/>
          <w:sz w:val="20"/>
          <w:szCs w:val="20"/>
          <w:bdr w:val="none" w:sz="0" w:space="0" w:color="auto"/>
          <w:lang w:val="es-ES"/>
        </w:rPr>
        <w:t xml:space="preserve">la Sala Disciplinaria de la Procuraduría General de la Nación </w:t>
      </w:r>
      <w:r w:rsidR="00545293" w:rsidRPr="009B3BD2">
        <w:rPr>
          <w:rFonts w:ascii="Cambria" w:eastAsia="Calibri" w:hAnsi="Cambria"/>
          <w:sz w:val="20"/>
          <w:szCs w:val="20"/>
          <w:bdr w:val="none" w:sz="0" w:space="0" w:color="auto"/>
          <w:lang w:val="es-ES"/>
        </w:rPr>
        <w:t>ordenó iniciar una investigación disciplinaria en contra de la presunta víctima en su calidad de alcal</w:t>
      </w:r>
      <w:r w:rsidR="00043646" w:rsidRPr="009B3BD2">
        <w:rPr>
          <w:rFonts w:ascii="Cambria" w:eastAsia="Calibri" w:hAnsi="Cambria"/>
          <w:sz w:val="20"/>
          <w:szCs w:val="20"/>
          <w:bdr w:val="none" w:sz="0" w:space="0" w:color="auto"/>
          <w:lang w:val="es-ES"/>
        </w:rPr>
        <w:t>de mayor de la ciudad de Bogotá.</w:t>
      </w:r>
    </w:p>
    <w:p w14:paraId="126DAE5C" w14:textId="77777777" w:rsidR="00545293" w:rsidRPr="009B3BD2" w:rsidRDefault="00545293" w:rsidP="00545293">
      <w:pPr>
        <w:pStyle w:val="ListParagraph"/>
        <w:rPr>
          <w:rFonts w:eastAsia="Calibri"/>
          <w:sz w:val="20"/>
          <w:szCs w:val="20"/>
          <w:bdr w:val="none" w:sz="0" w:space="0" w:color="auto"/>
          <w:lang w:val="es-VE"/>
        </w:rPr>
      </w:pPr>
    </w:p>
    <w:p w14:paraId="14C6AEB4" w14:textId="5FDF4500" w:rsidR="005D15A7" w:rsidRPr="009B3BD2" w:rsidRDefault="00545293" w:rsidP="003B7A5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lang w:val="es-VE"/>
        </w:rPr>
      </w:pPr>
      <w:r w:rsidRPr="009B3BD2">
        <w:rPr>
          <w:rFonts w:ascii="Cambria" w:eastAsia="Calibri" w:hAnsi="Cambria"/>
          <w:sz w:val="20"/>
          <w:szCs w:val="20"/>
          <w:bdr w:val="none" w:sz="0" w:space="0" w:color="auto"/>
          <w:lang w:val="es-VE"/>
        </w:rPr>
        <w:t xml:space="preserve">Refirió que el 20 de junio de 2013 la Sala Disciplinaria profirió decisión de cargos contra Gustavo </w:t>
      </w:r>
      <w:proofErr w:type="spellStart"/>
      <w:r w:rsidRPr="009B3BD2">
        <w:rPr>
          <w:rFonts w:ascii="Cambria" w:eastAsia="Calibri" w:hAnsi="Cambria"/>
          <w:sz w:val="20"/>
          <w:szCs w:val="20"/>
          <w:bdr w:val="none" w:sz="0" w:space="0" w:color="auto"/>
          <w:lang w:val="es-VE"/>
        </w:rPr>
        <w:t>Petro</w:t>
      </w:r>
      <w:proofErr w:type="spellEnd"/>
      <w:r w:rsidRPr="009B3BD2">
        <w:rPr>
          <w:rFonts w:ascii="Cambria" w:eastAsia="Calibri" w:hAnsi="Cambria"/>
          <w:sz w:val="20"/>
          <w:szCs w:val="20"/>
          <w:bdr w:val="none" w:sz="0" w:space="0" w:color="auto"/>
          <w:lang w:val="es-VE"/>
        </w:rPr>
        <w:t xml:space="preserve"> por tres</w:t>
      </w:r>
      <w:r w:rsidR="003B7A52" w:rsidRPr="009B3BD2">
        <w:rPr>
          <w:rFonts w:ascii="Cambria" w:eastAsia="Calibri" w:hAnsi="Cambria"/>
          <w:sz w:val="20"/>
          <w:szCs w:val="20"/>
          <w:bdr w:val="none" w:sz="0" w:space="0" w:color="auto"/>
          <w:lang w:val="es-VE"/>
        </w:rPr>
        <w:t xml:space="preserve"> violaciones al Código Disciplinario Único y el 9 de diciembre de 2013 </w:t>
      </w:r>
      <w:r w:rsidR="00746795" w:rsidRPr="009B3BD2">
        <w:rPr>
          <w:rFonts w:ascii="Cambria" w:eastAsia="Calibri" w:hAnsi="Cambria"/>
          <w:sz w:val="20"/>
          <w:szCs w:val="20"/>
          <w:bdr w:val="none" w:sz="0" w:space="0" w:color="auto"/>
          <w:lang w:val="es-VE"/>
        </w:rPr>
        <w:t>la Sala Disciplinaria profirió fallo de única instancia</w:t>
      </w:r>
      <w:r w:rsidR="00F07E25" w:rsidRPr="009B3BD2">
        <w:rPr>
          <w:rFonts w:ascii="Cambria" w:eastAsia="Calibri" w:hAnsi="Cambria"/>
          <w:sz w:val="20"/>
          <w:szCs w:val="20"/>
          <w:bdr w:val="none" w:sz="0" w:space="0" w:color="auto"/>
          <w:lang w:val="es-VE"/>
        </w:rPr>
        <w:t xml:space="preserve"> d</w:t>
      </w:r>
      <w:r w:rsidR="00746795" w:rsidRPr="009B3BD2">
        <w:rPr>
          <w:rFonts w:ascii="Cambria" w:eastAsia="Calibri" w:hAnsi="Cambria"/>
          <w:sz w:val="20"/>
          <w:szCs w:val="20"/>
          <w:bdr w:val="none" w:sz="0" w:space="0" w:color="auto"/>
          <w:lang w:val="es-VE"/>
        </w:rPr>
        <w:t>eclarando responsable disciplinariamente</w:t>
      </w:r>
      <w:r w:rsidR="00C007E5" w:rsidRPr="009B3BD2">
        <w:rPr>
          <w:rFonts w:ascii="Cambria" w:eastAsia="Calibri" w:hAnsi="Cambria"/>
          <w:sz w:val="20"/>
          <w:szCs w:val="20"/>
          <w:bdr w:val="none" w:sz="0" w:space="0" w:color="auto"/>
          <w:lang w:val="es-VE"/>
        </w:rPr>
        <w:t xml:space="preserve"> a la presunta víctima </w:t>
      </w:r>
      <w:r w:rsidR="00746795" w:rsidRPr="009B3BD2">
        <w:rPr>
          <w:rFonts w:ascii="Cambria" w:eastAsia="Calibri" w:hAnsi="Cambria"/>
          <w:sz w:val="20"/>
          <w:szCs w:val="20"/>
          <w:bdr w:val="none" w:sz="0" w:space="0" w:color="auto"/>
          <w:lang w:val="es-VE"/>
        </w:rPr>
        <w:t>por incurrir en la</w:t>
      </w:r>
      <w:r w:rsidR="003B7A52" w:rsidRPr="009B3BD2">
        <w:rPr>
          <w:rFonts w:ascii="Cambria" w:eastAsia="Calibri" w:hAnsi="Cambria"/>
          <w:sz w:val="20"/>
          <w:szCs w:val="20"/>
          <w:bdr w:val="none" w:sz="0" w:space="0" w:color="auto"/>
          <w:lang w:val="es-VE"/>
        </w:rPr>
        <w:t>s</w:t>
      </w:r>
      <w:r w:rsidR="00746795" w:rsidRPr="009B3BD2">
        <w:rPr>
          <w:rFonts w:ascii="Cambria" w:eastAsia="Calibri" w:hAnsi="Cambria"/>
          <w:sz w:val="20"/>
          <w:szCs w:val="20"/>
          <w:bdr w:val="none" w:sz="0" w:space="0" w:color="auto"/>
          <w:lang w:val="es-VE"/>
        </w:rPr>
        <w:t xml:space="preserve"> falta</w:t>
      </w:r>
      <w:r w:rsidR="003B7A52" w:rsidRPr="009B3BD2">
        <w:rPr>
          <w:rFonts w:ascii="Cambria" w:eastAsia="Calibri" w:hAnsi="Cambria"/>
          <w:sz w:val="20"/>
          <w:szCs w:val="20"/>
          <w:bdr w:val="none" w:sz="0" w:space="0" w:color="auto"/>
          <w:lang w:val="es-VE"/>
        </w:rPr>
        <w:t>s</w:t>
      </w:r>
      <w:r w:rsidR="00746795" w:rsidRPr="009B3BD2">
        <w:rPr>
          <w:rFonts w:ascii="Cambria" w:eastAsia="Calibri" w:hAnsi="Cambria"/>
          <w:sz w:val="20"/>
          <w:szCs w:val="20"/>
          <w:bdr w:val="none" w:sz="0" w:space="0" w:color="auto"/>
          <w:lang w:val="es-VE"/>
        </w:rPr>
        <w:t xml:space="preserve"> contenida</w:t>
      </w:r>
      <w:r w:rsidR="003B7A52" w:rsidRPr="009B3BD2">
        <w:rPr>
          <w:rFonts w:ascii="Cambria" w:eastAsia="Calibri" w:hAnsi="Cambria"/>
          <w:sz w:val="20"/>
          <w:szCs w:val="20"/>
          <w:bdr w:val="none" w:sz="0" w:space="0" w:color="auto"/>
          <w:lang w:val="es-VE"/>
        </w:rPr>
        <w:t xml:space="preserve">s en los numerales 31, 60 y 37 del Código Disciplinario único. </w:t>
      </w:r>
      <w:r w:rsidR="00F07E25" w:rsidRPr="009B3BD2">
        <w:rPr>
          <w:rFonts w:ascii="Cambria" w:eastAsia="Calibri" w:hAnsi="Cambria"/>
          <w:sz w:val="20"/>
          <w:szCs w:val="20"/>
          <w:bdr w:val="none" w:sz="0" w:space="0" w:color="auto"/>
          <w:lang w:val="es-VE"/>
        </w:rPr>
        <w:t>Indicó que como consecuencia de las tres faltas se impuso a la presunta víctima la sanción de destitución así como inhabilitación general por el término de 15 años.</w:t>
      </w:r>
    </w:p>
    <w:p w14:paraId="2528FA79" w14:textId="77777777" w:rsidR="00F07E25" w:rsidRPr="009B3BD2" w:rsidRDefault="00F07E25" w:rsidP="00F07E25">
      <w:pPr>
        <w:pStyle w:val="ListParagraph"/>
        <w:rPr>
          <w:rFonts w:eastAsia="Calibri"/>
          <w:sz w:val="20"/>
          <w:szCs w:val="20"/>
          <w:bdr w:val="none" w:sz="0" w:space="0" w:color="auto"/>
          <w:lang w:val="es-VE"/>
        </w:rPr>
      </w:pPr>
    </w:p>
    <w:p w14:paraId="301DA795" w14:textId="2691DB5F" w:rsidR="00F07E25" w:rsidRPr="009B3BD2" w:rsidRDefault="00124985"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lang w:val="es-VE"/>
        </w:rPr>
      </w:pPr>
      <w:r w:rsidRPr="009B3BD2">
        <w:rPr>
          <w:rFonts w:ascii="Cambria" w:eastAsia="Calibri" w:hAnsi="Cambria"/>
          <w:sz w:val="20"/>
          <w:szCs w:val="20"/>
          <w:bdr w:val="none" w:sz="0" w:space="0" w:color="auto"/>
          <w:lang w:val="es-VE"/>
        </w:rPr>
        <w:t>Indicó que el 13 de enero de 20</w:t>
      </w:r>
      <w:r w:rsidR="00B17FA3" w:rsidRPr="009B3BD2">
        <w:rPr>
          <w:rFonts w:ascii="Cambria" w:eastAsia="Calibri" w:hAnsi="Cambria"/>
          <w:sz w:val="20"/>
          <w:szCs w:val="20"/>
          <w:bdr w:val="none" w:sz="0" w:space="0" w:color="auto"/>
          <w:lang w:val="es-VE"/>
        </w:rPr>
        <w:t>14 la Sala Disciplinaria rechazó</w:t>
      </w:r>
      <w:r w:rsidRPr="009B3BD2">
        <w:rPr>
          <w:rFonts w:ascii="Cambria" w:eastAsia="Calibri" w:hAnsi="Cambria"/>
          <w:sz w:val="20"/>
          <w:szCs w:val="20"/>
          <w:bdr w:val="none" w:sz="0" w:space="0" w:color="auto"/>
          <w:lang w:val="es-VE"/>
        </w:rPr>
        <w:t xml:space="preserve"> de plano las peticiones probatorias </w:t>
      </w:r>
      <w:r w:rsidR="004F6D5A" w:rsidRPr="009B3BD2">
        <w:rPr>
          <w:rFonts w:ascii="Cambria" w:eastAsia="Calibri" w:hAnsi="Cambria"/>
          <w:sz w:val="20"/>
          <w:szCs w:val="20"/>
          <w:bdr w:val="none" w:sz="0" w:space="0" w:color="auto"/>
          <w:lang w:val="es-VE"/>
        </w:rPr>
        <w:t xml:space="preserve">que habían sido formuladas por </w:t>
      </w:r>
      <w:r w:rsidRPr="009B3BD2">
        <w:rPr>
          <w:rFonts w:ascii="Cambria" w:eastAsia="Calibri" w:hAnsi="Cambria"/>
          <w:sz w:val="20"/>
          <w:szCs w:val="20"/>
          <w:bdr w:val="none" w:sz="0" w:space="0" w:color="auto"/>
          <w:lang w:val="es-VE"/>
        </w:rPr>
        <w:t xml:space="preserve">la presunta </w:t>
      </w:r>
      <w:r w:rsidR="004F6D5A" w:rsidRPr="009B3BD2">
        <w:rPr>
          <w:rFonts w:ascii="Cambria" w:eastAsia="Calibri" w:hAnsi="Cambria"/>
          <w:sz w:val="20"/>
          <w:szCs w:val="20"/>
          <w:bdr w:val="none" w:sz="0" w:space="0" w:color="auto"/>
          <w:lang w:val="es-VE"/>
        </w:rPr>
        <w:t xml:space="preserve">víctima, confirmó el fallo de única instancia de 9 de diciembre de 2013 y denegó la petición subsidiaria relativa a abstenerse de imponer sanción disciplinaria. </w:t>
      </w:r>
    </w:p>
    <w:p w14:paraId="7CB2DEBC" w14:textId="77777777" w:rsidR="004F6D5A" w:rsidRPr="009B3BD2" w:rsidRDefault="004F6D5A" w:rsidP="004F6D5A">
      <w:pPr>
        <w:pStyle w:val="ListParagraph"/>
        <w:rPr>
          <w:rFonts w:eastAsia="Calibri"/>
          <w:sz w:val="20"/>
          <w:szCs w:val="20"/>
          <w:bdr w:val="none" w:sz="0" w:space="0" w:color="auto"/>
          <w:lang w:val="es-VE"/>
        </w:rPr>
      </w:pPr>
    </w:p>
    <w:p w14:paraId="7517C9CE" w14:textId="6169A2F7" w:rsidR="00897BCA" w:rsidRPr="009B3BD2" w:rsidRDefault="001125FF" w:rsidP="00897BC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lang w:val="es-VE"/>
        </w:rPr>
      </w:pPr>
      <w:r w:rsidRPr="009B3BD2">
        <w:rPr>
          <w:rFonts w:ascii="Cambria" w:eastAsia="Calibri" w:hAnsi="Cambria"/>
          <w:sz w:val="20"/>
          <w:szCs w:val="20"/>
          <w:bdr w:val="none" w:sz="0" w:space="0" w:color="auto"/>
          <w:lang w:val="es-VE"/>
        </w:rPr>
        <w:t>Manifestó que la sanción impuesta por</w:t>
      </w:r>
      <w:r w:rsidR="00662918" w:rsidRPr="009B3BD2">
        <w:rPr>
          <w:rFonts w:ascii="Cambria" w:eastAsia="Calibri" w:hAnsi="Cambria"/>
          <w:sz w:val="20"/>
          <w:szCs w:val="20"/>
          <w:bdr w:val="none" w:sz="0" w:space="0" w:color="auto"/>
          <w:lang w:val="es-VE"/>
        </w:rPr>
        <w:t xml:space="preserve"> la Sala Disciplinaria de la Procuraduría</w:t>
      </w:r>
      <w:r w:rsidRPr="009B3BD2">
        <w:rPr>
          <w:rFonts w:ascii="Cambria" w:eastAsia="Calibri" w:hAnsi="Cambria"/>
          <w:sz w:val="20"/>
          <w:szCs w:val="20"/>
          <w:bdr w:val="none" w:sz="0" w:space="0" w:color="auto"/>
          <w:lang w:val="es-VE"/>
        </w:rPr>
        <w:t xml:space="preserve"> fue objeto de diversas acciones de tutela que </w:t>
      </w:r>
      <w:r w:rsidR="00897BCA" w:rsidRPr="009B3BD2">
        <w:rPr>
          <w:rFonts w:ascii="Cambria" w:eastAsia="Calibri" w:hAnsi="Cambria"/>
          <w:sz w:val="20"/>
          <w:szCs w:val="20"/>
          <w:bdr w:val="none" w:sz="0" w:space="0" w:color="auto"/>
          <w:lang w:val="es-VE"/>
        </w:rPr>
        <w:t>fueron resueltas</w:t>
      </w:r>
      <w:r w:rsidRPr="009B3BD2">
        <w:rPr>
          <w:rFonts w:ascii="Cambria" w:eastAsia="Calibri" w:hAnsi="Cambria"/>
          <w:sz w:val="20"/>
          <w:szCs w:val="20"/>
          <w:bdr w:val="none" w:sz="0" w:space="0" w:color="auto"/>
          <w:lang w:val="es-VE"/>
        </w:rPr>
        <w:t xml:space="preserve"> en primera instancia por el Tribunal Administrativo de Cundinamarca y el Consejo Seccional de la Judicatura. Refirió que tras ser apeladas dichas decisiones, el 18 de marzo de 2014 la Presidencia del Consejo de Estado </w:t>
      </w:r>
      <w:r w:rsidR="00897BCA" w:rsidRPr="009B3BD2">
        <w:rPr>
          <w:rFonts w:ascii="Cambria" w:eastAsia="Calibri" w:hAnsi="Cambria"/>
          <w:sz w:val="20"/>
          <w:szCs w:val="20"/>
          <w:bdr w:val="none" w:sz="0" w:space="0" w:color="auto"/>
          <w:lang w:val="es-VE"/>
        </w:rPr>
        <w:t xml:space="preserve">anunció la aprobación por mayoría de la ponencia en la cual se revocaban 23 tutelas favorables </w:t>
      </w:r>
      <w:r w:rsidR="00FD38B9" w:rsidRPr="009B3BD2">
        <w:rPr>
          <w:rFonts w:ascii="Cambria" w:eastAsia="Calibri" w:hAnsi="Cambria"/>
          <w:sz w:val="20"/>
          <w:szCs w:val="20"/>
          <w:bdr w:val="none" w:sz="0" w:space="0" w:color="auto"/>
          <w:lang w:val="es-VE"/>
        </w:rPr>
        <w:t xml:space="preserve">a </w:t>
      </w:r>
      <w:r w:rsidR="00897BCA" w:rsidRPr="009B3BD2">
        <w:rPr>
          <w:rFonts w:ascii="Cambria" w:eastAsia="Calibri" w:hAnsi="Cambria"/>
          <w:sz w:val="20"/>
          <w:szCs w:val="20"/>
          <w:bdr w:val="none" w:sz="0" w:space="0" w:color="auto"/>
          <w:lang w:val="es-VE"/>
        </w:rPr>
        <w:t xml:space="preserve">Gustavo </w:t>
      </w:r>
      <w:proofErr w:type="spellStart"/>
      <w:r w:rsidR="00897BCA" w:rsidRPr="009B3BD2">
        <w:rPr>
          <w:rFonts w:ascii="Cambria" w:eastAsia="Calibri" w:hAnsi="Cambria"/>
          <w:sz w:val="20"/>
          <w:szCs w:val="20"/>
          <w:bdr w:val="none" w:sz="0" w:space="0" w:color="auto"/>
          <w:lang w:val="es-VE"/>
        </w:rPr>
        <w:t>Petro</w:t>
      </w:r>
      <w:proofErr w:type="spellEnd"/>
      <w:r w:rsidR="00897BCA" w:rsidRPr="009B3BD2">
        <w:rPr>
          <w:rFonts w:ascii="Cambria" w:eastAsia="Calibri" w:hAnsi="Cambria"/>
          <w:sz w:val="20"/>
          <w:szCs w:val="20"/>
          <w:bdr w:val="none" w:sz="0" w:space="0" w:color="auto"/>
          <w:lang w:val="es-VE"/>
        </w:rPr>
        <w:t xml:space="preserve">. </w:t>
      </w:r>
    </w:p>
    <w:p w14:paraId="2CA5D940" w14:textId="77777777" w:rsidR="00C2104C" w:rsidRPr="009B3BD2" w:rsidRDefault="00C2104C" w:rsidP="00C2104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lang w:val="es-VE"/>
        </w:rPr>
      </w:pPr>
    </w:p>
    <w:p w14:paraId="718C3800" w14:textId="77777777" w:rsidR="00897BCA" w:rsidRPr="009B3BD2" w:rsidRDefault="00BE67F6"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lang w:val="es-VE"/>
        </w:rPr>
      </w:pPr>
      <w:r w:rsidRPr="009B3BD2">
        <w:rPr>
          <w:rFonts w:ascii="Cambria" w:eastAsia="Calibri" w:hAnsi="Cambria"/>
          <w:sz w:val="20"/>
          <w:szCs w:val="20"/>
          <w:bdr w:val="none" w:sz="0" w:space="0" w:color="auto"/>
          <w:lang w:val="es-VE"/>
        </w:rPr>
        <w:t>Expresó</w:t>
      </w:r>
      <w:r w:rsidR="00897BCA" w:rsidRPr="009B3BD2">
        <w:rPr>
          <w:rFonts w:ascii="Cambria" w:eastAsia="Calibri" w:hAnsi="Cambria"/>
          <w:sz w:val="20"/>
          <w:szCs w:val="20"/>
          <w:bdr w:val="none" w:sz="0" w:space="0" w:color="auto"/>
          <w:lang w:val="es-VE"/>
        </w:rPr>
        <w:t xml:space="preserve">  que el 20 de marzo de 2014 el Presidente de la República</w:t>
      </w:r>
      <w:r w:rsidR="00855553" w:rsidRPr="009B3BD2">
        <w:rPr>
          <w:rFonts w:ascii="Cambria" w:eastAsia="Calibri" w:hAnsi="Cambria"/>
          <w:sz w:val="20"/>
          <w:szCs w:val="20"/>
          <w:bdr w:val="none" w:sz="0" w:space="0" w:color="auto"/>
          <w:lang w:val="es-VE"/>
        </w:rPr>
        <w:t>,</w:t>
      </w:r>
      <w:r w:rsidR="00897BCA" w:rsidRPr="009B3BD2">
        <w:rPr>
          <w:rFonts w:ascii="Cambria" w:eastAsia="Calibri" w:hAnsi="Cambria"/>
          <w:sz w:val="20"/>
          <w:szCs w:val="20"/>
          <w:bdr w:val="none" w:sz="0" w:space="0" w:color="auto"/>
          <w:lang w:val="es-VE"/>
        </w:rPr>
        <w:t xml:space="preserve"> mediante Decreto 570</w:t>
      </w:r>
      <w:r w:rsidR="00855553" w:rsidRPr="009B3BD2">
        <w:rPr>
          <w:rFonts w:ascii="Cambria" w:eastAsia="Calibri" w:hAnsi="Cambria"/>
          <w:sz w:val="20"/>
          <w:szCs w:val="20"/>
          <w:bdr w:val="none" w:sz="0" w:space="0" w:color="auto"/>
          <w:lang w:val="es-VE"/>
        </w:rPr>
        <w:t>,</w:t>
      </w:r>
      <w:r w:rsidR="00897BCA" w:rsidRPr="009B3BD2">
        <w:rPr>
          <w:rFonts w:ascii="Cambria" w:eastAsia="Calibri" w:hAnsi="Cambria"/>
          <w:sz w:val="20"/>
          <w:szCs w:val="20"/>
          <w:bdr w:val="none" w:sz="0" w:space="0" w:color="auto"/>
          <w:lang w:val="es-VE"/>
        </w:rPr>
        <w:t xml:space="preserve"> ejecutó la destitución de la presunta víctima y nombró como Alcalde encargado a Rafael Pardo Rueda.</w:t>
      </w:r>
    </w:p>
    <w:p w14:paraId="2B4D4A58" w14:textId="77777777" w:rsidR="00855553" w:rsidRPr="009B3BD2" w:rsidRDefault="00855553" w:rsidP="00855553">
      <w:pPr>
        <w:pStyle w:val="ListParagraph"/>
        <w:rPr>
          <w:rFonts w:eastAsia="Calibri"/>
          <w:sz w:val="20"/>
          <w:szCs w:val="20"/>
          <w:bdr w:val="none" w:sz="0" w:space="0" w:color="auto"/>
          <w:lang w:val="es-VE"/>
        </w:rPr>
      </w:pPr>
    </w:p>
    <w:p w14:paraId="4F29CCA3" w14:textId="48CD2D9D" w:rsidR="00855553" w:rsidRPr="009B3BD2" w:rsidRDefault="00855553"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lang w:val="es-VE"/>
        </w:rPr>
      </w:pPr>
      <w:r w:rsidRPr="009B3BD2">
        <w:rPr>
          <w:rFonts w:ascii="Cambria" w:eastAsia="Calibri" w:hAnsi="Cambria"/>
          <w:sz w:val="20"/>
          <w:szCs w:val="20"/>
          <w:bdr w:val="none" w:sz="0" w:space="0" w:color="auto"/>
          <w:lang w:val="es-VE"/>
        </w:rPr>
        <w:t xml:space="preserve">Refirió que el 21 de abril de 2014 la Sala Civil-Restitución de Tierras del </w:t>
      </w:r>
      <w:r w:rsidR="0025633E" w:rsidRPr="009B3BD2">
        <w:rPr>
          <w:rFonts w:ascii="Cambria" w:eastAsia="Calibri" w:hAnsi="Cambria"/>
          <w:sz w:val="20"/>
          <w:szCs w:val="20"/>
          <w:bdr w:val="none" w:sz="0" w:space="0" w:color="auto"/>
          <w:lang w:val="es-VE"/>
        </w:rPr>
        <w:t xml:space="preserve">Tribunal </w:t>
      </w:r>
      <w:r w:rsidRPr="009B3BD2">
        <w:rPr>
          <w:rFonts w:ascii="Cambria" w:eastAsia="Calibri" w:hAnsi="Cambria"/>
          <w:sz w:val="20"/>
          <w:szCs w:val="20"/>
          <w:bdr w:val="none" w:sz="0" w:space="0" w:color="auto"/>
          <w:lang w:val="es-VE"/>
        </w:rPr>
        <w:t>Superior del Distrito Judicial de Bogotá ordenó al Presidente de la República dejar sin efectos el Decreto 570 del 20 de marzo de 2014 y tomar las decisiones para acatar la</w:t>
      </w:r>
      <w:r w:rsidR="00C11B31" w:rsidRPr="009B3BD2">
        <w:rPr>
          <w:rFonts w:ascii="Cambria" w:eastAsia="Calibri" w:hAnsi="Cambria"/>
          <w:sz w:val="20"/>
          <w:szCs w:val="20"/>
          <w:bdr w:val="none" w:sz="0" w:space="0" w:color="auto"/>
          <w:lang w:val="es-VE"/>
        </w:rPr>
        <w:t>s</w:t>
      </w:r>
      <w:r w:rsidRPr="009B3BD2">
        <w:rPr>
          <w:rFonts w:ascii="Cambria" w:eastAsia="Calibri" w:hAnsi="Cambria"/>
          <w:sz w:val="20"/>
          <w:szCs w:val="20"/>
          <w:bdr w:val="none" w:sz="0" w:space="0" w:color="auto"/>
          <w:lang w:val="es-VE"/>
        </w:rPr>
        <w:t xml:space="preserve"> medida</w:t>
      </w:r>
      <w:r w:rsidR="00FB3A03" w:rsidRPr="009B3BD2">
        <w:rPr>
          <w:rFonts w:ascii="Cambria" w:eastAsia="Calibri" w:hAnsi="Cambria"/>
          <w:sz w:val="20"/>
          <w:szCs w:val="20"/>
          <w:bdr w:val="none" w:sz="0" w:space="0" w:color="auto"/>
          <w:lang w:val="es-VE"/>
        </w:rPr>
        <w:t>s</w:t>
      </w:r>
      <w:r w:rsidRPr="009B3BD2">
        <w:rPr>
          <w:rFonts w:ascii="Cambria" w:eastAsia="Calibri" w:hAnsi="Cambria"/>
          <w:sz w:val="20"/>
          <w:szCs w:val="20"/>
          <w:bdr w:val="none" w:sz="0" w:space="0" w:color="auto"/>
          <w:lang w:val="es-VE"/>
        </w:rPr>
        <w:t xml:space="preserve"> cautelar</w:t>
      </w:r>
      <w:r w:rsidR="00C11B31" w:rsidRPr="009B3BD2">
        <w:rPr>
          <w:rFonts w:ascii="Cambria" w:eastAsia="Calibri" w:hAnsi="Cambria"/>
          <w:sz w:val="20"/>
          <w:szCs w:val="20"/>
          <w:bdr w:val="none" w:sz="0" w:space="0" w:color="auto"/>
          <w:lang w:val="es-VE"/>
        </w:rPr>
        <w:t>es</w:t>
      </w:r>
      <w:r w:rsidRPr="009B3BD2">
        <w:rPr>
          <w:rFonts w:ascii="Cambria" w:eastAsia="Calibri" w:hAnsi="Cambria"/>
          <w:sz w:val="20"/>
          <w:szCs w:val="20"/>
          <w:bdr w:val="none" w:sz="0" w:space="0" w:color="auto"/>
          <w:lang w:val="es-VE"/>
        </w:rPr>
        <w:t xml:space="preserve"> </w:t>
      </w:r>
      <w:r w:rsidR="00FB3A03" w:rsidRPr="009B3BD2">
        <w:rPr>
          <w:rFonts w:ascii="Cambria" w:eastAsia="Calibri" w:hAnsi="Cambria"/>
          <w:sz w:val="20"/>
          <w:szCs w:val="20"/>
          <w:bdr w:val="none" w:sz="0" w:space="0" w:color="auto"/>
          <w:lang w:val="es-VE"/>
        </w:rPr>
        <w:t xml:space="preserve">emitidas por la Comisión </w:t>
      </w:r>
      <w:r w:rsidRPr="009B3BD2">
        <w:rPr>
          <w:rFonts w:ascii="Cambria" w:eastAsia="Calibri" w:hAnsi="Cambria"/>
          <w:sz w:val="20"/>
          <w:szCs w:val="20"/>
          <w:bdr w:val="none" w:sz="0" w:space="0" w:color="auto"/>
          <w:lang w:val="es-VE"/>
        </w:rPr>
        <w:t>a favor de la presunta víctima. Indicó que el 23 de abril</w:t>
      </w:r>
      <w:r w:rsidR="003B4BF8" w:rsidRPr="009B3BD2">
        <w:rPr>
          <w:rFonts w:ascii="Cambria" w:eastAsia="Calibri" w:hAnsi="Cambria"/>
          <w:sz w:val="20"/>
          <w:szCs w:val="20"/>
          <w:bdr w:val="none" w:sz="0" w:space="0" w:color="auto"/>
          <w:lang w:val="es-VE"/>
        </w:rPr>
        <w:t xml:space="preserve"> de 2014,</w:t>
      </w:r>
      <w:r w:rsidRPr="009B3BD2">
        <w:rPr>
          <w:rFonts w:ascii="Cambria" w:eastAsia="Calibri" w:hAnsi="Cambria"/>
          <w:sz w:val="20"/>
          <w:szCs w:val="20"/>
          <w:bdr w:val="none" w:sz="0" w:space="0" w:color="auto"/>
          <w:lang w:val="es-VE"/>
        </w:rPr>
        <w:t xml:space="preserve"> por medio del Decreto 797</w:t>
      </w:r>
      <w:r w:rsidR="00BE67F6" w:rsidRPr="009B3BD2">
        <w:rPr>
          <w:rFonts w:ascii="Cambria" w:eastAsia="Calibri" w:hAnsi="Cambria"/>
          <w:sz w:val="20"/>
          <w:szCs w:val="20"/>
          <w:bdr w:val="none" w:sz="0" w:space="0" w:color="auto"/>
          <w:lang w:val="es-VE"/>
        </w:rPr>
        <w:t>,</w:t>
      </w:r>
      <w:r w:rsidRPr="009B3BD2">
        <w:rPr>
          <w:rFonts w:ascii="Cambria" w:eastAsia="Calibri" w:hAnsi="Cambria"/>
          <w:sz w:val="20"/>
          <w:szCs w:val="20"/>
          <w:bdr w:val="none" w:sz="0" w:space="0" w:color="auto"/>
          <w:lang w:val="es-VE"/>
        </w:rPr>
        <w:t xml:space="preserve"> el Presidente d</w:t>
      </w:r>
      <w:r w:rsidR="003B4BF8" w:rsidRPr="009B3BD2">
        <w:rPr>
          <w:rFonts w:ascii="Cambria" w:eastAsia="Calibri" w:hAnsi="Cambria"/>
          <w:sz w:val="20"/>
          <w:szCs w:val="20"/>
          <w:bdr w:val="none" w:sz="0" w:space="0" w:color="auto"/>
          <w:lang w:val="es-VE"/>
        </w:rPr>
        <w:t>e la Re</w:t>
      </w:r>
      <w:r w:rsidR="00C11B31" w:rsidRPr="009B3BD2">
        <w:rPr>
          <w:rFonts w:ascii="Cambria" w:eastAsia="Calibri" w:hAnsi="Cambria"/>
          <w:sz w:val="20"/>
          <w:szCs w:val="20"/>
          <w:bdr w:val="none" w:sz="0" w:space="0" w:color="auto"/>
          <w:lang w:val="es-VE"/>
        </w:rPr>
        <w:t xml:space="preserve">pública dejó sin efecto </w:t>
      </w:r>
      <w:r w:rsidRPr="009B3BD2">
        <w:rPr>
          <w:rFonts w:ascii="Cambria" w:eastAsia="Calibri" w:hAnsi="Cambria"/>
          <w:sz w:val="20"/>
          <w:szCs w:val="20"/>
          <w:bdr w:val="none" w:sz="0" w:space="0" w:color="auto"/>
          <w:lang w:val="es-VE"/>
        </w:rPr>
        <w:t>el Decreto 570.</w:t>
      </w:r>
    </w:p>
    <w:p w14:paraId="119C6BAC" w14:textId="77777777" w:rsidR="00855553" w:rsidRPr="009B3BD2" w:rsidRDefault="00855553" w:rsidP="00855553">
      <w:pPr>
        <w:pStyle w:val="ListParagraph"/>
        <w:rPr>
          <w:rFonts w:eastAsia="Calibri"/>
          <w:sz w:val="20"/>
          <w:szCs w:val="20"/>
          <w:bdr w:val="none" w:sz="0" w:space="0" w:color="auto"/>
          <w:lang w:val="es-VE"/>
        </w:rPr>
      </w:pPr>
    </w:p>
    <w:p w14:paraId="38DB72E3" w14:textId="78A458D8" w:rsidR="00F72C14" w:rsidRPr="009B3BD2" w:rsidRDefault="00DF1B7B" w:rsidP="00F72C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lang w:val="es-VE"/>
        </w:rPr>
      </w:pPr>
      <w:r w:rsidRPr="009B3BD2">
        <w:rPr>
          <w:rFonts w:ascii="Cambria" w:eastAsia="Calibri" w:hAnsi="Cambria"/>
          <w:sz w:val="20"/>
          <w:szCs w:val="20"/>
          <w:bdr w:val="none" w:sz="0" w:space="0" w:color="auto"/>
          <w:lang w:val="es-VE"/>
        </w:rPr>
        <w:lastRenderedPageBreak/>
        <w:t xml:space="preserve">Señaló que </w:t>
      </w:r>
      <w:r w:rsidR="00BE67F6" w:rsidRPr="009B3BD2">
        <w:rPr>
          <w:rFonts w:ascii="Cambria" w:eastAsia="Calibri" w:hAnsi="Cambria"/>
          <w:sz w:val="20"/>
          <w:szCs w:val="20"/>
          <w:bdr w:val="none" w:sz="0" w:space="0" w:color="auto"/>
          <w:lang w:val="es-VE"/>
        </w:rPr>
        <w:t xml:space="preserve">el 28 de marzo de 2014 la presunta víctima presentó </w:t>
      </w:r>
      <w:r w:rsidR="002D40EE" w:rsidRPr="009B3BD2">
        <w:rPr>
          <w:rFonts w:ascii="Cambria" w:eastAsia="Calibri" w:hAnsi="Cambria"/>
          <w:sz w:val="20"/>
          <w:szCs w:val="20"/>
          <w:bdr w:val="none" w:sz="0" w:space="0" w:color="auto"/>
          <w:lang w:val="es-VE"/>
        </w:rPr>
        <w:t>ante el Tribunal Administrativo de Cundinamarca una demanda contra la Procuraduría General de la Nación</w:t>
      </w:r>
      <w:r w:rsidR="003B4BF8" w:rsidRPr="009B3BD2">
        <w:rPr>
          <w:rFonts w:ascii="Cambria" w:eastAsia="Calibri" w:hAnsi="Cambria"/>
          <w:sz w:val="20"/>
          <w:szCs w:val="20"/>
          <w:bdr w:val="none" w:sz="0" w:space="0" w:color="auto"/>
          <w:lang w:val="es-VE"/>
        </w:rPr>
        <w:t xml:space="preserve"> por</w:t>
      </w:r>
      <w:r w:rsidR="002D40EE" w:rsidRPr="009B3BD2">
        <w:rPr>
          <w:rFonts w:ascii="Cambria" w:eastAsia="Calibri" w:hAnsi="Cambria"/>
          <w:sz w:val="20"/>
          <w:szCs w:val="20"/>
          <w:bdr w:val="none" w:sz="0" w:space="0" w:color="auto"/>
          <w:lang w:val="es-VE"/>
        </w:rPr>
        <w:t xml:space="preserve"> los actos administrativos de 9 de diciembre de 2013 y 13 de enero de 2014. Refirió que el 31 de marzo de 2014 el Tribunal Administrativo de Cundinamarca, Sección Segunda, Subsección B, remitió la actuación al Consejo de Estado por falta de competencia. </w:t>
      </w:r>
    </w:p>
    <w:p w14:paraId="55D33A4B" w14:textId="77777777" w:rsidR="00662918" w:rsidRPr="009B3BD2" w:rsidRDefault="00662918" w:rsidP="0066291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lang w:val="es-VE"/>
        </w:rPr>
      </w:pPr>
    </w:p>
    <w:p w14:paraId="23702232" w14:textId="6E0E4BA2" w:rsidR="00C46FA2" w:rsidRPr="009B3BD2" w:rsidRDefault="003B4BF8" w:rsidP="003B4BF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lang w:val="es-VE"/>
        </w:rPr>
      </w:pPr>
      <w:r w:rsidRPr="009B3BD2">
        <w:rPr>
          <w:rFonts w:ascii="Cambria" w:eastAsia="Calibri" w:hAnsi="Cambria"/>
          <w:sz w:val="20"/>
          <w:szCs w:val="20"/>
          <w:bdr w:val="none" w:sz="0" w:space="0" w:color="auto"/>
          <w:lang w:val="es-VE"/>
        </w:rPr>
        <w:t>Manifestó</w:t>
      </w:r>
      <w:r w:rsidR="00F72C14" w:rsidRPr="009B3BD2">
        <w:rPr>
          <w:rFonts w:ascii="Cambria" w:eastAsia="Calibri" w:hAnsi="Cambria"/>
          <w:sz w:val="20"/>
          <w:szCs w:val="20"/>
          <w:bdr w:val="none" w:sz="0" w:space="0" w:color="auto"/>
          <w:lang w:val="es-VE"/>
        </w:rPr>
        <w:t xml:space="preserve"> que el 10 de abril de 2014 la Sala de lo Contencioso Administrativo del Conse</w:t>
      </w:r>
      <w:r w:rsidR="004C3711" w:rsidRPr="009B3BD2">
        <w:rPr>
          <w:rFonts w:ascii="Cambria" w:eastAsia="Calibri" w:hAnsi="Cambria"/>
          <w:sz w:val="20"/>
          <w:szCs w:val="20"/>
          <w:bdr w:val="none" w:sz="0" w:space="0" w:color="auto"/>
          <w:lang w:val="es-VE"/>
        </w:rPr>
        <w:t>jo de Estado admitió la demanda</w:t>
      </w:r>
      <w:r w:rsidR="00F72C14" w:rsidRPr="009B3BD2">
        <w:rPr>
          <w:rFonts w:ascii="Cambria" w:eastAsia="Calibri" w:hAnsi="Cambria"/>
          <w:sz w:val="20"/>
          <w:szCs w:val="20"/>
          <w:bdr w:val="none" w:sz="0" w:space="0" w:color="auto"/>
          <w:lang w:val="es-VE"/>
        </w:rPr>
        <w:t xml:space="preserve"> y el 13 de mayo de 2014 decretó la suspensión provisional de la decisión de la Sala Disciplinaria</w:t>
      </w:r>
      <w:r w:rsidR="008706BD" w:rsidRPr="009B3BD2">
        <w:rPr>
          <w:rFonts w:ascii="Cambria" w:eastAsia="Calibri" w:hAnsi="Cambria"/>
          <w:sz w:val="20"/>
          <w:szCs w:val="20"/>
          <w:bdr w:val="none" w:sz="0" w:space="0" w:color="auto"/>
          <w:lang w:val="es-VE"/>
        </w:rPr>
        <w:t xml:space="preserve"> de la Procuraduría General</w:t>
      </w:r>
      <w:r w:rsidR="00F72C14" w:rsidRPr="009B3BD2">
        <w:rPr>
          <w:rFonts w:ascii="Cambria" w:eastAsia="Calibri" w:hAnsi="Cambria"/>
          <w:sz w:val="20"/>
          <w:szCs w:val="20"/>
          <w:bdr w:val="none" w:sz="0" w:space="0" w:color="auto"/>
          <w:lang w:val="es-VE"/>
        </w:rPr>
        <w:t xml:space="preserve"> de 9 de diciembre de 2013 y de 13 de enero de 2014. </w:t>
      </w:r>
      <w:r w:rsidR="00994F6B" w:rsidRPr="009B3BD2">
        <w:rPr>
          <w:rFonts w:ascii="Cambria" w:eastAsia="Calibri" w:hAnsi="Cambria"/>
          <w:sz w:val="20"/>
          <w:szCs w:val="20"/>
          <w:bdr w:val="none" w:sz="0" w:space="0" w:color="auto"/>
          <w:lang w:val="es-VE"/>
        </w:rPr>
        <w:t xml:space="preserve"> Refirió que el 17 de marzo de 2015 la Sala Plena del Consejo de Estado dejó en firme la suspensión provisional de las decisiones al resolver un recurso de súplica presentado por el Ministerio Público. </w:t>
      </w:r>
      <w:r w:rsidR="00F72C14" w:rsidRPr="009B3BD2">
        <w:rPr>
          <w:rFonts w:ascii="Cambria" w:eastAsia="Calibri" w:hAnsi="Cambria"/>
          <w:sz w:val="20"/>
          <w:szCs w:val="20"/>
          <w:bdr w:val="none" w:sz="0" w:space="0" w:color="auto"/>
          <w:lang w:val="es-VE"/>
        </w:rPr>
        <w:t xml:space="preserve">Indicó que en virtud de dicha medida decretada por la Sala de lo Contencioso Administrativo, </w:t>
      </w:r>
      <w:r w:rsidR="004C3711" w:rsidRPr="009B3BD2">
        <w:rPr>
          <w:rFonts w:ascii="Cambria" w:eastAsia="Calibri" w:hAnsi="Cambria"/>
          <w:sz w:val="20"/>
          <w:szCs w:val="20"/>
          <w:bdr w:val="none" w:sz="0" w:space="0" w:color="auto"/>
          <w:lang w:val="es-VE"/>
        </w:rPr>
        <w:t xml:space="preserve">Gustavo </w:t>
      </w:r>
      <w:proofErr w:type="spellStart"/>
      <w:r w:rsidR="00F72C14" w:rsidRPr="009B3BD2">
        <w:rPr>
          <w:rFonts w:ascii="Cambria" w:eastAsia="Calibri" w:hAnsi="Cambria"/>
          <w:sz w:val="20"/>
          <w:szCs w:val="20"/>
          <w:bdr w:val="none" w:sz="0" w:space="0" w:color="auto"/>
          <w:lang w:val="es-VE"/>
        </w:rPr>
        <w:t>Petro</w:t>
      </w:r>
      <w:proofErr w:type="spellEnd"/>
      <w:r w:rsidR="00F72C14" w:rsidRPr="009B3BD2">
        <w:rPr>
          <w:rFonts w:ascii="Cambria" w:eastAsia="Calibri" w:hAnsi="Cambria"/>
          <w:sz w:val="20"/>
          <w:szCs w:val="20"/>
          <w:bdr w:val="none" w:sz="0" w:space="0" w:color="auto"/>
          <w:lang w:val="es-VE"/>
        </w:rPr>
        <w:t xml:space="preserve"> fue reintegrado a su cargo como Alcalde Mayor de Bogotá. </w:t>
      </w:r>
      <w:r w:rsidR="00D272D8" w:rsidRPr="009B3BD2">
        <w:rPr>
          <w:rFonts w:ascii="Cambria" w:eastAsia="Calibri" w:hAnsi="Cambria"/>
          <w:sz w:val="20"/>
          <w:szCs w:val="20"/>
          <w:bdr w:val="none" w:sz="0" w:space="0" w:color="auto"/>
          <w:lang w:val="es-VE"/>
        </w:rPr>
        <w:t xml:space="preserve"> Expresó que dicha Sala se encuentra pendiente de emitir una decisión sobre el fondo del asunto. </w:t>
      </w:r>
    </w:p>
    <w:p w14:paraId="1FDC8E90" w14:textId="77777777" w:rsidR="00835E4E" w:rsidRPr="009B3BD2" w:rsidRDefault="00835E4E" w:rsidP="00835E4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lang w:val="es-VE"/>
        </w:rPr>
      </w:pPr>
    </w:p>
    <w:p w14:paraId="6B55FF34" w14:textId="5B74C8D3" w:rsidR="00C46FA2" w:rsidRPr="009B3BD2" w:rsidRDefault="00C46FA2"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lang w:val="es-VE"/>
        </w:rPr>
      </w:pPr>
      <w:r w:rsidRPr="009B3BD2">
        <w:rPr>
          <w:rFonts w:ascii="Cambria" w:eastAsia="Calibri" w:hAnsi="Cambria"/>
          <w:sz w:val="20"/>
          <w:szCs w:val="20"/>
          <w:bdr w:val="none" w:sz="0" w:space="0" w:color="auto"/>
          <w:lang w:val="es-VE"/>
        </w:rPr>
        <w:t>En cuanto al derecho</w:t>
      </w:r>
      <w:r w:rsidR="007F3A47" w:rsidRPr="009B3BD2">
        <w:rPr>
          <w:rFonts w:ascii="Cambria" w:eastAsia="Calibri" w:hAnsi="Cambria"/>
          <w:sz w:val="20"/>
          <w:szCs w:val="20"/>
          <w:bdr w:val="none" w:sz="0" w:space="0" w:color="auto"/>
          <w:lang w:val="es-VE"/>
        </w:rPr>
        <w:t>,</w:t>
      </w:r>
      <w:r w:rsidRPr="009B3BD2">
        <w:rPr>
          <w:rFonts w:ascii="Cambria" w:eastAsia="Calibri" w:hAnsi="Cambria"/>
          <w:sz w:val="20"/>
          <w:szCs w:val="20"/>
          <w:bdr w:val="none" w:sz="0" w:space="0" w:color="auto"/>
          <w:lang w:val="es-VE"/>
        </w:rPr>
        <w:t xml:space="preserve"> el Estado afirmó </w:t>
      </w:r>
      <w:r w:rsidR="003074D6" w:rsidRPr="009B3BD2">
        <w:rPr>
          <w:rFonts w:ascii="Cambria" w:eastAsia="Calibri" w:hAnsi="Cambria"/>
          <w:sz w:val="20"/>
          <w:szCs w:val="20"/>
          <w:bdr w:val="none" w:sz="0" w:space="0" w:color="auto"/>
          <w:lang w:val="es-VE"/>
        </w:rPr>
        <w:t xml:space="preserve">que no se configuró violación alguna a los </w:t>
      </w:r>
      <w:r w:rsidR="003074D6" w:rsidRPr="009B3BD2">
        <w:rPr>
          <w:rFonts w:ascii="Cambria" w:eastAsia="Calibri" w:hAnsi="Cambria"/>
          <w:b/>
          <w:sz w:val="20"/>
          <w:szCs w:val="20"/>
          <w:bdr w:val="none" w:sz="0" w:space="0" w:color="auto"/>
          <w:lang w:val="es-VE"/>
        </w:rPr>
        <w:t>derechos políticos</w:t>
      </w:r>
      <w:r w:rsidR="00B75DFE" w:rsidRPr="009B3BD2">
        <w:rPr>
          <w:rFonts w:ascii="Cambria" w:eastAsia="Calibri" w:hAnsi="Cambria"/>
          <w:b/>
          <w:sz w:val="20"/>
          <w:szCs w:val="20"/>
          <w:bdr w:val="none" w:sz="0" w:space="0" w:color="auto"/>
          <w:lang w:val="es-VE"/>
        </w:rPr>
        <w:t xml:space="preserve"> </w:t>
      </w:r>
      <w:r w:rsidR="00A80F30" w:rsidRPr="009B3BD2">
        <w:rPr>
          <w:rFonts w:ascii="Cambria" w:eastAsia="Calibri" w:hAnsi="Cambria"/>
          <w:b/>
          <w:sz w:val="20"/>
          <w:szCs w:val="20"/>
          <w:bdr w:val="none" w:sz="0" w:space="0" w:color="auto"/>
          <w:lang w:val="es-VE"/>
        </w:rPr>
        <w:t xml:space="preserve">o al deber de adoptar disposiciones de derecho interno, </w:t>
      </w:r>
      <w:r w:rsidR="00B75DFE" w:rsidRPr="009B3BD2">
        <w:rPr>
          <w:rFonts w:ascii="Cambria" w:eastAsia="Calibri" w:hAnsi="Cambria"/>
          <w:sz w:val="20"/>
          <w:szCs w:val="20"/>
          <w:bdr w:val="none" w:sz="0" w:space="0" w:color="auto"/>
          <w:lang w:val="es-VE"/>
        </w:rPr>
        <w:t xml:space="preserve">refiriendo que la facultad del Procurador General de la Nación para imponer la sanción de inhabilitación no desconoce el numeral 2 del artículo 23 de la Convención Americana </w:t>
      </w:r>
      <w:r w:rsidR="003157A4" w:rsidRPr="009B3BD2">
        <w:rPr>
          <w:rFonts w:ascii="Cambria" w:eastAsia="Calibri" w:hAnsi="Cambria"/>
          <w:sz w:val="20"/>
          <w:szCs w:val="20"/>
          <w:bdr w:val="none" w:sz="0" w:space="0" w:color="auto"/>
          <w:lang w:val="es-VE"/>
        </w:rPr>
        <w:t>y que la Corte Constitucional</w:t>
      </w:r>
      <w:r w:rsidR="00F35959" w:rsidRPr="009B3BD2">
        <w:rPr>
          <w:rFonts w:ascii="Cambria" w:eastAsia="Calibri" w:hAnsi="Cambria"/>
          <w:sz w:val="20"/>
          <w:szCs w:val="20"/>
          <w:bdr w:val="none" w:sz="0" w:space="0" w:color="auto"/>
          <w:lang w:val="es-VE"/>
        </w:rPr>
        <w:t xml:space="preserve"> colombiana</w:t>
      </w:r>
      <w:r w:rsidR="003157A4" w:rsidRPr="009B3BD2">
        <w:rPr>
          <w:rFonts w:ascii="Cambria" w:eastAsia="Calibri" w:hAnsi="Cambria"/>
          <w:sz w:val="20"/>
          <w:szCs w:val="20"/>
          <w:bdr w:val="none" w:sz="0" w:space="0" w:color="auto"/>
          <w:lang w:val="es-VE"/>
        </w:rPr>
        <w:t xml:space="preserve"> ha examinado dicha facultad y expresado su compatibilidad con</w:t>
      </w:r>
      <w:r w:rsidR="00521E55" w:rsidRPr="009B3BD2">
        <w:rPr>
          <w:rFonts w:ascii="Cambria" w:eastAsia="Calibri" w:hAnsi="Cambria"/>
          <w:sz w:val="20"/>
          <w:szCs w:val="20"/>
          <w:bdr w:val="none" w:sz="0" w:space="0" w:color="auto"/>
          <w:lang w:val="es-VE"/>
        </w:rPr>
        <w:t xml:space="preserve"> dicho instrumento</w:t>
      </w:r>
      <w:r w:rsidR="003157A4" w:rsidRPr="009B3BD2">
        <w:rPr>
          <w:rFonts w:ascii="Cambria" w:eastAsia="Calibri" w:hAnsi="Cambria"/>
          <w:sz w:val="20"/>
          <w:szCs w:val="20"/>
          <w:bdr w:val="none" w:sz="0" w:space="0" w:color="auto"/>
          <w:lang w:val="es-VE"/>
        </w:rPr>
        <w:t xml:space="preserve">. Indicó que la sanción se impone con respeto pleno a las garantías procesales y luego se permite un control jurisdiccional integral sobre la sanción con la capacidad de </w:t>
      </w:r>
      <w:r w:rsidR="0070137A" w:rsidRPr="009B3BD2">
        <w:rPr>
          <w:rFonts w:ascii="Cambria" w:eastAsia="Calibri" w:hAnsi="Cambria"/>
          <w:sz w:val="20"/>
          <w:szCs w:val="20"/>
          <w:bdr w:val="none" w:sz="0" w:space="0" w:color="auto"/>
          <w:lang w:val="es-VE"/>
        </w:rPr>
        <w:t>anularla</w:t>
      </w:r>
      <w:r w:rsidR="003157A4" w:rsidRPr="009B3BD2">
        <w:rPr>
          <w:rFonts w:ascii="Cambria" w:eastAsia="Calibri" w:hAnsi="Cambria"/>
          <w:sz w:val="20"/>
          <w:szCs w:val="20"/>
          <w:bdr w:val="none" w:sz="0" w:space="0" w:color="auto"/>
          <w:lang w:val="es-VE"/>
        </w:rPr>
        <w:t xml:space="preserve">. </w:t>
      </w:r>
      <w:r w:rsidR="003074D6" w:rsidRPr="009B3BD2">
        <w:rPr>
          <w:rFonts w:ascii="Cambria" w:eastAsia="Calibri" w:hAnsi="Cambria"/>
          <w:b/>
          <w:sz w:val="20"/>
          <w:szCs w:val="20"/>
          <w:bdr w:val="none" w:sz="0" w:space="0" w:color="auto"/>
          <w:lang w:val="es-VE"/>
        </w:rPr>
        <w:t xml:space="preserve"> </w:t>
      </w:r>
    </w:p>
    <w:p w14:paraId="5D2C6660" w14:textId="77777777" w:rsidR="00115122" w:rsidRPr="009B3BD2" w:rsidRDefault="00115122" w:rsidP="00CA4A57">
      <w:pPr>
        <w:rPr>
          <w:rFonts w:eastAsia="Calibri"/>
          <w:sz w:val="20"/>
          <w:szCs w:val="20"/>
          <w:bdr w:val="none" w:sz="0" w:space="0" w:color="auto"/>
          <w:lang w:val="es-VE"/>
        </w:rPr>
      </w:pPr>
    </w:p>
    <w:p w14:paraId="0B604DB7" w14:textId="77777777" w:rsidR="00C46FA2" w:rsidRPr="009B3BD2" w:rsidRDefault="00C46FA2"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lang w:val="es-VE"/>
        </w:rPr>
      </w:pPr>
      <w:r w:rsidRPr="009B3BD2">
        <w:rPr>
          <w:rFonts w:ascii="Cambria" w:eastAsia="Calibri" w:hAnsi="Cambria"/>
          <w:sz w:val="20"/>
          <w:szCs w:val="20"/>
          <w:bdr w:val="none" w:sz="0" w:space="0" w:color="auto"/>
          <w:lang w:val="es-VE"/>
        </w:rPr>
        <w:t xml:space="preserve">Indicó que no se violó el </w:t>
      </w:r>
      <w:r w:rsidRPr="009B3BD2">
        <w:rPr>
          <w:rFonts w:ascii="Cambria" w:eastAsia="Calibri" w:hAnsi="Cambria"/>
          <w:b/>
          <w:sz w:val="20"/>
          <w:szCs w:val="20"/>
          <w:bdr w:val="none" w:sz="0" w:space="0" w:color="auto"/>
          <w:lang w:val="es-VE"/>
        </w:rPr>
        <w:t xml:space="preserve">derecho </w:t>
      </w:r>
      <w:r w:rsidR="004C4BC7" w:rsidRPr="009B3BD2">
        <w:rPr>
          <w:rFonts w:ascii="Cambria" w:eastAsia="Calibri" w:hAnsi="Cambria"/>
          <w:b/>
          <w:sz w:val="20"/>
          <w:szCs w:val="20"/>
          <w:bdr w:val="none" w:sz="0" w:space="0" w:color="auto"/>
          <w:lang w:val="es-VE"/>
        </w:rPr>
        <w:t xml:space="preserve">a la protección judicial </w:t>
      </w:r>
      <w:r w:rsidR="004C4BC7" w:rsidRPr="009B3BD2">
        <w:rPr>
          <w:rFonts w:ascii="Cambria" w:eastAsia="Calibri" w:hAnsi="Cambria"/>
          <w:sz w:val="20"/>
          <w:szCs w:val="20"/>
          <w:bdr w:val="none" w:sz="0" w:space="0" w:color="auto"/>
          <w:lang w:val="es-VE"/>
        </w:rPr>
        <w:t>porque existe</w:t>
      </w:r>
      <w:r w:rsidR="003074D6" w:rsidRPr="009B3BD2">
        <w:rPr>
          <w:rFonts w:ascii="Cambria" w:eastAsia="Calibri" w:hAnsi="Cambria"/>
          <w:sz w:val="20"/>
          <w:szCs w:val="20"/>
          <w:bdr w:val="none" w:sz="0" w:space="0" w:color="auto"/>
          <w:lang w:val="es-VE"/>
        </w:rPr>
        <w:t>n</w:t>
      </w:r>
      <w:r w:rsidR="004C4BC7" w:rsidRPr="009B3BD2">
        <w:rPr>
          <w:rFonts w:ascii="Cambria" w:eastAsia="Calibri" w:hAnsi="Cambria"/>
          <w:sz w:val="20"/>
          <w:szCs w:val="20"/>
          <w:bdr w:val="none" w:sz="0" w:space="0" w:color="auto"/>
          <w:lang w:val="es-VE"/>
        </w:rPr>
        <w:t xml:space="preserve"> recurso</w:t>
      </w:r>
      <w:r w:rsidR="003074D6" w:rsidRPr="009B3BD2">
        <w:rPr>
          <w:rFonts w:ascii="Cambria" w:eastAsia="Calibri" w:hAnsi="Cambria"/>
          <w:sz w:val="20"/>
          <w:szCs w:val="20"/>
          <w:bdr w:val="none" w:sz="0" w:space="0" w:color="auto"/>
          <w:lang w:val="es-VE"/>
        </w:rPr>
        <w:t>s</w:t>
      </w:r>
      <w:r w:rsidR="004C4BC7" w:rsidRPr="009B3BD2">
        <w:rPr>
          <w:rFonts w:ascii="Cambria" w:eastAsia="Calibri" w:hAnsi="Cambria"/>
          <w:sz w:val="20"/>
          <w:szCs w:val="20"/>
          <w:bdr w:val="none" w:sz="0" w:space="0" w:color="auto"/>
          <w:lang w:val="es-VE"/>
        </w:rPr>
        <w:t xml:space="preserve"> judicial</w:t>
      </w:r>
      <w:r w:rsidR="003074D6" w:rsidRPr="009B3BD2">
        <w:rPr>
          <w:rFonts w:ascii="Cambria" w:eastAsia="Calibri" w:hAnsi="Cambria"/>
          <w:sz w:val="20"/>
          <w:szCs w:val="20"/>
          <w:bdr w:val="none" w:sz="0" w:space="0" w:color="auto"/>
          <w:lang w:val="es-VE"/>
        </w:rPr>
        <w:t>es</w:t>
      </w:r>
      <w:r w:rsidR="004C4BC7" w:rsidRPr="009B3BD2">
        <w:rPr>
          <w:rFonts w:ascii="Cambria" w:eastAsia="Calibri" w:hAnsi="Cambria"/>
          <w:sz w:val="20"/>
          <w:szCs w:val="20"/>
          <w:bdr w:val="none" w:sz="0" w:space="0" w:color="auto"/>
          <w:lang w:val="es-VE"/>
        </w:rPr>
        <w:t xml:space="preserve"> para controvertir las decisiones disciplinarias que afectan los derechos políticos, como lo es la acción de nulidad y restablecimiento del derecho</w:t>
      </w:r>
      <w:r w:rsidR="00F236A9" w:rsidRPr="009B3BD2">
        <w:rPr>
          <w:rFonts w:ascii="Cambria" w:eastAsia="Calibri" w:hAnsi="Cambria"/>
          <w:sz w:val="20"/>
          <w:szCs w:val="20"/>
          <w:bdr w:val="none" w:sz="0" w:space="0" w:color="auto"/>
          <w:lang w:val="es-VE"/>
        </w:rPr>
        <w:t xml:space="preserve"> ante el Consejo de Estado</w:t>
      </w:r>
      <w:r w:rsidR="003074D6" w:rsidRPr="009B3BD2">
        <w:rPr>
          <w:rFonts w:ascii="Cambria" w:eastAsia="Calibri" w:hAnsi="Cambria"/>
          <w:sz w:val="20"/>
          <w:szCs w:val="20"/>
          <w:bdr w:val="none" w:sz="0" w:space="0" w:color="auto"/>
          <w:lang w:val="es-VE"/>
        </w:rPr>
        <w:t>, que permite la suspensión provisional del acto administrativo cuando se cumplan los supuestos que allí se establecen</w:t>
      </w:r>
      <w:r w:rsidR="00F236A9" w:rsidRPr="009B3BD2">
        <w:rPr>
          <w:rFonts w:ascii="Cambria" w:eastAsia="Calibri" w:hAnsi="Cambria"/>
          <w:sz w:val="20"/>
          <w:szCs w:val="20"/>
          <w:bdr w:val="none" w:sz="0" w:space="0" w:color="auto"/>
          <w:lang w:val="es-VE"/>
        </w:rPr>
        <w:t xml:space="preserve">. Añadió que también se han admitido excepcionalmente acciones de tutela en contra de decisiones que imponen sanciones disciplinarias. </w:t>
      </w:r>
    </w:p>
    <w:p w14:paraId="08921AFC" w14:textId="77777777" w:rsidR="00FD0B6D" w:rsidRPr="009B3BD2" w:rsidRDefault="00FD0B6D" w:rsidP="000F02CF">
      <w:pPr>
        <w:rPr>
          <w:rFonts w:asciiTheme="majorHAnsi" w:eastAsia="Times New Roman" w:hAnsiTheme="majorHAnsi"/>
          <w:sz w:val="20"/>
          <w:szCs w:val="20"/>
          <w:bdr w:val="none" w:sz="0" w:space="0" w:color="auto"/>
          <w:lang w:val="es-VE"/>
        </w:rPr>
      </w:pPr>
    </w:p>
    <w:p w14:paraId="6821DD2F" w14:textId="77777777" w:rsidR="00D87686" w:rsidRPr="009B3BD2" w:rsidRDefault="0025633E" w:rsidP="00415A4A">
      <w:pPr>
        <w:pStyle w:val="Heading1"/>
        <w:numPr>
          <w:ilvl w:val="0"/>
          <w:numId w:val="54"/>
        </w:numPr>
        <w:tabs>
          <w:tab w:val="clear" w:pos="1440"/>
        </w:tabs>
      </w:pPr>
      <w:bookmarkStart w:id="17" w:name="_Toc497398851"/>
      <w:r w:rsidRPr="009B3BD2">
        <w:t>DETERMINACIONES DE HECHO</w:t>
      </w:r>
      <w:bookmarkEnd w:id="17"/>
    </w:p>
    <w:p w14:paraId="762F3148" w14:textId="77777777" w:rsidR="009E57C9" w:rsidRPr="009B3BD2" w:rsidRDefault="009E57C9" w:rsidP="009E57C9">
      <w:pPr>
        <w:rPr>
          <w:lang w:val="es-VE"/>
        </w:rPr>
      </w:pPr>
    </w:p>
    <w:p w14:paraId="0B8295DD" w14:textId="77777777" w:rsidR="0089296E" w:rsidRPr="009B3BD2" w:rsidRDefault="00D87686" w:rsidP="00415A4A">
      <w:pPr>
        <w:pStyle w:val="Heading2"/>
        <w:numPr>
          <w:ilvl w:val="0"/>
          <w:numId w:val="59"/>
        </w:numPr>
        <w:ind w:left="1440" w:hanging="720"/>
        <w:rPr>
          <w:rFonts w:ascii="Cambria" w:hAnsi="Cambria" w:cs="Arial"/>
          <w:bCs/>
          <w:iCs/>
          <w:lang w:val="pt-BR"/>
        </w:rPr>
      </w:pPr>
      <w:bookmarkStart w:id="18" w:name="_Toc497398852"/>
      <w:r w:rsidRPr="009B3BD2">
        <w:rPr>
          <w:rFonts w:ascii="Cambria" w:hAnsi="Cambria" w:cs="Arial"/>
          <w:bCs/>
          <w:iCs/>
          <w:lang w:val="pt-BR"/>
        </w:rPr>
        <w:t>So</w:t>
      </w:r>
      <w:r w:rsidR="00DA1CC1" w:rsidRPr="009B3BD2">
        <w:rPr>
          <w:rFonts w:ascii="Cambria" w:hAnsi="Cambria" w:cs="Arial"/>
          <w:bCs/>
          <w:iCs/>
          <w:lang w:val="pt-BR"/>
        </w:rPr>
        <w:t>bre Gustavo Francisco Petro Urrego</w:t>
      </w:r>
      <w:bookmarkEnd w:id="18"/>
    </w:p>
    <w:p w14:paraId="2BBBF8C2" w14:textId="77777777" w:rsidR="009631F3" w:rsidRPr="009B3BD2" w:rsidRDefault="009631F3" w:rsidP="009631F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pt-BR"/>
        </w:rPr>
      </w:pPr>
    </w:p>
    <w:p w14:paraId="6542EA2A" w14:textId="17CC3CBD" w:rsidR="0089296E" w:rsidRPr="009B3BD2" w:rsidRDefault="004274D6"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L</w:t>
      </w:r>
      <w:r w:rsidR="007958F2" w:rsidRPr="009B3BD2">
        <w:rPr>
          <w:rFonts w:ascii="Cambria" w:hAnsi="Cambria"/>
          <w:sz w:val="20"/>
          <w:szCs w:val="20"/>
          <w:lang w:val="es-CO"/>
        </w:rPr>
        <w:t>a presunta víctima tiene actualmente 57 años</w:t>
      </w:r>
      <w:r w:rsidR="007958F2" w:rsidRPr="009B3BD2">
        <w:rPr>
          <w:rFonts w:ascii="Cambria" w:hAnsi="Cambria"/>
          <w:sz w:val="20"/>
          <w:szCs w:val="20"/>
          <w:vertAlign w:val="superscript"/>
        </w:rPr>
        <w:footnoteReference w:id="3"/>
      </w:r>
      <w:r w:rsidR="007958F2" w:rsidRPr="009B3BD2">
        <w:rPr>
          <w:rFonts w:ascii="Cambria" w:hAnsi="Cambria"/>
          <w:sz w:val="20"/>
          <w:szCs w:val="20"/>
          <w:lang w:val="es-CO"/>
        </w:rPr>
        <w:t xml:space="preserve">. </w:t>
      </w:r>
      <w:r w:rsidR="009631F3" w:rsidRPr="009B3BD2">
        <w:rPr>
          <w:rFonts w:ascii="Cambria" w:hAnsi="Cambria"/>
          <w:sz w:val="20"/>
          <w:szCs w:val="20"/>
          <w:lang w:val="es-CO"/>
        </w:rPr>
        <w:t xml:space="preserve">Según informó la parte peticionaria y el Estado no </w:t>
      </w:r>
      <w:r w:rsidR="00D3225E" w:rsidRPr="009B3BD2">
        <w:rPr>
          <w:rFonts w:ascii="Cambria" w:hAnsi="Cambria"/>
          <w:sz w:val="20"/>
          <w:szCs w:val="20"/>
          <w:lang w:val="es-CO"/>
        </w:rPr>
        <w:t>controvirtió</w:t>
      </w:r>
      <w:r w:rsidR="009631F3" w:rsidRPr="009B3BD2">
        <w:rPr>
          <w:rFonts w:ascii="Cambria" w:hAnsi="Cambria"/>
          <w:sz w:val="20"/>
          <w:szCs w:val="20"/>
          <w:lang w:val="es-CO"/>
        </w:rPr>
        <w:t xml:space="preserve">, </w:t>
      </w:r>
      <w:r w:rsidRPr="009B3BD2">
        <w:rPr>
          <w:rFonts w:ascii="Cambria" w:hAnsi="Cambria"/>
          <w:sz w:val="20"/>
          <w:szCs w:val="20"/>
          <w:lang w:val="es-CO"/>
        </w:rPr>
        <w:t xml:space="preserve">Gustavo </w:t>
      </w:r>
      <w:proofErr w:type="spellStart"/>
      <w:r w:rsidRPr="009B3BD2">
        <w:rPr>
          <w:rFonts w:ascii="Cambria" w:hAnsi="Cambria"/>
          <w:sz w:val="20"/>
          <w:szCs w:val="20"/>
          <w:lang w:val="es-CO"/>
        </w:rPr>
        <w:t>Petro</w:t>
      </w:r>
      <w:proofErr w:type="spellEnd"/>
      <w:r w:rsidRPr="009B3BD2">
        <w:rPr>
          <w:rFonts w:ascii="Cambria" w:hAnsi="Cambria"/>
          <w:sz w:val="20"/>
          <w:szCs w:val="20"/>
          <w:lang w:val="es-CO"/>
        </w:rPr>
        <w:t xml:space="preserve"> </w:t>
      </w:r>
      <w:r w:rsidR="009631F3" w:rsidRPr="009B3BD2">
        <w:rPr>
          <w:rFonts w:ascii="Cambria" w:hAnsi="Cambria"/>
          <w:sz w:val="20"/>
          <w:szCs w:val="20"/>
          <w:lang w:val="es-CO"/>
        </w:rPr>
        <w:t>ha tenido participación en la vida política de Colombia desde 1981, habiendo sido con</w:t>
      </w:r>
      <w:r w:rsidR="00A41E12" w:rsidRPr="009B3BD2">
        <w:rPr>
          <w:rFonts w:ascii="Cambria" w:hAnsi="Cambria"/>
          <w:sz w:val="20"/>
          <w:szCs w:val="20"/>
          <w:lang w:val="es-CO"/>
        </w:rPr>
        <w:t>c</w:t>
      </w:r>
      <w:r w:rsidR="009631F3" w:rsidRPr="009B3BD2">
        <w:rPr>
          <w:rFonts w:ascii="Cambria" w:hAnsi="Cambria"/>
          <w:sz w:val="20"/>
          <w:szCs w:val="20"/>
          <w:lang w:val="es-CO"/>
        </w:rPr>
        <w:t>ejal de Zipaquirá, miembro de la Cámara de Representantes por el departamento de Cundinamarca, y luego</w:t>
      </w:r>
      <w:r w:rsidR="006F67D8" w:rsidRPr="009B3BD2">
        <w:rPr>
          <w:rFonts w:ascii="Cambria" w:hAnsi="Cambria"/>
          <w:sz w:val="20"/>
          <w:szCs w:val="20"/>
          <w:lang w:val="es-CO"/>
        </w:rPr>
        <w:t xml:space="preserve"> en dos ocasiones</w:t>
      </w:r>
      <w:r w:rsidR="009631F3" w:rsidRPr="009B3BD2">
        <w:rPr>
          <w:rFonts w:ascii="Cambria" w:hAnsi="Cambria"/>
          <w:sz w:val="20"/>
          <w:szCs w:val="20"/>
          <w:lang w:val="es-CO"/>
        </w:rPr>
        <w:t xml:space="preserve"> por l</w:t>
      </w:r>
      <w:r w:rsidR="006F67D8" w:rsidRPr="009B3BD2">
        <w:rPr>
          <w:rFonts w:ascii="Cambria" w:hAnsi="Cambria"/>
          <w:sz w:val="20"/>
          <w:szCs w:val="20"/>
          <w:lang w:val="es-CO"/>
        </w:rPr>
        <w:t xml:space="preserve">a circunscripción de Bogotá D.C. </w:t>
      </w:r>
      <w:r w:rsidR="00CF48A6" w:rsidRPr="009B3BD2">
        <w:rPr>
          <w:rFonts w:ascii="Cambria" w:hAnsi="Cambria"/>
          <w:sz w:val="20"/>
          <w:szCs w:val="20"/>
          <w:lang w:val="es-CO"/>
        </w:rPr>
        <w:t>En 2006 fue electo S</w:t>
      </w:r>
      <w:r w:rsidR="009631F3" w:rsidRPr="009B3BD2">
        <w:rPr>
          <w:rFonts w:ascii="Cambria" w:hAnsi="Cambria"/>
          <w:sz w:val="20"/>
          <w:szCs w:val="20"/>
          <w:lang w:val="es-CO"/>
        </w:rPr>
        <w:t>enador de la República. En las elecciones de 2010 fue candidato a la Presidencia de la República de Colombia. El 30 de octubre de 2011 ganó las elecciones para la Alcaldía de Bogotá D.C</w:t>
      </w:r>
      <w:r w:rsidR="009624B0" w:rsidRPr="009B3BD2">
        <w:rPr>
          <w:rStyle w:val="FootnoteReference"/>
          <w:rFonts w:asciiTheme="majorHAnsi" w:hAnsiTheme="majorHAnsi"/>
          <w:sz w:val="20"/>
          <w:szCs w:val="20"/>
          <w:lang w:val="es-CO"/>
        </w:rPr>
        <w:footnoteReference w:id="4"/>
      </w:r>
      <w:r w:rsidR="0044737A" w:rsidRPr="009B3BD2">
        <w:rPr>
          <w:rFonts w:ascii="Cambria" w:hAnsi="Cambria"/>
          <w:sz w:val="20"/>
          <w:szCs w:val="20"/>
          <w:lang w:val="es-CO"/>
        </w:rPr>
        <w:t xml:space="preserve"> por el Movimiento Progresistas.</w:t>
      </w:r>
    </w:p>
    <w:p w14:paraId="531E363B" w14:textId="77777777" w:rsidR="0087702F" w:rsidRPr="009B3BD2" w:rsidRDefault="0087702F" w:rsidP="009631F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491361A1" w14:textId="57E89225" w:rsidR="002D1E60" w:rsidRPr="009B3BD2" w:rsidRDefault="00205EF2" w:rsidP="002D1E60">
      <w:pPr>
        <w:pStyle w:val="Heading2"/>
        <w:numPr>
          <w:ilvl w:val="0"/>
          <w:numId w:val="59"/>
        </w:numPr>
        <w:ind w:left="1440" w:hanging="720"/>
        <w:rPr>
          <w:rFonts w:ascii="Cambria" w:hAnsi="Cambria" w:cs="Arial"/>
          <w:bCs/>
          <w:iCs/>
          <w:lang w:val="es-VE"/>
        </w:rPr>
      </w:pPr>
      <w:bookmarkStart w:id="19" w:name="_Toc497398853"/>
      <w:r w:rsidRPr="009B3BD2">
        <w:rPr>
          <w:rFonts w:ascii="Cambria" w:hAnsi="Cambria" w:cs="Arial"/>
          <w:bCs/>
          <w:iCs/>
          <w:lang w:val="es-VE"/>
        </w:rPr>
        <w:t>Sobre</w:t>
      </w:r>
      <w:r w:rsidR="00E61C86" w:rsidRPr="009B3BD2">
        <w:rPr>
          <w:rFonts w:ascii="Cambria" w:hAnsi="Cambria" w:cs="Arial"/>
          <w:bCs/>
          <w:iCs/>
          <w:lang w:val="es-VE"/>
        </w:rPr>
        <w:t xml:space="preserve"> el marco normativo </w:t>
      </w:r>
      <w:r w:rsidR="00CF48A6" w:rsidRPr="009B3BD2">
        <w:rPr>
          <w:rFonts w:ascii="Cambria" w:hAnsi="Cambria" w:cs="Arial"/>
          <w:bCs/>
          <w:iCs/>
          <w:lang w:val="es-VE"/>
        </w:rPr>
        <w:t>relevante</w:t>
      </w:r>
      <w:r w:rsidR="00E61C86" w:rsidRPr="009B3BD2">
        <w:rPr>
          <w:rFonts w:ascii="Cambria" w:hAnsi="Cambria" w:cs="Arial"/>
          <w:bCs/>
          <w:iCs/>
          <w:lang w:val="es-VE"/>
        </w:rPr>
        <w:t xml:space="preserve"> a los</w:t>
      </w:r>
      <w:r w:rsidRPr="009B3BD2">
        <w:rPr>
          <w:rFonts w:ascii="Cambria" w:hAnsi="Cambria" w:cs="Arial"/>
          <w:bCs/>
          <w:iCs/>
          <w:lang w:val="es-VE"/>
        </w:rPr>
        <w:t xml:space="preserve"> procedimiento</w:t>
      </w:r>
      <w:r w:rsidR="00043646" w:rsidRPr="009B3BD2">
        <w:rPr>
          <w:rFonts w:ascii="Cambria" w:hAnsi="Cambria" w:cs="Arial"/>
          <w:bCs/>
          <w:iCs/>
          <w:lang w:val="es-VE"/>
        </w:rPr>
        <w:t>s</w:t>
      </w:r>
      <w:r w:rsidRPr="009B3BD2">
        <w:rPr>
          <w:rFonts w:ascii="Cambria" w:hAnsi="Cambria" w:cs="Arial"/>
          <w:bCs/>
          <w:iCs/>
          <w:lang w:val="es-VE"/>
        </w:rPr>
        <w:t xml:space="preserve"> disciplinario</w:t>
      </w:r>
      <w:r w:rsidR="00043646" w:rsidRPr="009B3BD2">
        <w:rPr>
          <w:rFonts w:ascii="Cambria" w:hAnsi="Cambria" w:cs="Arial"/>
          <w:bCs/>
          <w:iCs/>
          <w:lang w:val="es-VE"/>
        </w:rPr>
        <w:t>s</w:t>
      </w:r>
      <w:r w:rsidRPr="009B3BD2">
        <w:rPr>
          <w:rFonts w:ascii="Cambria" w:hAnsi="Cambria" w:cs="Arial"/>
          <w:bCs/>
          <w:iCs/>
          <w:lang w:val="es-VE"/>
        </w:rPr>
        <w:t>-sancionatorio</w:t>
      </w:r>
      <w:bookmarkEnd w:id="19"/>
      <w:r w:rsidR="0018291A">
        <w:rPr>
          <w:rFonts w:ascii="Cambria" w:hAnsi="Cambria" w:cs="Arial"/>
          <w:bCs/>
          <w:iCs/>
          <w:lang w:val="es-VE"/>
        </w:rPr>
        <w:t>s</w:t>
      </w:r>
      <w:r w:rsidRPr="009B3BD2">
        <w:rPr>
          <w:rFonts w:ascii="Cambria" w:hAnsi="Cambria" w:cs="Arial"/>
          <w:bCs/>
          <w:iCs/>
          <w:lang w:val="es-VE"/>
        </w:rPr>
        <w:t xml:space="preserve"> </w:t>
      </w:r>
    </w:p>
    <w:p w14:paraId="0795426C" w14:textId="77777777" w:rsidR="004F333C" w:rsidRPr="009B3BD2" w:rsidRDefault="004F333C" w:rsidP="00415A4A">
      <w:pPr>
        <w:pStyle w:val="Heading3"/>
        <w:numPr>
          <w:ilvl w:val="1"/>
          <w:numId w:val="54"/>
        </w:numPr>
        <w:tabs>
          <w:tab w:val="clear" w:pos="1800"/>
          <w:tab w:val="num" w:pos="1440"/>
        </w:tabs>
        <w:ind w:hanging="1080"/>
        <w:rPr>
          <w:color w:val="auto"/>
          <w:sz w:val="20"/>
          <w:szCs w:val="20"/>
          <w:lang w:val="es-CO"/>
        </w:rPr>
      </w:pPr>
      <w:bookmarkStart w:id="20" w:name="_Toc497398854"/>
      <w:r w:rsidRPr="009B3BD2">
        <w:rPr>
          <w:color w:val="auto"/>
          <w:sz w:val="20"/>
          <w:szCs w:val="20"/>
          <w:lang w:val="es-CO"/>
        </w:rPr>
        <w:t>Constitución Política</w:t>
      </w:r>
      <w:bookmarkEnd w:id="20"/>
    </w:p>
    <w:p w14:paraId="0421D00D" w14:textId="77777777" w:rsidR="004F333C" w:rsidRPr="009B3BD2" w:rsidRDefault="004F333C" w:rsidP="009624B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203739A6" w14:textId="03964408" w:rsidR="00972864" w:rsidRPr="009B3BD2" w:rsidRDefault="00805D22"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La Constitución Política de Colombia establece en su</w:t>
      </w:r>
      <w:r w:rsidR="00972864" w:rsidRPr="009B3BD2">
        <w:rPr>
          <w:rFonts w:ascii="Cambria" w:hAnsi="Cambria"/>
          <w:sz w:val="20"/>
          <w:szCs w:val="20"/>
          <w:lang w:val="es-CO"/>
        </w:rPr>
        <w:t>s</w:t>
      </w:r>
      <w:r w:rsidRPr="009B3BD2">
        <w:rPr>
          <w:rFonts w:ascii="Cambria" w:hAnsi="Cambria"/>
          <w:sz w:val="20"/>
          <w:szCs w:val="20"/>
          <w:lang w:val="es-CO"/>
        </w:rPr>
        <w:t xml:space="preserve"> artículo</w:t>
      </w:r>
      <w:r w:rsidR="004F333C" w:rsidRPr="009B3BD2">
        <w:rPr>
          <w:rFonts w:ascii="Cambria" w:hAnsi="Cambria"/>
          <w:sz w:val="20"/>
          <w:szCs w:val="20"/>
          <w:lang w:val="es-CO"/>
        </w:rPr>
        <w:t>s</w:t>
      </w:r>
      <w:r w:rsidRPr="009B3BD2">
        <w:rPr>
          <w:rFonts w:ascii="Cambria" w:hAnsi="Cambria"/>
          <w:sz w:val="20"/>
          <w:szCs w:val="20"/>
          <w:lang w:val="es-CO"/>
        </w:rPr>
        <w:t xml:space="preserve"> 277 </w:t>
      </w:r>
      <w:r w:rsidR="008706BD" w:rsidRPr="009B3BD2">
        <w:rPr>
          <w:rFonts w:ascii="Cambria" w:hAnsi="Cambria"/>
          <w:sz w:val="20"/>
          <w:szCs w:val="20"/>
          <w:lang w:val="es-CO"/>
        </w:rPr>
        <w:t xml:space="preserve"> y 27</w:t>
      </w:r>
      <w:r w:rsidR="00972864" w:rsidRPr="009B3BD2">
        <w:rPr>
          <w:rFonts w:ascii="Cambria" w:hAnsi="Cambria"/>
          <w:sz w:val="20"/>
          <w:szCs w:val="20"/>
          <w:lang w:val="es-CO"/>
        </w:rPr>
        <w:t>8</w:t>
      </w:r>
      <w:r w:rsidR="004F333C" w:rsidRPr="009B3BD2">
        <w:rPr>
          <w:rFonts w:ascii="Cambria" w:hAnsi="Cambria"/>
          <w:sz w:val="20"/>
          <w:szCs w:val="20"/>
          <w:lang w:val="es-CO"/>
        </w:rPr>
        <w:t xml:space="preserve"> lo siguiente:</w:t>
      </w:r>
    </w:p>
    <w:p w14:paraId="01AB4E41" w14:textId="77777777" w:rsidR="00DF125F" w:rsidRPr="009B3BD2" w:rsidRDefault="00DF125F" w:rsidP="00972864">
      <w:pPr>
        <w:rPr>
          <w:sz w:val="20"/>
          <w:szCs w:val="20"/>
          <w:lang w:val="es-CO"/>
        </w:rPr>
      </w:pPr>
    </w:p>
    <w:p w14:paraId="41588BED" w14:textId="38CAEB89" w:rsidR="00DF125F" w:rsidRPr="009B3BD2" w:rsidRDefault="00972864" w:rsidP="00AA594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lastRenderedPageBreak/>
        <w:t xml:space="preserve">Artículo 277. </w:t>
      </w:r>
      <w:r w:rsidR="00805D22" w:rsidRPr="009B3BD2">
        <w:rPr>
          <w:rFonts w:ascii="Cambria" w:hAnsi="Cambria"/>
          <w:sz w:val="20"/>
          <w:szCs w:val="20"/>
          <w:lang w:val="es-CO"/>
        </w:rPr>
        <w:t xml:space="preserve">El Procurador General de la Nación, por sí o por medio de sus delegados y agentes, tendrá las siguientes funciones: </w:t>
      </w:r>
    </w:p>
    <w:p w14:paraId="7CFCDD4F" w14:textId="77777777" w:rsidR="00805D22" w:rsidRPr="009B3BD2" w:rsidRDefault="00805D22"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 6. Ejercer vigilancia superior de la conducta oficial de quienes desempeñen funciones públicas, inclusive las de elección popular; ejercer preferentemente el poder disciplinario; adelantar las investigaciones correspondientes, e imponer las respectivas sanciones conforme a la ley</w:t>
      </w:r>
      <w:r w:rsidR="00DA1CC1" w:rsidRPr="009B3BD2">
        <w:rPr>
          <w:rStyle w:val="FootnoteReference"/>
          <w:rFonts w:asciiTheme="majorHAnsi" w:hAnsiTheme="majorHAnsi"/>
          <w:sz w:val="20"/>
          <w:szCs w:val="20"/>
          <w:lang w:val="es-CO"/>
        </w:rPr>
        <w:footnoteReference w:id="5"/>
      </w:r>
      <w:r w:rsidRPr="009B3BD2">
        <w:rPr>
          <w:rFonts w:ascii="Cambria" w:hAnsi="Cambria"/>
          <w:sz w:val="20"/>
          <w:szCs w:val="20"/>
          <w:lang w:val="es-CO"/>
        </w:rPr>
        <w:t xml:space="preserve">. </w:t>
      </w:r>
    </w:p>
    <w:p w14:paraId="0BC31437" w14:textId="77777777" w:rsidR="00CB130D" w:rsidRPr="009B3BD2" w:rsidRDefault="00CB130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p>
    <w:p w14:paraId="55EB46D7" w14:textId="77777777" w:rsidR="00443D05" w:rsidRPr="009B3BD2" w:rsidRDefault="00972864"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 xml:space="preserve">Artículo 278. </w:t>
      </w:r>
      <w:r w:rsidR="00CB130D" w:rsidRPr="009B3BD2">
        <w:rPr>
          <w:rFonts w:ascii="Cambria" w:hAnsi="Cambria"/>
          <w:sz w:val="20"/>
          <w:szCs w:val="20"/>
          <w:lang w:val="es-CO"/>
        </w:rPr>
        <w:t>El Procurador General de la Nación ejercerá directamente las siguientes</w:t>
      </w:r>
      <w:r w:rsidR="00443D05" w:rsidRPr="009B3BD2">
        <w:rPr>
          <w:rFonts w:ascii="Cambria" w:hAnsi="Cambria"/>
          <w:sz w:val="20"/>
          <w:szCs w:val="20"/>
          <w:lang w:val="es-CO"/>
        </w:rPr>
        <w:t xml:space="preserve"> funciones:</w:t>
      </w:r>
    </w:p>
    <w:p w14:paraId="3E097D2C" w14:textId="77777777" w:rsidR="00443D05" w:rsidRPr="009B3BD2" w:rsidRDefault="00443D05"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p>
    <w:p w14:paraId="0D13DD60" w14:textId="77777777" w:rsidR="00DF125F" w:rsidRPr="009B3BD2" w:rsidRDefault="00415A4A"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CO"/>
        </w:rPr>
      </w:pPr>
      <w:r w:rsidRPr="009B3BD2">
        <w:rPr>
          <w:rFonts w:asciiTheme="majorHAnsi" w:hAnsiTheme="majorHAnsi"/>
          <w:sz w:val="20"/>
          <w:szCs w:val="20"/>
          <w:lang w:val="es-CO"/>
        </w:rPr>
        <w:t>1.</w:t>
      </w:r>
      <w:r w:rsidR="00653B91" w:rsidRPr="009B3BD2">
        <w:rPr>
          <w:rFonts w:asciiTheme="majorHAnsi" w:hAnsiTheme="majorHAnsi"/>
          <w:sz w:val="20"/>
          <w:szCs w:val="20"/>
          <w:lang w:val="es-CO"/>
        </w:rPr>
        <w:t xml:space="preserve"> </w:t>
      </w:r>
      <w:r w:rsidR="00CB130D" w:rsidRPr="009B3BD2">
        <w:rPr>
          <w:rFonts w:asciiTheme="majorHAnsi" w:hAnsiTheme="majorHAnsi"/>
          <w:sz w:val="20"/>
          <w:szCs w:val="20"/>
          <w:lang w:val="es-CO"/>
        </w:rPr>
        <w:t>Desvincular del cargo, previa audiencia y mediante decisión motivada, al funcionario público que incurra en alguna de las siguientes faltas: infringir de manera manifiesta la Constitución o la ley: derivar evidente e indebido provecho patrimonial en el ejercicio de su cargo o de sus funcione</w:t>
      </w:r>
      <w:r w:rsidR="00443D05" w:rsidRPr="009B3BD2">
        <w:rPr>
          <w:rFonts w:asciiTheme="majorHAnsi" w:hAnsiTheme="majorHAnsi"/>
          <w:sz w:val="20"/>
          <w:szCs w:val="20"/>
          <w:lang w:val="es-CO"/>
        </w:rPr>
        <w:t>s; obstaculizar, en forma grave, las investigaciones que realice la Procuraduría o una autoridad administrativa o jurisdiccional; obrar con manifiesta negligencia en la investigación y sanción de las faltas disciplinarias de los empleados de su dependencia, en la denuncia de los hechos punibles de que tenga conocimiento en razón del ejercicio de su cargo</w:t>
      </w:r>
      <w:r w:rsidR="00160A82" w:rsidRPr="009B3BD2">
        <w:rPr>
          <w:rStyle w:val="FootnoteReference"/>
          <w:rFonts w:asciiTheme="majorHAnsi" w:hAnsiTheme="majorHAnsi"/>
          <w:sz w:val="20"/>
          <w:szCs w:val="20"/>
          <w:lang w:val="es-CO"/>
        </w:rPr>
        <w:footnoteReference w:id="6"/>
      </w:r>
      <w:r w:rsidR="00443D05" w:rsidRPr="009B3BD2">
        <w:rPr>
          <w:rFonts w:asciiTheme="majorHAnsi" w:hAnsiTheme="majorHAnsi"/>
          <w:sz w:val="20"/>
          <w:szCs w:val="20"/>
          <w:lang w:val="es-CO"/>
        </w:rPr>
        <w:t>.</w:t>
      </w:r>
    </w:p>
    <w:p w14:paraId="4E205DED" w14:textId="77777777" w:rsidR="004F333C" w:rsidRPr="009B3BD2" w:rsidRDefault="004F333C" w:rsidP="00415A4A">
      <w:pPr>
        <w:pStyle w:val="Heading3"/>
        <w:numPr>
          <w:ilvl w:val="1"/>
          <w:numId w:val="54"/>
        </w:numPr>
        <w:tabs>
          <w:tab w:val="clear" w:pos="1800"/>
          <w:tab w:val="num" w:pos="1440"/>
        </w:tabs>
        <w:ind w:hanging="1080"/>
        <w:rPr>
          <w:color w:val="auto"/>
          <w:sz w:val="20"/>
          <w:szCs w:val="20"/>
          <w:lang w:val="es-CO"/>
        </w:rPr>
      </w:pPr>
      <w:bookmarkStart w:id="21" w:name="_Toc497398855"/>
      <w:r w:rsidRPr="009B3BD2">
        <w:rPr>
          <w:color w:val="auto"/>
          <w:sz w:val="20"/>
          <w:szCs w:val="20"/>
          <w:lang w:val="es-CO"/>
        </w:rPr>
        <w:t>Código Disciplinario Único</w:t>
      </w:r>
      <w:bookmarkEnd w:id="21"/>
    </w:p>
    <w:p w14:paraId="4AC033D3" w14:textId="77777777" w:rsidR="004F333C" w:rsidRPr="009B3BD2" w:rsidRDefault="004F333C" w:rsidP="001A640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4A91009D" w14:textId="77777777" w:rsidR="00DF125F" w:rsidRPr="009B3BD2" w:rsidRDefault="004E3C9F"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 Código Disciplinario Único, Ley 734</w:t>
      </w:r>
      <w:r w:rsidR="009B7B3D" w:rsidRPr="009B3BD2">
        <w:rPr>
          <w:rFonts w:ascii="Cambria" w:hAnsi="Cambria"/>
          <w:sz w:val="20"/>
          <w:szCs w:val="20"/>
          <w:lang w:val="es-CO"/>
        </w:rPr>
        <w:t xml:space="preserve"> de 2002, estipula en</w:t>
      </w:r>
      <w:r w:rsidR="001A0B77" w:rsidRPr="009B3BD2">
        <w:rPr>
          <w:rFonts w:ascii="Cambria" w:hAnsi="Cambria"/>
          <w:sz w:val="20"/>
          <w:szCs w:val="20"/>
          <w:lang w:val="es-CO"/>
        </w:rPr>
        <w:t xml:space="preserve"> lo pertinente</w:t>
      </w:r>
      <w:r w:rsidR="009B7B3D" w:rsidRPr="009B3BD2">
        <w:rPr>
          <w:rFonts w:ascii="Cambria" w:hAnsi="Cambria"/>
          <w:sz w:val="20"/>
          <w:szCs w:val="20"/>
          <w:lang w:val="es-CO"/>
        </w:rPr>
        <w:t>:</w:t>
      </w:r>
    </w:p>
    <w:p w14:paraId="37D17482" w14:textId="77777777" w:rsidR="00DF125F" w:rsidRPr="009B3BD2" w:rsidRDefault="00DF125F" w:rsidP="00DF125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796F6129" w14:textId="77777777" w:rsidR="00067D41" w:rsidRPr="009B3BD2" w:rsidRDefault="00D547E7"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 xml:space="preserve">Artículo 3. </w:t>
      </w:r>
      <w:r w:rsidR="009B7B3D" w:rsidRPr="009B3BD2">
        <w:rPr>
          <w:rFonts w:ascii="Cambria" w:hAnsi="Cambria"/>
          <w:sz w:val="20"/>
          <w:szCs w:val="20"/>
          <w:lang w:val="es-CO"/>
        </w:rPr>
        <w:t xml:space="preserve">Poder disciplinario preferente. La Procuraduría General de la Nación es titular del ejercicio preferente del poder disciplinario en cuyo desarrollo podrá iniciar, proseguir o remitir cualquier investigación o juzgamiento de competencia de los órganos de control disciplinario interno de las entidades públicas. Igualmente podrá asumir el proceso en segunda instancia. (…) </w:t>
      </w:r>
    </w:p>
    <w:p w14:paraId="40EF5C1A" w14:textId="77777777" w:rsidR="00067D41" w:rsidRPr="009B3BD2" w:rsidRDefault="00067D41"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p>
    <w:p w14:paraId="39AD352D" w14:textId="77777777" w:rsidR="008961B7" w:rsidRPr="009B3BD2" w:rsidRDefault="00290489"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Artículo 44. C</w:t>
      </w:r>
      <w:r w:rsidR="00EE35C8" w:rsidRPr="009B3BD2">
        <w:rPr>
          <w:rFonts w:ascii="Cambria" w:hAnsi="Cambria"/>
          <w:sz w:val="20"/>
          <w:szCs w:val="20"/>
          <w:lang w:val="es-CO"/>
        </w:rPr>
        <w:t>lase de sanciones</w:t>
      </w:r>
      <w:r w:rsidRPr="009B3BD2">
        <w:rPr>
          <w:rFonts w:ascii="Cambria" w:hAnsi="Cambria"/>
          <w:sz w:val="20"/>
          <w:szCs w:val="20"/>
          <w:lang w:val="es-CO"/>
        </w:rPr>
        <w:t>. El servidor público está sometido a las siguientes sanciones:</w:t>
      </w:r>
    </w:p>
    <w:p w14:paraId="1C496967" w14:textId="77777777" w:rsidR="00301C3A" w:rsidRPr="009B3BD2" w:rsidRDefault="00301C3A"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p>
    <w:p w14:paraId="0C8607C3" w14:textId="6273CA98" w:rsidR="008961B7" w:rsidRPr="009B3BD2" w:rsidRDefault="00290489"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 xml:space="preserve">1. Destitución e inhabilidad general, para las faltas gravísimas dolosas o </w:t>
      </w:r>
      <w:r w:rsidR="00F55C40" w:rsidRPr="009B3BD2">
        <w:rPr>
          <w:rFonts w:ascii="Cambria" w:hAnsi="Cambria"/>
          <w:sz w:val="20"/>
          <w:szCs w:val="20"/>
          <w:lang w:val="es-CO"/>
        </w:rPr>
        <w:t>realizadas con culpa gravísima.</w:t>
      </w:r>
    </w:p>
    <w:p w14:paraId="33AE1101" w14:textId="0F300216" w:rsidR="008961B7" w:rsidRPr="009B3BD2" w:rsidRDefault="00883C00"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 xml:space="preserve">2. Suspensión </w:t>
      </w:r>
      <w:r w:rsidR="00290489" w:rsidRPr="009B3BD2">
        <w:rPr>
          <w:rFonts w:ascii="Cambria" w:hAnsi="Cambria"/>
          <w:sz w:val="20"/>
          <w:szCs w:val="20"/>
          <w:lang w:val="es-CO"/>
        </w:rPr>
        <w:t xml:space="preserve"> </w:t>
      </w:r>
      <w:r w:rsidR="006D66AE" w:rsidRPr="009B3BD2">
        <w:rPr>
          <w:rFonts w:ascii="Cambria" w:hAnsi="Cambria"/>
          <w:sz w:val="20"/>
          <w:szCs w:val="20"/>
          <w:lang w:val="es-CO"/>
        </w:rPr>
        <w:t xml:space="preserve">en el ejercicio del cargo e inhabilidad especial para las faltas graves dolosas o gravísimas culposas. </w:t>
      </w:r>
    </w:p>
    <w:p w14:paraId="2087A6C4" w14:textId="3FCCC9CD" w:rsidR="008961B7" w:rsidRPr="009B3BD2" w:rsidRDefault="006D66AE"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3. Suspensión, para las faltas graves culposas.</w:t>
      </w:r>
    </w:p>
    <w:p w14:paraId="43C012A6" w14:textId="2E66A613" w:rsidR="008961B7" w:rsidRPr="009B3BD2" w:rsidRDefault="006D66AE"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4. Multa, para las faltas leves dolosas.</w:t>
      </w:r>
    </w:p>
    <w:p w14:paraId="3A983E13" w14:textId="77777777" w:rsidR="008961B7" w:rsidRPr="009B3BD2" w:rsidRDefault="006D66AE"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5. Amonestación escrita, para las faltas leves culposas.</w:t>
      </w:r>
    </w:p>
    <w:p w14:paraId="7D923B96" w14:textId="77777777" w:rsidR="008961B7" w:rsidRPr="009B3BD2" w:rsidRDefault="008961B7"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p>
    <w:p w14:paraId="6E04DDC7" w14:textId="77777777" w:rsidR="008961B7" w:rsidRPr="009B3BD2" w:rsidRDefault="006D66AE"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Parágrafo. Habrá culpa gravísima cuando se incurra en falta disciplinaria por ignorancia supina, desatención elemental o violación manifiesta de reglas de obligatorio cumplimiento. La culpa será grave cuando se incurra en falta disciplinaria por inobservancia del cuidado necesario que cualquier persona del común imprime a sus actuaciones.</w:t>
      </w:r>
    </w:p>
    <w:p w14:paraId="4BBD17E6" w14:textId="77777777" w:rsidR="008961B7" w:rsidRPr="009B3BD2" w:rsidRDefault="008961B7"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p>
    <w:p w14:paraId="304AAF18" w14:textId="77777777" w:rsidR="008961B7" w:rsidRPr="009B3BD2" w:rsidRDefault="00820576"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Artículo 45. Definición de las sanciones.</w:t>
      </w:r>
    </w:p>
    <w:p w14:paraId="3C2BEBB5" w14:textId="77777777" w:rsidR="008961B7" w:rsidRPr="009B3BD2" w:rsidRDefault="008961B7"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p>
    <w:p w14:paraId="7BFE5D3C" w14:textId="77777777" w:rsidR="008961B7" w:rsidRPr="009B3BD2" w:rsidRDefault="00820576"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1. La destitución e inhabilidad general implica:</w:t>
      </w:r>
    </w:p>
    <w:p w14:paraId="684BC8DF" w14:textId="77777777" w:rsidR="008961B7" w:rsidRPr="009B3BD2" w:rsidRDefault="008961B7"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p>
    <w:p w14:paraId="691F2323" w14:textId="32FDF042" w:rsidR="008961B7" w:rsidRPr="009B3BD2" w:rsidRDefault="00820576"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a) La terminación de la relación del servidor público con la administración, sin que importe que sea de libre nombramiento y remoción, de carrera o elección, o</w:t>
      </w:r>
    </w:p>
    <w:p w14:paraId="48F7CDEC" w14:textId="52F6E725" w:rsidR="008961B7" w:rsidRPr="009B3BD2" w:rsidRDefault="00820576"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lastRenderedPageBreak/>
        <w:t>b) La desvinculación del cargo, en los casos previstos en los artículos 110 y 278, numeral 1, de la Constitución Política, o</w:t>
      </w:r>
    </w:p>
    <w:p w14:paraId="65A3B8AA" w14:textId="77777777" w:rsidR="008961B7" w:rsidRPr="009B3BD2" w:rsidRDefault="00820576"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c) La terminación del contrato de trabajo, y</w:t>
      </w:r>
    </w:p>
    <w:p w14:paraId="54F03B1B" w14:textId="77777777" w:rsidR="008961B7" w:rsidRPr="009B3BD2" w:rsidRDefault="00820576"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d) En todos los casos anteriores, la imposibilidad de ejercer la función pública en cualquier cargo o función, por el término señalado en el fallo, y la exclusión del escalafón o carrera. </w:t>
      </w:r>
    </w:p>
    <w:p w14:paraId="1F18637C" w14:textId="77777777" w:rsidR="008961B7" w:rsidRPr="009B3BD2" w:rsidRDefault="008961B7"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p>
    <w:p w14:paraId="05AD5C60" w14:textId="77777777" w:rsidR="008961B7" w:rsidRPr="009B3BD2" w:rsidRDefault="00820576"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2. La suspensión implica la separación del ejercicio del cargo en cuyo desempeño se originó la falta disciplinaria y la inhabilidad especial, la imposibilidad de ejercer la función pública, en cualquier cargo distinto de aquel, por el término señalado en el fallo.</w:t>
      </w:r>
    </w:p>
    <w:p w14:paraId="66BD778F" w14:textId="77777777" w:rsidR="008961B7" w:rsidRPr="009B3BD2" w:rsidRDefault="008961B7"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p>
    <w:p w14:paraId="0DA09AFE" w14:textId="77777777" w:rsidR="008961B7" w:rsidRPr="009B3BD2" w:rsidRDefault="00820576"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3. La multa es una sanción de carácter pecuniario.</w:t>
      </w:r>
      <w:r w:rsidR="00CF48A6" w:rsidRPr="009B3BD2">
        <w:rPr>
          <w:rFonts w:ascii="Cambria" w:hAnsi="Cambria"/>
          <w:sz w:val="20"/>
          <w:szCs w:val="20"/>
          <w:lang w:val="es-CO"/>
        </w:rPr>
        <w:t xml:space="preserve"> (…)</w:t>
      </w:r>
    </w:p>
    <w:p w14:paraId="6566C748" w14:textId="77777777" w:rsidR="008961B7" w:rsidRPr="009B3BD2" w:rsidRDefault="008961B7" w:rsidP="00E70F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hAnsi="Cambria"/>
          <w:sz w:val="20"/>
          <w:szCs w:val="20"/>
          <w:lang w:val="es-CO"/>
        </w:rPr>
      </w:pPr>
    </w:p>
    <w:p w14:paraId="32F7FA29" w14:textId="77777777" w:rsidR="008961B7" w:rsidRPr="009B3BD2" w:rsidRDefault="000433B3"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Artículo 46. Límite de las sanciones. La inhabilidad general será de diez a veinte años; la inhabilidad especial no será inferior a treinta días ni superior a doce meses; pero cuando la falta afecte el patrimonio económico del Estado la inhabilidad será permanente. </w:t>
      </w:r>
    </w:p>
    <w:p w14:paraId="6E44CB09" w14:textId="77777777" w:rsidR="008961B7" w:rsidRPr="009B3BD2" w:rsidRDefault="008961B7" w:rsidP="00E70F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hAnsi="Cambria"/>
          <w:sz w:val="20"/>
          <w:szCs w:val="20"/>
          <w:lang w:val="es-CO"/>
        </w:rPr>
      </w:pPr>
    </w:p>
    <w:p w14:paraId="6353CCF1" w14:textId="21A908D3" w:rsidR="008961B7" w:rsidRPr="009B3BD2" w:rsidRDefault="00C735AD" w:rsidP="00E70FB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hAnsi="Cambria"/>
          <w:sz w:val="20"/>
          <w:szCs w:val="20"/>
          <w:lang w:val="es-CO"/>
        </w:rPr>
      </w:pPr>
      <w:r w:rsidRPr="009B3BD2">
        <w:rPr>
          <w:rFonts w:ascii="Cambria" w:hAnsi="Cambria"/>
          <w:sz w:val="20"/>
          <w:szCs w:val="20"/>
          <w:lang w:val="es-CO"/>
        </w:rPr>
        <w:t>(…)</w:t>
      </w:r>
    </w:p>
    <w:p w14:paraId="50CB3FEB" w14:textId="77777777" w:rsidR="0063740F" w:rsidRPr="009B3BD2" w:rsidRDefault="0063740F" w:rsidP="0063740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1EE8CD9B" w14:textId="47B0030E" w:rsidR="00CF48A6" w:rsidRPr="009B3BD2" w:rsidRDefault="00CF48A6" w:rsidP="00C735A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 a</w:t>
      </w:r>
      <w:r w:rsidR="00C735AD" w:rsidRPr="009B3BD2">
        <w:rPr>
          <w:rFonts w:ascii="Cambria" w:hAnsi="Cambria"/>
          <w:sz w:val="20"/>
          <w:szCs w:val="20"/>
          <w:lang w:val="es-CO"/>
        </w:rPr>
        <w:t>rtículo 47 establece los cr</w:t>
      </w:r>
      <w:r w:rsidRPr="009B3BD2">
        <w:rPr>
          <w:rFonts w:ascii="Cambria" w:hAnsi="Cambria"/>
          <w:sz w:val="20"/>
          <w:szCs w:val="20"/>
          <w:lang w:val="es-CO"/>
        </w:rPr>
        <w:t>iterios p</w:t>
      </w:r>
      <w:r w:rsidR="00C735AD" w:rsidRPr="009B3BD2">
        <w:rPr>
          <w:rFonts w:ascii="Cambria" w:hAnsi="Cambria"/>
          <w:sz w:val="20"/>
          <w:szCs w:val="20"/>
          <w:lang w:val="es-CO"/>
        </w:rPr>
        <w:t>ara la graduación de la sanción como sigue:</w:t>
      </w:r>
    </w:p>
    <w:p w14:paraId="3A61741B" w14:textId="77777777" w:rsidR="00C735AD" w:rsidRPr="009B3BD2" w:rsidRDefault="00C735AD" w:rsidP="00C735A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6424807C" w14:textId="77777777" w:rsidR="00297D6D" w:rsidRPr="009B3BD2" w:rsidRDefault="00CF48A6" w:rsidP="00A14B6C">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sz w:val="20"/>
          <w:szCs w:val="20"/>
          <w:lang w:val="es-CO"/>
        </w:rPr>
      </w:pPr>
      <w:r w:rsidRPr="009B3BD2">
        <w:rPr>
          <w:sz w:val="20"/>
          <w:szCs w:val="20"/>
          <w:lang w:val="es-CO"/>
        </w:rPr>
        <w:t xml:space="preserve">La cuantía </w:t>
      </w:r>
      <w:r w:rsidR="00297D6D" w:rsidRPr="009B3BD2">
        <w:rPr>
          <w:sz w:val="20"/>
          <w:szCs w:val="20"/>
          <w:lang w:val="es-CO"/>
        </w:rPr>
        <w:t xml:space="preserve">de la multa y el término de duración de la </w:t>
      </w:r>
      <w:r w:rsidR="00297D6D" w:rsidRPr="009B3BD2">
        <w:rPr>
          <w:rFonts w:asciiTheme="majorHAnsi" w:hAnsiTheme="majorHAnsi" w:cs="Arial"/>
          <w:sz w:val="20"/>
          <w:szCs w:val="20"/>
          <w:lang w:val="es-VE"/>
        </w:rPr>
        <w:t>suspensión e inhabilidad se fijarán de acuerdo con los siguientes criterios:</w:t>
      </w:r>
    </w:p>
    <w:p w14:paraId="6761F255" w14:textId="77777777" w:rsidR="00297D6D" w:rsidRPr="009B3BD2" w:rsidRDefault="00297D6D" w:rsidP="00C735A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Theme="majorHAnsi" w:hAnsiTheme="majorHAnsi" w:cs="Arial"/>
          <w:sz w:val="20"/>
          <w:szCs w:val="20"/>
          <w:lang w:val="es-VE"/>
        </w:rPr>
      </w:pPr>
    </w:p>
    <w:p w14:paraId="339A8630" w14:textId="77777777" w:rsidR="00297D6D" w:rsidRPr="009B3BD2" w:rsidRDefault="00297D6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Arial"/>
          <w:sz w:val="20"/>
          <w:szCs w:val="20"/>
          <w:lang w:val="es-VE"/>
        </w:rPr>
      </w:pPr>
      <w:r w:rsidRPr="009B3BD2">
        <w:rPr>
          <w:rFonts w:asciiTheme="majorHAnsi" w:hAnsiTheme="majorHAnsi" w:cs="Arial"/>
          <w:sz w:val="20"/>
          <w:szCs w:val="20"/>
          <w:lang w:val="es-VE"/>
        </w:rPr>
        <w:t>a)</w:t>
      </w:r>
      <w:r w:rsidRPr="009B3BD2">
        <w:rPr>
          <w:rFonts w:asciiTheme="majorHAnsi" w:hAnsiTheme="majorHAnsi"/>
          <w:sz w:val="20"/>
          <w:szCs w:val="20"/>
          <w:lang w:val="es-VE"/>
        </w:rPr>
        <w:t> </w:t>
      </w:r>
      <w:r w:rsidRPr="009B3BD2">
        <w:rPr>
          <w:rFonts w:asciiTheme="majorHAnsi" w:hAnsiTheme="majorHAnsi" w:cs="Arial"/>
          <w:sz w:val="20"/>
          <w:szCs w:val="20"/>
          <w:lang w:val="es-VE"/>
        </w:rPr>
        <w:t>Haber sido sancionado fiscal o disciplinariamente dentro de los cinco años anteriores a la comisión de la conducta que se investiga;</w:t>
      </w:r>
    </w:p>
    <w:p w14:paraId="4A1ABB13" w14:textId="77777777" w:rsidR="00297D6D" w:rsidRPr="009B3BD2" w:rsidRDefault="00297D6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Arial"/>
          <w:color w:val="000000"/>
          <w:sz w:val="20"/>
          <w:szCs w:val="20"/>
          <w:lang w:val="es-VE"/>
        </w:rPr>
      </w:pPr>
      <w:r w:rsidRPr="009B3BD2">
        <w:rPr>
          <w:rFonts w:asciiTheme="majorHAnsi" w:hAnsiTheme="majorHAnsi" w:cs="Arial"/>
          <w:color w:val="000000"/>
          <w:sz w:val="20"/>
          <w:szCs w:val="20"/>
          <w:lang w:val="es-VE"/>
        </w:rPr>
        <w:t>b)</w:t>
      </w:r>
      <w:r w:rsidRPr="009B3BD2">
        <w:rPr>
          <w:rFonts w:asciiTheme="majorHAnsi" w:hAnsiTheme="majorHAnsi"/>
          <w:color w:val="000000"/>
          <w:sz w:val="20"/>
          <w:szCs w:val="20"/>
          <w:lang w:val="es-VE"/>
        </w:rPr>
        <w:t> </w:t>
      </w:r>
      <w:r w:rsidRPr="009B3BD2">
        <w:rPr>
          <w:rFonts w:asciiTheme="majorHAnsi" w:hAnsiTheme="majorHAnsi" w:cs="Arial"/>
          <w:color w:val="000000"/>
          <w:sz w:val="20"/>
          <w:szCs w:val="20"/>
          <w:lang w:val="es-VE"/>
        </w:rPr>
        <w:t>La diligencia y eficiencia demostrada en el desempeño del cargo o de la función;</w:t>
      </w:r>
    </w:p>
    <w:p w14:paraId="7E87A75C" w14:textId="77777777" w:rsidR="00297D6D" w:rsidRPr="009B3BD2" w:rsidRDefault="00297D6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Arial"/>
          <w:color w:val="000000"/>
          <w:sz w:val="20"/>
          <w:szCs w:val="20"/>
          <w:lang w:val="es-VE"/>
        </w:rPr>
      </w:pPr>
      <w:r w:rsidRPr="009B3BD2">
        <w:rPr>
          <w:rFonts w:asciiTheme="majorHAnsi" w:hAnsiTheme="majorHAnsi" w:cs="Arial"/>
          <w:color w:val="000000"/>
          <w:sz w:val="20"/>
          <w:szCs w:val="20"/>
          <w:lang w:val="es-VE"/>
        </w:rPr>
        <w:t>c)</w:t>
      </w:r>
      <w:r w:rsidRPr="009B3BD2">
        <w:rPr>
          <w:rFonts w:asciiTheme="majorHAnsi" w:hAnsiTheme="majorHAnsi"/>
          <w:color w:val="000000"/>
          <w:sz w:val="20"/>
          <w:szCs w:val="20"/>
          <w:lang w:val="es-VE"/>
        </w:rPr>
        <w:t> </w:t>
      </w:r>
      <w:r w:rsidRPr="009B3BD2">
        <w:rPr>
          <w:rFonts w:asciiTheme="majorHAnsi" w:hAnsiTheme="majorHAnsi" w:cs="Arial"/>
          <w:color w:val="000000"/>
          <w:sz w:val="20"/>
          <w:szCs w:val="20"/>
          <w:lang w:val="es-VE"/>
        </w:rPr>
        <w:t>Atribuir la responsabilidad infundadamente a un tercero;</w:t>
      </w:r>
    </w:p>
    <w:p w14:paraId="352C5DFF" w14:textId="77777777" w:rsidR="00297D6D" w:rsidRPr="009B3BD2" w:rsidRDefault="00297D6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Arial"/>
          <w:color w:val="000000"/>
          <w:sz w:val="20"/>
          <w:szCs w:val="20"/>
          <w:lang w:val="es-VE"/>
        </w:rPr>
      </w:pPr>
      <w:r w:rsidRPr="009B3BD2">
        <w:rPr>
          <w:rFonts w:asciiTheme="majorHAnsi" w:hAnsiTheme="majorHAnsi" w:cs="Arial"/>
          <w:color w:val="000000"/>
          <w:sz w:val="20"/>
          <w:szCs w:val="20"/>
          <w:lang w:val="es-VE"/>
        </w:rPr>
        <w:t>d) La confesión de la falta antes de la formulación de cargos;</w:t>
      </w:r>
    </w:p>
    <w:p w14:paraId="021ED6EF" w14:textId="77777777" w:rsidR="00297D6D" w:rsidRPr="009B3BD2" w:rsidRDefault="00297D6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Arial"/>
          <w:color w:val="000000"/>
          <w:sz w:val="20"/>
          <w:szCs w:val="20"/>
          <w:lang w:val="es-VE"/>
        </w:rPr>
      </w:pPr>
      <w:r w:rsidRPr="009B3BD2">
        <w:rPr>
          <w:rFonts w:asciiTheme="majorHAnsi" w:hAnsiTheme="majorHAnsi" w:cs="Arial"/>
          <w:color w:val="000000"/>
          <w:sz w:val="20"/>
          <w:szCs w:val="20"/>
          <w:lang w:val="es-VE"/>
        </w:rPr>
        <w:t>e)</w:t>
      </w:r>
      <w:r w:rsidRPr="009B3BD2">
        <w:rPr>
          <w:rFonts w:asciiTheme="majorHAnsi" w:hAnsiTheme="majorHAnsi"/>
          <w:color w:val="000000"/>
          <w:sz w:val="20"/>
          <w:szCs w:val="20"/>
          <w:lang w:val="es-VE"/>
        </w:rPr>
        <w:t> </w:t>
      </w:r>
      <w:r w:rsidRPr="009B3BD2">
        <w:rPr>
          <w:rFonts w:asciiTheme="majorHAnsi" w:hAnsiTheme="majorHAnsi" w:cs="Arial"/>
          <w:color w:val="000000"/>
          <w:sz w:val="20"/>
          <w:szCs w:val="20"/>
          <w:lang w:val="es-VE"/>
        </w:rPr>
        <w:t>Haber procurado, por iniciativa propia, resarcir el daño o compensar el perjuicio causado;</w:t>
      </w:r>
    </w:p>
    <w:p w14:paraId="74283363" w14:textId="77777777" w:rsidR="00297D6D" w:rsidRPr="009B3BD2" w:rsidRDefault="00297D6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Arial"/>
          <w:color w:val="000000"/>
          <w:sz w:val="20"/>
          <w:szCs w:val="20"/>
          <w:lang w:val="es-VE"/>
        </w:rPr>
      </w:pPr>
      <w:r w:rsidRPr="009B3BD2">
        <w:rPr>
          <w:rFonts w:asciiTheme="majorHAnsi" w:hAnsiTheme="majorHAnsi" w:cs="Arial"/>
          <w:color w:val="000000"/>
          <w:sz w:val="20"/>
          <w:szCs w:val="20"/>
          <w:lang w:val="es-VE"/>
        </w:rPr>
        <w:t>f)</w:t>
      </w:r>
      <w:r w:rsidRPr="009B3BD2">
        <w:rPr>
          <w:rFonts w:asciiTheme="majorHAnsi" w:hAnsiTheme="majorHAnsi"/>
          <w:color w:val="000000"/>
          <w:sz w:val="20"/>
          <w:szCs w:val="20"/>
          <w:lang w:val="es-VE"/>
        </w:rPr>
        <w:t> </w:t>
      </w:r>
      <w:r w:rsidRPr="009B3BD2">
        <w:rPr>
          <w:rFonts w:asciiTheme="majorHAnsi" w:hAnsiTheme="majorHAnsi" w:cs="Arial"/>
          <w:color w:val="000000"/>
          <w:sz w:val="20"/>
          <w:szCs w:val="20"/>
          <w:lang w:val="es-VE"/>
        </w:rPr>
        <w:t>Haber devuelto, restituido o reparado, según el caso, el bien afectado con la conducta constitutiva de la falta, siempre que la devolución, restitución o reparación no se hubieren decretado en otro proceso;</w:t>
      </w:r>
    </w:p>
    <w:p w14:paraId="45484F62" w14:textId="77777777" w:rsidR="00297D6D" w:rsidRPr="009B3BD2" w:rsidRDefault="00297D6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Arial"/>
          <w:color w:val="000000"/>
          <w:sz w:val="20"/>
          <w:szCs w:val="20"/>
          <w:lang w:val="es-VE"/>
        </w:rPr>
      </w:pPr>
      <w:r w:rsidRPr="009B3BD2">
        <w:rPr>
          <w:rFonts w:asciiTheme="majorHAnsi" w:hAnsiTheme="majorHAnsi" w:cs="Arial"/>
          <w:color w:val="000000"/>
          <w:sz w:val="20"/>
          <w:szCs w:val="20"/>
          <w:lang w:val="es-VE"/>
        </w:rPr>
        <w:t>g)</w:t>
      </w:r>
      <w:r w:rsidRPr="009B3BD2">
        <w:rPr>
          <w:rFonts w:asciiTheme="majorHAnsi" w:hAnsiTheme="majorHAnsi"/>
          <w:color w:val="000000"/>
          <w:sz w:val="20"/>
          <w:szCs w:val="20"/>
          <w:lang w:val="es-VE"/>
        </w:rPr>
        <w:t> </w:t>
      </w:r>
      <w:r w:rsidRPr="009B3BD2">
        <w:rPr>
          <w:rFonts w:asciiTheme="majorHAnsi" w:hAnsiTheme="majorHAnsi" w:cs="Arial"/>
          <w:color w:val="000000"/>
          <w:sz w:val="20"/>
          <w:szCs w:val="20"/>
          <w:lang w:val="es-VE"/>
        </w:rPr>
        <w:t>El grave daño social de la conducta;</w:t>
      </w:r>
    </w:p>
    <w:p w14:paraId="021A3B19" w14:textId="77777777" w:rsidR="00297D6D" w:rsidRPr="009B3BD2" w:rsidRDefault="00297D6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Arial"/>
          <w:color w:val="000000"/>
          <w:sz w:val="20"/>
          <w:szCs w:val="20"/>
          <w:lang w:val="es-VE"/>
        </w:rPr>
      </w:pPr>
      <w:r w:rsidRPr="009B3BD2">
        <w:rPr>
          <w:rFonts w:asciiTheme="majorHAnsi" w:hAnsiTheme="majorHAnsi" w:cs="Arial"/>
          <w:color w:val="000000"/>
          <w:sz w:val="20"/>
          <w:szCs w:val="20"/>
          <w:lang w:val="es-VE"/>
        </w:rPr>
        <w:t>h) La afectación a derechos fundamentales;</w:t>
      </w:r>
    </w:p>
    <w:p w14:paraId="4359CF0D" w14:textId="77777777" w:rsidR="00297D6D" w:rsidRPr="009B3BD2" w:rsidRDefault="00297D6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Style w:val="Strong"/>
          <w:rFonts w:asciiTheme="majorHAnsi" w:hAnsiTheme="majorHAnsi" w:cs="Arial"/>
          <w:color w:val="000000"/>
          <w:sz w:val="20"/>
          <w:szCs w:val="20"/>
          <w:lang w:val="es-VE"/>
        </w:rPr>
      </w:pPr>
      <w:r w:rsidRPr="009B3BD2">
        <w:rPr>
          <w:rFonts w:asciiTheme="majorHAnsi" w:hAnsiTheme="majorHAnsi" w:cs="Arial"/>
          <w:color w:val="000000"/>
          <w:sz w:val="20"/>
          <w:szCs w:val="20"/>
          <w:lang w:val="es-VE"/>
        </w:rPr>
        <w:t>i)</w:t>
      </w:r>
      <w:r w:rsidRPr="009B3BD2">
        <w:rPr>
          <w:rFonts w:asciiTheme="majorHAnsi" w:hAnsiTheme="majorHAnsi"/>
          <w:color w:val="000000"/>
          <w:sz w:val="20"/>
          <w:szCs w:val="20"/>
          <w:lang w:val="es-VE"/>
        </w:rPr>
        <w:t> </w:t>
      </w:r>
      <w:r w:rsidRPr="009B3BD2">
        <w:rPr>
          <w:rFonts w:asciiTheme="majorHAnsi" w:hAnsiTheme="majorHAnsi" w:cs="Arial"/>
          <w:color w:val="000000"/>
          <w:sz w:val="20"/>
          <w:szCs w:val="20"/>
          <w:lang w:val="es-VE"/>
        </w:rPr>
        <w:t>El conocimiento de la ilicitud;  </w:t>
      </w:r>
    </w:p>
    <w:p w14:paraId="6768FC91" w14:textId="77777777" w:rsidR="00297D6D" w:rsidRPr="009B3BD2" w:rsidRDefault="00297D6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Arial"/>
          <w:color w:val="000000"/>
          <w:sz w:val="20"/>
          <w:szCs w:val="20"/>
          <w:lang w:val="es-VE"/>
        </w:rPr>
      </w:pPr>
      <w:r w:rsidRPr="009B3BD2">
        <w:rPr>
          <w:rFonts w:asciiTheme="majorHAnsi" w:hAnsiTheme="majorHAnsi" w:cs="Arial"/>
          <w:color w:val="000000"/>
          <w:sz w:val="20"/>
          <w:szCs w:val="20"/>
          <w:lang w:val="es-VE"/>
        </w:rPr>
        <w:t>j)</w:t>
      </w:r>
      <w:r w:rsidRPr="009B3BD2">
        <w:rPr>
          <w:rFonts w:asciiTheme="majorHAnsi" w:hAnsiTheme="majorHAnsi"/>
          <w:color w:val="000000"/>
          <w:sz w:val="20"/>
          <w:szCs w:val="20"/>
          <w:lang w:val="es-VE"/>
        </w:rPr>
        <w:t> </w:t>
      </w:r>
      <w:r w:rsidRPr="009B3BD2">
        <w:rPr>
          <w:rFonts w:asciiTheme="majorHAnsi" w:hAnsiTheme="majorHAnsi" w:cs="Arial"/>
          <w:color w:val="000000"/>
          <w:sz w:val="20"/>
          <w:szCs w:val="20"/>
          <w:lang w:val="es-VE"/>
        </w:rPr>
        <w:t>Pertenecer el servidor público al nivel directivo o ejecutivo de la entidad.</w:t>
      </w:r>
    </w:p>
    <w:p w14:paraId="41AE2529" w14:textId="77777777" w:rsidR="00297D6D" w:rsidRPr="009B3BD2" w:rsidRDefault="00297D6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Arial"/>
          <w:color w:val="000000"/>
          <w:sz w:val="20"/>
          <w:szCs w:val="20"/>
          <w:lang w:val="es-VE"/>
        </w:rPr>
      </w:pPr>
    </w:p>
    <w:p w14:paraId="50D4719B" w14:textId="77777777" w:rsidR="00297D6D" w:rsidRPr="009B3BD2" w:rsidRDefault="00297D6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Arial"/>
          <w:color w:val="000000"/>
          <w:sz w:val="20"/>
          <w:szCs w:val="20"/>
          <w:lang w:val="es-VE"/>
        </w:rPr>
      </w:pPr>
      <w:r w:rsidRPr="009B3BD2">
        <w:rPr>
          <w:rFonts w:asciiTheme="majorHAnsi" w:hAnsiTheme="majorHAnsi" w:cs="Arial"/>
          <w:color w:val="000000"/>
          <w:sz w:val="20"/>
          <w:szCs w:val="20"/>
          <w:lang w:val="es-VE"/>
        </w:rPr>
        <w:t>2.</w:t>
      </w:r>
      <w:r w:rsidRPr="009B3BD2">
        <w:rPr>
          <w:rFonts w:asciiTheme="majorHAnsi" w:hAnsiTheme="majorHAnsi"/>
          <w:color w:val="000000"/>
          <w:sz w:val="20"/>
          <w:szCs w:val="20"/>
          <w:lang w:val="es-VE"/>
        </w:rPr>
        <w:t> </w:t>
      </w:r>
      <w:r w:rsidRPr="009B3BD2">
        <w:rPr>
          <w:rFonts w:asciiTheme="majorHAnsi" w:hAnsiTheme="majorHAnsi" w:cs="Arial"/>
          <w:color w:val="000000"/>
          <w:sz w:val="20"/>
          <w:szCs w:val="20"/>
          <w:lang w:val="es-VE"/>
        </w:rPr>
        <w:t>A quien, con una o varias acciones u omisiones, infrinja varias disposiciones de la ley disciplinaria o varias veces la misma disposición, se le graduará la sanción de acuerdo con los siguientes criterios:</w:t>
      </w:r>
    </w:p>
    <w:p w14:paraId="01172DBD" w14:textId="77777777" w:rsidR="00297D6D" w:rsidRPr="009B3BD2" w:rsidRDefault="00297D6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Arial"/>
          <w:color w:val="000000"/>
          <w:sz w:val="20"/>
          <w:szCs w:val="20"/>
          <w:lang w:val="es-VE"/>
        </w:rPr>
      </w:pPr>
      <w:r w:rsidRPr="009B3BD2">
        <w:rPr>
          <w:rFonts w:asciiTheme="majorHAnsi" w:hAnsiTheme="majorHAnsi" w:cs="Arial"/>
          <w:color w:val="000000"/>
          <w:sz w:val="20"/>
          <w:szCs w:val="20"/>
          <w:lang w:val="es-VE"/>
        </w:rPr>
        <w:t>a) Si la sanción más grave es la destitución e inhabilidad general, esta última se incrementará hasta en otro tanto, sin exceder el máximo legal;</w:t>
      </w:r>
    </w:p>
    <w:p w14:paraId="71426ABF" w14:textId="77777777" w:rsidR="00297D6D" w:rsidRPr="009B3BD2" w:rsidRDefault="00297D6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Arial"/>
          <w:color w:val="000000"/>
          <w:sz w:val="20"/>
          <w:szCs w:val="20"/>
          <w:lang w:val="es-VE"/>
        </w:rPr>
      </w:pPr>
      <w:r w:rsidRPr="009B3BD2">
        <w:rPr>
          <w:rFonts w:asciiTheme="majorHAnsi" w:hAnsiTheme="majorHAnsi" w:cs="Arial"/>
          <w:color w:val="000000"/>
          <w:sz w:val="20"/>
          <w:szCs w:val="20"/>
          <w:lang w:val="es-VE"/>
        </w:rPr>
        <w:t>b) Si la sanción más grave es la suspensión e inhabilidad especial, se incrementará hasta en otro tanto, sin exceder el máximo legal;</w:t>
      </w:r>
    </w:p>
    <w:p w14:paraId="1C061F58" w14:textId="77777777" w:rsidR="00297D6D" w:rsidRPr="009B3BD2" w:rsidRDefault="00297D6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Arial"/>
          <w:color w:val="000000"/>
          <w:sz w:val="20"/>
          <w:szCs w:val="20"/>
          <w:lang w:val="es-VE"/>
        </w:rPr>
      </w:pPr>
      <w:r w:rsidRPr="009B3BD2">
        <w:rPr>
          <w:rFonts w:asciiTheme="majorHAnsi" w:hAnsiTheme="majorHAnsi" w:cs="Arial"/>
          <w:color w:val="000000"/>
          <w:sz w:val="20"/>
          <w:szCs w:val="20"/>
          <w:lang w:val="es-VE"/>
        </w:rPr>
        <w:t>c)</w:t>
      </w:r>
      <w:r w:rsidRPr="009B3BD2">
        <w:rPr>
          <w:rFonts w:asciiTheme="majorHAnsi" w:hAnsiTheme="majorHAnsi"/>
          <w:color w:val="000000"/>
          <w:sz w:val="20"/>
          <w:szCs w:val="20"/>
          <w:lang w:val="es-VE"/>
        </w:rPr>
        <w:t> </w:t>
      </w:r>
      <w:r w:rsidRPr="009B3BD2">
        <w:rPr>
          <w:rFonts w:asciiTheme="majorHAnsi" w:hAnsiTheme="majorHAnsi" w:cs="Arial"/>
          <w:color w:val="000000"/>
          <w:sz w:val="20"/>
          <w:szCs w:val="20"/>
          <w:lang w:val="es-VE"/>
        </w:rPr>
        <w:t>Si la sanción más grave es la suspensión, esta se incrementará hasta en otro tanto, sin exceder el máximo legal;</w:t>
      </w:r>
    </w:p>
    <w:p w14:paraId="31ED3F06" w14:textId="77777777" w:rsidR="00297D6D" w:rsidRPr="009B3BD2" w:rsidRDefault="00297D6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Arial"/>
          <w:color w:val="000000"/>
          <w:sz w:val="20"/>
          <w:szCs w:val="20"/>
          <w:lang w:val="es-VE"/>
        </w:rPr>
      </w:pPr>
      <w:r w:rsidRPr="009B3BD2">
        <w:rPr>
          <w:rFonts w:asciiTheme="majorHAnsi" w:hAnsiTheme="majorHAnsi" w:cs="Arial"/>
          <w:color w:val="000000"/>
          <w:sz w:val="20"/>
          <w:szCs w:val="20"/>
          <w:lang w:val="es-VE"/>
        </w:rPr>
        <w:t>d) Si las sanciones son de multa se impondrá la más grave aumentada en otro tanto, sin exceder el máximo legal; (…)</w:t>
      </w:r>
    </w:p>
    <w:p w14:paraId="75978AAA" w14:textId="77777777" w:rsidR="00297D6D" w:rsidRPr="009B3BD2" w:rsidRDefault="00297D6D" w:rsidP="00CF48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02BF60AC" w14:textId="2C3D9055" w:rsidR="0063740F" w:rsidRPr="009B3BD2" w:rsidRDefault="0063740F" w:rsidP="006360E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 artícul</w:t>
      </w:r>
      <w:r w:rsidR="00AA0C7D" w:rsidRPr="009B3BD2">
        <w:rPr>
          <w:rFonts w:ascii="Cambria" w:hAnsi="Cambria"/>
          <w:sz w:val="20"/>
          <w:szCs w:val="20"/>
          <w:lang w:val="es-CO"/>
        </w:rPr>
        <w:t>o 48 de la misma normativa</w:t>
      </w:r>
      <w:r w:rsidRPr="009B3BD2">
        <w:rPr>
          <w:rFonts w:ascii="Cambria" w:hAnsi="Cambria"/>
          <w:sz w:val="20"/>
          <w:szCs w:val="20"/>
          <w:lang w:val="es-CO"/>
        </w:rPr>
        <w:t xml:space="preserve"> establece</w:t>
      </w:r>
      <w:r w:rsidR="006360E0" w:rsidRPr="009B3BD2">
        <w:rPr>
          <w:rFonts w:ascii="Cambria" w:hAnsi="Cambria"/>
          <w:sz w:val="20"/>
          <w:szCs w:val="20"/>
          <w:lang w:val="es-CO"/>
        </w:rPr>
        <w:t xml:space="preserve"> que s</w:t>
      </w:r>
      <w:r w:rsidRPr="009B3BD2">
        <w:rPr>
          <w:rFonts w:ascii="Cambria" w:hAnsi="Cambria"/>
          <w:sz w:val="20"/>
          <w:szCs w:val="20"/>
          <w:lang w:val="es-CO"/>
        </w:rPr>
        <w:t>on faltas gravísimas las siguientes:</w:t>
      </w:r>
    </w:p>
    <w:p w14:paraId="02EC67C0" w14:textId="77777777" w:rsidR="0063740F" w:rsidRPr="009B3BD2" w:rsidRDefault="0063740F" w:rsidP="0063740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4EF7FFE7" w14:textId="1142D343" w:rsidR="0063740F" w:rsidRPr="009B3BD2" w:rsidRDefault="0063740F"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VE"/>
        </w:rPr>
      </w:pPr>
      <w:r w:rsidRPr="009B3BD2">
        <w:rPr>
          <w:rFonts w:asciiTheme="majorHAnsi" w:hAnsiTheme="majorHAnsi" w:cs="Arial"/>
          <w:color w:val="000000"/>
          <w:sz w:val="20"/>
          <w:szCs w:val="20"/>
          <w:shd w:val="clear" w:color="auto" w:fill="FFFFFF"/>
          <w:lang w:val="es-VE"/>
        </w:rPr>
        <w:t xml:space="preserve">31. Participar en </w:t>
      </w:r>
      <w:r w:rsidR="006B1E51" w:rsidRPr="009B3BD2">
        <w:rPr>
          <w:rFonts w:asciiTheme="majorHAnsi" w:hAnsiTheme="majorHAnsi" w:cs="Arial"/>
          <w:color w:val="000000"/>
          <w:sz w:val="20"/>
          <w:szCs w:val="20"/>
          <w:shd w:val="clear" w:color="auto" w:fill="FFFFFF"/>
          <w:lang w:val="es-VE"/>
        </w:rPr>
        <w:t>la etapa precontractual o en la actividad contractual, en detrimento del patrimonio público, o con desconocimiento de los principios que regulan la contratación estatal y la función administrativa contemplados en la Constitución y en la ley. </w:t>
      </w:r>
    </w:p>
    <w:p w14:paraId="265FFF4F" w14:textId="77777777" w:rsidR="006B1E51" w:rsidRPr="009B3BD2" w:rsidRDefault="006B1E51"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VE"/>
        </w:rPr>
      </w:pPr>
    </w:p>
    <w:p w14:paraId="1B211D02" w14:textId="77777777" w:rsidR="004F333C" w:rsidRPr="009B3BD2" w:rsidRDefault="004F333C"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lastRenderedPageBreak/>
        <w:t>37. Proferir actos administrativos, por fuera del cumplimiento del deber, con violación de las disposiciones constitucionales o legales referentes a la protección de la diversidad étnica y cultural de la Nación, de los recursos naturales y del medio ambiente, originando un riesgo grave para las etnias, los pueblos indígenas, la salud humana o la preservación de los ecosistemas naturales o el medio ambiente.</w:t>
      </w:r>
    </w:p>
    <w:p w14:paraId="60629244" w14:textId="77777777" w:rsidR="004F333C" w:rsidRPr="009B3BD2" w:rsidRDefault="004F333C" w:rsidP="006360E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Arial" w:hAnsi="Arial" w:cs="Arial"/>
          <w:color w:val="000000"/>
          <w:shd w:val="clear" w:color="auto" w:fill="FFFFFF"/>
          <w:lang w:val="es-VE"/>
        </w:rPr>
      </w:pPr>
    </w:p>
    <w:p w14:paraId="409231EA" w14:textId="77777777" w:rsidR="00B96D63" w:rsidRPr="009B3BD2" w:rsidRDefault="004F333C"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60. Ejercer las potestades que su empleo o función le concedan para una finalidad distinta a la prevista en la norma otorgante</w:t>
      </w:r>
      <w:r w:rsidR="00871404" w:rsidRPr="009B3BD2">
        <w:rPr>
          <w:rFonts w:ascii="Cambria" w:hAnsi="Cambria"/>
          <w:sz w:val="20"/>
          <w:szCs w:val="20"/>
          <w:lang w:val="es-CO"/>
        </w:rPr>
        <w:t>.</w:t>
      </w:r>
    </w:p>
    <w:p w14:paraId="62FF6F6C" w14:textId="77777777" w:rsidR="00BE4DA0" w:rsidRPr="009B3BD2" w:rsidRDefault="00BE4DA0" w:rsidP="00BE4D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810"/>
        <w:jc w:val="both"/>
        <w:rPr>
          <w:rFonts w:ascii="Cambria" w:hAnsi="Cambria"/>
          <w:sz w:val="20"/>
          <w:szCs w:val="20"/>
          <w:lang w:val="es-CO"/>
        </w:rPr>
      </w:pPr>
    </w:p>
    <w:p w14:paraId="7C6280A3" w14:textId="4BAF7872" w:rsidR="00BE4DA0" w:rsidRPr="009B3BD2" w:rsidRDefault="00AA0C7D" w:rsidP="00085D8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 a</w:t>
      </w:r>
      <w:r w:rsidR="00656747" w:rsidRPr="009B3BD2">
        <w:rPr>
          <w:rFonts w:ascii="Cambria" w:hAnsi="Cambria"/>
          <w:sz w:val="20"/>
          <w:szCs w:val="20"/>
          <w:lang w:val="es-CO"/>
        </w:rPr>
        <w:t>rtículo</w:t>
      </w:r>
      <w:r w:rsidRPr="009B3BD2">
        <w:rPr>
          <w:rFonts w:ascii="Cambria" w:hAnsi="Cambria"/>
          <w:sz w:val="20"/>
          <w:szCs w:val="20"/>
          <w:lang w:val="es-CO"/>
        </w:rPr>
        <w:t xml:space="preserve"> 66 de la misma normativa</w:t>
      </w:r>
      <w:r w:rsidR="00FB6EB6" w:rsidRPr="009B3BD2">
        <w:rPr>
          <w:rFonts w:ascii="Cambria" w:hAnsi="Cambria"/>
          <w:sz w:val="20"/>
          <w:szCs w:val="20"/>
          <w:lang w:val="es-CO"/>
        </w:rPr>
        <w:t xml:space="preserve"> indica que “e</w:t>
      </w:r>
      <w:r w:rsidR="00656747" w:rsidRPr="009B3BD2">
        <w:rPr>
          <w:rFonts w:ascii="Cambria" w:hAnsi="Cambria"/>
          <w:sz w:val="20"/>
          <w:szCs w:val="20"/>
          <w:lang w:val="es-CO"/>
        </w:rPr>
        <w:t>l procedimiento disciplinario establecido en la presente ley deberá aplicarse por las respectivas oficinas de control interno disciplinario, personerías municipales y distritales, la jurisdicción disciplinaria y la Pr</w:t>
      </w:r>
      <w:r w:rsidR="008337A0" w:rsidRPr="009B3BD2">
        <w:rPr>
          <w:rFonts w:ascii="Cambria" w:hAnsi="Cambria"/>
          <w:sz w:val="20"/>
          <w:szCs w:val="20"/>
          <w:lang w:val="es-CO"/>
        </w:rPr>
        <w:t>ocuraduría General de la Nación”.</w:t>
      </w:r>
      <w:r w:rsidR="00BE4DA0" w:rsidRPr="009B3BD2">
        <w:rPr>
          <w:rFonts w:ascii="Cambria" w:hAnsi="Cambria"/>
          <w:sz w:val="20"/>
          <w:szCs w:val="20"/>
          <w:lang w:val="es-CO"/>
        </w:rPr>
        <w:t xml:space="preserve"> </w:t>
      </w:r>
    </w:p>
    <w:p w14:paraId="2D2F82AA" w14:textId="77777777" w:rsidR="00BE4DA0" w:rsidRPr="009B3BD2" w:rsidRDefault="00BE4DA0" w:rsidP="00BE4D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810"/>
        <w:jc w:val="both"/>
        <w:rPr>
          <w:rFonts w:ascii="Cambria" w:hAnsi="Cambria"/>
          <w:sz w:val="20"/>
          <w:szCs w:val="20"/>
          <w:lang w:val="es-CO"/>
        </w:rPr>
      </w:pPr>
    </w:p>
    <w:p w14:paraId="01B903D8" w14:textId="6C7C3FFA" w:rsidR="00BE4DA0" w:rsidRPr="009B3BD2" w:rsidRDefault="00BE4DA0" w:rsidP="00085D8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 xml:space="preserve">El </w:t>
      </w:r>
      <w:r w:rsidR="00EB26AB" w:rsidRPr="009B3BD2">
        <w:rPr>
          <w:rFonts w:ascii="Cambria" w:hAnsi="Cambria"/>
          <w:sz w:val="20"/>
          <w:szCs w:val="20"/>
          <w:lang w:val="es-CO"/>
        </w:rPr>
        <w:t>artículo 162 señala lo siguiente en cuanto al procedimiento discipli</w:t>
      </w:r>
      <w:r w:rsidR="0044737A" w:rsidRPr="009B3BD2">
        <w:rPr>
          <w:rFonts w:ascii="Cambria" w:hAnsi="Cambria"/>
          <w:sz w:val="20"/>
          <w:szCs w:val="20"/>
          <w:lang w:val="es-CO"/>
        </w:rPr>
        <w:t>nario cuando es ejercid</w:t>
      </w:r>
      <w:r w:rsidR="00EB26AB" w:rsidRPr="009B3BD2">
        <w:rPr>
          <w:rFonts w:ascii="Cambria" w:hAnsi="Cambria"/>
          <w:sz w:val="20"/>
          <w:szCs w:val="20"/>
          <w:lang w:val="es-CO"/>
        </w:rPr>
        <w:t>o por la Procuraduría General de la Nación: “</w:t>
      </w:r>
      <w:r w:rsidRPr="009B3BD2">
        <w:rPr>
          <w:rFonts w:ascii="Cambria" w:hAnsi="Cambria"/>
          <w:sz w:val="20"/>
          <w:szCs w:val="20"/>
          <w:lang w:val="es-CO"/>
        </w:rPr>
        <w:t>Procedencia de la decisión de cargos. El funcionario de conocimiento formulará pliego de cargos cuando esté objetivamente demostrada la falta y exista prueba que comprometa la responsabilidad del investigado. Contra esta decisión no procede recurso alguno</w:t>
      </w:r>
      <w:r w:rsidR="00EB26AB" w:rsidRPr="009B3BD2">
        <w:rPr>
          <w:rFonts w:ascii="Cambria" w:hAnsi="Cambria"/>
          <w:sz w:val="20"/>
          <w:szCs w:val="20"/>
          <w:lang w:val="es-CO"/>
        </w:rPr>
        <w:t>”</w:t>
      </w:r>
      <w:r w:rsidRPr="009B3BD2">
        <w:rPr>
          <w:rFonts w:ascii="Cambria" w:hAnsi="Cambria"/>
          <w:sz w:val="20"/>
          <w:szCs w:val="20"/>
          <w:lang w:val="es-CO"/>
        </w:rPr>
        <w:t xml:space="preserve">. </w:t>
      </w:r>
    </w:p>
    <w:p w14:paraId="48387226" w14:textId="4CD77BE6" w:rsidR="00656747" w:rsidRPr="009B3BD2" w:rsidRDefault="00656747" w:rsidP="00BE4DA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28F6C8E5" w14:textId="1E85BBCE" w:rsidR="00BE4DA0" w:rsidRPr="009B3BD2" w:rsidRDefault="00BE4DA0" w:rsidP="00FB6EB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 xml:space="preserve">En cuanto a los recursos, el referido marco normativo señala lo siguiente: </w:t>
      </w:r>
    </w:p>
    <w:p w14:paraId="388009CD" w14:textId="77777777" w:rsidR="00656747" w:rsidRPr="009B3BD2" w:rsidRDefault="00656747" w:rsidP="0087140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2304C9D4" w14:textId="77777777" w:rsidR="00656747" w:rsidRPr="009B3BD2" w:rsidRDefault="00656747"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Artículo 110. Clases de recursos y sus formalidades. Contra las decisiones disciplinarias proceden los recursos de reposición, apelación y queja, los cuales se interpondrán por escrito, salvo disposición expresa en contrario</w:t>
      </w:r>
      <w:r w:rsidR="003C4115" w:rsidRPr="009B3BD2">
        <w:rPr>
          <w:rFonts w:ascii="Cambria" w:hAnsi="Cambria"/>
          <w:sz w:val="20"/>
          <w:szCs w:val="20"/>
          <w:lang w:val="es-CO"/>
        </w:rPr>
        <w:t xml:space="preserve">. Parágrafo. Contra las decisiones de simple trámite no procede recurso alguno. </w:t>
      </w:r>
    </w:p>
    <w:p w14:paraId="09BF8104" w14:textId="77777777" w:rsidR="003C4115" w:rsidRPr="009B3BD2" w:rsidRDefault="003C4115"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p>
    <w:p w14:paraId="32C38BAA" w14:textId="2B67EC0D" w:rsidR="00656747" w:rsidRPr="009B3BD2" w:rsidRDefault="00F44049"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 xml:space="preserve">Artículo 113. Recurso de reposición. El recurso de reposición procederá únicamente contra la decisión que se pronuncia sobre la nulidad y la negación de la solicitud de copias o pruebas al investigado o a su apoderado, y contra el fallo de única instancia. </w:t>
      </w:r>
    </w:p>
    <w:p w14:paraId="77A5EC30" w14:textId="77777777" w:rsidR="00967A97" w:rsidRPr="009B3BD2" w:rsidRDefault="00967A97"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p>
    <w:p w14:paraId="176EFEE9" w14:textId="77777777" w:rsidR="001A230A" w:rsidRPr="009B3BD2" w:rsidRDefault="001A230A" w:rsidP="00A14B6C">
      <w:pPr>
        <w:pStyle w:val="Heading3"/>
        <w:keepNext w:val="0"/>
        <w:keepLines w:val="0"/>
        <w:numPr>
          <w:ilvl w:val="1"/>
          <w:numId w:val="54"/>
        </w:numPr>
        <w:tabs>
          <w:tab w:val="clear" w:pos="1800"/>
          <w:tab w:val="num" w:pos="1440"/>
        </w:tabs>
        <w:spacing w:before="0"/>
        <w:ind w:left="720" w:right="720" w:firstLine="0"/>
        <w:jc w:val="both"/>
        <w:rPr>
          <w:color w:val="auto"/>
          <w:sz w:val="20"/>
          <w:szCs w:val="20"/>
          <w:lang w:val="es-CO"/>
        </w:rPr>
      </w:pPr>
      <w:bookmarkStart w:id="22" w:name="_Toc497398856"/>
      <w:r w:rsidRPr="009B3BD2">
        <w:rPr>
          <w:color w:val="auto"/>
          <w:sz w:val="20"/>
          <w:szCs w:val="20"/>
          <w:lang w:val="es-CO"/>
        </w:rPr>
        <w:t>Ley 1437 de 2011</w:t>
      </w:r>
      <w:bookmarkEnd w:id="22"/>
    </w:p>
    <w:p w14:paraId="1835F342" w14:textId="77777777" w:rsidR="001A230A" w:rsidRPr="009B3BD2" w:rsidRDefault="001A230A" w:rsidP="00A41E1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68C1F0CF" w14:textId="77777777" w:rsidR="00FF5CBF" w:rsidRPr="009B3BD2" w:rsidRDefault="00FF5CBF" w:rsidP="00FF5CB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La Ley 1437 de 2011 establece en lo pertinente,</w:t>
      </w:r>
    </w:p>
    <w:p w14:paraId="73401A20" w14:textId="77777777" w:rsidR="00FF5CBF" w:rsidRPr="009B3BD2" w:rsidRDefault="00FF5CBF" w:rsidP="00FF5CB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7D373129" w14:textId="77777777" w:rsidR="00C41DDD" w:rsidRPr="009B3BD2" w:rsidRDefault="00C41DD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Artículo 137. Nulidad.  Toda persona podrá solicitar por sí, o por medio de representante, que se declare la nulidad de los actos administrativos de carácter general. Procederá cuando hayan sido expedidos con infracción de las normas en que deberían fundarse, o sin competencia, o en forma irregular, o con desconocimiento del derecho de audiencia y defensa, o mediante falsa motivación, o con desviación de las atribuciones propias de quien los profirió (…)</w:t>
      </w:r>
    </w:p>
    <w:p w14:paraId="4965F5B1" w14:textId="77777777" w:rsidR="00C41DDD" w:rsidRPr="009B3BD2" w:rsidRDefault="00C41DD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p>
    <w:p w14:paraId="678F749E" w14:textId="77777777" w:rsidR="00FF5CBF" w:rsidRPr="009B3BD2" w:rsidRDefault="00FF5CBF"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s="Arial"/>
          <w:sz w:val="20"/>
          <w:szCs w:val="20"/>
          <w:lang w:val="es-VE"/>
        </w:rPr>
      </w:pPr>
      <w:r w:rsidRPr="009B3BD2">
        <w:rPr>
          <w:rFonts w:ascii="Cambria" w:hAnsi="Cambria"/>
          <w:sz w:val="20"/>
          <w:szCs w:val="20"/>
          <w:lang w:val="es-CO"/>
        </w:rPr>
        <w:t>Art</w:t>
      </w:r>
      <w:proofErr w:type="spellStart"/>
      <w:r w:rsidRPr="009B3BD2">
        <w:rPr>
          <w:rFonts w:ascii="Cambria" w:hAnsi="Cambria"/>
          <w:sz w:val="20"/>
          <w:szCs w:val="20"/>
          <w:lang w:val="es-VE"/>
        </w:rPr>
        <w:t>ículo</w:t>
      </w:r>
      <w:proofErr w:type="spellEnd"/>
      <w:r w:rsidRPr="009B3BD2">
        <w:rPr>
          <w:rFonts w:ascii="Cambria" w:hAnsi="Cambria"/>
          <w:sz w:val="20"/>
          <w:szCs w:val="20"/>
          <w:lang w:val="es-VE"/>
        </w:rPr>
        <w:t xml:space="preserve"> 138. Nulidad y restablecimiento del derecho. </w:t>
      </w:r>
      <w:r w:rsidRPr="009B3BD2">
        <w:rPr>
          <w:rFonts w:asciiTheme="majorHAnsi" w:hAnsiTheme="majorHAnsi" w:cs="Arial"/>
          <w:color w:val="000000"/>
          <w:sz w:val="20"/>
          <w:szCs w:val="20"/>
          <w:lang w:val="es-VE"/>
        </w:rPr>
        <w:t>Toda persona que se crea lesionada en un derecho subjetivo amparado en una norma jurídica, podrá pedir que se declare la nulidad del acto administrativo particular</w:t>
      </w:r>
      <w:r w:rsidRPr="009B3BD2">
        <w:rPr>
          <w:rFonts w:asciiTheme="majorHAnsi" w:hAnsiTheme="majorHAnsi" w:cs="Arial"/>
          <w:sz w:val="20"/>
          <w:szCs w:val="20"/>
          <w:lang w:val="es-VE"/>
        </w:rPr>
        <w:t>, expreso o presunto, y se le restablezca el derecho; también podrá solicitar que se le repare el daño. La nulidad procederá por las mismas causales establecidas en el inciso segundo del artículo anterior.</w:t>
      </w:r>
      <w:r w:rsidR="0025152D" w:rsidRPr="009B3BD2">
        <w:rPr>
          <w:rFonts w:asciiTheme="majorHAnsi" w:hAnsiTheme="majorHAnsi" w:cs="Arial"/>
          <w:sz w:val="20"/>
          <w:szCs w:val="20"/>
          <w:lang w:val="es-VE"/>
        </w:rPr>
        <w:t xml:space="preserve"> (…)</w:t>
      </w:r>
    </w:p>
    <w:p w14:paraId="0579D221" w14:textId="77777777" w:rsidR="001A230A" w:rsidRPr="009B3BD2" w:rsidRDefault="001A230A" w:rsidP="00A41E1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2D7EF1B7" w14:textId="77777777" w:rsidR="00196CCC" w:rsidRPr="009B3BD2" w:rsidRDefault="00196CCC" w:rsidP="007406C4">
      <w:pPr>
        <w:pStyle w:val="Heading2"/>
        <w:numPr>
          <w:ilvl w:val="0"/>
          <w:numId w:val="59"/>
        </w:numPr>
        <w:ind w:left="1440" w:hanging="720"/>
        <w:rPr>
          <w:rFonts w:ascii="Cambria" w:hAnsi="Cambria" w:cs="Arial"/>
          <w:bCs/>
          <w:iCs/>
          <w:lang w:val="es-VE"/>
        </w:rPr>
      </w:pPr>
      <w:bookmarkStart w:id="23" w:name="_Toc497398857"/>
      <w:r w:rsidRPr="009B3BD2">
        <w:rPr>
          <w:rFonts w:ascii="Cambria" w:hAnsi="Cambria" w:cs="Arial"/>
          <w:bCs/>
          <w:iCs/>
          <w:lang w:val="es-VE"/>
        </w:rPr>
        <w:t xml:space="preserve">Antecedentes </w:t>
      </w:r>
      <w:r w:rsidR="00097388" w:rsidRPr="009B3BD2">
        <w:rPr>
          <w:rFonts w:ascii="Cambria" w:hAnsi="Cambria" w:cs="Arial"/>
          <w:bCs/>
          <w:iCs/>
          <w:lang w:val="es-VE"/>
        </w:rPr>
        <w:t xml:space="preserve">del </w:t>
      </w:r>
      <w:r w:rsidR="00871404" w:rsidRPr="009B3BD2">
        <w:rPr>
          <w:rFonts w:ascii="Cambria" w:hAnsi="Cambria" w:cs="Arial"/>
          <w:bCs/>
          <w:iCs/>
          <w:lang w:val="es-VE"/>
        </w:rPr>
        <w:t>primer proceso disciplinario</w:t>
      </w:r>
      <w:bookmarkEnd w:id="23"/>
    </w:p>
    <w:p w14:paraId="7A0BB605" w14:textId="77777777" w:rsidR="00196CCC" w:rsidRPr="009B3BD2" w:rsidRDefault="00196CCC" w:rsidP="00196CCC">
      <w:pPr>
        <w:rPr>
          <w:lang w:val="es-VE"/>
        </w:rPr>
      </w:pPr>
    </w:p>
    <w:p w14:paraId="2E52D507" w14:textId="77777777" w:rsidR="00196CCC" w:rsidRPr="009B3BD2" w:rsidRDefault="00196CCC" w:rsidP="007406C4">
      <w:pPr>
        <w:pStyle w:val="ListParagraph"/>
        <w:numPr>
          <w:ilvl w:val="0"/>
          <w:numId w:val="61"/>
        </w:numPr>
        <w:tabs>
          <w:tab w:val="clear" w:pos="1800"/>
          <w:tab w:val="num" w:pos="1440"/>
        </w:tabs>
        <w:ind w:hanging="1080"/>
        <w:rPr>
          <w:b/>
          <w:sz w:val="20"/>
          <w:szCs w:val="20"/>
          <w:lang w:val="es-VE"/>
        </w:rPr>
      </w:pPr>
      <w:r w:rsidRPr="009B3BD2">
        <w:rPr>
          <w:b/>
          <w:sz w:val="20"/>
          <w:szCs w:val="20"/>
          <w:lang w:val="es-VE"/>
        </w:rPr>
        <w:t>Dec</w:t>
      </w:r>
      <w:r w:rsidR="00007326" w:rsidRPr="009B3BD2">
        <w:rPr>
          <w:b/>
          <w:sz w:val="20"/>
          <w:szCs w:val="20"/>
          <w:lang w:val="es-VE"/>
        </w:rPr>
        <w:t>isión</w:t>
      </w:r>
      <w:r w:rsidR="00A06FDF" w:rsidRPr="009B3BD2">
        <w:rPr>
          <w:b/>
          <w:sz w:val="20"/>
          <w:szCs w:val="20"/>
          <w:lang w:val="es-VE"/>
        </w:rPr>
        <w:t xml:space="preserve"> de la Corte</w:t>
      </w:r>
      <w:r w:rsidR="00007326" w:rsidRPr="009B3BD2">
        <w:rPr>
          <w:b/>
          <w:sz w:val="20"/>
          <w:szCs w:val="20"/>
          <w:lang w:val="es-VE"/>
        </w:rPr>
        <w:t xml:space="preserve"> Constitucional</w:t>
      </w:r>
      <w:r w:rsidR="00016DB3" w:rsidRPr="009B3BD2">
        <w:rPr>
          <w:b/>
          <w:sz w:val="20"/>
          <w:szCs w:val="20"/>
          <w:lang w:val="es-VE"/>
        </w:rPr>
        <w:t xml:space="preserve"> </w:t>
      </w:r>
      <w:r w:rsidR="00007326" w:rsidRPr="009B3BD2">
        <w:rPr>
          <w:b/>
          <w:sz w:val="20"/>
          <w:szCs w:val="20"/>
          <w:lang w:val="es-VE"/>
        </w:rPr>
        <w:t>T-724 de 2003</w:t>
      </w:r>
    </w:p>
    <w:p w14:paraId="3AC34715" w14:textId="77777777" w:rsidR="00196CCC" w:rsidRPr="009B3BD2" w:rsidRDefault="00196CCC" w:rsidP="00A06FDF">
      <w:pPr>
        <w:rPr>
          <w:lang w:val="es-VE"/>
        </w:rPr>
      </w:pPr>
    </w:p>
    <w:p w14:paraId="708ACCCA" w14:textId="4F9687A4" w:rsidR="00D67F86" w:rsidRPr="009B3BD2" w:rsidRDefault="0055656A"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w:t>
      </w:r>
      <w:r w:rsidR="00A06FDF" w:rsidRPr="009B3BD2">
        <w:rPr>
          <w:rFonts w:ascii="Cambria" w:hAnsi="Cambria"/>
          <w:sz w:val="20"/>
          <w:szCs w:val="20"/>
          <w:lang w:val="es-CO"/>
        </w:rPr>
        <w:t xml:space="preserve"> 20 de agosto de 2003 </w:t>
      </w:r>
      <w:r w:rsidR="00D67F86" w:rsidRPr="009B3BD2">
        <w:rPr>
          <w:rFonts w:ascii="Cambria" w:hAnsi="Cambria"/>
          <w:sz w:val="20"/>
          <w:szCs w:val="20"/>
          <w:lang w:val="es-CO"/>
        </w:rPr>
        <w:t xml:space="preserve">la Corte Constitucional resolvió una </w:t>
      </w:r>
      <w:r w:rsidR="0083064A" w:rsidRPr="009B3BD2">
        <w:rPr>
          <w:rFonts w:ascii="Cambria" w:hAnsi="Cambria"/>
          <w:sz w:val="20"/>
          <w:szCs w:val="20"/>
          <w:lang w:val="es-CO"/>
        </w:rPr>
        <w:t xml:space="preserve">acción de tutela interpuesta por la Asociación de Recicladores de Bogotá referida a la falta de acceso de dichas personas a las licitaciones para prestar servicios de aseo.  En dicha decisión, la Corte estimó que, </w:t>
      </w:r>
    </w:p>
    <w:p w14:paraId="17DF4B42" w14:textId="77777777" w:rsidR="00016DB3" w:rsidRPr="009B3BD2" w:rsidRDefault="00016DB3" w:rsidP="00750F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6C56EFC7" w14:textId="5D130FB0" w:rsidR="00A06FDF" w:rsidRPr="009B3BD2" w:rsidRDefault="0098607C" w:rsidP="00944C1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lastRenderedPageBreak/>
        <w:t xml:space="preserve">(…) </w:t>
      </w:r>
      <w:r w:rsidR="00016DB3" w:rsidRPr="009B3BD2">
        <w:rPr>
          <w:rFonts w:ascii="Cambria" w:hAnsi="Cambria"/>
          <w:sz w:val="20"/>
          <w:szCs w:val="20"/>
          <w:lang w:val="es-CO"/>
        </w:rPr>
        <w:t>la Unidad Ejecutiva de Servicios Públicos del Distrito Capital de Bogotá, no observó el mandato constitucional que la constriñe a adoptar medidas a favor de grupos marginados o discriminados, como lo son los recicladores, tal como se demostrará a continuación (…)</w:t>
      </w:r>
    </w:p>
    <w:p w14:paraId="5E398619" w14:textId="77777777" w:rsidR="0055656A" w:rsidRPr="009B3BD2" w:rsidRDefault="0055656A" w:rsidP="00944C1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p>
    <w:p w14:paraId="5FDA60FF" w14:textId="77777777" w:rsidR="004E325A" w:rsidRPr="009B3BD2" w:rsidRDefault="00F3449A" w:rsidP="00944C1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 se exhortará al Concejo de Bogotá en lo que respecta a su territorio, para que incluya acciones afirmativas en el proceso de contratación administrativa, a favor de aquellos grupos que por sus condiciones de marginamiento y discriminación requieran de una especial pr</w:t>
      </w:r>
      <w:r w:rsidR="00A73921" w:rsidRPr="009B3BD2">
        <w:rPr>
          <w:rFonts w:ascii="Cambria" w:hAnsi="Cambria"/>
          <w:sz w:val="20"/>
          <w:szCs w:val="20"/>
          <w:lang w:val="es-CO"/>
        </w:rPr>
        <w:t>otección por par</w:t>
      </w:r>
      <w:r w:rsidRPr="009B3BD2">
        <w:rPr>
          <w:rFonts w:ascii="Cambria" w:hAnsi="Cambria"/>
          <w:sz w:val="20"/>
          <w:szCs w:val="20"/>
          <w:lang w:val="es-CO"/>
        </w:rPr>
        <w:t>te del Estado (…)</w:t>
      </w:r>
      <w:r w:rsidR="00564118" w:rsidRPr="009B3BD2">
        <w:rPr>
          <w:rStyle w:val="FootnoteReference"/>
          <w:rFonts w:asciiTheme="majorHAnsi" w:hAnsiTheme="majorHAnsi"/>
          <w:sz w:val="20"/>
          <w:szCs w:val="20"/>
          <w:lang w:val="es-CO"/>
        </w:rPr>
        <w:footnoteReference w:id="7"/>
      </w:r>
      <w:r w:rsidR="00A73921" w:rsidRPr="009B3BD2">
        <w:rPr>
          <w:rFonts w:ascii="Cambria" w:hAnsi="Cambria"/>
          <w:sz w:val="20"/>
          <w:szCs w:val="20"/>
          <w:lang w:val="es-CO"/>
        </w:rPr>
        <w:t>.</w:t>
      </w:r>
    </w:p>
    <w:p w14:paraId="57C7F066" w14:textId="77777777" w:rsidR="004E325A" w:rsidRPr="009B3BD2" w:rsidRDefault="004E325A" w:rsidP="006A436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2C5E6A1F" w14:textId="77777777" w:rsidR="00A75510" w:rsidRPr="009B3BD2" w:rsidRDefault="00C17777"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 30 de julio de 2010</w:t>
      </w:r>
      <w:r w:rsidR="00E859ED" w:rsidRPr="009B3BD2">
        <w:rPr>
          <w:rFonts w:ascii="Cambria" w:hAnsi="Cambria"/>
          <w:sz w:val="20"/>
          <w:szCs w:val="20"/>
          <w:lang w:val="es-CO"/>
        </w:rPr>
        <w:t xml:space="preserve"> la Corte Constitucional emitió el Auto 268 en el que </w:t>
      </w:r>
      <w:r w:rsidR="002E26F0" w:rsidRPr="009B3BD2">
        <w:rPr>
          <w:rFonts w:ascii="Cambria" w:hAnsi="Cambria"/>
          <w:sz w:val="20"/>
          <w:szCs w:val="20"/>
          <w:lang w:val="es-CO"/>
        </w:rPr>
        <w:t>delineó una serie de criterios para garantizar la participación recicladora en los procesos de licitación para prestar servicios de aseo</w:t>
      </w:r>
      <w:r w:rsidR="002E26F0" w:rsidRPr="009B3BD2">
        <w:rPr>
          <w:rStyle w:val="FootnoteReference"/>
          <w:rFonts w:asciiTheme="majorHAnsi" w:hAnsiTheme="majorHAnsi"/>
          <w:sz w:val="20"/>
          <w:szCs w:val="20"/>
          <w:lang w:val="es-CO"/>
        </w:rPr>
        <w:footnoteReference w:id="8"/>
      </w:r>
      <w:r w:rsidR="002E26F0" w:rsidRPr="009B3BD2">
        <w:rPr>
          <w:rFonts w:ascii="Cambria" w:hAnsi="Cambria"/>
          <w:sz w:val="20"/>
          <w:szCs w:val="20"/>
          <w:lang w:val="es-CO"/>
        </w:rPr>
        <w:t xml:space="preserve">. </w:t>
      </w:r>
    </w:p>
    <w:p w14:paraId="3D1A04C6" w14:textId="77777777" w:rsidR="00A75510" w:rsidRPr="009B3BD2" w:rsidRDefault="00A75510" w:rsidP="002E26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2A35EDC8" w14:textId="6E0EC8BE" w:rsidR="00AC5508" w:rsidRPr="009B3BD2" w:rsidRDefault="004E325A" w:rsidP="00AC550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w:t>
      </w:r>
      <w:r w:rsidR="00DD1EEE" w:rsidRPr="009B3BD2">
        <w:rPr>
          <w:rFonts w:ascii="Cambria" w:hAnsi="Cambria"/>
          <w:sz w:val="20"/>
          <w:szCs w:val="20"/>
          <w:lang w:val="es-CO"/>
        </w:rPr>
        <w:t xml:space="preserve"> 19 de diciembre de 2011</w:t>
      </w:r>
      <w:r w:rsidR="00864B4E" w:rsidRPr="009B3BD2">
        <w:rPr>
          <w:rFonts w:ascii="Cambria" w:hAnsi="Cambria"/>
          <w:sz w:val="20"/>
          <w:szCs w:val="20"/>
          <w:lang w:val="es-CO"/>
        </w:rPr>
        <w:t xml:space="preserve"> mediante auto 275, la Corte Constitucional </w:t>
      </w:r>
      <w:r w:rsidR="00822EAC" w:rsidRPr="009B3BD2">
        <w:rPr>
          <w:rFonts w:ascii="Cambria" w:hAnsi="Cambria"/>
          <w:sz w:val="20"/>
          <w:szCs w:val="20"/>
          <w:lang w:val="es-CO"/>
        </w:rPr>
        <w:t>declaró el incumplimiento por parte de la UAESP de las órdenes indicadas en la sentencia T-724 de 2003 y de los criterios generales fijados en el Auto 268 de 2010 y ordenó a la Alcaldía Mayor de Bogotá, a través de la UAESP, “que defina un esquema de metas a cumplir en el corto plazo con destino a la formalización y regularización de la población de recicladores, que contenga acciones concretas, cualificadas, medibles y verificables, el cual debe ser entregado a la Corte Constitucional, así como a la Procuraduría General de la Nación a más tardar el 31 de</w:t>
      </w:r>
      <w:r w:rsidR="007C7995" w:rsidRPr="009B3BD2">
        <w:rPr>
          <w:rFonts w:ascii="Cambria" w:hAnsi="Cambria"/>
          <w:sz w:val="20"/>
          <w:szCs w:val="20"/>
          <w:lang w:val="es-CO"/>
        </w:rPr>
        <w:t xml:space="preserve"> marzo del año 2012”</w:t>
      </w:r>
      <w:r w:rsidR="00542BF6" w:rsidRPr="009B3BD2">
        <w:rPr>
          <w:rStyle w:val="FootnoteReference"/>
          <w:rFonts w:asciiTheme="majorHAnsi" w:hAnsiTheme="majorHAnsi"/>
          <w:sz w:val="20"/>
          <w:szCs w:val="20"/>
          <w:lang w:val="es-CO"/>
        </w:rPr>
        <w:footnoteReference w:id="9"/>
      </w:r>
      <w:r w:rsidR="00822EAC" w:rsidRPr="009B3BD2">
        <w:rPr>
          <w:rFonts w:ascii="Cambria" w:hAnsi="Cambria"/>
          <w:sz w:val="20"/>
          <w:szCs w:val="20"/>
          <w:lang w:val="es-CO"/>
        </w:rPr>
        <w:t>.</w:t>
      </w:r>
    </w:p>
    <w:p w14:paraId="71EFE0ED" w14:textId="77777777" w:rsidR="00AC5508" w:rsidRPr="009B3BD2" w:rsidRDefault="00AC5508" w:rsidP="00AC550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1A94EB0C" w14:textId="77777777" w:rsidR="00097388" w:rsidRPr="009B3BD2" w:rsidRDefault="00097388" w:rsidP="007406C4">
      <w:pPr>
        <w:pStyle w:val="ListParagraph"/>
        <w:numPr>
          <w:ilvl w:val="0"/>
          <w:numId w:val="61"/>
        </w:numPr>
        <w:tabs>
          <w:tab w:val="clear" w:pos="1800"/>
          <w:tab w:val="num" w:pos="1440"/>
        </w:tabs>
        <w:ind w:hanging="1080"/>
        <w:rPr>
          <w:b/>
          <w:sz w:val="20"/>
          <w:szCs w:val="20"/>
          <w:lang w:val="es-VE"/>
        </w:rPr>
      </w:pPr>
      <w:r w:rsidRPr="009B3BD2">
        <w:rPr>
          <w:b/>
          <w:sz w:val="20"/>
          <w:szCs w:val="20"/>
          <w:lang w:val="es-VE"/>
        </w:rPr>
        <w:t xml:space="preserve">La suscripción de los contratos 017 y </w:t>
      </w:r>
      <w:r w:rsidR="0065226A" w:rsidRPr="009B3BD2">
        <w:rPr>
          <w:b/>
          <w:sz w:val="20"/>
          <w:szCs w:val="20"/>
          <w:lang w:val="es-VE"/>
        </w:rPr>
        <w:t xml:space="preserve">809 de </w:t>
      </w:r>
      <w:r w:rsidRPr="009B3BD2">
        <w:rPr>
          <w:b/>
          <w:sz w:val="20"/>
          <w:szCs w:val="20"/>
          <w:lang w:val="es-VE"/>
        </w:rPr>
        <w:t>2012</w:t>
      </w:r>
    </w:p>
    <w:p w14:paraId="5E09E414" w14:textId="77777777" w:rsidR="00F479A9" w:rsidRPr="009B3BD2" w:rsidRDefault="00F479A9" w:rsidP="006A4368">
      <w:pPr>
        <w:rPr>
          <w:b/>
          <w:sz w:val="20"/>
          <w:szCs w:val="20"/>
          <w:lang w:val="es-VE"/>
        </w:rPr>
      </w:pPr>
    </w:p>
    <w:p w14:paraId="3C7FC05D" w14:textId="6A761A8C" w:rsidR="00EB0604" w:rsidRPr="009B3BD2" w:rsidRDefault="0038225E"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VE"/>
        </w:rPr>
      </w:pPr>
      <w:r w:rsidRPr="009B3BD2">
        <w:rPr>
          <w:rFonts w:asciiTheme="majorHAnsi" w:hAnsiTheme="majorHAnsi"/>
          <w:sz w:val="20"/>
          <w:szCs w:val="20"/>
          <w:lang w:val="es-VE"/>
        </w:rPr>
        <w:t>El 11 de octubre de 2012 considerando la</w:t>
      </w:r>
      <w:r w:rsidR="00566288" w:rsidRPr="009B3BD2">
        <w:rPr>
          <w:rFonts w:asciiTheme="majorHAnsi" w:hAnsiTheme="majorHAnsi"/>
          <w:sz w:val="20"/>
          <w:szCs w:val="20"/>
          <w:lang w:val="es-VE"/>
        </w:rPr>
        <w:t>s decisiones anteriores</w:t>
      </w:r>
      <w:r w:rsidRPr="009B3BD2">
        <w:rPr>
          <w:rFonts w:asciiTheme="majorHAnsi" w:hAnsiTheme="majorHAnsi"/>
          <w:sz w:val="20"/>
          <w:szCs w:val="20"/>
          <w:lang w:val="es-VE"/>
        </w:rPr>
        <w:t xml:space="preserve">, así como otras razones, la </w:t>
      </w:r>
      <w:r w:rsidR="0065226A" w:rsidRPr="009B3BD2">
        <w:rPr>
          <w:rFonts w:asciiTheme="majorHAnsi" w:hAnsiTheme="majorHAnsi"/>
          <w:sz w:val="20"/>
          <w:szCs w:val="20"/>
          <w:lang w:val="es-VE"/>
        </w:rPr>
        <w:t xml:space="preserve">UAESP celebró el </w:t>
      </w:r>
      <w:r w:rsidRPr="009B3BD2">
        <w:rPr>
          <w:rFonts w:asciiTheme="majorHAnsi" w:hAnsiTheme="majorHAnsi"/>
          <w:sz w:val="20"/>
          <w:szCs w:val="20"/>
          <w:lang w:val="es-VE"/>
        </w:rPr>
        <w:t>contrato</w:t>
      </w:r>
      <w:r w:rsidR="0065226A" w:rsidRPr="009B3BD2">
        <w:rPr>
          <w:rFonts w:asciiTheme="majorHAnsi" w:hAnsiTheme="majorHAnsi"/>
          <w:sz w:val="20"/>
          <w:szCs w:val="20"/>
          <w:lang w:val="es-VE"/>
        </w:rPr>
        <w:t xml:space="preserve"> 017</w:t>
      </w:r>
      <w:r w:rsidRPr="009B3BD2">
        <w:rPr>
          <w:rFonts w:asciiTheme="majorHAnsi" w:hAnsiTheme="majorHAnsi"/>
          <w:sz w:val="20"/>
          <w:szCs w:val="20"/>
          <w:lang w:val="es-VE"/>
        </w:rPr>
        <w:t xml:space="preserve"> con la Empresa de Acueducto y Alcantarillado de Bogotá E.S.P</w:t>
      </w:r>
      <w:r w:rsidR="0063150A" w:rsidRPr="009B3BD2">
        <w:rPr>
          <w:rFonts w:asciiTheme="majorHAnsi" w:hAnsiTheme="majorHAnsi"/>
          <w:sz w:val="20"/>
          <w:szCs w:val="20"/>
          <w:lang w:val="es-VE"/>
        </w:rPr>
        <w:t>,</w:t>
      </w:r>
      <w:r w:rsidR="00003B3A" w:rsidRPr="009B3BD2">
        <w:rPr>
          <w:rFonts w:asciiTheme="majorHAnsi" w:hAnsiTheme="majorHAnsi"/>
          <w:sz w:val="20"/>
          <w:szCs w:val="20"/>
          <w:lang w:val="es-VE"/>
        </w:rPr>
        <w:t xml:space="preserve"> </w:t>
      </w:r>
      <w:r w:rsidR="00AC5508" w:rsidRPr="009B3BD2">
        <w:rPr>
          <w:rFonts w:asciiTheme="majorHAnsi" w:hAnsiTheme="majorHAnsi"/>
          <w:sz w:val="20"/>
          <w:szCs w:val="20"/>
          <w:lang w:val="es-VE"/>
        </w:rPr>
        <w:t xml:space="preserve">una </w:t>
      </w:r>
      <w:r w:rsidR="00003B3A" w:rsidRPr="009B3BD2">
        <w:rPr>
          <w:rFonts w:asciiTheme="majorHAnsi" w:hAnsiTheme="majorHAnsi"/>
          <w:sz w:val="20"/>
          <w:szCs w:val="20"/>
          <w:lang w:val="es-VE"/>
        </w:rPr>
        <w:t>empresa pública,</w:t>
      </w:r>
      <w:r w:rsidR="00AC5508" w:rsidRPr="009B3BD2">
        <w:rPr>
          <w:rFonts w:asciiTheme="majorHAnsi" w:hAnsiTheme="majorHAnsi"/>
          <w:sz w:val="20"/>
          <w:szCs w:val="20"/>
          <w:lang w:val="es-VE"/>
        </w:rPr>
        <w:t xml:space="preserve"> </w:t>
      </w:r>
      <w:r w:rsidR="0063150A" w:rsidRPr="009B3BD2">
        <w:rPr>
          <w:rFonts w:asciiTheme="majorHAnsi" w:hAnsiTheme="majorHAnsi"/>
          <w:sz w:val="20"/>
          <w:szCs w:val="20"/>
          <w:lang w:val="es-VE"/>
        </w:rPr>
        <w:t>a través del cual esta última se comprometió a prestar “el servicio de recolección, barrido y limpieza de vías en áreas públicas y transporte de los residuos al sitio de disposición final en el Distrito Capital de Bogotá”, asimismo, apoyará a la UAESP para “garantizar la inclusión de la población recicladora de oficio en el servicio de aseo (…) remunerando vía tarifa el trabajo que esta población realiza en los componentes de recolección y transporte de residuos sólidos (</w:t>
      </w:r>
      <w:r w:rsidR="00AE04A1" w:rsidRPr="009B3BD2">
        <w:rPr>
          <w:rFonts w:asciiTheme="majorHAnsi" w:hAnsiTheme="majorHAnsi"/>
          <w:sz w:val="20"/>
          <w:szCs w:val="20"/>
          <w:lang w:val="es-VE"/>
        </w:rPr>
        <w:t>.</w:t>
      </w:r>
      <w:r w:rsidR="0063150A" w:rsidRPr="009B3BD2">
        <w:rPr>
          <w:rFonts w:asciiTheme="majorHAnsi" w:hAnsiTheme="majorHAnsi"/>
          <w:sz w:val="20"/>
          <w:szCs w:val="20"/>
          <w:lang w:val="es-VE"/>
        </w:rPr>
        <w:t>…)”</w:t>
      </w:r>
    </w:p>
    <w:p w14:paraId="0C03753F" w14:textId="77777777" w:rsidR="00EB0604" w:rsidRPr="009B3BD2" w:rsidRDefault="00EB0604" w:rsidP="00EB060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14:paraId="7BB5B3F8" w14:textId="6355D453" w:rsidR="00EB0604" w:rsidRPr="009B3BD2" w:rsidRDefault="0063150A"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VE"/>
        </w:rPr>
      </w:pPr>
      <w:r w:rsidRPr="009B3BD2">
        <w:rPr>
          <w:rFonts w:asciiTheme="majorHAnsi" w:hAnsiTheme="majorHAnsi"/>
          <w:sz w:val="20"/>
          <w:szCs w:val="20"/>
          <w:lang w:val="es-VE"/>
        </w:rPr>
        <w:t xml:space="preserve">En dicho contrato se hace constar que </w:t>
      </w:r>
      <w:r w:rsidR="005C52AE" w:rsidRPr="009B3BD2">
        <w:rPr>
          <w:rFonts w:asciiTheme="majorHAnsi" w:hAnsiTheme="majorHAnsi"/>
          <w:sz w:val="20"/>
          <w:szCs w:val="20"/>
          <w:lang w:val="es-VE"/>
        </w:rPr>
        <w:t>el contratista</w:t>
      </w:r>
      <w:r w:rsidR="002A3BBF" w:rsidRPr="009B3BD2">
        <w:rPr>
          <w:rFonts w:asciiTheme="majorHAnsi" w:hAnsiTheme="majorHAnsi"/>
          <w:sz w:val="20"/>
          <w:szCs w:val="20"/>
          <w:lang w:val="es-VE"/>
        </w:rPr>
        <w:t xml:space="preserve"> lo ejecutaría</w:t>
      </w:r>
      <w:r w:rsidR="005C52AE" w:rsidRPr="009B3BD2">
        <w:rPr>
          <w:rFonts w:asciiTheme="majorHAnsi" w:hAnsiTheme="majorHAnsi"/>
          <w:sz w:val="20"/>
          <w:szCs w:val="20"/>
          <w:lang w:val="es-VE"/>
        </w:rPr>
        <w:t xml:space="preserve"> con sus propios medios tecnológicos, económicos, fin</w:t>
      </w:r>
      <w:r w:rsidR="008D2DB3" w:rsidRPr="009B3BD2">
        <w:rPr>
          <w:rFonts w:asciiTheme="majorHAnsi" w:hAnsiTheme="majorHAnsi"/>
          <w:sz w:val="20"/>
          <w:szCs w:val="20"/>
          <w:lang w:val="es-VE"/>
        </w:rPr>
        <w:t>ancieros, humanos y materiales”</w:t>
      </w:r>
      <w:r w:rsidR="005C52AE" w:rsidRPr="009B3BD2">
        <w:rPr>
          <w:rFonts w:asciiTheme="majorHAnsi" w:hAnsiTheme="majorHAnsi"/>
          <w:sz w:val="20"/>
          <w:szCs w:val="20"/>
          <w:lang w:val="es-VE"/>
        </w:rPr>
        <w:t xml:space="preserve"> (…) “salvo aquellos muebles o inmuebles propiedad del Distrito Capital, entregados por la UAESP p</w:t>
      </w:r>
      <w:r w:rsidR="003859C1" w:rsidRPr="009B3BD2">
        <w:rPr>
          <w:rFonts w:asciiTheme="majorHAnsi" w:hAnsiTheme="majorHAnsi"/>
          <w:sz w:val="20"/>
          <w:szCs w:val="20"/>
          <w:lang w:val="es-VE"/>
        </w:rPr>
        <w:t xml:space="preserve">ara la ejecución del contrato”. </w:t>
      </w:r>
      <w:r w:rsidR="00EB0604" w:rsidRPr="009B3BD2">
        <w:rPr>
          <w:rFonts w:asciiTheme="majorHAnsi" w:hAnsiTheme="majorHAnsi"/>
          <w:sz w:val="20"/>
          <w:szCs w:val="20"/>
          <w:lang w:val="es-VE"/>
        </w:rPr>
        <w:t>Asimismo se indica que “el contratis</w:t>
      </w:r>
      <w:r w:rsidR="00626F20" w:rsidRPr="009B3BD2">
        <w:rPr>
          <w:rFonts w:asciiTheme="majorHAnsi" w:hAnsiTheme="majorHAnsi"/>
          <w:sz w:val="20"/>
          <w:szCs w:val="20"/>
          <w:lang w:val="es-VE"/>
        </w:rPr>
        <w:t>ta podrá contratar con Empresas de Servicios Públicos de Aseo de reconocida idoneidad la prestación del servicio por actividades o zonas de la ciudad”</w:t>
      </w:r>
      <w:r w:rsidR="00626F20" w:rsidRPr="009B3BD2">
        <w:rPr>
          <w:rStyle w:val="FootnoteReference"/>
          <w:rFonts w:asciiTheme="majorHAnsi" w:hAnsiTheme="majorHAnsi"/>
          <w:sz w:val="20"/>
          <w:szCs w:val="20"/>
          <w:lang w:val="es-VE"/>
        </w:rPr>
        <w:t xml:space="preserve"> </w:t>
      </w:r>
      <w:r w:rsidR="00626F20" w:rsidRPr="009B3BD2">
        <w:rPr>
          <w:rStyle w:val="FootnoteReference"/>
          <w:rFonts w:asciiTheme="majorHAnsi" w:hAnsiTheme="majorHAnsi"/>
          <w:sz w:val="20"/>
          <w:szCs w:val="20"/>
          <w:lang w:val="es-VE"/>
        </w:rPr>
        <w:footnoteReference w:id="10"/>
      </w:r>
      <w:r w:rsidR="00626F20" w:rsidRPr="009B3BD2">
        <w:rPr>
          <w:rFonts w:asciiTheme="majorHAnsi" w:hAnsiTheme="majorHAnsi"/>
          <w:sz w:val="20"/>
          <w:szCs w:val="20"/>
          <w:lang w:val="es-VE"/>
        </w:rPr>
        <w:t>.</w:t>
      </w:r>
    </w:p>
    <w:p w14:paraId="04C6393E" w14:textId="77777777" w:rsidR="0065226A" w:rsidRPr="009B3BD2" w:rsidRDefault="0065226A" w:rsidP="0065226A">
      <w:pPr>
        <w:pStyle w:val="ListParagraph"/>
        <w:rPr>
          <w:rFonts w:asciiTheme="majorHAnsi" w:hAnsiTheme="majorHAnsi"/>
          <w:sz w:val="20"/>
          <w:szCs w:val="20"/>
          <w:lang w:val="es-VE"/>
        </w:rPr>
      </w:pPr>
    </w:p>
    <w:p w14:paraId="438EB4A6" w14:textId="77777777" w:rsidR="00097388" w:rsidRPr="009B3BD2" w:rsidRDefault="0065226A" w:rsidP="0009738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VE"/>
        </w:rPr>
      </w:pPr>
      <w:r w:rsidRPr="009B3BD2">
        <w:rPr>
          <w:rFonts w:asciiTheme="majorHAnsi" w:hAnsiTheme="majorHAnsi"/>
          <w:sz w:val="20"/>
          <w:szCs w:val="20"/>
          <w:lang w:val="es-VE"/>
        </w:rPr>
        <w:t xml:space="preserve">El 4 de diciembre de 2012 la Empresa de Acueducto y Alcantarillado de Bogotá suscribió el contrato 809 con la empresa Aguas de Bogotá, </w:t>
      </w:r>
      <w:r w:rsidR="00104DBF" w:rsidRPr="009B3BD2">
        <w:rPr>
          <w:rFonts w:asciiTheme="majorHAnsi" w:hAnsiTheme="majorHAnsi"/>
          <w:sz w:val="20"/>
          <w:szCs w:val="20"/>
          <w:lang w:val="es-VE"/>
        </w:rPr>
        <w:t>en la que esta última se comprometió a prestar el servicio público de aseo en Bogotá</w:t>
      </w:r>
      <w:r w:rsidR="00AE2112" w:rsidRPr="009B3BD2">
        <w:rPr>
          <w:rStyle w:val="FootnoteReference"/>
          <w:rFonts w:asciiTheme="majorHAnsi" w:hAnsiTheme="majorHAnsi"/>
          <w:sz w:val="20"/>
          <w:szCs w:val="20"/>
          <w:lang w:val="es-CO"/>
        </w:rPr>
        <w:footnoteReference w:id="11"/>
      </w:r>
      <w:r w:rsidR="00104DBF" w:rsidRPr="009B3BD2">
        <w:rPr>
          <w:rFonts w:asciiTheme="majorHAnsi" w:hAnsiTheme="majorHAnsi"/>
          <w:sz w:val="20"/>
          <w:szCs w:val="20"/>
          <w:lang w:val="es-VE"/>
        </w:rPr>
        <w:t xml:space="preserve">. </w:t>
      </w:r>
    </w:p>
    <w:p w14:paraId="0DEAA160" w14:textId="77777777" w:rsidR="00AE04A1" w:rsidRPr="009B3BD2" w:rsidRDefault="00AE04A1" w:rsidP="00AE04A1">
      <w:pPr>
        <w:pStyle w:val="ListParagraph"/>
        <w:rPr>
          <w:rFonts w:asciiTheme="majorHAnsi" w:hAnsiTheme="majorHAnsi"/>
          <w:sz w:val="20"/>
          <w:szCs w:val="20"/>
          <w:lang w:val="es-VE"/>
        </w:rPr>
      </w:pPr>
    </w:p>
    <w:p w14:paraId="2E765D6B" w14:textId="77777777" w:rsidR="00AE04A1" w:rsidRPr="009B3BD2" w:rsidRDefault="00AE04A1" w:rsidP="00AE04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14:paraId="7D3D88A2" w14:textId="77777777" w:rsidR="00AE04A1" w:rsidRPr="009B3BD2" w:rsidRDefault="00AE04A1" w:rsidP="00AE04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14:paraId="54B515D3" w14:textId="77777777" w:rsidR="00703935" w:rsidRPr="009B3BD2" w:rsidRDefault="00703935" w:rsidP="0070393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14:paraId="42133178" w14:textId="77777777" w:rsidR="00196CCC" w:rsidRPr="009B3BD2" w:rsidRDefault="00196CCC" w:rsidP="007406C4">
      <w:pPr>
        <w:pStyle w:val="ListParagraph"/>
        <w:numPr>
          <w:ilvl w:val="0"/>
          <w:numId w:val="61"/>
        </w:numPr>
        <w:tabs>
          <w:tab w:val="clear" w:pos="1800"/>
          <w:tab w:val="num" w:pos="1440"/>
        </w:tabs>
        <w:ind w:hanging="1080"/>
        <w:rPr>
          <w:b/>
          <w:sz w:val="20"/>
          <w:szCs w:val="20"/>
          <w:lang w:val="es-VE"/>
        </w:rPr>
      </w:pPr>
      <w:r w:rsidRPr="009B3BD2">
        <w:rPr>
          <w:b/>
          <w:sz w:val="20"/>
          <w:szCs w:val="20"/>
          <w:lang w:val="es-VE"/>
        </w:rPr>
        <w:lastRenderedPageBreak/>
        <w:t>La expedició</w:t>
      </w:r>
      <w:r w:rsidR="00097388" w:rsidRPr="009B3BD2">
        <w:rPr>
          <w:b/>
          <w:sz w:val="20"/>
          <w:szCs w:val="20"/>
          <w:lang w:val="es-VE"/>
        </w:rPr>
        <w:t>n del Decreto</w:t>
      </w:r>
      <w:r w:rsidR="00A725D8" w:rsidRPr="009B3BD2">
        <w:rPr>
          <w:b/>
          <w:sz w:val="20"/>
          <w:szCs w:val="20"/>
          <w:lang w:val="es-VE"/>
        </w:rPr>
        <w:t xml:space="preserve"> 564  de diciembre de 2012</w:t>
      </w:r>
    </w:p>
    <w:p w14:paraId="755D9F0F" w14:textId="77777777" w:rsidR="00196CCC" w:rsidRPr="009B3BD2" w:rsidRDefault="00196CCC" w:rsidP="00196CCC">
      <w:pPr>
        <w:pStyle w:val="ListParagraph"/>
        <w:ind w:left="1800"/>
        <w:rPr>
          <w:lang w:val="es-VE"/>
        </w:rPr>
      </w:pPr>
    </w:p>
    <w:p w14:paraId="23ABF3D1" w14:textId="77777777" w:rsidR="00A91FCA" w:rsidRPr="009B3BD2" w:rsidRDefault="00BF6ED2"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VE"/>
        </w:rPr>
      </w:pPr>
      <w:r w:rsidRPr="009B3BD2">
        <w:rPr>
          <w:rFonts w:asciiTheme="majorHAnsi" w:hAnsiTheme="majorHAnsi"/>
          <w:sz w:val="20"/>
          <w:szCs w:val="20"/>
          <w:lang w:val="es-VE"/>
        </w:rPr>
        <w:t>El 10 de diciembre de 2012 el Alcalde Mayor de Bogotá emitió el Decreto 564, el cual delineaba el régimen de prestación de servic</w:t>
      </w:r>
      <w:r w:rsidR="00A91FCA" w:rsidRPr="009B3BD2">
        <w:rPr>
          <w:rFonts w:asciiTheme="majorHAnsi" w:hAnsiTheme="majorHAnsi"/>
          <w:sz w:val="20"/>
          <w:szCs w:val="20"/>
          <w:lang w:val="es-VE"/>
        </w:rPr>
        <w:t xml:space="preserve">io público de aseo en la ciudad. </w:t>
      </w:r>
    </w:p>
    <w:p w14:paraId="28620E61" w14:textId="4FE56591" w:rsidR="00967A97" w:rsidRPr="009B3BD2" w:rsidRDefault="00967A97">
      <w:pPr>
        <w:rPr>
          <w:rFonts w:asciiTheme="majorHAnsi" w:hAnsiTheme="majorHAnsi"/>
          <w:sz w:val="20"/>
          <w:szCs w:val="20"/>
          <w:lang w:val="es-VE"/>
        </w:rPr>
      </w:pPr>
    </w:p>
    <w:p w14:paraId="48FDE684" w14:textId="4F66A897" w:rsidR="00BF6ED2" w:rsidRPr="009B3BD2" w:rsidRDefault="00BF6ED2"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VE"/>
        </w:rPr>
      </w:pPr>
      <w:r w:rsidRPr="009B3BD2">
        <w:rPr>
          <w:rFonts w:asciiTheme="majorHAnsi" w:hAnsiTheme="majorHAnsi"/>
          <w:sz w:val="20"/>
          <w:szCs w:val="20"/>
          <w:lang w:val="es-VE"/>
        </w:rPr>
        <w:t>En lo pertinente, dicho Decreto establecía lo siguiente:</w:t>
      </w:r>
    </w:p>
    <w:p w14:paraId="4F81229B" w14:textId="77777777" w:rsidR="00535693" w:rsidRPr="009B3BD2" w:rsidRDefault="00535693" w:rsidP="0053569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2819672E" w14:textId="77777777" w:rsidR="00535693" w:rsidRPr="009B3BD2" w:rsidRDefault="006912A0"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VE"/>
        </w:rPr>
      </w:pPr>
      <w:r w:rsidRPr="009B3BD2">
        <w:rPr>
          <w:rFonts w:asciiTheme="majorHAnsi" w:hAnsiTheme="majorHAnsi"/>
          <w:sz w:val="20"/>
          <w:szCs w:val="20"/>
          <w:lang w:val="es-VE"/>
        </w:rPr>
        <w:t xml:space="preserve">Artículo 6. </w:t>
      </w:r>
      <w:r w:rsidR="00196CCC" w:rsidRPr="009B3BD2">
        <w:rPr>
          <w:rFonts w:asciiTheme="majorHAnsi" w:hAnsiTheme="majorHAnsi"/>
          <w:sz w:val="20"/>
          <w:szCs w:val="20"/>
          <w:lang w:val="es-VE"/>
        </w:rPr>
        <w:t>Cumplimiento de la</w:t>
      </w:r>
      <w:r w:rsidR="00660CB0" w:rsidRPr="009B3BD2">
        <w:rPr>
          <w:rFonts w:asciiTheme="majorHAnsi" w:hAnsiTheme="majorHAnsi"/>
          <w:sz w:val="20"/>
          <w:szCs w:val="20"/>
          <w:lang w:val="es-VE"/>
        </w:rPr>
        <w:t xml:space="preserve"> facultad de s</w:t>
      </w:r>
      <w:r w:rsidR="00196CCC" w:rsidRPr="009B3BD2">
        <w:rPr>
          <w:rFonts w:asciiTheme="majorHAnsi" w:hAnsiTheme="majorHAnsi"/>
          <w:sz w:val="20"/>
          <w:szCs w:val="20"/>
          <w:lang w:val="es-VE"/>
        </w:rPr>
        <w:t>upervisión, coordinación y control del servicio de aseo.  De conformidad con el artículo 116 del Acuerdo Distrital 257 del 30 de noviembre de 2006, para que una persona de naturaleza pública o privada pueda prestar en la ciudad de Bogotá Distrito Capital el servicio público de aseo, deberá acreditar ante la Unidad Administrativa Especial de Servicios Públicos UAESP los requisitos exigidos en la ley y suscribir con dicha Unidad, o con la Empresa de Acueducto y Alcantarillado de Bogotá E.S.P-EAAB un contrato en el cual se especifique el alcance de sus obligaciones y, particularmente, la forma cómo se cumplirán las actividades de supervisión, coordinación y control del servicio a cargo de la Unidad Administrativa Especial de Servicios Públicos UAESP</w:t>
      </w:r>
      <w:r w:rsidR="00660CB0" w:rsidRPr="009B3BD2">
        <w:rPr>
          <w:rFonts w:asciiTheme="majorHAnsi" w:hAnsiTheme="majorHAnsi"/>
          <w:sz w:val="20"/>
          <w:szCs w:val="20"/>
          <w:lang w:val="es-VE"/>
        </w:rPr>
        <w:t>.</w:t>
      </w:r>
    </w:p>
    <w:p w14:paraId="71982580" w14:textId="77777777" w:rsidR="00535693" w:rsidRPr="009B3BD2" w:rsidRDefault="00535693"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VE"/>
        </w:rPr>
      </w:pPr>
    </w:p>
    <w:p w14:paraId="74E39EE0" w14:textId="77777777" w:rsidR="00196CCC" w:rsidRPr="009B3BD2" w:rsidRDefault="006912A0"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VE"/>
        </w:rPr>
      </w:pPr>
      <w:r w:rsidRPr="009B3BD2">
        <w:rPr>
          <w:rFonts w:asciiTheme="majorHAnsi" w:hAnsiTheme="majorHAnsi"/>
          <w:sz w:val="20"/>
          <w:szCs w:val="20"/>
          <w:lang w:val="es-VE"/>
        </w:rPr>
        <w:t xml:space="preserve">Artículo 9. </w:t>
      </w:r>
      <w:r w:rsidR="00736F90" w:rsidRPr="009B3BD2">
        <w:rPr>
          <w:rFonts w:asciiTheme="majorHAnsi" w:hAnsiTheme="majorHAnsi"/>
          <w:sz w:val="20"/>
          <w:szCs w:val="20"/>
          <w:lang w:val="es-VE"/>
        </w:rPr>
        <w:t>Acceso al Relleno Sanitario.</w:t>
      </w:r>
      <w:r w:rsidRPr="009B3BD2">
        <w:rPr>
          <w:rFonts w:asciiTheme="majorHAnsi" w:hAnsiTheme="majorHAnsi"/>
          <w:sz w:val="20"/>
          <w:szCs w:val="20"/>
          <w:lang w:val="es-VE"/>
        </w:rPr>
        <w:t xml:space="preserve"> El acceso y </w:t>
      </w:r>
      <w:r w:rsidR="00C60BA3" w:rsidRPr="009B3BD2">
        <w:rPr>
          <w:rFonts w:asciiTheme="majorHAnsi" w:hAnsiTheme="majorHAnsi"/>
          <w:sz w:val="20"/>
          <w:szCs w:val="20"/>
          <w:lang w:val="es-VE"/>
        </w:rPr>
        <w:t>disposición</w:t>
      </w:r>
      <w:r w:rsidRPr="009B3BD2">
        <w:rPr>
          <w:rFonts w:asciiTheme="majorHAnsi" w:hAnsiTheme="majorHAnsi"/>
          <w:sz w:val="20"/>
          <w:szCs w:val="20"/>
          <w:lang w:val="es-VE"/>
        </w:rPr>
        <w:t xml:space="preserve"> de residuos en el Relleno Sanitario Doña Juana, propiedad del Distrito Capital, queda condicionado a la celebración previa de un contrato de acceso al servicio público de aseo en la actividad complementaria de disposición final, con el operador contratado para el efecto, previa autorización de la Unidad Administrativa Especial de Servicios Públicos UAESP, en los términos previstos en </w:t>
      </w:r>
      <w:r w:rsidR="00D90784" w:rsidRPr="009B3BD2">
        <w:rPr>
          <w:rFonts w:asciiTheme="majorHAnsi" w:hAnsiTheme="majorHAnsi"/>
          <w:sz w:val="20"/>
          <w:szCs w:val="20"/>
          <w:lang w:val="es-VE"/>
        </w:rPr>
        <w:t>el Decreto Nacional 838 de 2005</w:t>
      </w:r>
      <w:r w:rsidRPr="009B3BD2">
        <w:rPr>
          <w:rStyle w:val="FootnoteReference"/>
          <w:rFonts w:asciiTheme="majorHAnsi" w:hAnsiTheme="majorHAnsi"/>
          <w:sz w:val="20"/>
          <w:szCs w:val="20"/>
          <w:lang w:val="es-CO"/>
        </w:rPr>
        <w:footnoteReference w:id="12"/>
      </w:r>
      <w:r w:rsidRPr="009B3BD2">
        <w:rPr>
          <w:rFonts w:asciiTheme="majorHAnsi" w:hAnsiTheme="majorHAnsi"/>
          <w:sz w:val="20"/>
          <w:szCs w:val="20"/>
          <w:lang w:val="es-VE"/>
        </w:rPr>
        <w:t xml:space="preserve">. </w:t>
      </w:r>
    </w:p>
    <w:p w14:paraId="5B52EF7C" w14:textId="77777777" w:rsidR="00BE7794" w:rsidRPr="009B3BD2" w:rsidRDefault="00BE7794" w:rsidP="005D3A40">
      <w:pPr>
        <w:rPr>
          <w:b/>
          <w:sz w:val="20"/>
          <w:szCs w:val="20"/>
          <w:lang w:val="es-VE"/>
        </w:rPr>
      </w:pPr>
    </w:p>
    <w:p w14:paraId="17BA487B" w14:textId="77777777" w:rsidR="00BE7794" w:rsidRPr="009B3BD2" w:rsidRDefault="00BE7794" w:rsidP="007406C4">
      <w:pPr>
        <w:pStyle w:val="ListParagraph"/>
        <w:numPr>
          <w:ilvl w:val="0"/>
          <w:numId w:val="61"/>
        </w:numPr>
        <w:tabs>
          <w:tab w:val="clear" w:pos="1800"/>
          <w:tab w:val="num" w:pos="1440"/>
        </w:tabs>
        <w:ind w:hanging="1080"/>
        <w:rPr>
          <w:b/>
          <w:sz w:val="20"/>
          <w:szCs w:val="20"/>
          <w:lang w:val="es-VE"/>
        </w:rPr>
      </w:pPr>
      <w:r w:rsidRPr="009B3BD2">
        <w:rPr>
          <w:b/>
          <w:sz w:val="20"/>
          <w:szCs w:val="20"/>
          <w:lang w:val="es-VE"/>
        </w:rPr>
        <w:t>La expedición del Decreto 570  de diciembre de 2012</w:t>
      </w:r>
    </w:p>
    <w:p w14:paraId="607B67C1" w14:textId="77777777" w:rsidR="00BE7794" w:rsidRPr="009B3BD2" w:rsidRDefault="00BE7794" w:rsidP="00BB1F6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14:paraId="7948457B" w14:textId="2A19044A" w:rsidR="005D3A40" w:rsidRPr="009B3BD2" w:rsidRDefault="005D3A40"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VE"/>
        </w:rPr>
      </w:pPr>
      <w:r w:rsidRPr="009B3BD2">
        <w:rPr>
          <w:rFonts w:asciiTheme="majorHAnsi" w:hAnsiTheme="majorHAnsi"/>
          <w:sz w:val="20"/>
          <w:szCs w:val="20"/>
          <w:lang w:val="es-VE"/>
        </w:rPr>
        <w:t>El 14 de diciembre de 2012 la</w:t>
      </w:r>
      <w:r w:rsidR="001A062F" w:rsidRPr="009B3BD2">
        <w:rPr>
          <w:rFonts w:asciiTheme="majorHAnsi" w:hAnsiTheme="majorHAnsi"/>
          <w:sz w:val="20"/>
          <w:szCs w:val="20"/>
          <w:lang w:val="es-VE"/>
        </w:rPr>
        <w:t xml:space="preserve"> Alcaldía de Bogotá declaró el e</w:t>
      </w:r>
      <w:r w:rsidRPr="009B3BD2">
        <w:rPr>
          <w:rFonts w:asciiTheme="majorHAnsi" w:hAnsiTheme="majorHAnsi"/>
          <w:sz w:val="20"/>
          <w:szCs w:val="20"/>
          <w:lang w:val="es-VE"/>
        </w:rPr>
        <w:t>stado de prevención o alerta amarilla</w:t>
      </w:r>
      <w:r w:rsidR="006F7ACE" w:rsidRPr="009B3BD2">
        <w:rPr>
          <w:rFonts w:asciiTheme="majorHAnsi" w:hAnsiTheme="majorHAnsi"/>
          <w:sz w:val="20"/>
          <w:szCs w:val="20"/>
          <w:lang w:val="es-VE"/>
        </w:rPr>
        <w:t xml:space="preserve"> por el plazo de 4 meses en todo el Distrito Capital</w:t>
      </w:r>
      <w:r w:rsidRPr="009B3BD2">
        <w:rPr>
          <w:rFonts w:asciiTheme="majorHAnsi" w:hAnsiTheme="majorHAnsi"/>
          <w:sz w:val="20"/>
          <w:szCs w:val="20"/>
          <w:lang w:val="es-VE"/>
        </w:rPr>
        <w:t>,</w:t>
      </w:r>
      <w:r w:rsidR="00D90784" w:rsidRPr="009B3BD2">
        <w:rPr>
          <w:rFonts w:asciiTheme="majorHAnsi" w:hAnsiTheme="majorHAnsi"/>
          <w:sz w:val="20"/>
          <w:szCs w:val="20"/>
          <w:lang w:val="es-VE"/>
        </w:rPr>
        <w:t xml:space="preserve"> </w:t>
      </w:r>
      <w:r w:rsidRPr="009B3BD2">
        <w:rPr>
          <w:rFonts w:asciiTheme="majorHAnsi" w:hAnsiTheme="majorHAnsi"/>
          <w:sz w:val="20"/>
          <w:szCs w:val="20"/>
          <w:lang w:val="es-VE"/>
        </w:rPr>
        <w:t>tomando en cuenta</w:t>
      </w:r>
      <w:r w:rsidR="006F7ACE" w:rsidRPr="009B3BD2">
        <w:rPr>
          <w:rFonts w:asciiTheme="majorHAnsi" w:hAnsiTheme="majorHAnsi"/>
          <w:sz w:val="20"/>
          <w:szCs w:val="20"/>
          <w:lang w:val="es-VE"/>
        </w:rPr>
        <w:t>,</w:t>
      </w:r>
      <w:r w:rsidRPr="009B3BD2">
        <w:rPr>
          <w:rFonts w:asciiTheme="majorHAnsi" w:hAnsiTheme="majorHAnsi"/>
          <w:sz w:val="20"/>
          <w:szCs w:val="20"/>
          <w:lang w:val="es-VE"/>
        </w:rPr>
        <w:t xml:space="preserve"> entre otros factores</w:t>
      </w:r>
      <w:r w:rsidR="006F7ACE" w:rsidRPr="009B3BD2">
        <w:rPr>
          <w:rFonts w:asciiTheme="majorHAnsi" w:hAnsiTheme="majorHAnsi"/>
          <w:sz w:val="20"/>
          <w:szCs w:val="20"/>
          <w:lang w:val="es-VE"/>
        </w:rPr>
        <w:t>, los siguientes: 1) la UAESP identificó al 30 de noviembre de 2012 63</w:t>
      </w:r>
      <w:r w:rsidR="008A0E12" w:rsidRPr="009B3BD2">
        <w:rPr>
          <w:rFonts w:asciiTheme="majorHAnsi" w:hAnsiTheme="majorHAnsi"/>
          <w:sz w:val="20"/>
          <w:szCs w:val="20"/>
          <w:lang w:val="es-VE"/>
        </w:rPr>
        <w:t>6</w:t>
      </w:r>
      <w:r w:rsidR="006F7ACE" w:rsidRPr="009B3BD2">
        <w:rPr>
          <w:rFonts w:asciiTheme="majorHAnsi" w:hAnsiTheme="majorHAnsi"/>
          <w:sz w:val="20"/>
          <w:szCs w:val="20"/>
          <w:lang w:val="es-VE"/>
        </w:rPr>
        <w:t xml:space="preserve"> puntos críticos en la ciudad, </w:t>
      </w:r>
      <w:r w:rsidR="008A0E12" w:rsidRPr="009B3BD2">
        <w:rPr>
          <w:rFonts w:asciiTheme="majorHAnsi" w:hAnsiTheme="majorHAnsi"/>
          <w:sz w:val="20"/>
          <w:szCs w:val="20"/>
          <w:lang w:val="es-VE"/>
        </w:rPr>
        <w:t xml:space="preserve">es decir espacios públicos, afectados por la presencia transitoria o permanente de residuos sólidos que pueden generar efectos al medio ambiente; </w:t>
      </w:r>
      <w:r w:rsidR="006F7ACE" w:rsidRPr="009B3BD2">
        <w:rPr>
          <w:rFonts w:asciiTheme="majorHAnsi" w:hAnsiTheme="majorHAnsi"/>
          <w:sz w:val="20"/>
          <w:szCs w:val="20"/>
          <w:lang w:val="es-VE"/>
        </w:rPr>
        <w:t>2)</w:t>
      </w:r>
      <w:r w:rsidRPr="009B3BD2">
        <w:rPr>
          <w:rFonts w:asciiTheme="majorHAnsi" w:hAnsiTheme="majorHAnsi"/>
          <w:sz w:val="20"/>
          <w:szCs w:val="20"/>
          <w:lang w:val="es-VE"/>
        </w:rPr>
        <w:t xml:space="preserve"> el 12 de diciembre de 2012 “en algunas zonas del Distrito Capital, se presentaron retardos en la recolección de los residuos sólidos por parte de algunos operadores del servicio de aseo contratados por la UAESP”</w:t>
      </w:r>
      <w:r w:rsidR="006F7ACE" w:rsidRPr="009B3BD2">
        <w:rPr>
          <w:rFonts w:asciiTheme="majorHAnsi" w:hAnsiTheme="majorHAnsi"/>
          <w:sz w:val="20"/>
          <w:szCs w:val="20"/>
          <w:lang w:val="es-VE"/>
        </w:rPr>
        <w:t>, y 3)</w:t>
      </w:r>
      <w:r w:rsidR="00391735">
        <w:rPr>
          <w:rFonts w:asciiTheme="majorHAnsi" w:hAnsiTheme="majorHAnsi"/>
          <w:sz w:val="20"/>
          <w:szCs w:val="20"/>
          <w:lang w:val="es-VE"/>
        </w:rPr>
        <w:t xml:space="preserve"> </w:t>
      </w:r>
      <w:r w:rsidR="006F7ACE" w:rsidRPr="009B3BD2">
        <w:rPr>
          <w:rFonts w:asciiTheme="majorHAnsi" w:hAnsiTheme="majorHAnsi"/>
          <w:sz w:val="20"/>
          <w:szCs w:val="20"/>
          <w:lang w:val="es-VE"/>
        </w:rPr>
        <w:t>ante el evento de que en la adecuación del nuevo esquema se presenten posibles situaciones de riesgo”.</w:t>
      </w:r>
    </w:p>
    <w:p w14:paraId="649E6EE0" w14:textId="77777777" w:rsidR="006F7ACE" w:rsidRPr="009B3BD2" w:rsidRDefault="006F7ACE" w:rsidP="006F7AC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14:paraId="2D10767F" w14:textId="15387738" w:rsidR="005D3A40" w:rsidRPr="009B3BD2" w:rsidRDefault="006F7ACE"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VE"/>
        </w:rPr>
      </w:pPr>
      <w:r w:rsidRPr="009B3BD2">
        <w:rPr>
          <w:rFonts w:asciiTheme="majorHAnsi" w:hAnsiTheme="majorHAnsi"/>
          <w:sz w:val="20"/>
          <w:szCs w:val="20"/>
          <w:lang w:val="es-VE"/>
        </w:rPr>
        <w:t>Asimismo, y en virtud de lo anterior, el Decreto expedido por el Alcalde, autorizó “</w:t>
      </w:r>
      <w:r w:rsidR="005C0638" w:rsidRPr="009B3BD2">
        <w:rPr>
          <w:rFonts w:asciiTheme="majorHAnsi" w:hAnsiTheme="majorHAnsi"/>
          <w:sz w:val="20"/>
          <w:szCs w:val="20"/>
          <w:lang w:val="es-VE"/>
        </w:rPr>
        <w:t>el uso de vehículos automotores tipo volquetas, con el fin de garantizar la continuidad de la prestación del servicio público de aseo y como medida de precaución para minimizar eventuales impactos ambientales y sanitarios</w:t>
      </w:r>
      <w:r w:rsidR="00195064" w:rsidRPr="009B3BD2">
        <w:rPr>
          <w:rFonts w:asciiTheme="majorHAnsi" w:hAnsiTheme="majorHAnsi"/>
          <w:sz w:val="20"/>
          <w:szCs w:val="20"/>
          <w:lang w:val="es-VE"/>
        </w:rPr>
        <w:t>”</w:t>
      </w:r>
      <w:r w:rsidR="00660CB0" w:rsidRPr="009B3BD2">
        <w:rPr>
          <w:rStyle w:val="FootnoteReference"/>
          <w:rFonts w:asciiTheme="majorHAnsi" w:hAnsiTheme="majorHAnsi"/>
          <w:sz w:val="20"/>
          <w:szCs w:val="20"/>
          <w:lang w:val="es-VE"/>
        </w:rPr>
        <w:footnoteReference w:id="13"/>
      </w:r>
      <w:r w:rsidR="005C0638" w:rsidRPr="009B3BD2">
        <w:rPr>
          <w:rFonts w:asciiTheme="majorHAnsi" w:hAnsiTheme="majorHAnsi"/>
          <w:sz w:val="20"/>
          <w:szCs w:val="20"/>
          <w:lang w:val="es-VE"/>
        </w:rPr>
        <w:t xml:space="preserve">. </w:t>
      </w:r>
    </w:p>
    <w:p w14:paraId="6B9EA7EC" w14:textId="77777777" w:rsidR="005D3A40" w:rsidRPr="009B3BD2" w:rsidRDefault="005D3A40" w:rsidP="009E57C9">
      <w:pPr>
        <w:rPr>
          <w:lang w:val="es-VE"/>
        </w:rPr>
      </w:pPr>
    </w:p>
    <w:p w14:paraId="409CF502" w14:textId="77777777" w:rsidR="005D3A40" w:rsidRPr="009B3BD2" w:rsidRDefault="005D3A40" w:rsidP="007406C4">
      <w:pPr>
        <w:pStyle w:val="ListParagraph"/>
        <w:numPr>
          <w:ilvl w:val="0"/>
          <w:numId w:val="61"/>
        </w:numPr>
        <w:tabs>
          <w:tab w:val="clear" w:pos="1800"/>
          <w:tab w:val="num" w:pos="1440"/>
        </w:tabs>
        <w:ind w:hanging="1080"/>
        <w:rPr>
          <w:b/>
          <w:sz w:val="20"/>
          <w:szCs w:val="20"/>
          <w:lang w:val="es-VE"/>
        </w:rPr>
      </w:pPr>
      <w:r w:rsidRPr="009B3BD2">
        <w:rPr>
          <w:b/>
          <w:sz w:val="20"/>
          <w:szCs w:val="20"/>
          <w:lang w:val="es-VE"/>
        </w:rPr>
        <w:t>La crisis en Bogotá</w:t>
      </w:r>
    </w:p>
    <w:p w14:paraId="60701355" w14:textId="77777777" w:rsidR="005D3A40" w:rsidRPr="009B3BD2" w:rsidRDefault="005D3A40" w:rsidP="00BF3DE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VE"/>
        </w:rPr>
      </w:pPr>
    </w:p>
    <w:p w14:paraId="454DB2AF" w14:textId="1282E647" w:rsidR="005D3A40" w:rsidRPr="009B3BD2" w:rsidRDefault="005D3A40" w:rsidP="007866F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VE"/>
        </w:rPr>
      </w:pPr>
      <w:proofErr w:type="spellStart"/>
      <w:r w:rsidRPr="009B3BD2">
        <w:rPr>
          <w:rFonts w:ascii="Cambria" w:hAnsi="Cambria"/>
          <w:sz w:val="20"/>
          <w:szCs w:val="20"/>
          <w:lang w:val="es-CO"/>
        </w:rPr>
        <w:t>Seg</w:t>
      </w:r>
      <w:r w:rsidR="007866FE" w:rsidRPr="009B3BD2">
        <w:rPr>
          <w:rFonts w:ascii="Cambria" w:hAnsi="Cambria"/>
          <w:sz w:val="20"/>
          <w:szCs w:val="20"/>
          <w:lang w:val="es-VE"/>
        </w:rPr>
        <w:t>ún</w:t>
      </w:r>
      <w:proofErr w:type="spellEnd"/>
      <w:r w:rsidR="007866FE" w:rsidRPr="009B3BD2">
        <w:rPr>
          <w:rFonts w:ascii="Cambria" w:hAnsi="Cambria"/>
          <w:sz w:val="20"/>
          <w:szCs w:val="20"/>
          <w:lang w:val="es-VE"/>
        </w:rPr>
        <w:t xml:space="preserve"> informaron las partes</w:t>
      </w:r>
      <w:r w:rsidRPr="009B3BD2">
        <w:rPr>
          <w:rFonts w:ascii="Cambria" w:hAnsi="Cambria"/>
          <w:sz w:val="20"/>
          <w:szCs w:val="20"/>
          <w:lang w:val="es-VE"/>
        </w:rPr>
        <w:t xml:space="preserve"> y consta en información de público conocimiento</w:t>
      </w:r>
      <w:r w:rsidR="007866FE" w:rsidRPr="009B3BD2">
        <w:rPr>
          <w:rFonts w:ascii="Cambria" w:hAnsi="Cambria"/>
          <w:sz w:val="20"/>
          <w:szCs w:val="20"/>
          <w:lang w:val="es-VE"/>
        </w:rPr>
        <w:t>,</w:t>
      </w:r>
      <w:r w:rsidRPr="009B3BD2">
        <w:rPr>
          <w:rFonts w:ascii="Cambria" w:hAnsi="Cambria"/>
          <w:sz w:val="20"/>
          <w:szCs w:val="20"/>
          <w:lang w:val="es-VE"/>
        </w:rPr>
        <w:t xml:space="preserve"> el 18, 19 y 20 de diciembre de 2012 se generó una crisis e</w:t>
      </w:r>
      <w:r w:rsidR="00BF3DE7" w:rsidRPr="009B3BD2">
        <w:rPr>
          <w:rFonts w:ascii="Cambria" w:hAnsi="Cambria"/>
          <w:sz w:val="20"/>
          <w:szCs w:val="20"/>
          <w:lang w:val="es-VE"/>
        </w:rPr>
        <w:t xml:space="preserve">n Bogotá </w:t>
      </w:r>
      <w:r w:rsidR="00CA52D8" w:rsidRPr="009B3BD2">
        <w:rPr>
          <w:rFonts w:ascii="Cambria" w:hAnsi="Cambria"/>
          <w:sz w:val="20"/>
          <w:szCs w:val="20"/>
          <w:lang w:val="es-VE"/>
        </w:rPr>
        <w:t>por la falta de recolección de basura</w:t>
      </w:r>
      <w:r w:rsidR="006F5077" w:rsidRPr="009B3BD2">
        <w:rPr>
          <w:rFonts w:ascii="Cambria" w:hAnsi="Cambria"/>
          <w:sz w:val="20"/>
          <w:szCs w:val="20"/>
          <w:lang w:val="es-VE"/>
        </w:rPr>
        <w:t xml:space="preserve">, en el tránsito entre el esquema público y privado. </w:t>
      </w:r>
      <w:r w:rsidRPr="009B3BD2">
        <w:rPr>
          <w:rFonts w:asciiTheme="majorHAnsi" w:hAnsiTheme="majorHAnsi"/>
          <w:sz w:val="20"/>
          <w:szCs w:val="20"/>
          <w:lang w:val="es-VE"/>
        </w:rPr>
        <w:t xml:space="preserve">De acuerdo a lo indicado por </w:t>
      </w:r>
      <w:r w:rsidR="006F5077" w:rsidRPr="009B3BD2">
        <w:rPr>
          <w:rFonts w:asciiTheme="majorHAnsi" w:hAnsiTheme="majorHAnsi"/>
          <w:sz w:val="20"/>
          <w:szCs w:val="20"/>
          <w:lang w:val="es-VE"/>
        </w:rPr>
        <w:t>la parte peticionaria</w:t>
      </w:r>
      <w:r w:rsidRPr="009B3BD2">
        <w:rPr>
          <w:rFonts w:asciiTheme="majorHAnsi" w:hAnsiTheme="majorHAnsi"/>
          <w:sz w:val="20"/>
          <w:szCs w:val="20"/>
          <w:lang w:val="es-VE"/>
        </w:rPr>
        <w:t>, la crisis se generó por que los antiguos operadores del servicio de aseo se negaron a regresar los vehículos compactad</w:t>
      </w:r>
      <w:r w:rsidR="00AE15C0" w:rsidRPr="009B3BD2">
        <w:rPr>
          <w:rFonts w:asciiTheme="majorHAnsi" w:hAnsiTheme="majorHAnsi"/>
          <w:sz w:val="20"/>
          <w:szCs w:val="20"/>
          <w:lang w:val="es-VE"/>
        </w:rPr>
        <w:t xml:space="preserve">ores </w:t>
      </w:r>
      <w:r w:rsidRPr="009B3BD2">
        <w:rPr>
          <w:rFonts w:asciiTheme="majorHAnsi" w:hAnsiTheme="majorHAnsi"/>
          <w:sz w:val="20"/>
          <w:szCs w:val="20"/>
          <w:lang w:val="es-VE"/>
        </w:rPr>
        <w:t>y otros equipos técnicos que debían devolver conforme a los términos de sus contratos</w:t>
      </w:r>
      <w:r w:rsidRPr="009B3BD2">
        <w:rPr>
          <w:rFonts w:asciiTheme="majorHAnsi" w:hAnsiTheme="majorHAnsi"/>
          <w:sz w:val="20"/>
          <w:szCs w:val="20"/>
          <w:vertAlign w:val="superscript"/>
        </w:rPr>
        <w:footnoteReference w:id="14"/>
      </w:r>
      <w:r w:rsidRPr="009B3BD2">
        <w:rPr>
          <w:rFonts w:asciiTheme="majorHAnsi" w:hAnsiTheme="majorHAnsi"/>
          <w:sz w:val="20"/>
          <w:szCs w:val="20"/>
          <w:lang w:val="es-VE"/>
        </w:rPr>
        <w:t xml:space="preserve">. </w:t>
      </w:r>
      <w:r w:rsidR="00BB1F6A" w:rsidRPr="009B3BD2">
        <w:rPr>
          <w:rFonts w:asciiTheme="majorHAnsi" w:hAnsiTheme="majorHAnsi"/>
          <w:sz w:val="20"/>
          <w:szCs w:val="20"/>
          <w:lang w:val="es-VE"/>
        </w:rPr>
        <w:t xml:space="preserve"> </w:t>
      </w:r>
      <w:r w:rsidR="003859C1" w:rsidRPr="009B3BD2">
        <w:rPr>
          <w:rFonts w:asciiTheme="majorHAnsi" w:hAnsiTheme="majorHAnsi"/>
          <w:sz w:val="20"/>
          <w:szCs w:val="20"/>
          <w:lang w:val="es-VE"/>
        </w:rPr>
        <w:t>Por su parte, el Estado indicó que la crisis</w:t>
      </w:r>
      <w:r w:rsidR="00836E40" w:rsidRPr="009B3BD2">
        <w:rPr>
          <w:rFonts w:asciiTheme="majorHAnsi" w:hAnsiTheme="majorHAnsi"/>
          <w:sz w:val="20"/>
          <w:szCs w:val="20"/>
          <w:lang w:val="es-VE"/>
        </w:rPr>
        <w:t xml:space="preserve"> fue producto del actuar</w:t>
      </w:r>
      <w:r w:rsidR="003859C1" w:rsidRPr="009B3BD2">
        <w:rPr>
          <w:rFonts w:asciiTheme="majorHAnsi" w:hAnsiTheme="majorHAnsi"/>
          <w:sz w:val="20"/>
          <w:szCs w:val="20"/>
          <w:lang w:val="es-VE"/>
        </w:rPr>
        <w:t xml:space="preserve"> de la presunta víctima. </w:t>
      </w:r>
    </w:p>
    <w:p w14:paraId="5BF28181" w14:textId="3261881B" w:rsidR="00EE597B" w:rsidRPr="009B3BD2" w:rsidRDefault="00AC16B3" w:rsidP="007406C4">
      <w:pPr>
        <w:pStyle w:val="Heading2"/>
        <w:numPr>
          <w:ilvl w:val="0"/>
          <w:numId w:val="59"/>
        </w:numPr>
        <w:ind w:left="1440" w:hanging="720"/>
        <w:rPr>
          <w:rFonts w:ascii="Cambria" w:hAnsi="Cambria" w:cs="Arial"/>
          <w:bCs/>
          <w:iCs/>
          <w:lang w:val="es-VE"/>
        </w:rPr>
      </w:pPr>
      <w:bookmarkStart w:id="24" w:name="_Toc497398858"/>
      <w:r w:rsidRPr="009B3BD2">
        <w:rPr>
          <w:rFonts w:ascii="Cambria" w:hAnsi="Cambria" w:cs="Arial"/>
          <w:bCs/>
          <w:iCs/>
          <w:lang w:val="es-VE"/>
        </w:rPr>
        <w:lastRenderedPageBreak/>
        <w:t>Sobre el p</w:t>
      </w:r>
      <w:r w:rsidR="008E0A49" w:rsidRPr="009B3BD2">
        <w:rPr>
          <w:rFonts w:ascii="Cambria" w:hAnsi="Cambria" w:cs="Arial"/>
          <w:bCs/>
          <w:iCs/>
          <w:lang w:val="es-VE"/>
        </w:rPr>
        <w:t>rimer p</w:t>
      </w:r>
      <w:r w:rsidRPr="009B3BD2">
        <w:rPr>
          <w:rFonts w:ascii="Cambria" w:hAnsi="Cambria" w:cs="Arial"/>
          <w:bCs/>
          <w:iCs/>
          <w:lang w:val="es-VE"/>
        </w:rPr>
        <w:t>roceso disciplinario</w:t>
      </w:r>
      <w:bookmarkEnd w:id="24"/>
      <w:r w:rsidRPr="009B3BD2">
        <w:rPr>
          <w:rFonts w:ascii="Cambria" w:hAnsi="Cambria" w:cs="Arial"/>
          <w:bCs/>
          <w:iCs/>
          <w:lang w:val="es-VE"/>
        </w:rPr>
        <w:t xml:space="preserve"> </w:t>
      </w:r>
    </w:p>
    <w:p w14:paraId="015F0BB5" w14:textId="77777777" w:rsidR="00EE597B" w:rsidRPr="009B3BD2" w:rsidRDefault="00EE597B" w:rsidP="00EE597B">
      <w:pPr>
        <w:rPr>
          <w:lang w:val="es-VE"/>
        </w:rPr>
      </w:pPr>
    </w:p>
    <w:p w14:paraId="33892195" w14:textId="4BB4DAB2" w:rsidR="0027304F" w:rsidRPr="009B3BD2" w:rsidRDefault="00360750" w:rsidP="00040B4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VE"/>
        </w:rPr>
      </w:pPr>
      <w:r w:rsidRPr="009B3BD2">
        <w:rPr>
          <w:rFonts w:asciiTheme="majorHAnsi" w:hAnsiTheme="majorHAnsi"/>
          <w:sz w:val="20"/>
          <w:szCs w:val="20"/>
          <w:lang w:val="es-VE"/>
        </w:rPr>
        <w:t>Según consta en el expediente del caso,</w:t>
      </w:r>
      <w:r w:rsidR="00F405B0" w:rsidRPr="009B3BD2">
        <w:rPr>
          <w:rFonts w:asciiTheme="majorHAnsi" w:hAnsiTheme="majorHAnsi"/>
          <w:sz w:val="20"/>
          <w:szCs w:val="20"/>
          <w:lang w:val="es-VE"/>
        </w:rPr>
        <w:t xml:space="preserve"> </w:t>
      </w:r>
      <w:r w:rsidRPr="009B3BD2">
        <w:rPr>
          <w:rFonts w:asciiTheme="majorHAnsi" w:hAnsiTheme="majorHAnsi"/>
          <w:sz w:val="20"/>
          <w:szCs w:val="20"/>
          <w:lang w:val="es-VE"/>
        </w:rPr>
        <w:t xml:space="preserve"> </w:t>
      </w:r>
      <w:r w:rsidR="00354026" w:rsidRPr="009B3BD2">
        <w:rPr>
          <w:rFonts w:asciiTheme="majorHAnsi" w:hAnsiTheme="majorHAnsi"/>
          <w:sz w:val="20"/>
          <w:szCs w:val="20"/>
          <w:lang w:val="es-VE"/>
        </w:rPr>
        <w:t xml:space="preserve">en 2013 la Procuraduría General de la Nación recibió quejas en contra de la presunta víctima por parte del Secretario General de la Federación Regional de Trabajadores, un concejal del Distrito de Bogotá, un </w:t>
      </w:r>
      <w:r w:rsidR="008B212F" w:rsidRPr="009B3BD2">
        <w:rPr>
          <w:rFonts w:asciiTheme="majorHAnsi" w:hAnsiTheme="majorHAnsi"/>
          <w:sz w:val="20"/>
          <w:szCs w:val="20"/>
          <w:lang w:val="es-VE"/>
        </w:rPr>
        <w:t>personero de Bogotá, y el Defensor del P</w:t>
      </w:r>
      <w:r w:rsidR="00354026" w:rsidRPr="009B3BD2">
        <w:rPr>
          <w:rFonts w:asciiTheme="majorHAnsi" w:hAnsiTheme="majorHAnsi"/>
          <w:sz w:val="20"/>
          <w:szCs w:val="20"/>
          <w:lang w:val="es-VE"/>
        </w:rPr>
        <w:t xml:space="preserve">ueblo, </w:t>
      </w:r>
      <w:r w:rsidR="00F405B0" w:rsidRPr="009B3BD2">
        <w:rPr>
          <w:rFonts w:asciiTheme="majorHAnsi" w:hAnsiTheme="majorHAnsi"/>
          <w:sz w:val="20"/>
          <w:szCs w:val="20"/>
          <w:lang w:val="es-VE"/>
        </w:rPr>
        <w:t xml:space="preserve">referidos al sistema de aseo de Bogotá. En virtud de lo anterior, </w:t>
      </w:r>
      <w:r w:rsidR="00B163F4" w:rsidRPr="009B3BD2">
        <w:rPr>
          <w:rFonts w:asciiTheme="majorHAnsi" w:hAnsiTheme="majorHAnsi"/>
          <w:sz w:val="20"/>
          <w:szCs w:val="20"/>
          <w:lang w:val="es-VE"/>
        </w:rPr>
        <w:t xml:space="preserve">la Procuraduría </w:t>
      </w:r>
      <w:r w:rsidR="00562DC3" w:rsidRPr="009B3BD2">
        <w:rPr>
          <w:rFonts w:asciiTheme="majorHAnsi" w:hAnsiTheme="majorHAnsi"/>
          <w:sz w:val="20"/>
          <w:szCs w:val="20"/>
          <w:lang w:val="es-VE"/>
        </w:rPr>
        <w:t>General de la Nación inició una investigación disciplinaria</w:t>
      </w:r>
      <w:r w:rsidR="0027304F" w:rsidRPr="009B3BD2">
        <w:rPr>
          <w:rFonts w:asciiTheme="majorHAnsi" w:hAnsiTheme="majorHAnsi"/>
          <w:sz w:val="20"/>
          <w:szCs w:val="20"/>
          <w:lang w:val="es-VE"/>
        </w:rPr>
        <w:t xml:space="preserve">. </w:t>
      </w:r>
    </w:p>
    <w:p w14:paraId="2EDA14DE" w14:textId="77777777" w:rsidR="0024438B" w:rsidRPr="009B3BD2" w:rsidRDefault="0024438B" w:rsidP="00EB613E">
      <w:pPr>
        <w:pStyle w:val="Heading3"/>
        <w:numPr>
          <w:ilvl w:val="0"/>
          <w:numId w:val="62"/>
        </w:numPr>
        <w:ind w:firstLine="0"/>
        <w:rPr>
          <w:color w:val="auto"/>
          <w:sz w:val="20"/>
          <w:szCs w:val="20"/>
          <w:lang w:val="es-VE"/>
        </w:rPr>
      </w:pPr>
      <w:bookmarkStart w:id="25" w:name="_Toc497398859"/>
      <w:r w:rsidRPr="009B3BD2">
        <w:rPr>
          <w:color w:val="auto"/>
          <w:sz w:val="20"/>
          <w:szCs w:val="20"/>
          <w:lang w:val="es-VE"/>
        </w:rPr>
        <w:t>Cargos disciplinarios</w:t>
      </w:r>
      <w:bookmarkEnd w:id="25"/>
      <w:r w:rsidRPr="009B3BD2">
        <w:rPr>
          <w:color w:val="auto"/>
          <w:sz w:val="20"/>
          <w:szCs w:val="20"/>
          <w:lang w:val="es-VE"/>
        </w:rPr>
        <w:t xml:space="preserve"> </w:t>
      </w:r>
    </w:p>
    <w:p w14:paraId="7F5F43EA" w14:textId="77777777" w:rsidR="0024438B" w:rsidRPr="009B3BD2" w:rsidRDefault="0024438B" w:rsidP="0024438B">
      <w:pPr>
        <w:rPr>
          <w:lang w:val="es-VE"/>
        </w:rPr>
      </w:pPr>
    </w:p>
    <w:p w14:paraId="04BD5BDA" w14:textId="77777777" w:rsidR="007A691E" w:rsidRPr="009B3BD2" w:rsidRDefault="00562DC3"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Theme="majorHAnsi" w:hAnsiTheme="majorHAnsi"/>
          <w:sz w:val="20"/>
          <w:szCs w:val="20"/>
          <w:lang w:val="es-VE"/>
        </w:rPr>
        <w:t xml:space="preserve">El 20 de junio de 2013 la Sala Disciplinaria de la Procuraduría General de la Nación </w:t>
      </w:r>
      <w:r w:rsidR="00A76DDE" w:rsidRPr="009B3BD2">
        <w:rPr>
          <w:rFonts w:asciiTheme="majorHAnsi" w:hAnsiTheme="majorHAnsi"/>
          <w:sz w:val="20"/>
          <w:szCs w:val="20"/>
          <w:lang w:val="es-VE"/>
        </w:rPr>
        <w:t xml:space="preserve">formuló </w:t>
      </w:r>
      <w:r w:rsidRPr="009B3BD2">
        <w:rPr>
          <w:rFonts w:asciiTheme="majorHAnsi" w:hAnsiTheme="majorHAnsi"/>
          <w:sz w:val="20"/>
          <w:szCs w:val="20"/>
          <w:lang w:val="es-VE"/>
        </w:rPr>
        <w:t xml:space="preserve"> </w:t>
      </w:r>
      <w:r w:rsidR="00A76DDE" w:rsidRPr="009B3BD2">
        <w:rPr>
          <w:rFonts w:asciiTheme="majorHAnsi" w:hAnsiTheme="majorHAnsi"/>
          <w:sz w:val="20"/>
          <w:szCs w:val="20"/>
          <w:lang w:val="es-VE"/>
        </w:rPr>
        <w:t xml:space="preserve">cargos en contra de la presunta víctima e indicó que </w:t>
      </w:r>
      <w:r w:rsidR="0027304F" w:rsidRPr="009B3BD2">
        <w:rPr>
          <w:rFonts w:asciiTheme="majorHAnsi" w:hAnsiTheme="majorHAnsi"/>
          <w:sz w:val="20"/>
          <w:szCs w:val="20"/>
          <w:lang w:val="es-VE"/>
        </w:rPr>
        <w:t xml:space="preserve">esta </w:t>
      </w:r>
      <w:r w:rsidR="00A76DDE" w:rsidRPr="009B3BD2">
        <w:rPr>
          <w:rFonts w:asciiTheme="majorHAnsi" w:hAnsiTheme="majorHAnsi"/>
          <w:sz w:val="20"/>
          <w:szCs w:val="20"/>
          <w:lang w:val="es-VE"/>
        </w:rPr>
        <w:t>podría haber incurrido en las faltas gravísimas co</w:t>
      </w:r>
      <w:r w:rsidR="0027304F" w:rsidRPr="009B3BD2">
        <w:rPr>
          <w:rFonts w:asciiTheme="majorHAnsi" w:hAnsiTheme="majorHAnsi"/>
          <w:sz w:val="20"/>
          <w:szCs w:val="20"/>
          <w:lang w:val="es-VE"/>
        </w:rPr>
        <w:t>nteni</w:t>
      </w:r>
      <w:r w:rsidR="007A691E" w:rsidRPr="009B3BD2">
        <w:rPr>
          <w:rFonts w:asciiTheme="majorHAnsi" w:hAnsiTheme="majorHAnsi"/>
          <w:sz w:val="20"/>
          <w:szCs w:val="20"/>
          <w:lang w:val="es-VE"/>
        </w:rPr>
        <w:t>das en los numerales 31,</w:t>
      </w:r>
      <w:r w:rsidR="0027304F" w:rsidRPr="009B3BD2">
        <w:rPr>
          <w:rFonts w:asciiTheme="majorHAnsi" w:hAnsiTheme="majorHAnsi"/>
          <w:sz w:val="20"/>
          <w:szCs w:val="20"/>
          <w:lang w:val="es-VE"/>
        </w:rPr>
        <w:t xml:space="preserve"> 60</w:t>
      </w:r>
      <w:r w:rsidR="007A691E" w:rsidRPr="009B3BD2">
        <w:rPr>
          <w:rFonts w:asciiTheme="majorHAnsi" w:hAnsiTheme="majorHAnsi"/>
          <w:sz w:val="20"/>
          <w:szCs w:val="20"/>
          <w:lang w:val="es-VE"/>
        </w:rPr>
        <w:t xml:space="preserve"> y 37</w:t>
      </w:r>
      <w:r w:rsidR="0027304F" w:rsidRPr="009B3BD2">
        <w:rPr>
          <w:rFonts w:asciiTheme="majorHAnsi" w:hAnsiTheme="majorHAnsi"/>
          <w:sz w:val="20"/>
          <w:szCs w:val="20"/>
          <w:lang w:val="es-VE"/>
        </w:rPr>
        <w:t xml:space="preserve"> del artículo 48 del Código Único Disciplinar</w:t>
      </w:r>
      <w:r w:rsidR="007A691E" w:rsidRPr="009B3BD2">
        <w:rPr>
          <w:rFonts w:asciiTheme="majorHAnsi" w:hAnsiTheme="majorHAnsi"/>
          <w:sz w:val="20"/>
          <w:szCs w:val="20"/>
          <w:lang w:val="es-VE"/>
        </w:rPr>
        <w:t xml:space="preserve">io por tres hechos </w:t>
      </w:r>
      <w:r w:rsidR="00703935" w:rsidRPr="009B3BD2">
        <w:rPr>
          <w:rFonts w:asciiTheme="majorHAnsi" w:hAnsiTheme="majorHAnsi"/>
          <w:sz w:val="20"/>
          <w:szCs w:val="20"/>
          <w:lang w:val="es-VE"/>
        </w:rPr>
        <w:t>respectivamente.</w:t>
      </w:r>
      <w:r w:rsidR="00F405B0" w:rsidRPr="009B3BD2">
        <w:rPr>
          <w:rFonts w:asciiTheme="majorHAnsi" w:hAnsiTheme="majorHAnsi"/>
          <w:sz w:val="20"/>
          <w:szCs w:val="20"/>
          <w:lang w:val="es-VE"/>
        </w:rPr>
        <w:t xml:space="preserve"> </w:t>
      </w:r>
      <w:r w:rsidR="007A691E" w:rsidRPr="009B3BD2">
        <w:rPr>
          <w:rFonts w:asciiTheme="majorHAnsi" w:hAnsiTheme="majorHAnsi"/>
          <w:sz w:val="20"/>
          <w:szCs w:val="20"/>
          <w:lang w:val="es-VE"/>
        </w:rPr>
        <w:t xml:space="preserve"> </w:t>
      </w:r>
    </w:p>
    <w:p w14:paraId="6F7966C6" w14:textId="77777777" w:rsidR="007A691E" w:rsidRPr="009B3BD2" w:rsidRDefault="007A691E" w:rsidP="00040B42">
      <w:pPr>
        <w:pStyle w:val="ListParagraph"/>
        <w:rPr>
          <w:sz w:val="20"/>
          <w:szCs w:val="20"/>
          <w:lang w:val="es-CO"/>
        </w:rPr>
      </w:pPr>
    </w:p>
    <w:p w14:paraId="1F68BD0E" w14:textId="045DD57E" w:rsidR="007A691E" w:rsidRPr="009B3BD2" w:rsidRDefault="00040B42"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 primer</w:t>
      </w:r>
      <w:r w:rsidR="00815517" w:rsidRPr="009B3BD2">
        <w:rPr>
          <w:rFonts w:ascii="Cambria" w:hAnsi="Cambria"/>
          <w:sz w:val="20"/>
          <w:szCs w:val="20"/>
          <w:lang w:val="es-CO"/>
        </w:rPr>
        <w:t xml:space="preserve"> cargo fue formulado</w:t>
      </w:r>
      <w:r w:rsidR="007A691E" w:rsidRPr="009B3BD2">
        <w:rPr>
          <w:rFonts w:ascii="Cambria" w:hAnsi="Cambria"/>
          <w:sz w:val="20"/>
          <w:szCs w:val="20"/>
          <w:lang w:val="es-CO"/>
        </w:rPr>
        <w:t xml:space="preserve"> </w:t>
      </w:r>
      <w:r w:rsidR="007B7BE9" w:rsidRPr="009B3BD2">
        <w:rPr>
          <w:rFonts w:ascii="Cambria" w:hAnsi="Cambria"/>
          <w:sz w:val="20"/>
          <w:szCs w:val="20"/>
          <w:lang w:val="es-CO"/>
        </w:rPr>
        <w:t>por la suscripción de</w:t>
      </w:r>
      <w:r w:rsidR="00151B10" w:rsidRPr="009B3BD2">
        <w:rPr>
          <w:rFonts w:ascii="Cambria" w:hAnsi="Cambria"/>
          <w:sz w:val="20"/>
          <w:szCs w:val="20"/>
          <w:lang w:val="es-CO"/>
        </w:rPr>
        <w:t xml:space="preserve">l contrato interadministrativo </w:t>
      </w:r>
      <w:r w:rsidR="007B7BE9" w:rsidRPr="009B3BD2">
        <w:rPr>
          <w:rFonts w:ascii="Cambria" w:hAnsi="Cambria"/>
          <w:sz w:val="20"/>
          <w:szCs w:val="20"/>
          <w:lang w:val="es-CO"/>
        </w:rPr>
        <w:t>017 del 11 de octubre de 2012 de la Unidad Administrativa Especial de Servicios Públicos (UAESP) con la Empresa de Acueducto y Alcantarillado de Bogotá (EAAB)</w:t>
      </w:r>
      <w:r w:rsidR="00104DBF" w:rsidRPr="009B3BD2">
        <w:rPr>
          <w:rFonts w:ascii="Cambria" w:hAnsi="Cambria"/>
          <w:sz w:val="20"/>
          <w:szCs w:val="20"/>
          <w:lang w:val="es-CO"/>
        </w:rPr>
        <w:t xml:space="preserve">, </w:t>
      </w:r>
      <w:r w:rsidR="007B7BE9" w:rsidRPr="009B3BD2">
        <w:rPr>
          <w:rFonts w:ascii="Cambria" w:hAnsi="Cambria"/>
          <w:sz w:val="20"/>
          <w:szCs w:val="20"/>
          <w:lang w:val="es-CO"/>
        </w:rPr>
        <w:t xml:space="preserve"> “sin que esta empresa contara con la más mínima experiencia y capacidad requerida”</w:t>
      </w:r>
      <w:r w:rsidR="00276522" w:rsidRPr="009B3BD2">
        <w:rPr>
          <w:rFonts w:ascii="Cambria" w:hAnsi="Cambria"/>
          <w:sz w:val="20"/>
          <w:szCs w:val="20"/>
          <w:lang w:val="es-CO"/>
        </w:rPr>
        <w:t>.</w:t>
      </w:r>
      <w:r w:rsidR="0027304F" w:rsidRPr="009B3BD2">
        <w:rPr>
          <w:rFonts w:ascii="Cambria" w:hAnsi="Cambria"/>
          <w:sz w:val="20"/>
          <w:szCs w:val="20"/>
          <w:lang w:val="es-CO"/>
        </w:rPr>
        <w:t xml:space="preserve"> </w:t>
      </w:r>
      <w:r w:rsidR="00276522" w:rsidRPr="009B3BD2">
        <w:rPr>
          <w:rFonts w:ascii="Cambria" w:hAnsi="Cambria"/>
          <w:sz w:val="20"/>
          <w:szCs w:val="20"/>
          <w:lang w:val="es-CO"/>
        </w:rPr>
        <w:t xml:space="preserve">Asimismo, </w:t>
      </w:r>
      <w:r w:rsidR="003B2DEE" w:rsidRPr="009B3BD2">
        <w:rPr>
          <w:rFonts w:ascii="Cambria" w:hAnsi="Cambria"/>
          <w:sz w:val="20"/>
          <w:szCs w:val="20"/>
          <w:lang w:val="es-CO"/>
        </w:rPr>
        <w:t>porque dicho contra</w:t>
      </w:r>
      <w:r w:rsidR="00391735">
        <w:rPr>
          <w:rFonts w:ascii="Cambria" w:hAnsi="Cambria"/>
          <w:sz w:val="20"/>
          <w:szCs w:val="20"/>
          <w:lang w:val="es-CO"/>
        </w:rPr>
        <w:t>to implicó que la EEAB suscribiera</w:t>
      </w:r>
      <w:r w:rsidR="003B2DEE" w:rsidRPr="009B3BD2">
        <w:rPr>
          <w:rFonts w:ascii="Cambria" w:hAnsi="Cambria"/>
          <w:sz w:val="20"/>
          <w:szCs w:val="20"/>
          <w:lang w:val="es-CO"/>
        </w:rPr>
        <w:t xml:space="preserve"> un contrato con la empresa Aguas de Bogotá (S.A.E.S.P) el 4 de diciembre d</w:t>
      </w:r>
      <w:r w:rsidR="0027304F" w:rsidRPr="009B3BD2">
        <w:rPr>
          <w:rFonts w:ascii="Cambria" w:hAnsi="Cambria"/>
          <w:sz w:val="20"/>
          <w:szCs w:val="20"/>
          <w:lang w:val="es-CO"/>
        </w:rPr>
        <w:t>e</w:t>
      </w:r>
      <w:r w:rsidR="003B2DEE" w:rsidRPr="009B3BD2">
        <w:rPr>
          <w:rFonts w:ascii="Cambria" w:hAnsi="Cambria"/>
          <w:sz w:val="20"/>
          <w:szCs w:val="20"/>
          <w:lang w:val="es-CO"/>
        </w:rPr>
        <w:t xml:space="preserve"> 2012, “sin que esta empresa contara con la más mínima exp</w:t>
      </w:r>
      <w:r w:rsidR="0027304F" w:rsidRPr="009B3BD2">
        <w:rPr>
          <w:rFonts w:ascii="Cambria" w:hAnsi="Cambria"/>
          <w:sz w:val="20"/>
          <w:szCs w:val="20"/>
          <w:lang w:val="es-CO"/>
        </w:rPr>
        <w:t>e</w:t>
      </w:r>
      <w:r w:rsidR="00FB201C" w:rsidRPr="009B3BD2">
        <w:rPr>
          <w:rFonts w:ascii="Cambria" w:hAnsi="Cambria"/>
          <w:sz w:val="20"/>
          <w:szCs w:val="20"/>
          <w:lang w:val="es-CO"/>
        </w:rPr>
        <w:t>riencia y capacidad requerida”.</w:t>
      </w:r>
    </w:p>
    <w:p w14:paraId="10299722" w14:textId="77777777" w:rsidR="007A691E" w:rsidRPr="009B3BD2" w:rsidRDefault="007A691E" w:rsidP="007A691E">
      <w:pPr>
        <w:pStyle w:val="ListParagraph"/>
        <w:rPr>
          <w:sz w:val="20"/>
          <w:szCs w:val="20"/>
          <w:lang w:val="es-CO"/>
        </w:rPr>
      </w:pPr>
    </w:p>
    <w:p w14:paraId="2697AD0C" w14:textId="77777777" w:rsidR="007A691E" w:rsidRPr="009B3BD2" w:rsidRDefault="007A691E"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 segundo</w:t>
      </w:r>
      <w:r w:rsidR="00BC4127" w:rsidRPr="009B3BD2">
        <w:rPr>
          <w:rFonts w:ascii="Cambria" w:hAnsi="Cambria"/>
          <w:sz w:val="20"/>
          <w:szCs w:val="20"/>
          <w:lang w:val="es-CO"/>
        </w:rPr>
        <w:t xml:space="preserve"> </w:t>
      </w:r>
      <w:r w:rsidRPr="009B3BD2">
        <w:rPr>
          <w:rFonts w:ascii="Cambria" w:hAnsi="Cambria"/>
          <w:sz w:val="20"/>
          <w:szCs w:val="20"/>
          <w:lang w:val="es-CO"/>
        </w:rPr>
        <w:t xml:space="preserve">cargo fue efectuado </w:t>
      </w:r>
      <w:r w:rsidR="00BC4127" w:rsidRPr="009B3BD2">
        <w:rPr>
          <w:rFonts w:ascii="Cambria" w:hAnsi="Cambria"/>
          <w:sz w:val="20"/>
          <w:szCs w:val="20"/>
          <w:lang w:val="es-CO"/>
        </w:rPr>
        <w:t>por haber “expedido el Decreto 564 del 10 de diciembre de 2012, mediante el cual se adoptó un esquema de prestación del servicio público de aseo en la ciudad de Bogotá totalmente contrario al ordenamiento jurídico, con lo cual se violó el principio constitucional de libertad de empresa, impidiéndose que otras empresas, distintas a las entidades del Distrito de Bogotá, prestaran, a partir del 18 de diciembre de 2012 y en igualdad de condiciones, el servicio públic</w:t>
      </w:r>
      <w:r w:rsidRPr="009B3BD2">
        <w:rPr>
          <w:rFonts w:ascii="Cambria" w:hAnsi="Cambria"/>
          <w:sz w:val="20"/>
          <w:szCs w:val="20"/>
          <w:lang w:val="es-CO"/>
        </w:rPr>
        <w:t>o de aseo en la ciudad capital</w:t>
      </w:r>
      <w:r w:rsidR="00ED75C6" w:rsidRPr="009B3BD2">
        <w:rPr>
          <w:rFonts w:ascii="Cambria" w:hAnsi="Cambria"/>
          <w:sz w:val="20"/>
          <w:szCs w:val="20"/>
          <w:lang w:val="es-CO"/>
        </w:rPr>
        <w:t>”</w:t>
      </w:r>
      <w:r w:rsidRPr="009B3BD2">
        <w:rPr>
          <w:rFonts w:ascii="Cambria" w:hAnsi="Cambria"/>
          <w:sz w:val="20"/>
          <w:szCs w:val="20"/>
          <w:lang w:val="es-CO"/>
        </w:rPr>
        <w:t>.</w:t>
      </w:r>
    </w:p>
    <w:p w14:paraId="23D679F5" w14:textId="77777777" w:rsidR="007A691E" w:rsidRPr="009B3BD2" w:rsidRDefault="007A691E" w:rsidP="007A691E">
      <w:pPr>
        <w:pStyle w:val="ListParagraph"/>
        <w:rPr>
          <w:sz w:val="20"/>
          <w:szCs w:val="20"/>
          <w:lang w:val="es-CO"/>
        </w:rPr>
      </w:pPr>
    </w:p>
    <w:p w14:paraId="76116240" w14:textId="77777777" w:rsidR="00D8380E" w:rsidRPr="009B3BD2" w:rsidRDefault="0027304F"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 xml:space="preserve"> </w:t>
      </w:r>
      <w:r w:rsidR="007A691E" w:rsidRPr="009B3BD2">
        <w:rPr>
          <w:rFonts w:ascii="Cambria" w:hAnsi="Cambria"/>
          <w:sz w:val="20"/>
          <w:szCs w:val="20"/>
          <w:lang w:val="es-CO"/>
        </w:rPr>
        <w:t xml:space="preserve">El tercer cargo fue realizado </w:t>
      </w:r>
      <w:r w:rsidR="00C10FED" w:rsidRPr="009B3BD2">
        <w:rPr>
          <w:rFonts w:ascii="Cambria" w:hAnsi="Cambria"/>
          <w:sz w:val="20"/>
          <w:szCs w:val="20"/>
          <w:lang w:val="es-CO"/>
        </w:rPr>
        <w:t>por “haber expedido el Decreto 570 del 14 de diciembre de 2012, mediante el cual autorizó el uso de vehículos tipo volquetas, con el fin de garantizar la continuidad de la prestación del servicio público del aseo y como medida de precaución para minimizar eventuales impactos ambientales y sanitarios, pues con dicha autorización se violaron disposiciones constitucionales y legales referentes a la protección del medio ambiente, con lo cual se originó un riesgo grave para la salud humana de los habitantes de la ciudad de Bogotá  y para el medio ambiente”</w:t>
      </w:r>
      <w:r w:rsidR="0077240B" w:rsidRPr="009B3BD2">
        <w:rPr>
          <w:rStyle w:val="FootnoteReference"/>
          <w:rFonts w:asciiTheme="majorHAnsi" w:hAnsiTheme="majorHAnsi"/>
          <w:sz w:val="20"/>
          <w:szCs w:val="20"/>
          <w:lang w:val="es-CO"/>
        </w:rPr>
        <w:t xml:space="preserve"> </w:t>
      </w:r>
      <w:r w:rsidR="0077240B" w:rsidRPr="009B3BD2">
        <w:rPr>
          <w:rStyle w:val="FootnoteReference"/>
          <w:rFonts w:asciiTheme="majorHAnsi" w:hAnsiTheme="majorHAnsi"/>
          <w:sz w:val="20"/>
          <w:szCs w:val="20"/>
          <w:lang w:val="es-CO"/>
        </w:rPr>
        <w:footnoteReference w:id="15"/>
      </w:r>
      <w:r w:rsidR="00C10FED" w:rsidRPr="009B3BD2">
        <w:rPr>
          <w:rFonts w:ascii="Cambria" w:hAnsi="Cambria"/>
          <w:sz w:val="20"/>
          <w:szCs w:val="20"/>
          <w:lang w:val="es-CO"/>
        </w:rPr>
        <w:t xml:space="preserve">. </w:t>
      </w:r>
    </w:p>
    <w:p w14:paraId="13F31E93" w14:textId="77777777" w:rsidR="00AC4863" w:rsidRPr="009B3BD2" w:rsidRDefault="00AC4863" w:rsidP="00AC486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70E8A17A" w14:textId="05DBF94C" w:rsidR="008A76BD" w:rsidRPr="009B3BD2" w:rsidRDefault="00AC4863"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 xml:space="preserve">Consta que en el marco del proceso disciplinario, se aportó un informe de la Secretaría Distrital </w:t>
      </w:r>
      <w:r w:rsidR="008706BD" w:rsidRPr="009B3BD2">
        <w:rPr>
          <w:rFonts w:ascii="Cambria" w:hAnsi="Cambria"/>
          <w:sz w:val="20"/>
          <w:szCs w:val="20"/>
          <w:lang w:val="es-CO"/>
        </w:rPr>
        <w:t>de Ambiente</w:t>
      </w:r>
      <w:r w:rsidRPr="009B3BD2">
        <w:rPr>
          <w:rFonts w:ascii="Cambria" w:hAnsi="Cambria"/>
          <w:sz w:val="20"/>
          <w:szCs w:val="20"/>
          <w:lang w:val="es-CO"/>
        </w:rPr>
        <w:t xml:space="preserve"> de Bogotá titulado “Monitoreo y Control Ambiental” </w:t>
      </w:r>
      <w:r w:rsidR="008A76BD" w:rsidRPr="009B3BD2">
        <w:rPr>
          <w:rFonts w:ascii="Cambria" w:hAnsi="Cambria"/>
          <w:sz w:val="20"/>
          <w:szCs w:val="20"/>
          <w:lang w:val="es-CO"/>
        </w:rPr>
        <w:t>sobre la situación de la basura en Bogotá en diciembre de 2012, en el que se concluyó lo siguiente:</w:t>
      </w:r>
    </w:p>
    <w:p w14:paraId="2787A861" w14:textId="77777777" w:rsidR="008A76BD" w:rsidRPr="009B3BD2" w:rsidRDefault="008A76BD" w:rsidP="008A76B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1A5349D0" w14:textId="77777777" w:rsidR="008A76BD" w:rsidRPr="009B3BD2" w:rsidRDefault="008A76BD" w:rsidP="00A14B6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sz w:val="20"/>
          <w:szCs w:val="20"/>
          <w:lang w:val="es-VE"/>
        </w:rPr>
      </w:pPr>
      <w:r w:rsidRPr="009B3BD2">
        <w:rPr>
          <w:sz w:val="20"/>
          <w:szCs w:val="20"/>
          <w:lang w:val="es-CO"/>
        </w:rPr>
        <w:t xml:space="preserve">-Se presentó </w:t>
      </w:r>
      <w:r w:rsidR="0036497E" w:rsidRPr="009B3BD2">
        <w:rPr>
          <w:sz w:val="20"/>
          <w:szCs w:val="20"/>
          <w:lang w:val="es-VE"/>
        </w:rPr>
        <w:t xml:space="preserve"> un impacto visual por no recolección de basuras.</w:t>
      </w:r>
    </w:p>
    <w:p w14:paraId="0843695D" w14:textId="77777777" w:rsidR="008A76BD" w:rsidRPr="009B3BD2" w:rsidRDefault="008A76BD" w:rsidP="00A14B6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sz w:val="20"/>
          <w:szCs w:val="20"/>
          <w:lang w:val="es-VE"/>
        </w:rPr>
      </w:pPr>
      <w:r w:rsidRPr="009B3BD2">
        <w:rPr>
          <w:sz w:val="20"/>
          <w:szCs w:val="20"/>
          <w:lang w:val="es-VE"/>
        </w:rPr>
        <w:t>-</w:t>
      </w:r>
      <w:r w:rsidR="0036497E" w:rsidRPr="009B3BD2">
        <w:rPr>
          <w:sz w:val="20"/>
          <w:szCs w:val="20"/>
          <w:lang w:val="es-VE"/>
        </w:rPr>
        <w:t>Se present</w:t>
      </w:r>
      <w:r w:rsidRPr="009B3BD2">
        <w:rPr>
          <w:sz w:val="20"/>
          <w:szCs w:val="20"/>
          <w:lang w:val="es-VE"/>
        </w:rPr>
        <w:t>ó</w:t>
      </w:r>
      <w:r w:rsidR="0036497E" w:rsidRPr="009B3BD2">
        <w:rPr>
          <w:sz w:val="20"/>
          <w:szCs w:val="20"/>
          <w:lang w:val="es-VE"/>
        </w:rPr>
        <w:t xml:space="preserve"> un impacto consistente en la generación de olores ofensivos en algunas zonas de la ciudad.</w:t>
      </w:r>
    </w:p>
    <w:p w14:paraId="1D2DBC20" w14:textId="32425A50" w:rsidR="008A76BD" w:rsidRPr="009B3BD2" w:rsidRDefault="008A76BD" w:rsidP="00A14B6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sz w:val="20"/>
          <w:szCs w:val="20"/>
          <w:lang w:val="es-VE"/>
        </w:rPr>
      </w:pPr>
      <w:r w:rsidRPr="009B3BD2">
        <w:rPr>
          <w:sz w:val="20"/>
          <w:szCs w:val="20"/>
          <w:lang w:val="es-VE"/>
        </w:rPr>
        <w:t>-</w:t>
      </w:r>
      <w:r w:rsidR="0036497E" w:rsidRPr="009B3BD2">
        <w:rPr>
          <w:sz w:val="20"/>
          <w:szCs w:val="20"/>
          <w:lang w:val="es-VE"/>
        </w:rPr>
        <w:t>En cuanto a generación de vectores de enfermedades, afectación a sumideros y afectación a la EEP (Estructura Ecológica Principal), no se ocasionaron impactos ambientales, sino fueron amenazas potenciales</w:t>
      </w:r>
      <w:r w:rsidR="00195064" w:rsidRPr="009B3BD2">
        <w:rPr>
          <w:sz w:val="20"/>
          <w:szCs w:val="20"/>
          <w:lang w:val="es-VE"/>
        </w:rPr>
        <w:t>.</w:t>
      </w:r>
    </w:p>
    <w:p w14:paraId="7E96D8F5" w14:textId="77777777" w:rsidR="008A76BD" w:rsidRPr="009B3BD2" w:rsidRDefault="008A76BD" w:rsidP="00A14B6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sz w:val="20"/>
          <w:szCs w:val="20"/>
          <w:lang w:val="es-VE"/>
        </w:rPr>
      </w:pPr>
      <w:r w:rsidRPr="009B3BD2">
        <w:rPr>
          <w:sz w:val="20"/>
          <w:szCs w:val="20"/>
          <w:lang w:val="es-VE"/>
        </w:rPr>
        <w:t xml:space="preserve">-Barrido y limpieza de calle. No se ocasionaron impactos ambientales sino fueron amenazas potenciales. </w:t>
      </w:r>
    </w:p>
    <w:p w14:paraId="4974BC23" w14:textId="20D00B56" w:rsidR="0036497E" w:rsidRPr="00B63908" w:rsidRDefault="008A76BD" w:rsidP="00B6390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sz w:val="20"/>
          <w:szCs w:val="20"/>
          <w:lang w:val="es-VE"/>
        </w:rPr>
      </w:pPr>
      <w:r w:rsidRPr="009B3BD2">
        <w:rPr>
          <w:sz w:val="20"/>
          <w:szCs w:val="20"/>
          <w:lang w:val="es-VE"/>
        </w:rPr>
        <w:t>-Transporte. No se ocasionaron impactos ambientales, sino fueron amenazas potenciales</w:t>
      </w:r>
      <w:r w:rsidRPr="009B3BD2">
        <w:rPr>
          <w:rStyle w:val="FootnoteReference"/>
          <w:rFonts w:asciiTheme="majorHAnsi" w:hAnsiTheme="majorHAnsi"/>
          <w:sz w:val="20"/>
          <w:szCs w:val="20"/>
          <w:lang w:val="es-CO"/>
        </w:rPr>
        <w:footnoteReference w:id="16"/>
      </w:r>
      <w:r w:rsidR="0036497E" w:rsidRPr="009B3BD2">
        <w:rPr>
          <w:sz w:val="20"/>
          <w:szCs w:val="20"/>
          <w:lang w:val="es-VE"/>
        </w:rPr>
        <w:t>.</w:t>
      </w:r>
    </w:p>
    <w:p w14:paraId="3DEC81F3" w14:textId="19F99E26" w:rsidR="00A40FD2" w:rsidRPr="009B3BD2" w:rsidRDefault="0019261A" w:rsidP="00816CF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CO"/>
        </w:rPr>
      </w:pPr>
      <w:r w:rsidRPr="009B3BD2">
        <w:rPr>
          <w:rFonts w:ascii="Cambria" w:hAnsi="Cambria"/>
          <w:sz w:val="20"/>
          <w:szCs w:val="20"/>
          <w:lang w:val="es-CO"/>
        </w:rPr>
        <w:lastRenderedPageBreak/>
        <w:t>El</w:t>
      </w:r>
      <w:r w:rsidRPr="009B3BD2">
        <w:rPr>
          <w:rFonts w:asciiTheme="majorHAnsi" w:hAnsiTheme="majorHAnsi"/>
          <w:sz w:val="20"/>
          <w:szCs w:val="20"/>
          <w:lang w:val="es-CO"/>
        </w:rPr>
        <w:t xml:space="preserve"> autor de dicho informe, Julio César Pulido rindió declaración en el marco del juicio,  indicando que “no </w:t>
      </w:r>
      <w:r w:rsidR="00660CB0" w:rsidRPr="009B3BD2">
        <w:rPr>
          <w:rFonts w:asciiTheme="majorHAnsi" w:hAnsiTheme="majorHAnsi"/>
          <w:sz w:val="20"/>
          <w:szCs w:val="20"/>
          <w:lang w:val="es-CO"/>
        </w:rPr>
        <w:t>tenía</w:t>
      </w:r>
      <w:r w:rsidRPr="009B3BD2">
        <w:rPr>
          <w:rFonts w:asciiTheme="majorHAnsi" w:hAnsiTheme="majorHAnsi"/>
          <w:sz w:val="20"/>
          <w:szCs w:val="20"/>
          <w:lang w:val="es-CO"/>
        </w:rPr>
        <w:t xml:space="preserve"> la metodología para poder medir la magnitud y que no había base técnica para poder hacer el cálculo de esos impactos ambientales</w:t>
      </w:r>
      <w:r w:rsidR="009C1097" w:rsidRPr="009B3BD2">
        <w:rPr>
          <w:rFonts w:asciiTheme="majorHAnsi" w:hAnsiTheme="majorHAnsi"/>
          <w:sz w:val="20"/>
          <w:szCs w:val="20"/>
          <w:lang w:val="es-CO"/>
        </w:rPr>
        <w:t>”</w:t>
      </w:r>
      <w:r w:rsidRPr="009B3BD2">
        <w:rPr>
          <w:rFonts w:asciiTheme="majorHAnsi" w:hAnsiTheme="majorHAnsi"/>
          <w:sz w:val="20"/>
          <w:szCs w:val="20"/>
          <w:vertAlign w:val="superscript"/>
        </w:rPr>
        <w:footnoteReference w:id="17"/>
      </w:r>
      <w:r w:rsidRPr="009B3BD2">
        <w:rPr>
          <w:rFonts w:asciiTheme="majorHAnsi" w:hAnsiTheme="majorHAnsi"/>
          <w:sz w:val="20"/>
          <w:szCs w:val="20"/>
          <w:lang w:val="es-CO"/>
        </w:rPr>
        <w:t>.</w:t>
      </w:r>
    </w:p>
    <w:p w14:paraId="368F8707" w14:textId="77777777" w:rsidR="00195064" w:rsidRPr="009B3BD2" w:rsidRDefault="00195064" w:rsidP="0019506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CO"/>
        </w:rPr>
      </w:pPr>
    </w:p>
    <w:p w14:paraId="354227DC" w14:textId="30A88C89" w:rsidR="00BF5D7C" w:rsidRPr="009B3BD2" w:rsidRDefault="00A40FD2" w:rsidP="00BC175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CO"/>
        </w:rPr>
      </w:pPr>
      <w:r w:rsidRPr="009B3BD2">
        <w:rPr>
          <w:rFonts w:asciiTheme="majorHAnsi" w:hAnsiTheme="majorHAnsi"/>
          <w:sz w:val="20"/>
          <w:szCs w:val="20"/>
          <w:lang w:val="es-CO"/>
        </w:rPr>
        <w:t xml:space="preserve">La Comisión </w:t>
      </w:r>
      <w:r w:rsidR="00DB2188" w:rsidRPr="009B3BD2">
        <w:rPr>
          <w:rFonts w:asciiTheme="majorHAnsi" w:hAnsiTheme="majorHAnsi"/>
          <w:sz w:val="20"/>
          <w:szCs w:val="20"/>
          <w:lang w:val="es-CO"/>
        </w:rPr>
        <w:t>toma nota</w:t>
      </w:r>
      <w:r w:rsidRPr="009B3BD2">
        <w:rPr>
          <w:rFonts w:asciiTheme="majorHAnsi" w:hAnsiTheme="majorHAnsi"/>
          <w:sz w:val="20"/>
          <w:szCs w:val="20"/>
          <w:lang w:val="es-CO"/>
        </w:rPr>
        <w:t xml:space="preserve"> que a lo largo del proceso la presunta víctima argumentó que el proceso disciplinario fue una </w:t>
      </w:r>
      <w:r w:rsidR="00BC175D" w:rsidRPr="009B3BD2">
        <w:rPr>
          <w:rFonts w:asciiTheme="majorHAnsi" w:hAnsiTheme="majorHAnsi"/>
          <w:sz w:val="20"/>
          <w:szCs w:val="20"/>
          <w:lang w:val="es-CO"/>
        </w:rPr>
        <w:t>represalia</w:t>
      </w:r>
      <w:r w:rsidRPr="009B3BD2">
        <w:rPr>
          <w:rFonts w:asciiTheme="majorHAnsi" w:hAnsiTheme="majorHAnsi"/>
          <w:sz w:val="20"/>
          <w:szCs w:val="20"/>
          <w:lang w:val="es-CO"/>
        </w:rPr>
        <w:t xml:space="preserve"> a su ideología política</w:t>
      </w:r>
      <w:r w:rsidR="00BC175D" w:rsidRPr="009B3BD2">
        <w:rPr>
          <w:rFonts w:asciiTheme="majorHAnsi" w:hAnsiTheme="majorHAnsi"/>
          <w:sz w:val="20"/>
          <w:szCs w:val="20"/>
          <w:lang w:val="es-CO"/>
        </w:rPr>
        <w:t xml:space="preserve"> que tenía por objeto castigar para imponer la voluntad política del superior jerárquico, y que desde el inicio de la investigación ya se tenía definido el resultado final</w:t>
      </w:r>
      <w:r w:rsidRPr="009B3BD2">
        <w:rPr>
          <w:rStyle w:val="FootnoteReference"/>
          <w:rFonts w:asciiTheme="majorHAnsi" w:hAnsiTheme="majorHAnsi"/>
          <w:sz w:val="20"/>
          <w:szCs w:val="20"/>
          <w:lang w:val="es-CO"/>
        </w:rPr>
        <w:footnoteReference w:id="18"/>
      </w:r>
      <w:r w:rsidR="00BC175D" w:rsidRPr="009B3BD2">
        <w:rPr>
          <w:rFonts w:asciiTheme="majorHAnsi" w:hAnsiTheme="majorHAnsi"/>
          <w:sz w:val="20"/>
          <w:szCs w:val="20"/>
          <w:lang w:val="es-CO"/>
        </w:rPr>
        <w:t xml:space="preserve">.  </w:t>
      </w:r>
    </w:p>
    <w:p w14:paraId="460001EE" w14:textId="77777777" w:rsidR="00D10067" w:rsidRPr="009B3BD2" w:rsidRDefault="00BC175D" w:rsidP="00EB613E">
      <w:pPr>
        <w:pStyle w:val="Heading3"/>
        <w:numPr>
          <w:ilvl w:val="0"/>
          <w:numId w:val="62"/>
        </w:numPr>
        <w:ind w:firstLine="0"/>
        <w:rPr>
          <w:color w:val="auto"/>
          <w:sz w:val="20"/>
          <w:szCs w:val="20"/>
          <w:lang w:val="es-VE"/>
        </w:rPr>
      </w:pPr>
      <w:bookmarkStart w:id="26" w:name="_Toc497398860"/>
      <w:r w:rsidRPr="009B3BD2">
        <w:rPr>
          <w:color w:val="auto"/>
          <w:sz w:val="20"/>
          <w:szCs w:val="20"/>
          <w:lang w:val="es-VE"/>
        </w:rPr>
        <w:t>Deci</w:t>
      </w:r>
      <w:r w:rsidR="007F2877" w:rsidRPr="009B3BD2">
        <w:rPr>
          <w:color w:val="auto"/>
          <w:sz w:val="20"/>
          <w:szCs w:val="20"/>
          <w:lang w:val="es-VE"/>
        </w:rPr>
        <w:t>sión</w:t>
      </w:r>
      <w:r w:rsidR="00D10067" w:rsidRPr="009B3BD2">
        <w:rPr>
          <w:color w:val="auto"/>
          <w:sz w:val="20"/>
          <w:szCs w:val="20"/>
          <w:lang w:val="es-VE"/>
        </w:rPr>
        <w:t xml:space="preserve"> </w:t>
      </w:r>
      <w:r w:rsidR="005C682C" w:rsidRPr="009B3BD2">
        <w:rPr>
          <w:color w:val="auto"/>
          <w:sz w:val="20"/>
          <w:szCs w:val="20"/>
          <w:lang w:val="es-VE"/>
        </w:rPr>
        <w:t>sancionatoria</w:t>
      </w:r>
      <w:r w:rsidR="00D10067" w:rsidRPr="009B3BD2">
        <w:rPr>
          <w:color w:val="auto"/>
          <w:sz w:val="20"/>
          <w:szCs w:val="20"/>
          <w:lang w:val="es-VE"/>
        </w:rPr>
        <w:t xml:space="preserve"> </w:t>
      </w:r>
      <w:r w:rsidR="008F753A" w:rsidRPr="009B3BD2">
        <w:rPr>
          <w:color w:val="auto"/>
          <w:sz w:val="20"/>
          <w:szCs w:val="20"/>
          <w:lang w:val="es-VE"/>
        </w:rPr>
        <w:t>de única instancia</w:t>
      </w:r>
      <w:bookmarkEnd w:id="26"/>
      <w:r w:rsidR="008F753A" w:rsidRPr="009B3BD2">
        <w:rPr>
          <w:color w:val="auto"/>
          <w:sz w:val="20"/>
          <w:szCs w:val="20"/>
          <w:lang w:val="es-VE"/>
        </w:rPr>
        <w:t xml:space="preserve"> </w:t>
      </w:r>
    </w:p>
    <w:p w14:paraId="0956ED98" w14:textId="77777777" w:rsidR="009A3DE2" w:rsidRPr="009B3BD2" w:rsidRDefault="009A3DE2" w:rsidP="009A3DE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66E5836F" w14:textId="77777777" w:rsidR="009A3DE2" w:rsidRPr="009B3BD2" w:rsidRDefault="00365A69"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Theme="majorHAnsi" w:hAnsiTheme="majorHAnsi"/>
          <w:sz w:val="20"/>
          <w:szCs w:val="20"/>
          <w:lang w:val="es-CO"/>
        </w:rPr>
        <w:t xml:space="preserve">El </w:t>
      </w:r>
      <w:r w:rsidR="002A07AB" w:rsidRPr="009B3BD2">
        <w:rPr>
          <w:rFonts w:asciiTheme="majorHAnsi" w:hAnsiTheme="majorHAnsi"/>
          <w:sz w:val="20"/>
          <w:szCs w:val="20"/>
          <w:lang w:val="es-CO"/>
        </w:rPr>
        <w:t>9 de diciembre de 2013 la Sala Disciplinaria de la Procuraduría General de la Nación</w:t>
      </w:r>
      <w:r w:rsidR="00AE502F" w:rsidRPr="009B3BD2">
        <w:rPr>
          <w:rFonts w:asciiTheme="majorHAnsi" w:hAnsiTheme="majorHAnsi"/>
          <w:sz w:val="20"/>
          <w:szCs w:val="20"/>
          <w:lang w:val="es-CO"/>
        </w:rPr>
        <w:t>, a través de dos Procuradores delegados</w:t>
      </w:r>
      <w:r w:rsidR="00AE502F" w:rsidRPr="009B3BD2">
        <w:rPr>
          <w:rStyle w:val="FootnoteReference"/>
          <w:rFonts w:asciiTheme="majorHAnsi" w:hAnsiTheme="majorHAnsi"/>
          <w:sz w:val="20"/>
          <w:szCs w:val="20"/>
          <w:lang w:val="es-CO"/>
        </w:rPr>
        <w:footnoteReference w:id="19"/>
      </w:r>
      <w:r w:rsidR="00AE502F" w:rsidRPr="009B3BD2">
        <w:rPr>
          <w:rFonts w:asciiTheme="majorHAnsi" w:hAnsiTheme="majorHAnsi"/>
          <w:sz w:val="20"/>
          <w:szCs w:val="20"/>
          <w:lang w:val="es-CO"/>
        </w:rPr>
        <w:t>,</w:t>
      </w:r>
      <w:r w:rsidR="002A07AB" w:rsidRPr="009B3BD2">
        <w:rPr>
          <w:rFonts w:asciiTheme="majorHAnsi" w:hAnsiTheme="majorHAnsi"/>
          <w:sz w:val="20"/>
          <w:szCs w:val="20"/>
          <w:lang w:val="es-CO"/>
        </w:rPr>
        <w:t xml:space="preserve"> dictó sentencia </w:t>
      </w:r>
      <w:r w:rsidR="00F711D8" w:rsidRPr="009B3BD2">
        <w:rPr>
          <w:rFonts w:asciiTheme="majorHAnsi" w:hAnsiTheme="majorHAnsi"/>
          <w:sz w:val="20"/>
          <w:szCs w:val="20"/>
          <w:lang w:val="es-CO"/>
        </w:rPr>
        <w:t xml:space="preserve">denegando las nulidades interpuestas por los sujetos procesales y </w:t>
      </w:r>
      <w:r w:rsidR="005E67F4" w:rsidRPr="009B3BD2">
        <w:rPr>
          <w:rFonts w:asciiTheme="majorHAnsi" w:hAnsiTheme="majorHAnsi"/>
          <w:sz w:val="20"/>
          <w:szCs w:val="20"/>
          <w:lang w:val="es-CO"/>
        </w:rPr>
        <w:t>declarando probados los tres cargos formulados en contra de la presunta víctima y determinó “como consecuencia de la declaratoria de responsabilidad por las tres faltas disciplinarias anteriormente señaladas, imponer como sanción al disciplinado DESTITUCIÓN E INHABILITACIÓN GENERAL por el término de QUINCE (15) AÑOS, en atención a las razones anotadas en la parte considerativa de esta decisión”</w:t>
      </w:r>
      <w:r w:rsidR="005E67F4" w:rsidRPr="009B3BD2">
        <w:rPr>
          <w:rStyle w:val="FootnoteReference"/>
          <w:szCs w:val="20"/>
          <w:lang w:val="es-CO"/>
        </w:rPr>
        <w:t xml:space="preserve"> </w:t>
      </w:r>
      <w:r w:rsidR="005E67F4" w:rsidRPr="009B3BD2">
        <w:rPr>
          <w:rStyle w:val="FootnoteReference"/>
          <w:rFonts w:asciiTheme="majorHAnsi" w:hAnsiTheme="majorHAnsi"/>
          <w:sz w:val="20"/>
          <w:szCs w:val="20"/>
          <w:lang w:val="es-CO"/>
        </w:rPr>
        <w:footnoteReference w:id="20"/>
      </w:r>
      <w:r w:rsidR="009A3DE2" w:rsidRPr="009B3BD2">
        <w:rPr>
          <w:rFonts w:ascii="Cambria" w:hAnsi="Cambria"/>
          <w:sz w:val="20"/>
          <w:szCs w:val="20"/>
          <w:lang w:val="es-CO"/>
        </w:rPr>
        <w:t>.</w:t>
      </w:r>
    </w:p>
    <w:p w14:paraId="0DF02167" w14:textId="77777777" w:rsidR="009A3DE2" w:rsidRPr="009B3BD2" w:rsidRDefault="009A3DE2" w:rsidP="009A3DE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503E2B5B" w14:textId="6EE2F4C5" w:rsidR="009A3DE2" w:rsidRPr="009B3BD2" w:rsidRDefault="00960E4F"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 xml:space="preserve">La Sala consideró que las primeras dos faltas se cometieron a </w:t>
      </w:r>
      <w:r w:rsidR="00175DE4" w:rsidRPr="009B3BD2">
        <w:rPr>
          <w:rFonts w:ascii="Cambria" w:hAnsi="Cambria"/>
          <w:sz w:val="20"/>
          <w:szCs w:val="20"/>
          <w:lang w:val="es-CO"/>
        </w:rPr>
        <w:t>título</w:t>
      </w:r>
      <w:r w:rsidRPr="009B3BD2">
        <w:rPr>
          <w:rFonts w:ascii="Cambria" w:hAnsi="Cambria"/>
          <w:sz w:val="20"/>
          <w:szCs w:val="20"/>
          <w:lang w:val="es-CO"/>
        </w:rPr>
        <w:t xml:space="preserve"> de dolo, y la tercera a </w:t>
      </w:r>
      <w:r w:rsidR="009A3DE2" w:rsidRPr="009B3BD2">
        <w:rPr>
          <w:rFonts w:ascii="Cambria" w:hAnsi="Cambria"/>
          <w:sz w:val="20"/>
          <w:szCs w:val="20"/>
          <w:lang w:val="es-CO"/>
        </w:rPr>
        <w:t>título</w:t>
      </w:r>
      <w:r w:rsidRPr="009B3BD2">
        <w:rPr>
          <w:rFonts w:ascii="Cambria" w:hAnsi="Cambria"/>
          <w:sz w:val="20"/>
          <w:szCs w:val="20"/>
          <w:lang w:val="es-CO"/>
        </w:rPr>
        <w:t xml:space="preserve"> de culpa gravísima</w:t>
      </w:r>
      <w:r w:rsidRPr="009B3BD2">
        <w:rPr>
          <w:rStyle w:val="FootnoteReference"/>
          <w:rFonts w:asciiTheme="majorHAnsi" w:hAnsiTheme="majorHAnsi"/>
          <w:sz w:val="20"/>
          <w:szCs w:val="20"/>
          <w:lang w:val="es-CO"/>
        </w:rPr>
        <w:footnoteReference w:id="21"/>
      </w:r>
      <w:r w:rsidR="009A3DE2" w:rsidRPr="009B3BD2">
        <w:rPr>
          <w:rFonts w:ascii="Cambria" w:hAnsi="Cambria"/>
          <w:sz w:val="20"/>
          <w:szCs w:val="20"/>
          <w:lang w:val="es-CO"/>
        </w:rPr>
        <w:t>.</w:t>
      </w:r>
    </w:p>
    <w:p w14:paraId="7C123213" w14:textId="77777777" w:rsidR="00ED75C6" w:rsidRPr="009B3BD2" w:rsidRDefault="00ED75C6" w:rsidP="00ED75C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6117F1F2" w14:textId="79D7DE72" w:rsidR="00282C1D" w:rsidRPr="009B3BD2" w:rsidRDefault="00642F46"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En cuanto al primer cargo, la Sala indicó que quedó demostrado que en el segundo semestre de 2012 la UAESP y la EAAB suscribieron el contrato interadministrativo 017 del 11 de octubre de 2012 sin que esta última contara con la más mínima exp</w:t>
      </w:r>
      <w:r w:rsidR="007B16EB" w:rsidRPr="009B3BD2">
        <w:rPr>
          <w:rFonts w:ascii="Cambria" w:hAnsi="Cambria"/>
          <w:sz w:val="20"/>
          <w:szCs w:val="20"/>
          <w:lang w:val="es-CO"/>
        </w:rPr>
        <w:t>eriencia y capacidad requerida.</w:t>
      </w:r>
      <w:r w:rsidR="00282C1D" w:rsidRPr="009B3BD2">
        <w:rPr>
          <w:rFonts w:ascii="Cambria" w:hAnsi="Cambria"/>
          <w:sz w:val="20"/>
          <w:szCs w:val="20"/>
          <w:lang w:val="es-CO"/>
        </w:rPr>
        <w:t xml:space="preserve"> En cuanto a la tipicidad de la conducta</w:t>
      </w:r>
      <w:r w:rsidR="007467B7" w:rsidRPr="009B3BD2">
        <w:rPr>
          <w:rFonts w:ascii="Cambria" w:hAnsi="Cambria"/>
          <w:sz w:val="20"/>
          <w:szCs w:val="20"/>
          <w:lang w:val="es-CO"/>
        </w:rPr>
        <w:t>,</w:t>
      </w:r>
      <w:r w:rsidR="00282C1D" w:rsidRPr="009B3BD2">
        <w:rPr>
          <w:rFonts w:ascii="Cambria" w:hAnsi="Cambria"/>
          <w:sz w:val="20"/>
          <w:szCs w:val="20"/>
          <w:lang w:val="es-CO"/>
        </w:rPr>
        <w:t xml:space="preserve"> indicó que:</w:t>
      </w:r>
    </w:p>
    <w:p w14:paraId="599F736D" w14:textId="77777777" w:rsidR="00967A97" w:rsidRPr="009B3BD2" w:rsidRDefault="00967A97"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lang w:val="es-CO"/>
        </w:rPr>
      </w:pPr>
    </w:p>
    <w:p w14:paraId="6EA9B23E" w14:textId="77777777" w:rsidR="00282C1D" w:rsidRPr="009B3BD2" w:rsidRDefault="00282C1D"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lang w:val="es-CO"/>
        </w:rPr>
      </w:pPr>
      <w:proofErr w:type="gramStart"/>
      <w:r w:rsidRPr="009B3BD2">
        <w:rPr>
          <w:rFonts w:ascii="Cambria" w:hAnsi="Cambria"/>
          <w:sz w:val="20"/>
          <w:szCs w:val="20"/>
          <w:lang w:val="es-CO"/>
        </w:rPr>
        <w:t>el</w:t>
      </w:r>
      <w:proofErr w:type="gramEnd"/>
      <w:r w:rsidRPr="009B3BD2">
        <w:rPr>
          <w:rFonts w:ascii="Cambria" w:hAnsi="Cambria"/>
          <w:sz w:val="20"/>
          <w:szCs w:val="20"/>
          <w:lang w:val="es-CO"/>
        </w:rPr>
        <w:t xml:space="preserve"> numeral 31 del artículo 48 del Código Disciplinario Único “estableció como falta gravísima el que un servidor público participe en la etapa precontractual o en la actividad contractual con desconocimiento de los principios que regulan la contratación estatal y la función administrativa contemplados en la Constitución y en la ley. En el presente caso, la suscripción de los contratos interadministrativos 017 del 11 de octubre de 2012 y 809 del 4 de diciembre de 2012, suscritos entre la Unidad Administrativa Especial de Servicios Públicos (UAESP) y la </w:t>
      </w:r>
      <w:r w:rsidRPr="009B3BD2">
        <w:rPr>
          <w:rFonts w:ascii="Cambria" w:hAnsi="Cambria"/>
          <w:sz w:val="20"/>
          <w:szCs w:val="20"/>
          <w:lang w:val="es-CO"/>
        </w:rPr>
        <w:lastRenderedPageBreak/>
        <w:t xml:space="preserve">Empresa de Acueducto y Alcantarillado de Bogotá (EAAB), y la Empresa de Acueducto y Alcantarillado de Bogotá (EAAB) y la empresa Aguas de Bogotá S.A.E.S.P, respectivamente, fueron totalmente irregulares, debido a que ninguna de estas dos empresas del Distrito contaban con el conocimiento, experiencia y capacidad requeridas para asumir la prestación del servicio </w:t>
      </w:r>
      <w:r w:rsidR="006E5169" w:rsidRPr="009B3BD2">
        <w:rPr>
          <w:rFonts w:ascii="Cambria" w:hAnsi="Cambria"/>
          <w:sz w:val="20"/>
          <w:szCs w:val="20"/>
          <w:lang w:val="es-CO"/>
        </w:rPr>
        <w:t>público de aseo</w:t>
      </w:r>
      <w:r w:rsidRPr="009B3BD2">
        <w:rPr>
          <w:rFonts w:ascii="Cambria" w:hAnsi="Cambria"/>
          <w:sz w:val="20"/>
          <w:szCs w:val="20"/>
          <w:lang w:val="es-CO"/>
        </w:rPr>
        <w:t>(…)</w:t>
      </w:r>
      <w:r w:rsidR="006E5169" w:rsidRPr="009B3BD2">
        <w:rPr>
          <w:rFonts w:ascii="Cambria" w:hAnsi="Cambria"/>
          <w:sz w:val="20"/>
          <w:szCs w:val="20"/>
          <w:lang w:val="es-CO"/>
        </w:rPr>
        <w:t>.</w:t>
      </w:r>
    </w:p>
    <w:p w14:paraId="551BFAC8" w14:textId="77777777" w:rsidR="00967A97" w:rsidRPr="009B3BD2" w:rsidRDefault="00967A97"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lang w:val="es-CO"/>
        </w:rPr>
      </w:pPr>
    </w:p>
    <w:p w14:paraId="7F27F2D9" w14:textId="77777777" w:rsidR="006E5169" w:rsidRPr="009B3BD2" w:rsidRDefault="006E5169"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lang w:val="es-CO"/>
        </w:rPr>
      </w:pPr>
      <w:r w:rsidRPr="009B3BD2">
        <w:rPr>
          <w:rFonts w:ascii="Cambria" w:hAnsi="Cambria"/>
          <w:sz w:val="20"/>
          <w:szCs w:val="20"/>
          <w:lang w:val="es-CO"/>
        </w:rPr>
        <w:t>(…</w:t>
      </w:r>
      <w:proofErr w:type="gramStart"/>
      <w:r w:rsidRPr="009B3BD2">
        <w:rPr>
          <w:rFonts w:ascii="Cambria" w:hAnsi="Cambria"/>
          <w:sz w:val="20"/>
          <w:szCs w:val="20"/>
          <w:lang w:val="es-CO"/>
        </w:rPr>
        <w:t>)el</w:t>
      </w:r>
      <w:proofErr w:type="gramEnd"/>
      <w:r w:rsidRPr="009B3BD2">
        <w:rPr>
          <w:rFonts w:ascii="Cambria" w:hAnsi="Cambria"/>
          <w:sz w:val="20"/>
          <w:szCs w:val="20"/>
          <w:lang w:val="es-CO"/>
        </w:rPr>
        <w:t xml:space="preserve"> señor GUSTAVO FRANCISCO PETRO URREGO, para el segundo semestre del año 2012 y en su condición de alcalde mayor de Bogotá y jefe de la administración distrital, tomó la decisión de que las empresas del Distrito asumieran la prestación del servicio público de aseo en la ciudad de Bogotá, determinando al director de la UAESP y a los gerentes de la EAAB y la empresa aguas de Bogotá para que suscribieran los respectivos contratos interadministrativos</w:t>
      </w:r>
      <w:r w:rsidR="00DE11FE" w:rsidRPr="009B3BD2">
        <w:rPr>
          <w:rStyle w:val="FootnoteReference"/>
          <w:rFonts w:asciiTheme="majorHAnsi" w:hAnsiTheme="majorHAnsi"/>
          <w:sz w:val="20"/>
          <w:szCs w:val="20"/>
          <w:lang w:val="es-CO"/>
        </w:rPr>
        <w:footnoteReference w:id="22"/>
      </w:r>
      <w:r w:rsidRPr="009B3BD2">
        <w:rPr>
          <w:rFonts w:ascii="Cambria" w:hAnsi="Cambria"/>
          <w:sz w:val="20"/>
          <w:szCs w:val="20"/>
          <w:lang w:val="es-CO"/>
        </w:rPr>
        <w:t xml:space="preserve">. </w:t>
      </w:r>
    </w:p>
    <w:p w14:paraId="3A9C78A0" w14:textId="77777777" w:rsidR="009A3DE2" w:rsidRPr="009B3BD2" w:rsidRDefault="009A3DE2" w:rsidP="009A3DE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1FCC6D77" w14:textId="1DE730F4" w:rsidR="009A3DE2" w:rsidRPr="009B3BD2" w:rsidRDefault="00715C25" w:rsidP="00DC562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En particular, indicó que con la suscripción del contrato 017 de 11 de octubre de 2012, se incumplieron varios principios de la contratación estatal. Refirió que se violó el principio de transparen</w:t>
      </w:r>
      <w:r w:rsidR="00AC6BD1" w:rsidRPr="009B3BD2">
        <w:rPr>
          <w:rFonts w:ascii="Cambria" w:hAnsi="Cambria"/>
          <w:sz w:val="20"/>
          <w:szCs w:val="20"/>
          <w:lang w:val="es-CO"/>
        </w:rPr>
        <w:t xml:space="preserve">cia por que la UAESP no acudió </w:t>
      </w:r>
      <w:r w:rsidRPr="009B3BD2">
        <w:rPr>
          <w:rFonts w:ascii="Cambria" w:hAnsi="Cambria"/>
          <w:sz w:val="20"/>
          <w:szCs w:val="20"/>
          <w:lang w:val="es-CO"/>
        </w:rPr>
        <w:t>a la regla de licitación y seleccionó a una empresa que no tenía conocimiento, experiencia ni capacidad técnica. Añadió que se vulneró el principio de economía porque</w:t>
      </w:r>
      <w:r w:rsidR="00DC562D" w:rsidRPr="009B3BD2">
        <w:rPr>
          <w:rFonts w:ascii="Cambria" w:hAnsi="Cambria"/>
          <w:sz w:val="20"/>
          <w:szCs w:val="20"/>
          <w:lang w:val="es-CO"/>
        </w:rPr>
        <w:t xml:space="preserve"> “</w:t>
      </w:r>
      <w:r w:rsidR="00F34575" w:rsidRPr="009B3BD2">
        <w:rPr>
          <w:rFonts w:ascii="Cambria" w:hAnsi="Cambria"/>
          <w:sz w:val="20"/>
          <w:szCs w:val="20"/>
          <w:lang w:val="es-CO"/>
        </w:rPr>
        <w:t>se acudió a una causal de contratación directa para contratar a una empres</w:t>
      </w:r>
      <w:r w:rsidR="00815517" w:rsidRPr="009B3BD2">
        <w:rPr>
          <w:rFonts w:ascii="Cambria" w:hAnsi="Cambria"/>
          <w:sz w:val="20"/>
          <w:szCs w:val="20"/>
          <w:lang w:val="es-CO"/>
        </w:rPr>
        <w:t>a sin la experiencia necesaria</w:t>
      </w:r>
      <w:r w:rsidR="007B16EB" w:rsidRPr="009B3BD2">
        <w:rPr>
          <w:rFonts w:ascii="Cambria" w:hAnsi="Cambria"/>
          <w:sz w:val="20"/>
          <w:szCs w:val="20"/>
          <w:lang w:val="es-CO"/>
        </w:rPr>
        <w:t>”</w:t>
      </w:r>
      <w:r w:rsidR="00815517" w:rsidRPr="009B3BD2">
        <w:rPr>
          <w:rFonts w:ascii="Cambria" w:hAnsi="Cambria"/>
          <w:sz w:val="20"/>
          <w:szCs w:val="20"/>
          <w:lang w:val="es-CO"/>
        </w:rPr>
        <w:t>,</w:t>
      </w:r>
      <w:r w:rsidR="00F34575" w:rsidRPr="009B3BD2">
        <w:rPr>
          <w:rFonts w:ascii="Cambria" w:hAnsi="Cambria"/>
          <w:sz w:val="20"/>
          <w:szCs w:val="20"/>
          <w:lang w:val="es-CO"/>
        </w:rPr>
        <w:t xml:space="preserve"> y “tampoco se elaboraron los estudios previos requeridos para haber determinado que el contratista idóneo (sic) y que reunía las condiciones de experiencia y capacidad técnica”</w:t>
      </w:r>
      <w:r w:rsidR="00DC562D" w:rsidRPr="009B3BD2">
        <w:rPr>
          <w:rStyle w:val="FootnoteReference"/>
          <w:rFonts w:asciiTheme="majorHAnsi" w:hAnsiTheme="majorHAnsi"/>
          <w:sz w:val="20"/>
          <w:szCs w:val="20"/>
          <w:lang w:val="es-CO"/>
        </w:rPr>
        <w:t xml:space="preserve"> </w:t>
      </w:r>
      <w:r w:rsidR="00DC562D" w:rsidRPr="009B3BD2">
        <w:rPr>
          <w:rStyle w:val="FootnoteReference"/>
          <w:rFonts w:asciiTheme="majorHAnsi" w:hAnsiTheme="majorHAnsi"/>
          <w:sz w:val="20"/>
          <w:szCs w:val="20"/>
          <w:lang w:val="es-CO"/>
        </w:rPr>
        <w:footnoteReference w:id="23"/>
      </w:r>
      <w:r w:rsidR="00DC562D" w:rsidRPr="009B3BD2">
        <w:rPr>
          <w:rFonts w:asciiTheme="majorHAnsi" w:hAnsiTheme="majorHAnsi"/>
          <w:sz w:val="20"/>
          <w:szCs w:val="20"/>
          <w:lang w:val="es-CO"/>
        </w:rPr>
        <w:t>.</w:t>
      </w:r>
      <w:r w:rsidR="00F34575" w:rsidRPr="009B3BD2">
        <w:rPr>
          <w:rFonts w:ascii="Cambria" w:hAnsi="Cambria"/>
          <w:sz w:val="20"/>
          <w:szCs w:val="20"/>
          <w:lang w:val="es-CO"/>
        </w:rPr>
        <w:t xml:space="preserve"> </w:t>
      </w:r>
    </w:p>
    <w:p w14:paraId="009031D2" w14:textId="77777777" w:rsidR="00DC562D" w:rsidRPr="009B3BD2" w:rsidRDefault="00DC562D" w:rsidP="00DC562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Cambria" w:hAnsi="Cambria"/>
          <w:sz w:val="20"/>
          <w:szCs w:val="20"/>
          <w:lang w:val="es-CO"/>
        </w:rPr>
      </w:pPr>
    </w:p>
    <w:p w14:paraId="36D3F29F" w14:textId="52D2010B" w:rsidR="00762825" w:rsidRPr="009B3BD2" w:rsidRDefault="00762825" w:rsidP="00DC562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Por otra parte respecto del contrato interadministrativo 0809 del 4 de diciembre de 2</w:t>
      </w:r>
      <w:r w:rsidR="008706BD" w:rsidRPr="009B3BD2">
        <w:rPr>
          <w:rFonts w:ascii="Cambria" w:hAnsi="Cambria"/>
          <w:sz w:val="20"/>
          <w:szCs w:val="20"/>
          <w:lang w:val="es-CO"/>
        </w:rPr>
        <w:t xml:space="preserve">012 entre la </w:t>
      </w:r>
      <w:r w:rsidR="00815517" w:rsidRPr="009B3BD2">
        <w:rPr>
          <w:rFonts w:ascii="Cambria" w:hAnsi="Cambria"/>
          <w:sz w:val="20"/>
          <w:szCs w:val="20"/>
          <w:lang w:val="es-CO"/>
        </w:rPr>
        <w:t xml:space="preserve">EAAB y la empresa </w:t>
      </w:r>
      <w:r w:rsidR="00DC562D" w:rsidRPr="009B3BD2">
        <w:rPr>
          <w:rFonts w:ascii="Cambria" w:hAnsi="Cambria"/>
          <w:sz w:val="20"/>
          <w:szCs w:val="20"/>
          <w:lang w:val="es-CO"/>
        </w:rPr>
        <w:t>Aguas de Bogotá, refirió que “(…)</w:t>
      </w:r>
      <w:r w:rsidR="002D7BF5" w:rsidRPr="009B3BD2">
        <w:rPr>
          <w:rFonts w:ascii="Cambria" w:hAnsi="Cambria"/>
          <w:sz w:val="20"/>
          <w:szCs w:val="20"/>
          <w:lang w:val="es-CO"/>
        </w:rPr>
        <w:t xml:space="preserve"> </w:t>
      </w:r>
      <w:r w:rsidRPr="009B3BD2">
        <w:rPr>
          <w:rFonts w:ascii="Cambria" w:hAnsi="Cambria"/>
          <w:sz w:val="20"/>
          <w:szCs w:val="20"/>
          <w:lang w:val="es-CO"/>
        </w:rPr>
        <w:t xml:space="preserve">el interminable listado de contratos que tuvo que celebrar Aguas de Bogotá para tratar de contar </w:t>
      </w:r>
      <w:r w:rsidR="009A3DE2" w:rsidRPr="009B3BD2">
        <w:rPr>
          <w:rFonts w:ascii="Cambria" w:hAnsi="Cambria"/>
          <w:sz w:val="20"/>
          <w:szCs w:val="20"/>
          <w:lang w:val="es-CO"/>
        </w:rPr>
        <w:t>con los equipos mínimos requeri</w:t>
      </w:r>
      <w:r w:rsidRPr="009B3BD2">
        <w:rPr>
          <w:rFonts w:ascii="Cambria" w:hAnsi="Cambria"/>
          <w:sz w:val="20"/>
          <w:szCs w:val="20"/>
          <w:lang w:val="es-CO"/>
        </w:rPr>
        <w:t>d</w:t>
      </w:r>
      <w:r w:rsidR="009A3DE2" w:rsidRPr="009B3BD2">
        <w:rPr>
          <w:rFonts w:ascii="Cambria" w:hAnsi="Cambria"/>
          <w:sz w:val="20"/>
          <w:szCs w:val="20"/>
          <w:lang w:val="es-CO"/>
        </w:rPr>
        <w:t>o</w:t>
      </w:r>
      <w:r w:rsidRPr="009B3BD2">
        <w:rPr>
          <w:rFonts w:ascii="Cambria" w:hAnsi="Cambria"/>
          <w:sz w:val="20"/>
          <w:szCs w:val="20"/>
          <w:lang w:val="es-CO"/>
        </w:rPr>
        <w:t>s y la falta de experiencia y la condición financiera de esta última empresa fueron las razones por las cuales se concluyó que con la suscripción de dicho contrato se desconocieron las normas contractuales vigentes, en especial, el principio de selección objetiva, con lo cual se puso en riesgo la continuidad de la prestación del servicio público de aseo en la ciudad de Bogotá</w:t>
      </w:r>
      <w:r w:rsidR="007467B7" w:rsidRPr="009B3BD2">
        <w:rPr>
          <w:rFonts w:ascii="Cambria" w:hAnsi="Cambria"/>
          <w:sz w:val="20"/>
          <w:szCs w:val="20"/>
          <w:lang w:val="es-CO"/>
        </w:rPr>
        <w:t>”</w:t>
      </w:r>
      <w:r w:rsidRPr="009B3BD2">
        <w:rPr>
          <w:rStyle w:val="FootnoteReference"/>
          <w:rFonts w:asciiTheme="majorHAnsi" w:hAnsiTheme="majorHAnsi"/>
          <w:sz w:val="20"/>
          <w:szCs w:val="20"/>
          <w:lang w:val="es-CO"/>
        </w:rPr>
        <w:footnoteReference w:id="24"/>
      </w:r>
      <w:r w:rsidRPr="009B3BD2">
        <w:rPr>
          <w:rFonts w:ascii="Cambria" w:hAnsi="Cambria"/>
          <w:sz w:val="20"/>
          <w:szCs w:val="20"/>
          <w:lang w:val="es-CO"/>
        </w:rPr>
        <w:t>.</w:t>
      </w:r>
    </w:p>
    <w:p w14:paraId="7C0F937A" w14:textId="77777777" w:rsidR="007A691E" w:rsidRPr="009B3BD2" w:rsidRDefault="007A691E" w:rsidP="007A691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7C99B331" w14:textId="5F8E13BA" w:rsidR="00D0580B" w:rsidRPr="009B3BD2" w:rsidRDefault="003C412F" w:rsidP="00DC562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En cuanto a la culpabili</w:t>
      </w:r>
      <w:r w:rsidR="002D7BF5" w:rsidRPr="009B3BD2">
        <w:rPr>
          <w:rFonts w:ascii="Cambria" w:hAnsi="Cambria"/>
          <w:sz w:val="20"/>
          <w:szCs w:val="20"/>
          <w:lang w:val="es-CO"/>
        </w:rPr>
        <w:t>dad</w:t>
      </w:r>
      <w:r w:rsidR="00DB2188" w:rsidRPr="009B3BD2">
        <w:rPr>
          <w:rFonts w:ascii="Cambria" w:hAnsi="Cambria"/>
          <w:sz w:val="20"/>
          <w:szCs w:val="20"/>
          <w:lang w:val="es-CO"/>
        </w:rPr>
        <w:t>,</w:t>
      </w:r>
      <w:r w:rsidR="002D7BF5" w:rsidRPr="009B3BD2">
        <w:rPr>
          <w:rFonts w:ascii="Cambria" w:hAnsi="Cambria"/>
          <w:sz w:val="20"/>
          <w:szCs w:val="20"/>
          <w:lang w:val="es-CO"/>
        </w:rPr>
        <w:t xml:space="preserve"> agregó que </w:t>
      </w:r>
      <w:r w:rsidR="00DB2188" w:rsidRPr="009B3BD2">
        <w:rPr>
          <w:rFonts w:ascii="Cambria" w:hAnsi="Cambria"/>
          <w:sz w:val="20"/>
          <w:szCs w:val="20"/>
          <w:lang w:val="es-CO"/>
        </w:rPr>
        <w:t xml:space="preserve">la presunta víctima </w:t>
      </w:r>
      <w:r w:rsidR="002D7BF5" w:rsidRPr="009B3BD2">
        <w:rPr>
          <w:rFonts w:ascii="Cambria" w:hAnsi="Cambria"/>
          <w:sz w:val="20"/>
          <w:szCs w:val="20"/>
          <w:lang w:val="es-CO"/>
        </w:rPr>
        <w:t>“</w:t>
      </w:r>
      <w:r w:rsidRPr="009B3BD2">
        <w:rPr>
          <w:rFonts w:ascii="Cambria" w:hAnsi="Cambria"/>
          <w:sz w:val="20"/>
          <w:szCs w:val="20"/>
          <w:lang w:val="es-CO"/>
        </w:rPr>
        <w:t xml:space="preserve">actuó de forma voluntaria y con conocimiento sobre los hechos y la ilicitud de su conducta, y más cuando en muchas de sus explicaciones refirió que una de las razones de su decisión fue por </w:t>
      </w:r>
      <w:proofErr w:type="spellStart"/>
      <w:r w:rsidR="00832D5D" w:rsidRPr="009B3BD2">
        <w:rPr>
          <w:rFonts w:ascii="Cambria" w:hAnsi="Cambria"/>
          <w:sz w:val="20"/>
          <w:szCs w:val="20"/>
          <w:lang w:val="es-CO"/>
        </w:rPr>
        <w:t>descartelizar</w:t>
      </w:r>
      <w:proofErr w:type="spellEnd"/>
      <w:r w:rsidR="00832D5D" w:rsidRPr="009B3BD2">
        <w:rPr>
          <w:rFonts w:ascii="Cambria" w:hAnsi="Cambria"/>
          <w:sz w:val="20"/>
          <w:szCs w:val="20"/>
          <w:lang w:val="es-CO"/>
        </w:rPr>
        <w:t xml:space="preserve"> a un grupo de contratistas, propósito</w:t>
      </w:r>
      <w:r w:rsidR="00565041" w:rsidRPr="009B3BD2">
        <w:rPr>
          <w:rFonts w:ascii="Cambria" w:hAnsi="Cambria"/>
          <w:sz w:val="20"/>
          <w:szCs w:val="20"/>
          <w:lang w:val="es-CO"/>
        </w:rPr>
        <w:t xml:space="preserve"> que no guardaba ninguna relació</w:t>
      </w:r>
      <w:r w:rsidR="00832D5D" w:rsidRPr="009B3BD2">
        <w:rPr>
          <w:rFonts w:ascii="Cambria" w:hAnsi="Cambria"/>
          <w:sz w:val="20"/>
          <w:szCs w:val="20"/>
          <w:lang w:val="es-CO"/>
        </w:rPr>
        <w:t>n con el respeto de las normas contractuales vigentes y con la garantía de la prestación del servicio público de aseo</w:t>
      </w:r>
      <w:r w:rsidR="00565041" w:rsidRPr="009B3BD2">
        <w:rPr>
          <w:rFonts w:ascii="Cambria" w:hAnsi="Cambria"/>
          <w:sz w:val="20"/>
          <w:szCs w:val="20"/>
          <w:lang w:val="es-CO"/>
        </w:rPr>
        <w:t xml:space="preserve"> en la ciudad de Bogotá”</w:t>
      </w:r>
      <w:r w:rsidR="00565041" w:rsidRPr="009B3BD2">
        <w:rPr>
          <w:rStyle w:val="FootnoteReference"/>
          <w:rFonts w:asciiTheme="majorHAnsi" w:hAnsiTheme="majorHAnsi"/>
          <w:sz w:val="20"/>
          <w:szCs w:val="20"/>
          <w:lang w:val="es-CO"/>
        </w:rPr>
        <w:t xml:space="preserve"> </w:t>
      </w:r>
      <w:r w:rsidR="00565041" w:rsidRPr="009B3BD2">
        <w:rPr>
          <w:rStyle w:val="FootnoteReference"/>
          <w:rFonts w:asciiTheme="majorHAnsi" w:hAnsiTheme="majorHAnsi"/>
          <w:sz w:val="20"/>
          <w:szCs w:val="20"/>
          <w:lang w:val="es-CO"/>
        </w:rPr>
        <w:footnoteReference w:id="25"/>
      </w:r>
      <w:r w:rsidR="00DC562D" w:rsidRPr="009B3BD2">
        <w:rPr>
          <w:rFonts w:ascii="Cambria" w:hAnsi="Cambria"/>
          <w:sz w:val="20"/>
          <w:szCs w:val="20"/>
          <w:lang w:val="es-CO"/>
        </w:rPr>
        <w:t>.</w:t>
      </w:r>
    </w:p>
    <w:p w14:paraId="2F7C5304" w14:textId="77777777" w:rsidR="00DC562D" w:rsidRPr="009B3BD2" w:rsidRDefault="00DC562D" w:rsidP="00DC562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4F898FCD" w14:textId="690363A9" w:rsidR="007467B7" w:rsidRPr="009B3BD2" w:rsidRDefault="00E27259"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 xml:space="preserve">Por otra parte, </w:t>
      </w:r>
      <w:r w:rsidR="007C601C" w:rsidRPr="009B3BD2">
        <w:rPr>
          <w:rFonts w:ascii="Cambria" w:hAnsi="Cambria"/>
          <w:sz w:val="20"/>
          <w:szCs w:val="20"/>
          <w:lang w:val="es-CO"/>
        </w:rPr>
        <w:t>sobre e</w:t>
      </w:r>
      <w:r w:rsidR="009A3DE2" w:rsidRPr="009B3BD2">
        <w:rPr>
          <w:rFonts w:ascii="Cambria" w:hAnsi="Cambria"/>
          <w:sz w:val="20"/>
          <w:szCs w:val="20"/>
          <w:lang w:val="es-CO"/>
        </w:rPr>
        <w:t>l segundo cargo, consistente en</w:t>
      </w:r>
      <w:r w:rsidRPr="009B3BD2">
        <w:rPr>
          <w:rFonts w:ascii="Cambria" w:hAnsi="Cambria"/>
          <w:sz w:val="20"/>
          <w:szCs w:val="20"/>
          <w:lang w:val="es-CO"/>
        </w:rPr>
        <w:t xml:space="preserve"> la falta disciplinaria contenida en el numeral 60 del artículo 48 del Código Disciplinario Único, indicó que la conducta </w:t>
      </w:r>
      <w:r w:rsidR="00815517" w:rsidRPr="009B3BD2">
        <w:rPr>
          <w:rFonts w:ascii="Cambria" w:hAnsi="Cambria"/>
          <w:sz w:val="20"/>
          <w:szCs w:val="20"/>
          <w:lang w:val="es-CO"/>
        </w:rPr>
        <w:t xml:space="preserve">es </w:t>
      </w:r>
      <w:r w:rsidR="00175DE4" w:rsidRPr="009B3BD2">
        <w:rPr>
          <w:rFonts w:ascii="Cambria" w:hAnsi="Cambria"/>
          <w:sz w:val="20"/>
          <w:szCs w:val="20"/>
          <w:lang w:val="es-CO"/>
        </w:rPr>
        <w:t>típica</w:t>
      </w:r>
      <w:r w:rsidR="00815517" w:rsidRPr="009B3BD2">
        <w:rPr>
          <w:rFonts w:ascii="Cambria" w:hAnsi="Cambria"/>
          <w:sz w:val="20"/>
          <w:szCs w:val="20"/>
          <w:lang w:val="es-CO"/>
        </w:rPr>
        <w:t xml:space="preserve"> porque </w:t>
      </w:r>
      <w:r w:rsidRPr="009B3BD2">
        <w:rPr>
          <w:rFonts w:ascii="Cambria" w:hAnsi="Cambria"/>
          <w:sz w:val="20"/>
          <w:szCs w:val="20"/>
          <w:lang w:val="es-CO"/>
        </w:rPr>
        <w:t>dicho artículo establece como una falta disciplinaría gravísima que un servid</w:t>
      </w:r>
      <w:r w:rsidR="00EE6B5B" w:rsidRPr="009B3BD2">
        <w:rPr>
          <w:rFonts w:ascii="Cambria" w:hAnsi="Cambria"/>
          <w:sz w:val="20"/>
          <w:szCs w:val="20"/>
          <w:lang w:val="es-CO"/>
        </w:rPr>
        <w:t>or públ</w:t>
      </w:r>
      <w:r w:rsidRPr="009B3BD2">
        <w:rPr>
          <w:rFonts w:ascii="Cambria" w:hAnsi="Cambria"/>
          <w:sz w:val="20"/>
          <w:szCs w:val="20"/>
          <w:lang w:val="es-CO"/>
        </w:rPr>
        <w:t>i</w:t>
      </w:r>
      <w:r w:rsidR="00EE6B5B" w:rsidRPr="009B3BD2">
        <w:rPr>
          <w:rFonts w:ascii="Cambria" w:hAnsi="Cambria"/>
          <w:sz w:val="20"/>
          <w:szCs w:val="20"/>
          <w:lang w:val="es-CO"/>
        </w:rPr>
        <w:t>c</w:t>
      </w:r>
      <w:r w:rsidRPr="009B3BD2">
        <w:rPr>
          <w:rFonts w:ascii="Cambria" w:hAnsi="Cambria"/>
          <w:sz w:val="20"/>
          <w:szCs w:val="20"/>
          <w:lang w:val="es-CO"/>
        </w:rPr>
        <w:t>o ejerza las potestades que su empleo o función le concedan para una finalidad distinta en la norma otorgante</w:t>
      </w:r>
      <w:r w:rsidR="00815517" w:rsidRPr="009B3BD2">
        <w:rPr>
          <w:rFonts w:ascii="Cambria" w:hAnsi="Cambria"/>
          <w:sz w:val="20"/>
          <w:szCs w:val="20"/>
          <w:lang w:val="es-CO"/>
        </w:rPr>
        <w:t>,</w:t>
      </w:r>
      <w:r w:rsidR="007467B7" w:rsidRPr="009B3BD2">
        <w:rPr>
          <w:rFonts w:ascii="Cambria" w:hAnsi="Cambria"/>
          <w:sz w:val="20"/>
          <w:szCs w:val="20"/>
          <w:lang w:val="es-CO"/>
        </w:rPr>
        <w:t xml:space="preserve"> y en el presente caso:</w:t>
      </w:r>
    </w:p>
    <w:p w14:paraId="6B5E9305" w14:textId="77777777" w:rsidR="007467B7" w:rsidRPr="009B3BD2" w:rsidRDefault="007467B7" w:rsidP="007467B7">
      <w:pPr>
        <w:pStyle w:val="ListParagraph"/>
        <w:rPr>
          <w:sz w:val="20"/>
          <w:szCs w:val="20"/>
          <w:lang w:val="es-CO"/>
        </w:rPr>
      </w:pPr>
    </w:p>
    <w:p w14:paraId="263B2812" w14:textId="74CC132C" w:rsidR="00D0580B" w:rsidRPr="009B3BD2" w:rsidRDefault="007467B7"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 xml:space="preserve"> </w:t>
      </w:r>
      <w:r w:rsidR="00175DE4" w:rsidRPr="009B3BD2">
        <w:rPr>
          <w:rFonts w:ascii="Cambria" w:hAnsi="Cambria"/>
          <w:sz w:val="20"/>
          <w:szCs w:val="20"/>
          <w:lang w:val="es-CO"/>
        </w:rPr>
        <w:t>El</w:t>
      </w:r>
      <w:r w:rsidR="00E27259" w:rsidRPr="009B3BD2">
        <w:rPr>
          <w:rFonts w:ascii="Cambria" w:hAnsi="Cambria"/>
          <w:sz w:val="20"/>
          <w:szCs w:val="20"/>
          <w:lang w:val="es-CO"/>
        </w:rPr>
        <w:t xml:space="preserve"> señor</w:t>
      </w:r>
      <w:r w:rsidR="006A5BC1" w:rsidRPr="009B3BD2">
        <w:rPr>
          <w:rFonts w:ascii="Cambria" w:hAnsi="Cambria"/>
          <w:sz w:val="20"/>
          <w:szCs w:val="20"/>
          <w:lang w:val="es-CO"/>
        </w:rPr>
        <w:t xml:space="preserve"> alcalde mayor de Bogotá utiliz</w:t>
      </w:r>
      <w:r w:rsidR="00E27259" w:rsidRPr="009B3BD2">
        <w:rPr>
          <w:rFonts w:ascii="Cambria" w:hAnsi="Cambria"/>
          <w:sz w:val="20"/>
          <w:szCs w:val="20"/>
          <w:lang w:val="es-CO"/>
        </w:rPr>
        <w:t xml:space="preserve">ó las normas </w:t>
      </w:r>
      <w:r w:rsidR="00781F40" w:rsidRPr="009B3BD2">
        <w:rPr>
          <w:rFonts w:ascii="Cambria" w:hAnsi="Cambria"/>
          <w:sz w:val="20"/>
          <w:szCs w:val="20"/>
          <w:lang w:val="es-CO"/>
        </w:rPr>
        <w:t>del ordenamiento jurídico, que  lo habil</w:t>
      </w:r>
      <w:r w:rsidR="00DC562D" w:rsidRPr="009B3BD2">
        <w:rPr>
          <w:rFonts w:ascii="Cambria" w:hAnsi="Cambria"/>
          <w:sz w:val="20"/>
          <w:szCs w:val="20"/>
          <w:lang w:val="es-CO"/>
        </w:rPr>
        <w:t>itaban para expedir actos admin</w:t>
      </w:r>
      <w:r w:rsidR="00781F40" w:rsidRPr="009B3BD2">
        <w:rPr>
          <w:rFonts w:ascii="Cambria" w:hAnsi="Cambria"/>
          <w:sz w:val="20"/>
          <w:szCs w:val="20"/>
          <w:lang w:val="es-CO"/>
        </w:rPr>
        <w:t>i</w:t>
      </w:r>
      <w:r w:rsidR="00DC562D" w:rsidRPr="009B3BD2">
        <w:rPr>
          <w:rFonts w:ascii="Cambria" w:hAnsi="Cambria"/>
          <w:sz w:val="20"/>
          <w:szCs w:val="20"/>
          <w:lang w:val="es-CO"/>
        </w:rPr>
        <w:t>s</w:t>
      </w:r>
      <w:r w:rsidR="00781F40" w:rsidRPr="009B3BD2">
        <w:rPr>
          <w:rFonts w:ascii="Cambria" w:hAnsi="Cambria"/>
          <w:sz w:val="20"/>
          <w:szCs w:val="20"/>
          <w:lang w:val="es-CO"/>
        </w:rPr>
        <w:t xml:space="preserve">trativos relacionados con el servicio público de aseo, </w:t>
      </w:r>
      <w:r w:rsidR="00781F40" w:rsidRPr="009B3BD2">
        <w:rPr>
          <w:rFonts w:ascii="Cambria" w:hAnsi="Cambria"/>
          <w:sz w:val="20"/>
          <w:szCs w:val="20"/>
          <w:lang w:val="es-CO"/>
        </w:rPr>
        <w:lastRenderedPageBreak/>
        <w:t xml:space="preserve">para violar el principio de libertad de empresa, </w:t>
      </w:r>
      <w:r w:rsidR="00DC562D" w:rsidRPr="009B3BD2">
        <w:rPr>
          <w:rFonts w:ascii="Cambria" w:hAnsi="Cambria"/>
          <w:sz w:val="20"/>
          <w:szCs w:val="20"/>
          <w:lang w:val="es-CO"/>
        </w:rPr>
        <w:t>(…)</w:t>
      </w:r>
      <w:r w:rsidR="00781F40" w:rsidRPr="009B3BD2">
        <w:rPr>
          <w:rFonts w:ascii="Cambria" w:hAnsi="Cambria"/>
          <w:sz w:val="20"/>
          <w:szCs w:val="20"/>
          <w:lang w:val="es-CO"/>
        </w:rPr>
        <w:t>”</w:t>
      </w:r>
      <w:r w:rsidR="00781F40" w:rsidRPr="009B3BD2">
        <w:rPr>
          <w:rStyle w:val="FootnoteReference"/>
          <w:rFonts w:asciiTheme="majorHAnsi" w:hAnsiTheme="majorHAnsi"/>
          <w:sz w:val="20"/>
          <w:szCs w:val="20"/>
          <w:lang w:val="es-CO"/>
        </w:rPr>
        <w:t xml:space="preserve"> </w:t>
      </w:r>
      <w:r w:rsidR="00781F40" w:rsidRPr="009B3BD2">
        <w:rPr>
          <w:rStyle w:val="FootnoteReference"/>
          <w:rFonts w:asciiTheme="majorHAnsi" w:hAnsiTheme="majorHAnsi"/>
          <w:sz w:val="20"/>
          <w:szCs w:val="20"/>
          <w:lang w:val="es-CO"/>
        </w:rPr>
        <w:footnoteReference w:id="26"/>
      </w:r>
      <w:r w:rsidR="00781F40" w:rsidRPr="009B3BD2">
        <w:rPr>
          <w:rFonts w:ascii="Cambria" w:hAnsi="Cambria"/>
          <w:sz w:val="20"/>
          <w:szCs w:val="20"/>
          <w:lang w:val="es-CO"/>
        </w:rPr>
        <w:t xml:space="preserve">. </w:t>
      </w:r>
      <w:r w:rsidR="006A5BC1" w:rsidRPr="009B3BD2">
        <w:rPr>
          <w:rFonts w:ascii="Cambria" w:hAnsi="Cambria"/>
          <w:sz w:val="20"/>
          <w:szCs w:val="20"/>
          <w:lang w:val="es-CO"/>
        </w:rPr>
        <w:t xml:space="preserve"> En particular, recordó que conforme el artículo 333 de la Constitución Pol</w:t>
      </w:r>
      <w:r w:rsidR="00DE012D" w:rsidRPr="009B3BD2">
        <w:rPr>
          <w:rFonts w:ascii="Cambria" w:hAnsi="Cambria"/>
          <w:sz w:val="20"/>
          <w:szCs w:val="20"/>
          <w:lang w:val="es-CO"/>
        </w:rPr>
        <w:t xml:space="preserve">ítica de Colombia, </w:t>
      </w:r>
      <w:r w:rsidR="006A5BC1" w:rsidRPr="009B3BD2">
        <w:rPr>
          <w:rFonts w:ascii="Cambria" w:hAnsi="Cambria"/>
          <w:sz w:val="20"/>
          <w:szCs w:val="20"/>
          <w:lang w:val="es-CO"/>
        </w:rPr>
        <w:t>“la libre competencia es un derecho de todos que supone responsabilidades”</w:t>
      </w:r>
      <w:r w:rsidR="006A5BC1" w:rsidRPr="009B3BD2">
        <w:rPr>
          <w:rStyle w:val="FootnoteReference"/>
          <w:rFonts w:asciiTheme="majorHAnsi" w:hAnsiTheme="majorHAnsi"/>
          <w:sz w:val="20"/>
          <w:szCs w:val="20"/>
          <w:lang w:val="es-CO"/>
        </w:rPr>
        <w:t xml:space="preserve"> </w:t>
      </w:r>
      <w:r w:rsidR="006A5BC1" w:rsidRPr="009B3BD2">
        <w:rPr>
          <w:rStyle w:val="FootnoteReference"/>
          <w:rFonts w:asciiTheme="majorHAnsi" w:hAnsiTheme="majorHAnsi"/>
          <w:sz w:val="20"/>
          <w:szCs w:val="20"/>
          <w:lang w:val="es-CO"/>
        </w:rPr>
        <w:footnoteReference w:id="27"/>
      </w:r>
      <w:r w:rsidR="006A5BC1" w:rsidRPr="009B3BD2">
        <w:rPr>
          <w:rFonts w:ascii="Cambria" w:hAnsi="Cambria"/>
          <w:sz w:val="20"/>
          <w:szCs w:val="20"/>
          <w:lang w:val="es-CO"/>
        </w:rPr>
        <w:t xml:space="preserve">. </w:t>
      </w:r>
      <w:r w:rsidR="008B410C" w:rsidRPr="009B3BD2">
        <w:rPr>
          <w:rFonts w:ascii="Cambria" w:hAnsi="Cambria"/>
          <w:sz w:val="20"/>
          <w:szCs w:val="20"/>
          <w:lang w:val="es-CO"/>
        </w:rPr>
        <w:t xml:space="preserve">Añadió que en el presente caso “los principios de la función pública como la objetividad, legalidad e imparcialidad se vieron seriamente afectados por haberse </w:t>
      </w:r>
      <w:r w:rsidR="00DE012D" w:rsidRPr="009B3BD2">
        <w:rPr>
          <w:rFonts w:ascii="Cambria" w:hAnsi="Cambria"/>
          <w:sz w:val="20"/>
          <w:szCs w:val="20"/>
          <w:lang w:val="es-CO"/>
        </w:rPr>
        <w:t>adoptado un esquema de aseo para la ciudad de Bogotá por fuera del ordenamiento jurídico (legalidad) el cual ocasionó que se v</w:t>
      </w:r>
      <w:r w:rsidR="00EE6B5B" w:rsidRPr="009B3BD2">
        <w:rPr>
          <w:rFonts w:ascii="Cambria" w:hAnsi="Cambria"/>
          <w:sz w:val="20"/>
          <w:szCs w:val="20"/>
          <w:lang w:val="es-CO"/>
        </w:rPr>
        <w:t>i</w:t>
      </w:r>
      <w:r w:rsidR="00DE012D" w:rsidRPr="009B3BD2">
        <w:rPr>
          <w:rFonts w:ascii="Cambria" w:hAnsi="Cambria"/>
          <w:sz w:val="20"/>
          <w:szCs w:val="20"/>
          <w:lang w:val="es-CO"/>
        </w:rPr>
        <w:t>olara el principio de libertad de empresa, impidiéndose que otras empresas, distintas a la entidades del Distrito de Bogotá, prestaran, a partir del 18 de diciembre de 2012 y en igualdad de condiciones, el servicio público de aseo en la ciudad capita</w:t>
      </w:r>
      <w:r w:rsidRPr="009B3BD2">
        <w:rPr>
          <w:rFonts w:ascii="Cambria" w:hAnsi="Cambria"/>
          <w:sz w:val="20"/>
          <w:szCs w:val="20"/>
          <w:lang w:val="es-CO"/>
        </w:rPr>
        <w:t>l (objetividad e imparcialidad)</w:t>
      </w:r>
      <w:r w:rsidR="008D1C18" w:rsidRPr="009B3BD2">
        <w:rPr>
          <w:rStyle w:val="FootnoteReference"/>
          <w:rFonts w:asciiTheme="majorHAnsi" w:hAnsiTheme="majorHAnsi"/>
          <w:sz w:val="20"/>
          <w:szCs w:val="20"/>
          <w:lang w:val="es-CO"/>
        </w:rPr>
        <w:footnoteReference w:id="28"/>
      </w:r>
      <w:r w:rsidR="00D745DD" w:rsidRPr="009B3BD2">
        <w:rPr>
          <w:rFonts w:ascii="Cambria" w:hAnsi="Cambria"/>
          <w:sz w:val="20"/>
          <w:szCs w:val="20"/>
          <w:lang w:val="es-CO"/>
        </w:rPr>
        <w:t>.</w:t>
      </w:r>
    </w:p>
    <w:p w14:paraId="467CFAC1" w14:textId="77777777" w:rsidR="00D0580B" w:rsidRPr="009B3BD2" w:rsidRDefault="00D0580B" w:rsidP="00DC562D">
      <w:pPr>
        <w:rPr>
          <w:sz w:val="20"/>
          <w:szCs w:val="20"/>
          <w:lang w:val="es-CO"/>
        </w:rPr>
      </w:pPr>
    </w:p>
    <w:p w14:paraId="4D62B36D" w14:textId="059D8176" w:rsidR="00DC562D" w:rsidRPr="009B3BD2" w:rsidRDefault="00815517" w:rsidP="00816CF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w:t>
      </w:r>
      <w:r w:rsidR="00510411" w:rsidRPr="009B3BD2">
        <w:rPr>
          <w:rFonts w:ascii="Cambria" w:hAnsi="Cambria"/>
          <w:sz w:val="20"/>
          <w:szCs w:val="20"/>
          <w:lang w:val="es-CO"/>
        </w:rPr>
        <w:t>n cuanto a la culpabilidad</w:t>
      </w:r>
      <w:r w:rsidRPr="009B3BD2">
        <w:rPr>
          <w:rFonts w:ascii="Cambria" w:hAnsi="Cambria"/>
          <w:sz w:val="20"/>
          <w:szCs w:val="20"/>
          <w:lang w:val="es-CO"/>
        </w:rPr>
        <w:t>,</w:t>
      </w:r>
      <w:r w:rsidR="003A23C6" w:rsidRPr="009B3BD2">
        <w:rPr>
          <w:rFonts w:ascii="Cambria" w:hAnsi="Cambria"/>
          <w:sz w:val="20"/>
          <w:szCs w:val="20"/>
          <w:lang w:val="es-CO"/>
        </w:rPr>
        <w:t xml:space="preserve"> indicó que</w:t>
      </w:r>
      <w:r w:rsidR="00510411" w:rsidRPr="009B3BD2">
        <w:rPr>
          <w:rFonts w:ascii="Cambria" w:hAnsi="Cambria"/>
          <w:sz w:val="20"/>
          <w:szCs w:val="20"/>
          <w:lang w:val="es-CO"/>
        </w:rPr>
        <w:t xml:space="preserve"> la presunta víctima</w:t>
      </w:r>
      <w:r w:rsidR="00DD5394" w:rsidRPr="009B3BD2">
        <w:rPr>
          <w:rFonts w:ascii="Cambria" w:hAnsi="Cambria"/>
          <w:sz w:val="20"/>
          <w:szCs w:val="20"/>
          <w:lang w:val="es-CO"/>
        </w:rPr>
        <w:t xml:space="preserve"> “sabí</w:t>
      </w:r>
      <w:r w:rsidR="00510411" w:rsidRPr="009B3BD2">
        <w:rPr>
          <w:rFonts w:ascii="Cambria" w:hAnsi="Cambria"/>
          <w:sz w:val="20"/>
          <w:szCs w:val="20"/>
          <w:lang w:val="es-CO"/>
        </w:rPr>
        <w:t>a y quería que empresas distintas a las del Distrito no pudieran prestar el servicio de aseo en la ciudad de Bog</w:t>
      </w:r>
      <w:r w:rsidR="00151B10" w:rsidRPr="009B3BD2">
        <w:rPr>
          <w:rFonts w:ascii="Cambria" w:hAnsi="Cambria"/>
          <w:sz w:val="20"/>
          <w:szCs w:val="20"/>
          <w:lang w:val="es-CO"/>
        </w:rPr>
        <w:t xml:space="preserve">otá en igualdad de condiciones. </w:t>
      </w:r>
      <w:r w:rsidR="0007728F" w:rsidRPr="009B3BD2">
        <w:rPr>
          <w:rFonts w:ascii="Cambria" w:hAnsi="Cambria"/>
          <w:sz w:val="20"/>
          <w:szCs w:val="20"/>
          <w:lang w:val="es-CO"/>
        </w:rPr>
        <w:t xml:space="preserve">Para ello, desde los meses de julio y agosto de 2012 le había dado precisas instrucciones al entonces gerente de la EAAB Diego Bravo. </w:t>
      </w:r>
      <w:r w:rsidR="00AC6BD1" w:rsidRPr="009B3BD2">
        <w:rPr>
          <w:rFonts w:ascii="Cambria" w:hAnsi="Cambria"/>
          <w:sz w:val="20"/>
          <w:szCs w:val="20"/>
          <w:lang w:val="es-CO"/>
        </w:rPr>
        <w:t>Además,</w:t>
      </w:r>
      <w:r w:rsidR="0007728F" w:rsidRPr="009B3BD2">
        <w:rPr>
          <w:rFonts w:ascii="Cambria" w:hAnsi="Cambria"/>
          <w:sz w:val="20"/>
          <w:szCs w:val="20"/>
          <w:lang w:val="es-CO"/>
        </w:rPr>
        <w:t xml:space="preserve"> días antes a la expedición del Decreto 564 del 10 de di</w:t>
      </w:r>
      <w:r w:rsidR="008706BD" w:rsidRPr="009B3BD2">
        <w:rPr>
          <w:rFonts w:ascii="Cambria" w:hAnsi="Cambria"/>
          <w:sz w:val="20"/>
          <w:szCs w:val="20"/>
          <w:lang w:val="es-CO"/>
        </w:rPr>
        <w:t>ciembre de 2012 se conoció</w:t>
      </w:r>
      <w:r w:rsidR="0007728F" w:rsidRPr="009B3BD2">
        <w:rPr>
          <w:rFonts w:ascii="Cambria" w:hAnsi="Cambria"/>
          <w:sz w:val="20"/>
          <w:szCs w:val="20"/>
          <w:lang w:val="es-CO"/>
        </w:rPr>
        <w:t xml:space="preserve"> la </w:t>
      </w:r>
      <w:r w:rsidR="008706BD" w:rsidRPr="009B3BD2">
        <w:rPr>
          <w:rFonts w:ascii="Cambria" w:hAnsi="Cambria"/>
          <w:sz w:val="20"/>
          <w:szCs w:val="20"/>
          <w:lang w:val="es-CO"/>
        </w:rPr>
        <w:t>administración</w:t>
      </w:r>
      <w:r w:rsidR="0007728F" w:rsidRPr="009B3BD2">
        <w:rPr>
          <w:rFonts w:ascii="Cambria" w:hAnsi="Cambria"/>
          <w:sz w:val="20"/>
          <w:szCs w:val="20"/>
          <w:lang w:val="es-CO"/>
        </w:rPr>
        <w:t xml:space="preserve"> distrital impediría que empresas privadas prestaran el servicio de aseo, como les constó a algunos testigos y como quedó registrado en medios de comunicación, dada la notoriedad de esos </w:t>
      </w:r>
      <w:r w:rsidRPr="009B3BD2">
        <w:rPr>
          <w:rFonts w:ascii="Cambria" w:hAnsi="Cambria"/>
          <w:sz w:val="20"/>
          <w:szCs w:val="20"/>
          <w:lang w:val="es-CO"/>
        </w:rPr>
        <w:t>hechos (</w:t>
      </w:r>
      <w:r w:rsidR="00D0580B" w:rsidRPr="009B3BD2">
        <w:rPr>
          <w:rFonts w:ascii="Cambria" w:hAnsi="Cambria"/>
          <w:sz w:val="20"/>
          <w:szCs w:val="20"/>
          <w:lang w:val="es-CO"/>
        </w:rPr>
        <w:t>...)</w:t>
      </w:r>
      <w:r w:rsidR="0007728F" w:rsidRPr="009B3BD2">
        <w:rPr>
          <w:rFonts w:ascii="Cambria" w:hAnsi="Cambria"/>
          <w:sz w:val="20"/>
          <w:szCs w:val="20"/>
          <w:lang w:val="es-CO"/>
        </w:rPr>
        <w:t>”</w:t>
      </w:r>
      <w:r w:rsidR="002C51D2" w:rsidRPr="009B3BD2">
        <w:rPr>
          <w:rStyle w:val="FootnoteReference"/>
          <w:rFonts w:asciiTheme="majorHAnsi" w:hAnsiTheme="majorHAnsi"/>
          <w:sz w:val="20"/>
          <w:szCs w:val="20"/>
          <w:lang w:val="es-CO"/>
        </w:rPr>
        <w:footnoteReference w:id="29"/>
      </w:r>
      <w:r w:rsidR="0007728F" w:rsidRPr="009B3BD2">
        <w:rPr>
          <w:rFonts w:ascii="Cambria" w:hAnsi="Cambria"/>
          <w:sz w:val="20"/>
          <w:szCs w:val="20"/>
          <w:lang w:val="es-CO"/>
        </w:rPr>
        <w:t xml:space="preserve">. </w:t>
      </w:r>
    </w:p>
    <w:p w14:paraId="2095BE3F" w14:textId="77777777" w:rsidR="00DD575F" w:rsidRPr="009B3BD2" w:rsidRDefault="00DD575F"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5E8A4426" w14:textId="77777777" w:rsidR="00D0580B" w:rsidRPr="009B3BD2" w:rsidRDefault="00815517" w:rsidP="007406C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w:t>
      </w:r>
      <w:r w:rsidR="00BA4589" w:rsidRPr="009B3BD2">
        <w:rPr>
          <w:rFonts w:ascii="Cambria" w:hAnsi="Cambria"/>
          <w:sz w:val="20"/>
          <w:szCs w:val="20"/>
          <w:lang w:val="es-CO"/>
        </w:rPr>
        <w:t>n cuanto a</w:t>
      </w:r>
      <w:r w:rsidR="008A34E6" w:rsidRPr="009B3BD2">
        <w:rPr>
          <w:rFonts w:ascii="Cambria" w:hAnsi="Cambria"/>
          <w:sz w:val="20"/>
          <w:szCs w:val="20"/>
          <w:lang w:val="es-CO"/>
        </w:rPr>
        <w:t>l tercer cargo, consistente en</w:t>
      </w:r>
      <w:r w:rsidR="00BA4589" w:rsidRPr="009B3BD2">
        <w:rPr>
          <w:rFonts w:ascii="Cambria" w:hAnsi="Cambria"/>
          <w:sz w:val="20"/>
          <w:szCs w:val="20"/>
          <w:lang w:val="es-CO"/>
        </w:rPr>
        <w:t xml:space="preserve"> la falta disciplinaria contenida en el numeral 37 del artículo 48 del Código Disciplinario Único, </w:t>
      </w:r>
      <w:r w:rsidRPr="009B3BD2">
        <w:rPr>
          <w:rFonts w:ascii="Cambria" w:hAnsi="Cambria"/>
          <w:sz w:val="20"/>
          <w:szCs w:val="20"/>
          <w:lang w:val="es-CO"/>
        </w:rPr>
        <w:t xml:space="preserve">la Sala </w:t>
      </w:r>
      <w:r w:rsidR="00BA4589" w:rsidRPr="009B3BD2">
        <w:rPr>
          <w:rFonts w:ascii="Cambria" w:hAnsi="Cambria"/>
          <w:sz w:val="20"/>
          <w:szCs w:val="20"/>
          <w:lang w:val="es-CO"/>
        </w:rPr>
        <w:t xml:space="preserve">indicó </w:t>
      </w:r>
      <w:r w:rsidR="00E56BCF" w:rsidRPr="009B3BD2">
        <w:rPr>
          <w:rFonts w:ascii="Cambria" w:hAnsi="Cambria"/>
          <w:sz w:val="20"/>
          <w:szCs w:val="20"/>
          <w:lang w:val="es-CO"/>
        </w:rPr>
        <w:t>que en el presente caso “el señor alcalde mayor de Bogotá actuó por fuera del cumplimiento del deber profiriendo un acto administrativo que autorizó el uso de vehículos automotores tipo volquetas para la prestación del servicio público de aseo en la ciudad de Bogotá, lo cual era contrario a la normatividad vigente, en especial a lo señalado en el artículo 41 del Decreto 948 de 1995 y en el artículo 49 del Decreto 1713 de 2002”</w:t>
      </w:r>
      <w:r w:rsidR="00E56BCF" w:rsidRPr="009B3BD2">
        <w:rPr>
          <w:rStyle w:val="FootnoteReference"/>
          <w:rFonts w:asciiTheme="majorHAnsi" w:hAnsiTheme="majorHAnsi"/>
          <w:sz w:val="20"/>
          <w:szCs w:val="20"/>
          <w:lang w:val="es-CO"/>
        </w:rPr>
        <w:footnoteReference w:id="30"/>
      </w:r>
      <w:r w:rsidR="00E56BCF" w:rsidRPr="009B3BD2">
        <w:rPr>
          <w:rFonts w:ascii="Cambria" w:hAnsi="Cambria"/>
          <w:sz w:val="20"/>
          <w:szCs w:val="20"/>
          <w:lang w:val="es-CO"/>
        </w:rPr>
        <w:t xml:space="preserve">. </w:t>
      </w:r>
    </w:p>
    <w:p w14:paraId="796540B1" w14:textId="77777777" w:rsidR="00D0580B" w:rsidRPr="009B3BD2" w:rsidRDefault="00D0580B" w:rsidP="00D0580B">
      <w:pPr>
        <w:pStyle w:val="ListParagraph"/>
        <w:rPr>
          <w:sz w:val="20"/>
          <w:szCs w:val="20"/>
          <w:lang w:val="es-CO"/>
        </w:rPr>
      </w:pPr>
    </w:p>
    <w:p w14:paraId="234520E5" w14:textId="6AC5E788" w:rsidR="008A34E6" w:rsidRPr="00341105" w:rsidRDefault="00E56BCF" w:rsidP="0034110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VE"/>
        </w:rPr>
      </w:pPr>
      <w:r w:rsidRPr="009B3BD2">
        <w:rPr>
          <w:rFonts w:ascii="Cambria" w:hAnsi="Cambria"/>
          <w:sz w:val="20"/>
          <w:szCs w:val="20"/>
          <w:lang w:val="es-CO"/>
        </w:rPr>
        <w:t>Por otra parte, recordó que conforme al dictamen pericial presentado dentro del proceso “se determinó que sí hubo impactos y amenazas ambientales considerables, en razón de que en la ciudad de Bogotá se dejaron de recoger en los días 18, 19 y 20 de diciembre de 2012 entre 6.</w:t>
      </w:r>
      <w:r w:rsidR="00D0580B" w:rsidRPr="009B3BD2">
        <w:rPr>
          <w:rFonts w:ascii="Cambria" w:hAnsi="Cambria"/>
          <w:sz w:val="20"/>
          <w:szCs w:val="20"/>
          <w:lang w:val="es-CO"/>
        </w:rPr>
        <w:t>000 y 9.000 toneladas de residu</w:t>
      </w:r>
      <w:r w:rsidRPr="009B3BD2">
        <w:rPr>
          <w:rFonts w:ascii="Cambria" w:hAnsi="Cambria"/>
          <w:sz w:val="20"/>
          <w:szCs w:val="20"/>
          <w:lang w:val="es-CO"/>
        </w:rPr>
        <w:t>o</w:t>
      </w:r>
      <w:r w:rsidR="00D0580B" w:rsidRPr="009B3BD2">
        <w:rPr>
          <w:rFonts w:ascii="Cambria" w:hAnsi="Cambria"/>
          <w:sz w:val="20"/>
          <w:szCs w:val="20"/>
          <w:lang w:val="es-CO"/>
        </w:rPr>
        <w:t>s</w:t>
      </w:r>
      <w:r w:rsidRPr="009B3BD2">
        <w:rPr>
          <w:rFonts w:ascii="Cambria" w:hAnsi="Cambria"/>
          <w:sz w:val="20"/>
          <w:szCs w:val="20"/>
          <w:lang w:val="es-CO"/>
        </w:rPr>
        <w:t xml:space="preserve"> sólidos”</w:t>
      </w:r>
      <w:r w:rsidRPr="009B3BD2">
        <w:rPr>
          <w:rStyle w:val="FootnoteReference"/>
          <w:rFonts w:asciiTheme="majorHAnsi" w:hAnsiTheme="majorHAnsi"/>
          <w:sz w:val="20"/>
          <w:szCs w:val="20"/>
          <w:lang w:val="es-CO"/>
        </w:rPr>
        <w:t xml:space="preserve"> </w:t>
      </w:r>
      <w:r w:rsidRPr="009B3BD2">
        <w:rPr>
          <w:rStyle w:val="FootnoteReference"/>
          <w:rFonts w:asciiTheme="majorHAnsi" w:hAnsiTheme="majorHAnsi"/>
          <w:sz w:val="20"/>
          <w:szCs w:val="20"/>
          <w:lang w:val="es-CO"/>
        </w:rPr>
        <w:footnoteReference w:id="31"/>
      </w:r>
      <w:r w:rsidRPr="009B3BD2">
        <w:rPr>
          <w:rFonts w:ascii="Cambria" w:hAnsi="Cambria"/>
          <w:sz w:val="20"/>
          <w:szCs w:val="20"/>
          <w:lang w:val="es-CO"/>
        </w:rPr>
        <w:t>.  Añadió que “la ocurrencia de dicha situación se debió en buena parte a la autorización del señor alcalde mayor de Bogotá para que el operador público en el nuevo modelo de aseo implementado por él mismo, utilizara vehículos tipo volquetas, cuando las normas reglamentarias de manera clara y precisa exigían vehículos compactadores, aspecto que incluso se prolongó de forma irregular hasta el mes de julio de 2013, en la medida en que se iban obteniendo de fo</w:t>
      </w:r>
      <w:r w:rsidR="00C66116" w:rsidRPr="009B3BD2">
        <w:rPr>
          <w:rFonts w:ascii="Cambria" w:hAnsi="Cambria"/>
          <w:sz w:val="20"/>
          <w:szCs w:val="20"/>
          <w:lang w:val="es-CO"/>
        </w:rPr>
        <w:t>r</w:t>
      </w:r>
      <w:r w:rsidRPr="009B3BD2">
        <w:rPr>
          <w:rFonts w:ascii="Cambria" w:hAnsi="Cambria"/>
          <w:sz w:val="20"/>
          <w:szCs w:val="20"/>
          <w:lang w:val="es-CO"/>
        </w:rPr>
        <w:t>ma paulatina y progresiva  vehículos compactadores por parte del operador público”</w:t>
      </w:r>
      <w:r w:rsidR="00561FC5" w:rsidRPr="009B3BD2">
        <w:rPr>
          <w:rStyle w:val="FootnoteReference"/>
          <w:rFonts w:asciiTheme="majorHAnsi" w:hAnsiTheme="majorHAnsi"/>
          <w:sz w:val="20"/>
          <w:szCs w:val="20"/>
          <w:lang w:val="es-CO"/>
        </w:rPr>
        <w:t xml:space="preserve"> </w:t>
      </w:r>
      <w:r w:rsidR="00561FC5" w:rsidRPr="009B3BD2">
        <w:rPr>
          <w:rStyle w:val="FootnoteReference"/>
          <w:rFonts w:asciiTheme="majorHAnsi" w:hAnsiTheme="majorHAnsi"/>
          <w:sz w:val="20"/>
          <w:szCs w:val="20"/>
          <w:lang w:val="es-CO"/>
        </w:rPr>
        <w:footnoteReference w:id="32"/>
      </w:r>
      <w:r w:rsidR="00561FC5" w:rsidRPr="009B3BD2">
        <w:rPr>
          <w:rFonts w:asciiTheme="majorHAnsi" w:hAnsiTheme="majorHAnsi"/>
          <w:sz w:val="20"/>
          <w:szCs w:val="20"/>
          <w:lang w:val="es-CO"/>
        </w:rPr>
        <w:t>.</w:t>
      </w:r>
      <w:r w:rsidR="008A34E6" w:rsidRPr="009B3BD2">
        <w:rPr>
          <w:rFonts w:ascii="Cambria" w:hAnsi="Cambria"/>
          <w:sz w:val="20"/>
          <w:szCs w:val="20"/>
          <w:lang w:val="es-CO"/>
        </w:rPr>
        <w:t xml:space="preserve"> </w:t>
      </w:r>
      <w:r w:rsidR="00561FC5" w:rsidRPr="009B3BD2">
        <w:rPr>
          <w:rFonts w:ascii="Cambria" w:hAnsi="Cambria"/>
          <w:sz w:val="20"/>
          <w:szCs w:val="20"/>
          <w:lang w:val="es-CO"/>
        </w:rPr>
        <w:t>Añadió que la falta disciplinaria cometida por la presunta víctima afectó</w:t>
      </w:r>
      <w:r w:rsidR="00391735">
        <w:rPr>
          <w:rFonts w:ascii="Cambria" w:hAnsi="Cambria"/>
          <w:sz w:val="20"/>
          <w:szCs w:val="20"/>
          <w:lang w:val="es-CO"/>
        </w:rPr>
        <w:t xml:space="preserve"> el deber funcional</w:t>
      </w:r>
      <w:r w:rsidR="00476938" w:rsidRPr="009B3BD2">
        <w:rPr>
          <w:rFonts w:ascii="Cambria" w:hAnsi="Cambria"/>
          <w:sz w:val="20"/>
          <w:szCs w:val="20"/>
          <w:lang w:val="es-CO"/>
        </w:rPr>
        <w:t xml:space="preserve"> sin que se hu</w:t>
      </w:r>
      <w:r w:rsidR="00561FC5" w:rsidRPr="009B3BD2">
        <w:rPr>
          <w:rFonts w:ascii="Cambria" w:hAnsi="Cambria"/>
          <w:sz w:val="20"/>
          <w:szCs w:val="20"/>
          <w:lang w:val="es-CO"/>
        </w:rPr>
        <w:t>b</w:t>
      </w:r>
      <w:r w:rsidR="00476938" w:rsidRPr="009B3BD2">
        <w:rPr>
          <w:rFonts w:ascii="Cambria" w:hAnsi="Cambria"/>
          <w:sz w:val="20"/>
          <w:szCs w:val="20"/>
          <w:lang w:val="es-CO"/>
        </w:rPr>
        <w:t>i</w:t>
      </w:r>
      <w:r w:rsidR="00561FC5" w:rsidRPr="009B3BD2">
        <w:rPr>
          <w:rFonts w:ascii="Cambria" w:hAnsi="Cambria"/>
          <w:sz w:val="20"/>
          <w:szCs w:val="20"/>
          <w:lang w:val="es-CO"/>
        </w:rPr>
        <w:t xml:space="preserve">era demostrado en el proceso </w:t>
      </w:r>
      <w:r w:rsidR="009C1A65" w:rsidRPr="009B3BD2">
        <w:rPr>
          <w:rFonts w:ascii="Cambria" w:hAnsi="Cambria"/>
          <w:sz w:val="20"/>
          <w:szCs w:val="20"/>
          <w:lang w:val="es-CO"/>
        </w:rPr>
        <w:t>causal de justificación alguna, y que no encontraron elementos que demostraran se trató de una conducta dolosa</w:t>
      </w:r>
      <w:r w:rsidR="00014A80" w:rsidRPr="009B3BD2">
        <w:rPr>
          <w:rStyle w:val="FootnoteReference"/>
          <w:rFonts w:asciiTheme="majorHAnsi" w:hAnsiTheme="majorHAnsi"/>
          <w:sz w:val="20"/>
          <w:szCs w:val="20"/>
          <w:lang w:val="es-CO"/>
        </w:rPr>
        <w:footnoteReference w:id="33"/>
      </w:r>
      <w:r w:rsidR="00561FC5" w:rsidRPr="009B3BD2">
        <w:rPr>
          <w:rFonts w:ascii="Cambria" w:hAnsi="Cambria"/>
          <w:sz w:val="20"/>
          <w:szCs w:val="20"/>
          <w:lang w:val="es-CO"/>
        </w:rPr>
        <w:t>.</w:t>
      </w:r>
    </w:p>
    <w:p w14:paraId="2E0BC4AA" w14:textId="081FDED3" w:rsidR="00D16EF6" w:rsidRPr="009B3BD2" w:rsidRDefault="00960E4F" w:rsidP="00D16EF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lastRenderedPageBreak/>
        <w:t>Finalmente</w:t>
      </w:r>
      <w:r w:rsidR="006D410F" w:rsidRPr="009B3BD2">
        <w:rPr>
          <w:rFonts w:ascii="Cambria" w:hAnsi="Cambria"/>
          <w:sz w:val="20"/>
          <w:szCs w:val="20"/>
          <w:lang w:val="es-CO"/>
        </w:rPr>
        <w:t>,</w:t>
      </w:r>
      <w:r w:rsidR="00051BDE" w:rsidRPr="009B3BD2">
        <w:rPr>
          <w:rFonts w:ascii="Cambria" w:hAnsi="Cambria"/>
          <w:sz w:val="20"/>
          <w:szCs w:val="20"/>
          <w:lang w:val="es-CO"/>
        </w:rPr>
        <w:t xml:space="preserve"> respecto de la sanción a imponer, </w:t>
      </w:r>
      <w:r w:rsidRPr="009B3BD2">
        <w:rPr>
          <w:rFonts w:ascii="Cambria" w:hAnsi="Cambria"/>
          <w:sz w:val="20"/>
          <w:szCs w:val="20"/>
          <w:lang w:val="es-CO"/>
        </w:rPr>
        <w:t>indicó que “el artículo 46 del mismo estatuto dispuso que la inhabilidad general será de diez a veinte años, sanción que implicará la imposibilidad de ejercer la función pública en cualquier cargo o función por el término que se señale en esta decisión conf</w:t>
      </w:r>
      <w:r w:rsidR="006F7013" w:rsidRPr="009B3BD2">
        <w:rPr>
          <w:rFonts w:ascii="Cambria" w:hAnsi="Cambria"/>
          <w:sz w:val="20"/>
          <w:szCs w:val="20"/>
          <w:lang w:val="es-CO"/>
        </w:rPr>
        <w:t>orm</w:t>
      </w:r>
      <w:r w:rsidR="0003265E" w:rsidRPr="009B3BD2">
        <w:rPr>
          <w:rFonts w:ascii="Cambria" w:hAnsi="Cambria"/>
          <w:sz w:val="20"/>
          <w:szCs w:val="20"/>
          <w:lang w:val="es-CO"/>
        </w:rPr>
        <w:t xml:space="preserve">e </w:t>
      </w:r>
      <w:r w:rsidRPr="009B3BD2">
        <w:rPr>
          <w:rFonts w:ascii="Cambria" w:hAnsi="Cambria"/>
          <w:sz w:val="20"/>
          <w:szCs w:val="20"/>
          <w:lang w:val="es-CO"/>
        </w:rPr>
        <w:t>a los criter</w:t>
      </w:r>
      <w:r w:rsidR="0003265E" w:rsidRPr="009B3BD2">
        <w:rPr>
          <w:rFonts w:ascii="Cambria" w:hAnsi="Cambria"/>
          <w:sz w:val="20"/>
          <w:szCs w:val="20"/>
          <w:lang w:val="es-CO"/>
        </w:rPr>
        <w:t>io de grad</w:t>
      </w:r>
      <w:r w:rsidRPr="009B3BD2">
        <w:rPr>
          <w:rFonts w:ascii="Cambria" w:hAnsi="Cambria"/>
          <w:sz w:val="20"/>
          <w:szCs w:val="20"/>
          <w:lang w:val="es-CO"/>
        </w:rPr>
        <w:t>ac</w:t>
      </w:r>
      <w:r w:rsidR="0003265E" w:rsidRPr="009B3BD2">
        <w:rPr>
          <w:rFonts w:ascii="Cambria" w:hAnsi="Cambria"/>
          <w:sz w:val="20"/>
          <w:szCs w:val="20"/>
          <w:lang w:val="es-CO"/>
        </w:rPr>
        <w:t>i</w:t>
      </w:r>
      <w:r w:rsidRPr="009B3BD2">
        <w:rPr>
          <w:rFonts w:ascii="Cambria" w:hAnsi="Cambria"/>
          <w:sz w:val="20"/>
          <w:szCs w:val="20"/>
          <w:lang w:val="es-CO"/>
        </w:rPr>
        <w:t>ón contenidos en el art</w:t>
      </w:r>
      <w:r w:rsidR="0003265E" w:rsidRPr="009B3BD2">
        <w:rPr>
          <w:rFonts w:ascii="Cambria" w:hAnsi="Cambria"/>
          <w:sz w:val="20"/>
          <w:szCs w:val="20"/>
          <w:lang w:val="es-CO"/>
        </w:rPr>
        <w:t>ículo 47 de la Ley 734 de 2002”</w:t>
      </w:r>
      <w:r w:rsidR="00051BDE" w:rsidRPr="009B3BD2">
        <w:rPr>
          <w:rFonts w:ascii="Cambria" w:hAnsi="Cambria"/>
          <w:sz w:val="20"/>
          <w:szCs w:val="20"/>
          <w:lang w:val="es-CO"/>
        </w:rPr>
        <w:t xml:space="preserve"> y estimó que “teniendo en cuenta que el señor GUSTAVO FRANCISCO PETRO URREGO ocupaba un cargo del nivel directo como lo era el de alcalde mayor de Bogotá, que en las faltas cometidas medio el conocimiento de la ilicitud y que con varias acciones infringió tres disposiciones de la ley disciplinaria, la Sala impondrá como correctivo disciplinario la DESTITUCIÓN E INHABILIDAD GENERAL por el término de QUINCE (15) AÑOS</w:t>
      </w:r>
      <w:r w:rsidR="00B31195" w:rsidRPr="009B3BD2">
        <w:rPr>
          <w:rFonts w:ascii="Cambria" w:hAnsi="Cambria"/>
          <w:sz w:val="20"/>
          <w:szCs w:val="20"/>
          <w:lang w:val="es-CO"/>
        </w:rPr>
        <w:t>”</w:t>
      </w:r>
      <w:r w:rsidR="00F711D8" w:rsidRPr="009B3BD2">
        <w:rPr>
          <w:rStyle w:val="FootnoteReference"/>
          <w:rFonts w:asciiTheme="majorHAnsi" w:hAnsiTheme="majorHAnsi"/>
          <w:sz w:val="20"/>
          <w:szCs w:val="20"/>
          <w:lang w:val="es-CO"/>
        </w:rPr>
        <w:footnoteReference w:id="34"/>
      </w:r>
      <w:r w:rsidR="00051BDE" w:rsidRPr="009B3BD2">
        <w:rPr>
          <w:rFonts w:ascii="Cambria" w:hAnsi="Cambria"/>
          <w:sz w:val="20"/>
          <w:szCs w:val="20"/>
          <w:lang w:val="es-CO"/>
        </w:rPr>
        <w:t xml:space="preserve">. </w:t>
      </w:r>
      <w:r w:rsidRPr="009B3BD2">
        <w:rPr>
          <w:rFonts w:ascii="Cambria" w:hAnsi="Cambria"/>
          <w:sz w:val="20"/>
          <w:szCs w:val="20"/>
          <w:lang w:val="es-CO"/>
        </w:rPr>
        <w:t xml:space="preserve"> </w:t>
      </w:r>
    </w:p>
    <w:p w14:paraId="14846E93" w14:textId="77777777" w:rsidR="00921AE1" w:rsidRPr="009B3BD2" w:rsidRDefault="00D16EF6" w:rsidP="00EB613E">
      <w:pPr>
        <w:pStyle w:val="Heading3"/>
        <w:numPr>
          <w:ilvl w:val="0"/>
          <w:numId w:val="62"/>
        </w:numPr>
        <w:ind w:firstLine="0"/>
        <w:rPr>
          <w:color w:val="auto"/>
          <w:sz w:val="20"/>
          <w:szCs w:val="20"/>
          <w:lang w:val="es-VE"/>
        </w:rPr>
      </w:pPr>
      <w:bookmarkStart w:id="27" w:name="_Toc497398861"/>
      <w:r w:rsidRPr="009B3BD2">
        <w:rPr>
          <w:color w:val="auto"/>
          <w:sz w:val="20"/>
          <w:szCs w:val="20"/>
          <w:lang w:val="es-VE"/>
        </w:rPr>
        <w:t>Recurso de reposición</w:t>
      </w:r>
      <w:bookmarkEnd w:id="27"/>
    </w:p>
    <w:p w14:paraId="3792B573" w14:textId="77777777" w:rsidR="007F2877" w:rsidRPr="009B3BD2" w:rsidRDefault="007F2877" w:rsidP="007F287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heme="majorEastAsia" w:hAnsiTheme="majorHAnsi" w:cstheme="majorBidi"/>
          <w:b/>
          <w:bCs/>
          <w:sz w:val="20"/>
          <w:szCs w:val="20"/>
          <w:lang w:val="es-VE"/>
        </w:rPr>
      </w:pPr>
    </w:p>
    <w:p w14:paraId="1247D186" w14:textId="61D296CB" w:rsidR="009F42A4" w:rsidRPr="009B3BD2" w:rsidRDefault="003A1BBB" w:rsidP="007F287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 xml:space="preserve">Con posterioridad la presunta víctima interpuso un recurso de </w:t>
      </w:r>
      <w:r w:rsidR="00982114" w:rsidRPr="009B3BD2">
        <w:rPr>
          <w:rFonts w:ascii="Cambria" w:hAnsi="Cambria"/>
          <w:sz w:val="20"/>
          <w:szCs w:val="20"/>
          <w:lang w:val="es-CO"/>
        </w:rPr>
        <w:t xml:space="preserve">reposición solicitando que se </w:t>
      </w:r>
      <w:r w:rsidR="00D16EF6" w:rsidRPr="009B3BD2">
        <w:rPr>
          <w:rFonts w:ascii="Cambria" w:hAnsi="Cambria"/>
          <w:sz w:val="20"/>
          <w:szCs w:val="20"/>
          <w:lang w:val="es-CO"/>
        </w:rPr>
        <w:t xml:space="preserve"> revocara el fallo adoptado</w:t>
      </w:r>
      <w:r w:rsidR="00824071" w:rsidRPr="009B3BD2">
        <w:rPr>
          <w:rFonts w:ascii="Cambria" w:hAnsi="Cambria"/>
          <w:sz w:val="20"/>
          <w:szCs w:val="20"/>
          <w:lang w:val="es-CO"/>
        </w:rPr>
        <w:t xml:space="preserve"> y de manera subsidiaria que la Procuraduría se abstuviera de imponer sanciones que vulneren el artículo 23 de la Convención Americana. </w:t>
      </w:r>
    </w:p>
    <w:p w14:paraId="683DC5DD" w14:textId="77777777" w:rsidR="00D12796" w:rsidRPr="009B3BD2" w:rsidRDefault="00D12796" w:rsidP="00D1279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24DC945E" w14:textId="77777777" w:rsidR="00D12796" w:rsidRPr="009B3BD2" w:rsidRDefault="00D12796" w:rsidP="00D1279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 xml:space="preserve">Indicó en cuanto al primer cargo, que no participó ni en la etapa precontractual ni en la actividad contractual que condujo a la ejecución administrativa de la política pública basura cero, y que sus actuaciones no generaron ni detrimento público ni desconoció los principios de la contratación estatal.  </w:t>
      </w:r>
    </w:p>
    <w:p w14:paraId="3D348EE6" w14:textId="77777777" w:rsidR="00D12796" w:rsidRPr="009B3BD2" w:rsidRDefault="00D12796" w:rsidP="00D12796">
      <w:pPr>
        <w:pStyle w:val="ListParagraph"/>
        <w:rPr>
          <w:sz w:val="20"/>
          <w:szCs w:val="20"/>
          <w:lang w:val="es-CO"/>
        </w:rPr>
      </w:pPr>
    </w:p>
    <w:p w14:paraId="245AE29A" w14:textId="77777777" w:rsidR="00D12796" w:rsidRPr="009B3BD2" w:rsidRDefault="00D12796" w:rsidP="00D1279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En cuanto al segundo cargo, indicó que el Decreto 564 de 2012 tenía por objeto cumplir con las órdenes de la Corte Constitucional.  Finalmente en cuanto al tercer cargo, refirió que no incurrió en la falta atribuida. Finalmente refirió que “la Procuraduría no tiene competencia para restringir, limitar o suspender el ejercicio de los derechos políticos de un servidor público de elección popular”</w:t>
      </w:r>
      <w:r w:rsidRPr="009B3BD2">
        <w:rPr>
          <w:rStyle w:val="FootnoteReference"/>
          <w:rFonts w:ascii="Cambria" w:hAnsi="Cambria"/>
          <w:sz w:val="20"/>
          <w:szCs w:val="20"/>
          <w:lang w:val="es-CO"/>
        </w:rPr>
        <w:t xml:space="preserve"> </w:t>
      </w:r>
      <w:r w:rsidRPr="009B3BD2">
        <w:rPr>
          <w:rStyle w:val="FootnoteReference"/>
          <w:rFonts w:ascii="Cambria" w:hAnsi="Cambria"/>
          <w:sz w:val="20"/>
          <w:szCs w:val="20"/>
          <w:lang w:val="es-CO"/>
        </w:rPr>
        <w:footnoteReference w:id="35"/>
      </w:r>
      <w:r w:rsidRPr="009B3BD2">
        <w:rPr>
          <w:rFonts w:ascii="Cambria" w:hAnsi="Cambria"/>
          <w:sz w:val="20"/>
          <w:szCs w:val="20"/>
          <w:lang w:val="es-CO"/>
        </w:rPr>
        <w:t>.</w:t>
      </w:r>
    </w:p>
    <w:p w14:paraId="4DB3E7A4" w14:textId="77777777" w:rsidR="00D12796" w:rsidRPr="009B3BD2" w:rsidRDefault="00D12796" w:rsidP="00D12796">
      <w:pPr>
        <w:rPr>
          <w:sz w:val="20"/>
          <w:szCs w:val="20"/>
          <w:lang w:val="es-CO"/>
        </w:rPr>
      </w:pPr>
    </w:p>
    <w:p w14:paraId="09CA532D" w14:textId="77777777" w:rsidR="00D12796" w:rsidRPr="009B3BD2" w:rsidRDefault="00D12796" w:rsidP="00D1279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 xml:space="preserve">El 31 de diciembre de 2013 la presunta víctima solicitó la práctica de ciertas pruebas entre las que consta:  i) en relación con los Decretos 564 y 570 de 2012  “solicitar al Consejo de Estado cuántos decretos, de este rango o de orden nacional, han sido declarados nulos, por ilegalidad o inconstitucionalidad de los mismos, en los últimos (20) años; y ii) que la Procuraduría General de la Nación certifique en cuántos de aquéllos o en cuántos </w:t>
      </w:r>
      <w:r w:rsidRPr="009B3BD2">
        <w:rPr>
          <w:rFonts w:ascii="Cambria" w:hAnsi="Cambria"/>
          <w:i/>
          <w:sz w:val="20"/>
          <w:szCs w:val="20"/>
          <w:lang w:val="es-CO"/>
        </w:rPr>
        <w:t>motu proprio</w:t>
      </w:r>
      <w:r w:rsidRPr="009B3BD2">
        <w:rPr>
          <w:rFonts w:ascii="Cambria" w:hAnsi="Cambria"/>
          <w:sz w:val="20"/>
          <w:szCs w:val="20"/>
          <w:lang w:val="es-CO"/>
        </w:rPr>
        <w:t xml:space="preserve"> adelantó procesos sancionatorios; y en cuántos o en cuáles profirió sanción y que tipo de sanción fue impuesta, asimismo solicitó que se practiquen los testimonios de expertos epidemiólogos con el fin de que expliquen los eventuales riesgos sobre la salud humana que hayan podido ocasionarse por la presunta crisis de las basuras durante el 18, 19 y 20 de diciembre de 2013</w:t>
      </w:r>
      <w:r w:rsidRPr="009B3BD2">
        <w:rPr>
          <w:rStyle w:val="FootnoteReference"/>
          <w:rFonts w:ascii="Cambria" w:hAnsi="Cambria"/>
          <w:sz w:val="20"/>
          <w:szCs w:val="20"/>
          <w:lang w:val="es-CO"/>
        </w:rPr>
        <w:footnoteReference w:id="36"/>
      </w:r>
      <w:r w:rsidRPr="009B3BD2">
        <w:rPr>
          <w:rFonts w:ascii="Cambria" w:hAnsi="Cambria"/>
          <w:sz w:val="20"/>
          <w:szCs w:val="20"/>
          <w:lang w:val="es-CO"/>
        </w:rPr>
        <w:t>.</w:t>
      </w:r>
    </w:p>
    <w:p w14:paraId="508F038A" w14:textId="77777777" w:rsidR="00D16EF6" w:rsidRPr="009B3BD2" w:rsidRDefault="00D16EF6" w:rsidP="00E81B85">
      <w:pPr>
        <w:pStyle w:val="ListParagraph"/>
        <w:rPr>
          <w:b/>
          <w:sz w:val="20"/>
          <w:szCs w:val="20"/>
          <w:lang w:val="es-CO"/>
        </w:rPr>
      </w:pPr>
    </w:p>
    <w:p w14:paraId="19879F80" w14:textId="34A0ACCF" w:rsidR="00E81B85" w:rsidRPr="009B3BD2" w:rsidRDefault="00F029B3" w:rsidP="00E81B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 13 de enero de 2014 la Sala Disciplinaria de la Procuraduría General de la Nación</w:t>
      </w:r>
      <w:r w:rsidR="00290CD0" w:rsidRPr="009B3BD2">
        <w:rPr>
          <w:rFonts w:ascii="Cambria" w:hAnsi="Cambria"/>
          <w:sz w:val="20"/>
          <w:szCs w:val="20"/>
          <w:lang w:val="es-CO"/>
        </w:rPr>
        <w:t xml:space="preserve"> rechazó de plano las pruebas solicitadas “dada la extemporaneidad de las solicitudes y la ausencia de necesidad para que se practiquen” por considerar que “la práctica de pruebas durante la etapa del juicio es durante el término de traslado para la presentación de los descargos” y que “si se trató de algunas pruebas que se derivaron de otras practicadas en el juicio, la oportunidad procesal indicada era hasta el momento en que se presentaron los alegatos de conclusión</w:t>
      </w:r>
      <w:r w:rsidR="005D1B2E" w:rsidRPr="009B3BD2">
        <w:rPr>
          <w:rFonts w:ascii="Cambria" w:hAnsi="Cambria"/>
          <w:sz w:val="20"/>
          <w:szCs w:val="20"/>
          <w:lang w:val="es-CO"/>
        </w:rPr>
        <w:t>, pues allí se pudieron haber dado las razones por las cuales era necesario que se practicaran otras pruebas para resolver algunos aspectos que eventualmente no fueron dilucidados (…)</w:t>
      </w:r>
      <w:r w:rsidR="00290CD0" w:rsidRPr="009B3BD2">
        <w:rPr>
          <w:rFonts w:ascii="Cambria" w:hAnsi="Cambria"/>
          <w:sz w:val="20"/>
          <w:szCs w:val="20"/>
          <w:lang w:val="es-CO"/>
        </w:rPr>
        <w:t>”</w:t>
      </w:r>
      <w:r w:rsidR="00290CD0" w:rsidRPr="009B3BD2">
        <w:rPr>
          <w:rStyle w:val="FootnoteReference"/>
          <w:rFonts w:asciiTheme="majorHAnsi" w:hAnsiTheme="majorHAnsi"/>
          <w:sz w:val="20"/>
          <w:szCs w:val="20"/>
          <w:lang w:val="es-CO"/>
        </w:rPr>
        <w:footnoteReference w:id="37"/>
      </w:r>
      <w:r w:rsidR="00311D8B" w:rsidRPr="009B3BD2">
        <w:rPr>
          <w:rFonts w:ascii="Cambria" w:hAnsi="Cambria"/>
          <w:sz w:val="20"/>
          <w:szCs w:val="20"/>
          <w:lang w:val="es-CO"/>
        </w:rPr>
        <w:t>.</w:t>
      </w:r>
      <w:r w:rsidR="005D1B2E" w:rsidRPr="009B3BD2">
        <w:rPr>
          <w:rFonts w:ascii="Cambria" w:hAnsi="Cambria"/>
          <w:sz w:val="20"/>
          <w:szCs w:val="20"/>
          <w:lang w:val="es-CO"/>
        </w:rPr>
        <w:t xml:space="preserve"> Añadió que “</w:t>
      </w:r>
      <w:r w:rsidR="00D042AF" w:rsidRPr="009B3BD2">
        <w:rPr>
          <w:rFonts w:ascii="Cambria" w:hAnsi="Cambria"/>
          <w:sz w:val="20"/>
          <w:szCs w:val="20"/>
          <w:lang w:val="es-CO"/>
        </w:rPr>
        <w:t>la posibilidad de la práctica de pruebas después de proferido el fallo de primera o de única instancia obedece a una facultad oficiosa, circunscrita a la necesidad de resolver algunas cuestiones que podría cambiar sustancialmente el fondo del asunto”</w:t>
      </w:r>
      <w:r w:rsidR="00D042AF" w:rsidRPr="009B3BD2">
        <w:rPr>
          <w:rStyle w:val="FootnoteReference"/>
          <w:rFonts w:asciiTheme="majorHAnsi" w:hAnsiTheme="majorHAnsi"/>
          <w:sz w:val="20"/>
          <w:szCs w:val="20"/>
          <w:lang w:val="es-CO"/>
        </w:rPr>
        <w:t xml:space="preserve"> </w:t>
      </w:r>
      <w:r w:rsidR="00D042AF" w:rsidRPr="009B3BD2">
        <w:rPr>
          <w:rStyle w:val="FootnoteReference"/>
          <w:rFonts w:asciiTheme="majorHAnsi" w:hAnsiTheme="majorHAnsi"/>
          <w:sz w:val="20"/>
          <w:szCs w:val="20"/>
          <w:lang w:val="es-CO"/>
        </w:rPr>
        <w:footnoteReference w:id="38"/>
      </w:r>
      <w:r w:rsidR="00D042AF" w:rsidRPr="009B3BD2">
        <w:rPr>
          <w:sz w:val="20"/>
          <w:szCs w:val="20"/>
          <w:lang w:val="es-CO"/>
        </w:rPr>
        <w:t>.</w:t>
      </w:r>
    </w:p>
    <w:p w14:paraId="02FEA73A" w14:textId="77777777" w:rsidR="008F753A" w:rsidRPr="009B3BD2" w:rsidRDefault="008F753A" w:rsidP="008F753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7E62189C" w14:textId="77777777" w:rsidR="00E81B85" w:rsidRPr="009B3BD2" w:rsidRDefault="00290CD0" w:rsidP="00E81B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 xml:space="preserve">En la misma decisión </w:t>
      </w:r>
      <w:r w:rsidR="003A1BBB" w:rsidRPr="009B3BD2">
        <w:rPr>
          <w:rFonts w:ascii="Cambria" w:hAnsi="Cambria"/>
          <w:sz w:val="20"/>
          <w:szCs w:val="20"/>
          <w:lang w:val="es-CO"/>
        </w:rPr>
        <w:t>la Sala Disciplinaria</w:t>
      </w:r>
      <w:r w:rsidR="00046FBB" w:rsidRPr="009B3BD2">
        <w:rPr>
          <w:rFonts w:ascii="Cambria" w:hAnsi="Cambria"/>
          <w:sz w:val="20"/>
          <w:szCs w:val="20"/>
          <w:lang w:val="es-CO"/>
        </w:rPr>
        <w:t xml:space="preserve"> de la Procuraduría General de la Nación</w:t>
      </w:r>
      <w:r w:rsidR="007D6A4C" w:rsidRPr="009B3BD2">
        <w:rPr>
          <w:rFonts w:ascii="Cambria" w:hAnsi="Cambria"/>
          <w:sz w:val="20"/>
          <w:szCs w:val="20"/>
          <w:lang w:val="es-CO"/>
        </w:rPr>
        <w:t xml:space="preserve">, a través de </w:t>
      </w:r>
      <w:r w:rsidR="00824071" w:rsidRPr="009B3BD2">
        <w:rPr>
          <w:rFonts w:ascii="Cambria" w:hAnsi="Cambria"/>
          <w:sz w:val="20"/>
          <w:szCs w:val="20"/>
          <w:lang w:val="es-CO"/>
        </w:rPr>
        <w:t xml:space="preserve">los </w:t>
      </w:r>
      <w:r w:rsidR="007D6A4C" w:rsidRPr="009B3BD2">
        <w:rPr>
          <w:rFonts w:ascii="Cambria" w:hAnsi="Cambria"/>
          <w:sz w:val="20"/>
          <w:szCs w:val="20"/>
          <w:lang w:val="es-CO"/>
        </w:rPr>
        <w:t>dos procuradores delegados</w:t>
      </w:r>
      <w:r w:rsidR="00824071" w:rsidRPr="009B3BD2">
        <w:rPr>
          <w:rFonts w:ascii="Cambria" w:hAnsi="Cambria"/>
          <w:sz w:val="20"/>
          <w:szCs w:val="20"/>
          <w:lang w:val="es-CO"/>
        </w:rPr>
        <w:t xml:space="preserve"> que emitieron la decisión de 9 de diciembre de 2013</w:t>
      </w:r>
      <w:r w:rsidR="007D6A4C" w:rsidRPr="009B3BD2">
        <w:rPr>
          <w:rStyle w:val="FootnoteReference"/>
          <w:rFonts w:asciiTheme="majorHAnsi" w:hAnsiTheme="majorHAnsi"/>
          <w:sz w:val="20"/>
          <w:szCs w:val="20"/>
          <w:lang w:val="es-CO"/>
        </w:rPr>
        <w:footnoteReference w:id="39"/>
      </w:r>
      <w:r w:rsidR="007D6A4C" w:rsidRPr="009B3BD2">
        <w:rPr>
          <w:rFonts w:ascii="Cambria" w:hAnsi="Cambria"/>
          <w:sz w:val="20"/>
          <w:szCs w:val="20"/>
          <w:lang w:val="es-CO"/>
        </w:rPr>
        <w:t>,</w:t>
      </w:r>
      <w:r w:rsidR="00EF1E60" w:rsidRPr="009B3BD2">
        <w:rPr>
          <w:rFonts w:ascii="Cambria" w:hAnsi="Cambria"/>
          <w:sz w:val="20"/>
          <w:szCs w:val="20"/>
          <w:lang w:val="es-CO"/>
        </w:rPr>
        <w:t xml:space="preserve"> declaró sin lugar el recurso de reposición por lo que confirmó el fallo de única inst</w:t>
      </w:r>
      <w:r w:rsidR="00824071" w:rsidRPr="009B3BD2">
        <w:rPr>
          <w:rFonts w:ascii="Cambria" w:hAnsi="Cambria"/>
          <w:sz w:val="20"/>
          <w:szCs w:val="20"/>
          <w:lang w:val="es-CO"/>
        </w:rPr>
        <w:t>ancia</w:t>
      </w:r>
      <w:r w:rsidR="003A1BBB" w:rsidRPr="009B3BD2">
        <w:rPr>
          <w:rStyle w:val="FootnoteReference"/>
          <w:rFonts w:asciiTheme="majorHAnsi" w:hAnsiTheme="majorHAnsi"/>
          <w:sz w:val="20"/>
          <w:szCs w:val="20"/>
          <w:lang w:val="es-CO"/>
        </w:rPr>
        <w:footnoteReference w:id="40"/>
      </w:r>
      <w:r w:rsidR="00555EC4" w:rsidRPr="009B3BD2">
        <w:rPr>
          <w:rFonts w:ascii="Cambria" w:hAnsi="Cambria"/>
          <w:sz w:val="20"/>
          <w:szCs w:val="20"/>
          <w:lang w:val="es-CO"/>
        </w:rPr>
        <w:t>.</w:t>
      </w:r>
    </w:p>
    <w:p w14:paraId="14570FE3" w14:textId="77777777" w:rsidR="007467B7" w:rsidRPr="009B3BD2" w:rsidRDefault="007467B7" w:rsidP="007467B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6B094191" w14:textId="7AB6A606" w:rsidR="00E81B85" w:rsidRPr="009B3BD2" w:rsidRDefault="008C2CB2" w:rsidP="00E81B8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En cuanto al primer cargo</w:t>
      </w:r>
      <w:r w:rsidR="00AC6BD1" w:rsidRPr="009B3BD2">
        <w:rPr>
          <w:rFonts w:ascii="Cambria" w:hAnsi="Cambria"/>
          <w:sz w:val="20"/>
          <w:szCs w:val="20"/>
          <w:lang w:val="es-CO"/>
        </w:rPr>
        <w:t>,</w:t>
      </w:r>
      <w:r w:rsidRPr="009B3BD2">
        <w:rPr>
          <w:rFonts w:ascii="Cambria" w:hAnsi="Cambria"/>
          <w:sz w:val="20"/>
          <w:szCs w:val="20"/>
          <w:lang w:val="es-CO"/>
        </w:rPr>
        <w:t xml:space="preserve"> indicó que “es cierto que el señor alcalde mayor de Bogotá no tuvo participación directa en las precisas actividades que conformaron las etapas precontractuales y contractuales de los dos contratos interadministrativos, como por ejemplo la elaboración de los estudios y actividades muy puntuales. Pero es lógico considerar que en una estructura administrativa int</w:t>
      </w:r>
      <w:r w:rsidR="0021683F" w:rsidRPr="009B3BD2">
        <w:rPr>
          <w:rFonts w:ascii="Cambria" w:hAnsi="Cambria"/>
          <w:sz w:val="20"/>
          <w:szCs w:val="20"/>
          <w:lang w:val="es-CO"/>
        </w:rPr>
        <w:t>ervienen un sinnúmero de funcio</w:t>
      </w:r>
      <w:r w:rsidRPr="009B3BD2">
        <w:rPr>
          <w:rFonts w:ascii="Cambria" w:hAnsi="Cambria"/>
          <w:sz w:val="20"/>
          <w:szCs w:val="20"/>
          <w:lang w:val="es-CO"/>
        </w:rPr>
        <w:t>n</w:t>
      </w:r>
      <w:r w:rsidR="0021683F" w:rsidRPr="009B3BD2">
        <w:rPr>
          <w:rFonts w:ascii="Cambria" w:hAnsi="Cambria"/>
          <w:sz w:val="20"/>
          <w:szCs w:val="20"/>
          <w:lang w:val="es-CO"/>
        </w:rPr>
        <w:t>a</w:t>
      </w:r>
      <w:r w:rsidRPr="009B3BD2">
        <w:rPr>
          <w:rFonts w:ascii="Cambria" w:hAnsi="Cambria"/>
          <w:sz w:val="20"/>
          <w:szCs w:val="20"/>
          <w:lang w:val="es-CO"/>
        </w:rPr>
        <w:t xml:space="preserve">rios, todos ellos cumpliendo los determinados roles que le son asignados, pero con la inapelable particularidad de que las funciones se ejercen en la dirección de lo ordenado por los respectivos superiores. En el presente caso, esta situación es evidente pues la asignación de la prestación del servicio de aseo a las entidades públicas del Distrito siempre estuvo bajo el dominio y </w:t>
      </w:r>
      <w:r w:rsidR="000B3125" w:rsidRPr="009B3BD2">
        <w:rPr>
          <w:rFonts w:ascii="Cambria" w:hAnsi="Cambria"/>
          <w:sz w:val="20"/>
          <w:szCs w:val="20"/>
          <w:lang w:val="es-CO"/>
        </w:rPr>
        <w:t>decisión</w:t>
      </w:r>
      <w:r w:rsidRPr="009B3BD2">
        <w:rPr>
          <w:rFonts w:ascii="Cambria" w:hAnsi="Cambria"/>
          <w:sz w:val="20"/>
          <w:szCs w:val="20"/>
          <w:lang w:val="es-CO"/>
        </w:rPr>
        <w:t xml:space="preserve"> del señor alcalde mayor de Bogotá, quien además tenía una segunda condición como miembro de la Junta Directiva de la EAAB, tal y como lo demuestran todas las pruebas obrantes en el proceso (…)”</w:t>
      </w:r>
      <w:r w:rsidRPr="009B3BD2">
        <w:rPr>
          <w:rStyle w:val="FootnoteReference"/>
          <w:rFonts w:asciiTheme="majorHAnsi" w:hAnsiTheme="majorHAnsi"/>
          <w:sz w:val="20"/>
          <w:szCs w:val="20"/>
          <w:lang w:val="es-CO"/>
        </w:rPr>
        <w:footnoteReference w:id="41"/>
      </w:r>
      <w:r w:rsidR="00E81B85" w:rsidRPr="009B3BD2">
        <w:rPr>
          <w:rFonts w:ascii="Cambria" w:hAnsi="Cambria"/>
          <w:sz w:val="20"/>
          <w:szCs w:val="20"/>
          <w:lang w:val="es-CO"/>
        </w:rPr>
        <w:t>.</w:t>
      </w:r>
    </w:p>
    <w:p w14:paraId="5D254A2A" w14:textId="77777777" w:rsidR="00E81B85" w:rsidRPr="009B3BD2" w:rsidRDefault="00E81B85" w:rsidP="00E81B85">
      <w:pPr>
        <w:pStyle w:val="ListParagraph"/>
        <w:rPr>
          <w:sz w:val="20"/>
          <w:szCs w:val="20"/>
          <w:lang w:val="es-CO"/>
        </w:rPr>
      </w:pPr>
    </w:p>
    <w:p w14:paraId="7A9B1C13" w14:textId="7A6F4942" w:rsidR="00102698" w:rsidRPr="009B3BD2" w:rsidRDefault="00A619F4" w:rsidP="001026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En cuanto al segundo cargo</w:t>
      </w:r>
      <w:r w:rsidR="00AC6BD1" w:rsidRPr="009B3BD2">
        <w:rPr>
          <w:rFonts w:ascii="Cambria" w:hAnsi="Cambria"/>
          <w:sz w:val="20"/>
          <w:szCs w:val="20"/>
          <w:lang w:val="es-CO"/>
        </w:rPr>
        <w:t>,</w:t>
      </w:r>
      <w:r w:rsidRPr="009B3BD2">
        <w:rPr>
          <w:rFonts w:ascii="Cambria" w:hAnsi="Cambria"/>
          <w:sz w:val="20"/>
          <w:szCs w:val="20"/>
          <w:lang w:val="es-CO"/>
        </w:rPr>
        <w:t xml:space="preserve"> indicó que </w:t>
      </w:r>
      <w:r w:rsidR="00554C80" w:rsidRPr="009B3BD2">
        <w:rPr>
          <w:rFonts w:ascii="Cambria" w:hAnsi="Cambria"/>
          <w:sz w:val="20"/>
          <w:szCs w:val="20"/>
          <w:lang w:val="es-CO"/>
        </w:rPr>
        <w:t>“la prevalencia del principio de la libertad de empresa y de la libre competencia no  es supuesta como lo aduce el señor defensor; por el contrario, es un principio de ineludible cumplimiento conforme a lo dispuesto en la propia Constitución y la ley, cuya única restricción o matización es la implementación de las Áreas de Servicio Exclusivo, conforme los requisitos y parámetros establecidos en el ordenamiento jurí</w:t>
      </w:r>
      <w:r w:rsidR="00122E35" w:rsidRPr="009B3BD2">
        <w:rPr>
          <w:rFonts w:ascii="Cambria" w:hAnsi="Cambria"/>
          <w:sz w:val="20"/>
          <w:szCs w:val="20"/>
          <w:lang w:val="es-CO"/>
        </w:rPr>
        <w:t>dico (…)</w:t>
      </w:r>
      <w:r w:rsidR="00122E35" w:rsidRPr="009B3BD2">
        <w:rPr>
          <w:rStyle w:val="FootnoteReference"/>
          <w:rFonts w:asciiTheme="majorHAnsi" w:hAnsiTheme="majorHAnsi"/>
          <w:sz w:val="20"/>
          <w:szCs w:val="20"/>
          <w:lang w:val="es-CO"/>
        </w:rPr>
        <w:footnoteReference w:id="42"/>
      </w:r>
      <w:r w:rsidR="00122E35" w:rsidRPr="009B3BD2">
        <w:rPr>
          <w:rFonts w:ascii="Cambria" w:hAnsi="Cambria"/>
          <w:sz w:val="20"/>
          <w:szCs w:val="20"/>
          <w:lang w:val="es-CO"/>
        </w:rPr>
        <w:t>”</w:t>
      </w:r>
      <w:r w:rsidRPr="009B3BD2">
        <w:rPr>
          <w:rFonts w:ascii="Cambria" w:hAnsi="Cambria"/>
          <w:sz w:val="20"/>
          <w:szCs w:val="20"/>
          <w:lang w:val="es-CO"/>
        </w:rPr>
        <w:t xml:space="preserve">. También estimó que “el Decreto 564 de 2012 si restringió el principio de </w:t>
      </w:r>
      <w:r w:rsidR="000B3125" w:rsidRPr="009B3BD2">
        <w:rPr>
          <w:rFonts w:ascii="Cambria" w:hAnsi="Cambria"/>
          <w:sz w:val="20"/>
          <w:szCs w:val="20"/>
          <w:lang w:val="es-CO"/>
        </w:rPr>
        <w:t>l</w:t>
      </w:r>
      <w:r w:rsidRPr="009B3BD2">
        <w:rPr>
          <w:rFonts w:ascii="Cambria" w:hAnsi="Cambria"/>
          <w:sz w:val="20"/>
          <w:szCs w:val="20"/>
          <w:lang w:val="es-CO"/>
        </w:rPr>
        <w:t xml:space="preserve">a libertad de empresa en materia de servicios públicos domiciliarios, pues se repite que todo el manejo y la responsabilidad de este servicio pasó a manos de la Empresa de Acueducto y Alcantarillado de Bogotá (EAAB), y que la única posibilidad para que participaran los operadores privados lo fue por la </w:t>
      </w:r>
      <w:r w:rsidR="000B3125" w:rsidRPr="009B3BD2">
        <w:rPr>
          <w:rFonts w:ascii="Cambria" w:hAnsi="Cambria"/>
          <w:sz w:val="20"/>
          <w:szCs w:val="20"/>
          <w:lang w:val="es-CO"/>
        </w:rPr>
        <w:t>vía</w:t>
      </w:r>
      <w:r w:rsidRPr="009B3BD2">
        <w:rPr>
          <w:rFonts w:ascii="Cambria" w:hAnsi="Cambria"/>
          <w:sz w:val="20"/>
          <w:szCs w:val="20"/>
          <w:lang w:val="es-CO"/>
        </w:rPr>
        <w:t xml:space="preserve"> de la subcontratación con la UAESP, la cual se dio conforme a las condiciones y porcentajes que determinó el Distrito, y ello porque de manera coyuntural el operador público fue incapaz de asumir la operación en el ciento por ciento de la ciudad como estaba inicialmente decidido por el disciplinado</w:t>
      </w:r>
      <w:r w:rsidR="000B3125" w:rsidRPr="009B3BD2">
        <w:rPr>
          <w:rFonts w:ascii="Cambria" w:hAnsi="Cambria"/>
          <w:sz w:val="20"/>
          <w:szCs w:val="20"/>
          <w:lang w:val="es-CO"/>
        </w:rPr>
        <w:t>”</w:t>
      </w:r>
      <w:r w:rsidRPr="009B3BD2">
        <w:rPr>
          <w:rFonts w:ascii="Cambria" w:hAnsi="Cambria"/>
          <w:sz w:val="20"/>
          <w:szCs w:val="20"/>
          <w:lang w:val="es-CO"/>
        </w:rPr>
        <w:t xml:space="preserve">. </w:t>
      </w:r>
      <w:r w:rsidR="00CD1A1E" w:rsidRPr="009B3BD2">
        <w:rPr>
          <w:rFonts w:ascii="Cambria" w:hAnsi="Cambria"/>
          <w:sz w:val="20"/>
          <w:szCs w:val="20"/>
          <w:lang w:val="es-CO"/>
        </w:rPr>
        <w:t>Agregó que u</w:t>
      </w:r>
      <w:r w:rsidRPr="009B3BD2">
        <w:rPr>
          <w:rFonts w:ascii="Cambria" w:hAnsi="Cambria"/>
          <w:sz w:val="20"/>
          <w:szCs w:val="20"/>
          <w:lang w:val="es-CO"/>
        </w:rPr>
        <w:t>na muestra de ello es que el porcentaje de prestación del servicio del operador público, entre el 18 de diciembre de 2012 al 22 de abril de 2013 fue del 52.62% de la ciudad, mientras que del 22 de abril de 2013 en adelante el porcentaje de prestación fue del 63.15%, en donde, por ejemplo, ya no prestó más el servici</w:t>
      </w:r>
      <w:r w:rsidR="00C73DCD" w:rsidRPr="009B3BD2">
        <w:rPr>
          <w:rFonts w:ascii="Cambria" w:hAnsi="Cambria"/>
          <w:sz w:val="20"/>
          <w:szCs w:val="20"/>
          <w:lang w:val="es-CO"/>
        </w:rPr>
        <w:t>o el operador privado ATESA S.A</w:t>
      </w:r>
      <w:r w:rsidRPr="009B3BD2">
        <w:rPr>
          <w:rStyle w:val="FootnoteReference"/>
          <w:rFonts w:asciiTheme="majorHAnsi" w:hAnsiTheme="majorHAnsi"/>
          <w:sz w:val="20"/>
          <w:szCs w:val="20"/>
          <w:lang w:val="es-CO"/>
        </w:rPr>
        <w:footnoteReference w:id="43"/>
      </w:r>
      <w:r w:rsidR="00C73DCD" w:rsidRPr="009B3BD2">
        <w:rPr>
          <w:rFonts w:ascii="Cambria" w:hAnsi="Cambria"/>
          <w:sz w:val="20"/>
          <w:szCs w:val="20"/>
          <w:lang w:val="es-CO"/>
        </w:rPr>
        <w:t>.</w:t>
      </w:r>
    </w:p>
    <w:p w14:paraId="58BD6148" w14:textId="4CBF61C2" w:rsidR="00CD1A1E" w:rsidRPr="009B3BD2" w:rsidRDefault="00CD1A1E" w:rsidP="00CD1A1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2B90F78B" w14:textId="77777777" w:rsidR="00375F2A" w:rsidRPr="009B3BD2" w:rsidRDefault="00C73DCD" w:rsidP="007B338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En cuanto al ter</w:t>
      </w:r>
      <w:r w:rsidR="001C4A11" w:rsidRPr="009B3BD2">
        <w:rPr>
          <w:rFonts w:ascii="Cambria" w:hAnsi="Cambria"/>
          <w:sz w:val="20"/>
          <w:szCs w:val="20"/>
          <w:lang w:val="es-CO"/>
        </w:rPr>
        <w:t>cer cargo, la Sala indicó que con la expedición del Decreto 570 el alcalde incurrió en culpa gravísima pues “sabía que para la prestación del servicio de aseo se necesitaban vehículos compactadores”, además su alto cargo le hacía saber que “era un deber cumplir con las normas contenidas en el ordenamiento jurídico, entre ellas los Decretos 948 de 1995 y 1713 de 2002”</w:t>
      </w:r>
      <w:r w:rsidR="001C4A11" w:rsidRPr="009B3BD2">
        <w:rPr>
          <w:rStyle w:val="FootnoteReference"/>
          <w:rFonts w:asciiTheme="majorHAnsi" w:hAnsiTheme="majorHAnsi"/>
          <w:sz w:val="20"/>
          <w:szCs w:val="20"/>
          <w:lang w:val="es-CO"/>
        </w:rPr>
        <w:footnoteReference w:id="44"/>
      </w:r>
      <w:r w:rsidR="007A72F8" w:rsidRPr="009B3BD2">
        <w:rPr>
          <w:rFonts w:ascii="Cambria" w:hAnsi="Cambria"/>
          <w:sz w:val="20"/>
          <w:szCs w:val="20"/>
          <w:lang w:val="es-CO"/>
        </w:rPr>
        <w:t xml:space="preserve">. Indicó que “no fueron circunstancias excepcionales y eventuales por la transición en la entrada en operación de la EAAB o la negativa de los operadores privados a revertir los equipos, sino la evidente incapacidad del Distrito para haber asumido </w:t>
      </w:r>
      <w:r w:rsidR="007A72F8" w:rsidRPr="009B3BD2">
        <w:rPr>
          <w:rFonts w:ascii="Cambria" w:hAnsi="Cambria"/>
          <w:sz w:val="20"/>
          <w:szCs w:val="20"/>
          <w:lang w:val="es-CO"/>
        </w:rPr>
        <w:lastRenderedPageBreak/>
        <w:t>la prestación del servicio de aseo, situación que se dio por las decisiones adoptadas por el señor Alcalde Mayor de Bogotá”</w:t>
      </w:r>
      <w:r w:rsidR="007A72F8" w:rsidRPr="009B3BD2">
        <w:rPr>
          <w:rStyle w:val="FootnoteReference"/>
          <w:rFonts w:asciiTheme="majorHAnsi" w:hAnsiTheme="majorHAnsi"/>
          <w:sz w:val="20"/>
          <w:szCs w:val="20"/>
          <w:lang w:val="es-CO"/>
        </w:rPr>
        <w:t xml:space="preserve"> </w:t>
      </w:r>
      <w:r w:rsidR="007A72F8" w:rsidRPr="009B3BD2">
        <w:rPr>
          <w:rStyle w:val="FootnoteReference"/>
          <w:rFonts w:asciiTheme="majorHAnsi" w:hAnsiTheme="majorHAnsi"/>
          <w:sz w:val="20"/>
          <w:szCs w:val="20"/>
          <w:lang w:val="es-CO"/>
        </w:rPr>
        <w:footnoteReference w:id="45"/>
      </w:r>
      <w:r w:rsidR="007A72F8" w:rsidRPr="009B3BD2">
        <w:rPr>
          <w:rFonts w:ascii="Cambria" w:hAnsi="Cambria"/>
          <w:sz w:val="20"/>
          <w:szCs w:val="20"/>
          <w:lang w:val="es-CO"/>
        </w:rPr>
        <w:t xml:space="preserve">. </w:t>
      </w:r>
    </w:p>
    <w:p w14:paraId="73756609" w14:textId="77777777" w:rsidR="00102698" w:rsidRPr="009B3BD2" w:rsidRDefault="00102698" w:rsidP="007B33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79D85F9A" w14:textId="77777777" w:rsidR="00102698" w:rsidRPr="009B3BD2" w:rsidRDefault="00102698" w:rsidP="001026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 xml:space="preserve">Finalmente, se refirió a la sanción impuesta indicando que, </w:t>
      </w:r>
    </w:p>
    <w:p w14:paraId="2BB04124" w14:textId="77777777" w:rsidR="00DD575F" w:rsidRPr="009B3BD2" w:rsidRDefault="00DD575F"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lang w:val="es-CO"/>
        </w:rPr>
      </w:pPr>
    </w:p>
    <w:p w14:paraId="1A13FA6C" w14:textId="18E9E563" w:rsidR="00816CFD" w:rsidRPr="009B3BD2" w:rsidRDefault="00486B4E" w:rsidP="00BA24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lang w:val="es-CO"/>
        </w:rPr>
      </w:pPr>
      <w:r w:rsidRPr="009B3BD2">
        <w:rPr>
          <w:rFonts w:ascii="Cambria" w:hAnsi="Cambria"/>
          <w:sz w:val="20"/>
          <w:szCs w:val="20"/>
          <w:lang w:val="es-CO"/>
        </w:rPr>
        <w:t>(…</w:t>
      </w:r>
      <w:proofErr w:type="gramStart"/>
      <w:r w:rsidRPr="009B3BD2">
        <w:rPr>
          <w:rFonts w:ascii="Cambria" w:hAnsi="Cambria"/>
          <w:sz w:val="20"/>
          <w:szCs w:val="20"/>
          <w:lang w:val="es-CO"/>
        </w:rPr>
        <w:t>)se</w:t>
      </w:r>
      <w:proofErr w:type="gramEnd"/>
      <w:r w:rsidRPr="009B3BD2">
        <w:rPr>
          <w:rFonts w:ascii="Cambria" w:hAnsi="Cambria"/>
          <w:sz w:val="20"/>
          <w:szCs w:val="20"/>
          <w:lang w:val="es-CO"/>
        </w:rPr>
        <w:t xml:space="preserve"> cometieron tres faltas disciplinarias, y por la consideración de que la última de ellas no se cometió a título de dolo sino a título de culpa gravísima la Sala Disciplinaria impuso una sanción de quince años. Es decir, podría decirse que por la primera falta fueron doce años; por la segunda, dos años más; y por la tercera, un año más, dosificación de la sanción que se adecúa en forma proporcional a lo establecido en el numeral 2 del mismo artículo 47 del Código Disciplinario único, para aquellos casos conocidos como de concurso material heterogéneo”</w:t>
      </w:r>
      <w:r w:rsidRPr="009B3BD2">
        <w:rPr>
          <w:rStyle w:val="FootnoteReference"/>
          <w:rFonts w:asciiTheme="majorHAnsi" w:hAnsiTheme="majorHAnsi"/>
          <w:sz w:val="20"/>
          <w:szCs w:val="20"/>
          <w:lang w:val="es-CO"/>
        </w:rPr>
        <w:t xml:space="preserve"> </w:t>
      </w:r>
      <w:r w:rsidRPr="009B3BD2">
        <w:rPr>
          <w:rStyle w:val="FootnoteReference"/>
          <w:rFonts w:asciiTheme="majorHAnsi" w:hAnsiTheme="majorHAnsi"/>
          <w:sz w:val="20"/>
          <w:szCs w:val="20"/>
          <w:lang w:val="es-CO"/>
        </w:rPr>
        <w:footnoteReference w:id="46"/>
      </w:r>
      <w:r w:rsidRPr="009B3BD2">
        <w:rPr>
          <w:rFonts w:ascii="Cambria" w:hAnsi="Cambria"/>
          <w:sz w:val="20"/>
          <w:szCs w:val="20"/>
          <w:lang w:val="es-CO"/>
        </w:rPr>
        <w:t>.</w:t>
      </w:r>
    </w:p>
    <w:p w14:paraId="6011D26A" w14:textId="77777777" w:rsidR="00BA24A2" w:rsidRPr="009B3BD2" w:rsidRDefault="00BA24A2" w:rsidP="00BA24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lang w:val="es-CO"/>
        </w:rPr>
      </w:pPr>
    </w:p>
    <w:p w14:paraId="3F3B9766" w14:textId="7B06690E" w:rsidR="00073DCC" w:rsidRPr="009B3BD2" w:rsidRDefault="00073DCC" w:rsidP="00073DC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 15 de enero de 2014 el Procurador</w:t>
      </w:r>
      <w:r w:rsidR="008706BD" w:rsidRPr="009B3BD2">
        <w:rPr>
          <w:rFonts w:ascii="Cambria" w:hAnsi="Cambria"/>
          <w:sz w:val="20"/>
          <w:szCs w:val="20"/>
          <w:lang w:val="es-CO"/>
        </w:rPr>
        <w:t xml:space="preserve"> General de la Nación</w:t>
      </w:r>
      <w:r w:rsidRPr="009B3BD2">
        <w:rPr>
          <w:rFonts w:ascii="Cambria" w:hAnsi="Cambria"/>
          <w:sz w:val="20"/>
          <w:szCs w:val="20"/>
          <w:lang w:val="es-CO"/>
        </w:rPr>
        <w:t xml:space="preserve"> en entrevista con el diario “El Tiempo” fue preguntado si el Alcalde </w:t>
      </w:r>
      <w:proofErr w:type="spellStart"/>
      <w:r w:rsidRPr="009B3BD2">
        <w:rPr>
          <w:rFonts w:ascii="Cambria" w:hAnsi="Cambria"/>
          <w:sz w:val="20"/>
          <w:szCs w:val="20"/>
          <w:lang w:val="es-CO"/>
        </w:rPr>
        <w:t>Petro</w:t>
      </w:r>
      <w:proofErr w:type="spellEnd"/>
      <w:r w:rsidRPr="009B3BD2">
        <w:rPr>
          <w:rFonts w:ascii="Cambria" w:hAnsi="Cambria"/>
          <w:sz w:val="20"/>
          <w:szCs w:val="20"/>
          <w:lang w:val="es-CO"/>
        </w:rPr>
        <w:t xml:space="preserve"> se va por su posición de izquierda o por mal alcalde, a lo que contestó que “el doctor </w:t>
      </w:r>
      <w:proofErr w:type="spellStart"/>
      <w:r w:rsidRPr="009B3BD2">
        <w:rPr>
          <w:rFonts w:ascii="Cambria" w:hAnsi="Cambria"/>
          <w:sz w:val="20"/>
          <w:szCs w:val="20"/>
          <w:lang w:val="es-CO"/>
        </w:rPr>
        <w:t>Petro</w:t>
      </w:r>
      <w:proofErr w:type="spellEnd"/>
      <w:r w:rsidRPr="009B3BD2">
        <w:rPr>
          <w:rFonts w:ascii="Cambria" w:hAnsi="Cambria"/>
          <w:sz w:val="20"/>
          <w:szCs w:val="20"/>
          <w:lang w:val="es-CO"/>
        </w:rPr>
        <w:t xml:space="preserve"> se va por mal alcalde, por incumplir sus deberes funcionales en materia gravísima. Por realizar conductas que dilapidaron el presupuesto público y que deben ser investigadas. Por desconocer que hay una constitución que limita sus funciones. Puso en riesgo la salud de los bogotanos, del medio ambiente”</w:t>
      </w:r>
      <w:r w:rsidRPr="009B3BD2">
        <w:rPr>
          <w:rStyle w:val="FootnoteReference"/>
          <w:rFonts w:ascii="Cambria" w:hAnsi="Cambria"/>
          <w:sz w:val="20"/>
          <w:szCs w:val="20"/>
          <w:lang w:val="es-CO"/>
        </w:rPr>
        <w:footnoteReference w:id="47"/>
      </w:r>
      <w:r w:rsidRPr="009B3BD2">
        <w:rPr>
          <w:rFonts w:ascii="Cambria" w:hAnsi="Cambria"/>
          <w:sz w:val="20"/>
          <w:szCs w:val="20"/>
          <w:lang w:val="es-CO"/>
        </w:rPr>
        <w:t>.</w:t>
      </w:r>
    </w:p>
    <w:p w14:paraId="6C2C0BE7" w14:textId="77777777" w:rsidR="00073DCC" w:rsidRPr="009B3BD2" w:rsidRDefault="00073DCC" w:rsidP="00073DC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70D193AD" w14:textId="77777777" w:rsidR="00803979" w:rsidRPr="009B3BD2" w:rsidRDefault="00803979" w:rsidP="001503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 18 de marzo de 2014 la CIDH otorgó medidas cautelares a favor de la presunta víctima y solicitó al Gobierno de Colombia “que suspenda inmediatamente los efectos de la decisión de 9 de diciembre de 2013, emitida y ratificada por la Procuraduría General de la Nación el 13 de enero de 2014</w:t>
      </w:r>
      <w:r w:rsidR="00985C55" w:rsidRPr="009B3BD2">
        <w:rPr>
          <w:rFonts w:ascii="Cambria" w:hAnsi="Cambria"/>
          <w:sz w:val="20"/>
          <w:szCs w:val="20"/>
          <w:lang w:val="es-CO"/>
        </w:rPr>
        <w:t xml:space="preserve">, a fin de garantizar el ejercicio de los derechos políticos del señor Gustavo Francisco </w:t>
      </w:r>
      <w:proofErr w:type="spellStart"/>
      <w:r w:rsidR="00985C55" w:rsidRPr="009B3BD2">
        <w:rPr>
          <w:rFonts w:ascii="Cambria" w:hAnsi="Cambria"/>
          <w:sz w:val="20"/>
          <w:szCs w:val="20"/>
          <w:lang w:val="es-CO"/>
        </w:rPr>
        <w:t>Petro</w:t>
      </w:r>
      <w:proofErr w:type="spellEnd"/>
      <w:r w:rsidR="00985C55" w:rsidRPr="009B3BD2">
        <w:rPr>
          <w:rFonts w:ascii="Cambria" w:hAnsi="Cambria"/>
          <w:sz w:val="20"/>
          <w:szCs w:val="20"/>
          <w:lang w:val="es-CO"/>
        </w:rPr>
        <w:t xml:space="preserve"> Urrego y pueda cumplir con el período para el cual fue elegido como Alcalde de la ciudad de Bogotá D.C el 30 de octubre de 2011, hasta que la CIDH se haya pronunciado sobre la petición individual P-1742-13</w:t>
      </w:r>
      <w:r w:rsidRPr="009B3BD2">
        <w:rPr>
          <w:rFonts w:ascii="Cambria" w:hAnsi="Cambria"/>
          <w:sz w:val="20"/>
          <w:szCs w:val="20"/>
          <w:lang w:val="es-CO"/>
        </w:rPr>
        <w:t>”</w:t>
      </w:r>
      <w:r w:rsidR="00DD4FDE" w:rsidRPr="009B3BD2">
        <w:rPr>
          <w:rStyle w:val="FootnoteReference"/>
          <w:rFonts w:asciiTheme="majorHAnsi" w:hAnsiTheme="majorHAnsi"/>
          <w:sz w:val="20"/>
          <w:szCs w:val="20"/>
          <w:lang w:val="es-CO"/>
        </w:rPr>
        <w:footnoteReference w:id="48"/>
      </w:r>
      <w:r w:rsidR="00715C48" w:rsidRPr="009B3BD2">
        <w:rPr>
          <w:rFonts w:ascii="Cambria" w:hAnsi="Cambria"/>
          <w:sz w:val="20"/>
          <w:szCs w:val="20"/>
          <w:lang w:val="es-CO"/>
        </w:rPr>
        <w:t>.</w:t>
      </w:r>
    </w:p>
    <w:p w14:paraId="331B504E" w14:textId="6D68AF20" w:rsidR="00985C55" w:rsidRPr="009B3BD2" w:rsidRDefault="00CD5FF1" w:rsidP="00CD5FF1">
      <w:pPr>
        <w:pBdr>
          <w:top w:val="none" w:sz="0" w:space="0" w:color="auto"/>
          <w:left w:val="none" w:sz="0" w:space="0" w:color="auto"/>
          <w:bottom w:val="none" w:sz="0" w:space="0" w:color="auto"/>
          <w:right w:val="none" w:sz="0" w:space="0" w:color="auto"/>
          <w:between w:val="none" w:sz="0" w:space="0" w:color="auto"/>
          <w:bar w:val="none" w:sz="0" w:color="auto"/>
        </w:pBdr>
        <w:tabs>
          <w:tab w:val="left" w:pos="3170"/>
        </w:tabs>
        <w:jc w:val="both"/>
        <w:rPr>
          <w:rFonts w:ascii="Cambria" w:hAnsi="Cambria"/>
          <w:sz w:val="20"/>
          <w:szCs w:val="20"/>
          <w:lang w:val="es-CO"/>
        </w:rPr>
      </w:pPr>
      <w:r w:rsidRPr="009B3BD2">
        <w:rPr>
          <w:rFonts w:ascii="Cambria" w:hAnsi="Cambria"/>
          <w:sz w:val="20"/>
          <w:szCs w:val="20"/>
          <w:lang w:val="es-CO"/>
        </w:rPr>
        <w:tab/>
      </w:r>
    </w:p>
    <w:p w14:paraId="39E48EF0" w14:textId="77777777" w:rsidR="00D52150" w:rsidRPr="009B3BD2" w:rsidRDefault="0015036E" w:rsidP="001A230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VE"/>
        </w:rPr>
        <w:t xml:space="preserve">El 20 de marzo de 2014, mediante el Decreto 570, el Presidente de la República decretó la sustitución del Alcalde Mayor de Bogotá, Gustavo Francisco </w:t>
      </w:r>
      <w:proofErr w:type="spellStart"/>
      <w:r w:rsidRPr="009B3BD2">
        <w:rPr>
          <w:rFonts w:ascii="Cambria" w:hAnsi="Cambria"/>
          <w:sz w:val="20"/>
          <w:szCs w:val="20"/>
          <w:lang w:val="es-VE"/>
        </w:rPr>
        <w:t>Petro</w:t>
      </w:r>
      <w:proofErr w:type="spellEnd"/>
      <w:r w:rsidRPr="009B3BD2">
        <w:rPr>
          <w:rFonts w:ascii="Cambria" w:hAnsi="Cambria"/>
          <w:sz w:val="20"/>
          <w:szCs w:val="20"/>
          <w:lang w:val="es-VE"/>
        </w:rPr>
        <w:t xml:space="preserve"> Urrego, con el fin de dar cumplimiento al fallo de 9 de diciembre de 2013 de la Procuraduría General de la Nación y designó como Alcalde Mayor de Bogotá a Rafael Pardo Rueda</w:t>
      </w:r>
      <w:r w:rsidRPr="009B3BD2">
        <w:rPr>
          <w:rStyle w:val="FootnoteReference"/>
          <w:rFonts w:asciiTheme="majorHAnsi" w:hAnsiTheme="majorHAnsi"/>
          <w:sz w:val="20"/>
          <w:szCs w:val="20"/>
          <w:lang w:val="es-VE"/>
        </w:rPr>
        <w:footnoteReference w:id="49"/>
      </w:r>
      <w:r w:rsidRPr="009B3BD2">
        <w:rPr>
          <w:rFonts w:ascii="Cambria" w:hAnsi="Cambria"/>
          <w:sz w:val="20"/>
          <w:szCs w:val="20"/>
          <w:lang w:val="es-VE"/>
        </w:rPr>
        <w:t xml:space="preserve">. </w:t>
      </w:r>
    </w:p>
    <w:p w14:paraId="104C556C" w14:textId="77777777" w:rsidR="00D52150" w:rsidRPr="009B3BD2" w:rsidRDefault="00D52150" w:rsidP="00D52150">
      <w:pPr>
        <w:pStyle w:val="Heading3"/>
        <w:numPr>
          <w:ilvl w:val="0"/>
          <w:numId w:val="62"/>
        </w:numPr>
        <w:ind w:firstLine="0"/>
        <w:rPr>
          <w:color w:val="auto"/>
          <w:sz w:val="20"/>
          <w:szCs w:val="20"/>
          <w:lang w:val="es-VE"/>
        </w:rPr>
      </w:pPr>
      <w:bookmarkStart w:id="28" w:name="_Toc497398862"/>
      <w:r w:rsidRPr="009B3BD2">
        <w:rPr>
          <w:color w:val="auto"/>
          <w:sz w:val="20"/>
          <w:szCs w:val="20"/>
          <w:lang w:val="es-VE"/>
        </w:rPr>
        <w:t>Demanda de nulidad y restablecimiento del derecho</w:t>
      </w:r>
      <w:bookmarkEnd w:id="28"/>
    </w:p>
    <w:p w14:paraId="5B75C79B" w14:textId="77777777" w:rsidR="00D52150" w:rsidRPr="009B3BD2" w:rsidRDefault="00D52150" w:rsidP="00D52150">
      <w:pPr>
        <w:pStyle w:val="ListParagraph"/>
        <w:rPr>
          <w:sz w:val="20"/>
          <w:szCs w:val="20"/>
          <w:lang w:val="es-CO"/>
        </w:rPr>
      </w:pPr>
    </w:p>
    <w:p w14:paraId="50776810" w14:textId="0DDF6144" w:rsidR="00A22FB4" w:rsidRPr="009B3BD2" w:rsidRDefault="00A22FB4" w:rsidP="00A22FB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 31 de marzo de 2014 la presunta víctima presentó demanda de control de nulidad y restablecimiento del derecho ante el Tribunal Ad</w:t>
      </w:r>
      <w:r w:rsidR="003370E2" w:rsidRPr="009B3BD2">
        <w:rPr>
          <w:rFonts w:ascii="Cambria" w:hAnsi="Cambria"/>
          <w:sz w:val="20"/>
          <w:szCs w:val="20"/>
          <w:lang w:val="es-CO"/>
        </w:rPr>
        <w:t xml:space="preserve">ministrativo de Cundinamarca, </w:t>
      </w:r>
      <w:r w:rsidRPr="009B3BD2">
        <w:rPr>
          <w:rFonts w:ascii="Cambria" w:hAnsi="Cambria"/>
          <w:sz w:val="20"/>
          <w:szCs w:val="20"/>
          <w:lang w:val="es-CO"/>
        </w:rPr>
        <w:t>en contra de los actos administrativos proferidos por la Sala Disciplinaria de la Procuraduría General de la Nación, mediante los cuales fue sancionado con destitución e inhabilidad por quince años para ejercer cargos y funciones públicas. La demanda fue remitida a la Sala de lo Contencioso Administrativo</w:t>
      </w:r>
      <w:r w:rsidR="000B3125" w:rsidRPr="009B3BD2">
        <w:rPr>
          <w:rFonts w:ascii="Cambria" w:hAnsi="Cambria"/>
          <w:sz w:val="20"/>
          <w:szCs w:val="20"/>
          <w:lang w:val="es-CO"/>
        </w:rPr>
        <w:t xml:space="preserve"> del Consejo de Es</w:t>
      </w:r>
      <w:r w:rsidR="00CD5FF1" w:rsidRPr="009B3BD2">
        <w:rPr>
          <w:rFonts w:ascii="Cambria" w:hAnsi="Cambria"/>
          <w:sz w:val="20"/>
          <w:szCs w:val="20"/>
          <w:lang w:val="es-CO"/>
        </w:rPr>
        <w:t>tado,</w:t>
      </w:r>
      <w:r w:rsidRPr="009B3BD2">
        <w:rPr>
          <w:rFonts w:ascii="Cambria" w:hAnsi="Cambria"/>
          <w:sz w:val="20"/>
          <w:szCs w:val="20"/>
          <w:lang w:val="es-CO"/>
        </w:rPr>
        <w:t xml:space="preserve"> por razones de competencia</w:t>
      </w:r>
      <w:r w:rsidRPr="009B3BD2">
        <w:rPr>
          <w:rStyle w:val="FootnoteReference"/>
          <w:rFonts w:asciiTheme="majorHAnsi" w:hAnsiTheme="majorHAnsi"/>
          <w:sz w:val="20"/>
          <w:szCs w:val="20"/>
          <w:lang w:val="es-CO"/>
        </w:rPr>
        <w:footnoteReference w:id="50"/>
      </w:r>
      <w:r w:rsidRPr="009B3BD2">
        <w:rPr>
          <w:rFonts w:ascii="Cambria" w:hAnsi="Cambria"/>
          <w:sz w:val="20"/>
          <w:szCs w:val="20"/>
          <w:lang w:val="es-CO"/>
        </w:rPr>
        <w:t xml:space="preserve">. </w:t>
      </w:r>
    </w:p>
    <w:p w14:paraId="0FE01717" w14:textId="77777777" w:rsidR="00A22FB4" w:rsidRPr="009B3BD2" w:rsidRDefault="00A22FB4" w:rsidP="00A22FB4">
      <w:pPr>
        <w:pStyle w:val="ListParagraph"/>
        <w:rPr>
          <w:sz w:val="20"/>
          <w:szCs w:val="20"/>
          <w:lang w:val="es-CO"/>
        </w:rPr>
      </w:pPr>
    </w:p>
    <w:p w14:paraId="22E288B3" w14:textId="48382044" w:rsidR="00803979" w:rsidRPr="009B3BD2" w:rsidRDefault="005E3610" w:rsidP="001503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lastRenderedPageBreak/>
        <w:t>El 21</w:t>
      </w:r>
      <w:r w:rsidR="00803979" w:rsidRPr="009B3BD2">
        <w:rPr>
          <w:rFonts w:ascii="Cambria" w:hAnsi="Cambria"/>
          <w:sz w:val="20"/>
          <w:szCs w:val="20"/>
          <w:lang w:val="es-CO"/>
        </w:rPr>
        <w:t xml:space="preserve"> de abril de 2014 la Sala </w:t>
      </w:r>
      <w:r w:rsidR="00290733" w:rsidRPr="009B3BD2">
        <w:rPr>
          <w:rFonts w:ascii="Cambria" w:hAnsi="Cambria"/>
          <w:sz w:val="20"/>
          <w:szCs w:val="20"/>
          <w:lang w:val="es-CO"/>
        </w:rPr>
        <w:t>Civil de Restitución de T</w:t>
      </w:r>
      <w:r w:rsidR="00362D84" w:rsidRPr="009B3BD2">
        <w:rPr>
          <w:rFonts w:ascii="Cambria" w:hAnsi="Cambria"/>
          <w:sz w:val="20"/>
          <w:szCs w:val="20"/>
          <w:lang w:val="es-CO"/>
        </w:rPr>
        <w:t>ierras</w:t>
      </w:r>
      <w:r w:rsidRPr="009B3BD2">
        <w:rPr>
          <w:rFonts w:ascii="Cambria" w:hAnsi="Cambria"/>
          <w:sz w:val="20"/>
          <w:szCs w:val="20"/>
          <w:lang w:val="es-CO"/>
        </w:rPr>
        <w:t xml:space="preserve">, al resolver una acción de tutela, </w:t>
      </w:r>
      <w:r w:rsidR="008B1BD3" w:rsidRPr="009B3BD2">
        <w:rPr>
          <w:rFonts w:ascii="Cambria" w:hAnsi="Cambria"/>
          <w:sz w:val="20"/>
          <w:szCs w:val="20"/>
          <w:lang w:val="es-CO"/>
        </w:rPr>
        <w:t xml:space="preserve">suspendió la destitución y </w:t>
      </w:r>
      <w:r w:rsidR="007E0806" w:rsidRPr="009B3BD2">
        <w:rPr>
          <w:rFonts w:ascii="Cambria" w:hAnsi="Cambria"/>
          <w:sz w:val="20"/>
          <w:szCs w:val="20"/>
          <w:lang w:val="es-CO"/>
        </w:rPr>
        <w:t>ordenó al Presidente dejar sin efecto el Decreto 570 de 20 de marzo de 2014 y acatar las medidas cautelares proferidas por la CIDH.</w:t>
      </w:r>
    </w:p>
    <w:p w14:paraId="67A30F78" w14:textId="77777777" w:rsidR="00BA4052" w:rsidRPr="009B3BD2" w:rsidRDefault="00BA4052" w:rsidP="00A22FB4">
      <w:pPr>
        <w:rPr>
          <w:sz w:val="20"/>
          <w:szCs w:val="20"/>
          <w:lang w:val="es-CO"/>
        </w:rPr>
      </w:pPr>
    </w:p>
    <w:p w14:paraId="759563A1" w14:textId="77777777" w:rsidR="0015036E" w:rsidRPr="009B3BD2" w:rsidRDefault="007E0806" w:rsidP="0016729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 23 de abril de 2014 el Presidente de la República emitió el Decreto 797 dejando sin efectos el Decreto 570 de 20 de marzo de 2014</w:t>
      </w:r>
      <w:r w:rsidRPr="009B3BD2">
        <w:rPr>
          <w:rStyle w:val="FootnoteReference"/>
          <w:rFonts w:asciiTheme="majorHAnsi" w:hAnsiTheme="majorHAnsi"/>
          <w:sz w:val="20"/>
          <w:szCs w:val="20"/>
          <w:lang w:val="es-CO"/>
        </w:rPr>
        <w:footnoteReference w:id="51"/>
      </w:r>
      <w:r w:rsidR="005951C8" w:rsidRPr="009B3BD2">
        <w:rPr>
          <w:rFonts w:ascii="Cambria" w:hAnsi="Cambria"/>
          <w:sz w:val="20"/>
          <w:szCs w:val="20"/>
          <w:lang w:val="es-CO"/>
        </w:rPr>
        <w:t>.</w:t>
      </w:r>
    </w:p>
    <w:p w14:paraId="7F1C0D0C" w14:textId="77777777" w:rsidR="00BA4052" w:rsidRPr="009B3BD2" w:rsidRDefault="00BA4052" w:rsidP="00BA4052">
      <w:pPr>
        <w:pStyle w:val="ListParagraph"/>
        <w:rPr>
          <w:sz w:val="20"/>
          <w:szCs w:val="20"/>
          <w:lang w:val="es-CO"/>
        </w:rPr>
      </w:pPr>
    </w:p>
    <w:p w14:paraId="722D8569" w14:textId="1E2471A5" w:rsidR="00A22FB4" w:rsidRPr="009B3BD2" w:rsidRDefault="00334BB2" w:rsidP="00A22FB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 13 de mayo de 2014 la Sala de lo Contencioso Admini</w:t>
      </w:r>
      <w:r w:rsidR="00BA4052" w:rsidRPr="009B3BD2">
        <w:rPr>
          <w:rFonts w:ascii="Cambria" w:hAnsi="Cambria"/>
          <w:sz w:val="20"/>
          <w:szCs w:val="20"/>
          <w:lang w:val="es-CO"/>
        </w:rPr>
        <w:t>strativo del Consejo de Estado</w:t>
      </w:r>
      <w:r w:rsidRPr="009B3BD2">
        <w:rPr>
          <w:rFonts w:ascii="Cambria" w:hAnsi="Cambria"/>
          <w:sz w:val="20"/>
          <w:szCs w:val="20"/>
          <w:lang w:val="es-CO"/>
        </w:rPr>
        <w:t xml:space="preserve">, decretó la suspensión provisional de la decisión de la Sala Disciplinaria </w:t>
      </w:r>
      <w:r w:rsidR="008706BD" w:rsidRPr="009B3BD2">
        <w:rPr>
          <w:rFonts w:ascii="Cambria" w:hAnsi="Cambria"/>
          <w:sz w:val="20"/>
          <w:szCs w:val="20"/>
          <w:lang w:val="es-CO"/>
        </w:rPr>
        <w:t xml:space="preserve"> de la Procuraduría General de la Nación </w:t>
      </w:r>
      <w:r w:rsidRPr="009B3BD2">
        <w:rPr>
          <w:rFonts w:ascii="Cambria" w:hAnsi="Cambria"/>
          <w:sz w:val="20"/>
          <w:szCs w:val="20"/>
          <w:lang w:val="es-CO"/>
        </w:rPr>
        <w:t>de 9 de diciembre d</w:t>
      </w:r>
      <w:r w:rsidR="001B7DA9" w:rsidRPr="009B3BD2">
        <w:rPr>
          <w:rFonts w:ascii="Cambria" w:hAnsi="Cambria"/>
          <w:sz w:val="20"/>
          <w:szCs w:val="20"/>
          <w:lang w:val="es-CO"/>
        </w:rPr>
        <w:t>e 2013 y de 13 de enero de 2014</w:t>
      </w:r>
      <w:r w:rsidR="001B7DA9" w:rsidRPr="009B3BD2">
        <w:rPr>
          <w:rStyle w:val="FootnoteReference"/>
          <w:rFonts w:asciiTheme="majorHAnsi" w:hAnsiTheme="majorHAnsi"/>
          <w:sz w:val="20"/>
          <w:szCs w:val="20"/>
          <w:lang w:val="es-CO"/>
        </w:rPr>
        <w:footnoteReference w:id="52"/>
      </w:r>
      <w:r w:rsidR="001B7DA9" w:rsidRPr="009B3BD2">
        <w:rPr>
          <w:rFonts w:ascii="Cambria" w:hAnsi="Cambria"/>
          <w:sz w:val="20"/>
          <w:szCs w:val="20"/>
          <w:lang w:val="es-CO"/>
        </w:rPr>
        <w:t xml:space="preserve">.  </w:t>
      </w:r>
      <w:r w:rsidR="00A22FB4" w:rsidRPr="009B3BD2">
        <w:rPr>
          <w:rFonts w:ascii="Cambria" w:hAnsi="Cambria"/>
          <w:sz w:val="20"/>
          <w:szCs w:val="20"/>
          <w:lang w:val="es-CO"/>
        </w:rPr>
        <w:t xml:space="preserve">En </w:t>
      </w:r>
      <w:r w:rsidR="00161D6C" w:rsidRPr="009B3BD2">
        <w:rPr>
          <w:rFonts w:ascii="Cambria" w:hAnsi="Cambria"/>
          <w:sz w:val="20"/>
          <w:szCs w:val="20"/>
          <w:lang w:val="es-CO"/>
        </w:rPr>
        <w:t>la decisión el tribunal refirió:</w:t>
      </w:r>
    </w:p>
    <w:p w14:paraId="17118AD6" w14:textId="77777777" w:rsidR="00441F1B" w:rsidRPr="009B3BD2" w:rsidRDefault="00441F1B" w:rsidP="00441F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5763F751" w14:textId="77777777" w:rsidR="00A22FB4" w:rsidRPr="009B3BD2" w:rsidRDefault="00A22FB4"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CO"/>
        </w:rPr>
      </w:pPr>
      <w:r w:rsidRPr="009B3BD2">
        <w:rPr>
          <w:rFonts w:asciiTheme="majorHAnsi" w:hAnsiTheme="majorHAnsi"/>
          <w:sz w:val="20"/>
          <w:szCs w:val="20"/>
          <w:lang w:val="es-CO"/>
        </w:rPr>
        <w:t xml:space="preserve">Primero. </w:t>
      </w:r>
      <w:r w:rsidRPr="009B3BD2">
        <w:rPr>
          <w:rFonts w:asciiTheme="majorHAnsi" w:hAnsiTheme="majorHAnsi" w:cs="Arial"/>
          <w:b/>
          <w:sz w:val="20"/>
          <w:szCs w:val="20"/>
          <w:lang w:val="es-MX"/>
        </w:rPr>
        <w:t xml:space="preserve">DECRÉTASE </w:t>
      </w:r>
      <w:r w:rsidRPr="009B3BD2">
        <w:rPr>
          <w:rFonts w:asciiTheme="majorHAnsi" w:hAnsiTheme="majorHAnsi" w:cs="Arial"/>
          <w:sz w:val="20"/>
          <w:szCs w:val="20"/>
          <w:lang w:val="es-MX"/>
        </w:rPr>
        <w:t xml:space="preserve">la SUSPENSIÓN PROVISIONAL de los efectos jurídicos de los siguientes actos administrativos: 1.- Decisión de única instancia proferida por la Sala Disciplinaria de la Procuraduría General de la Nación de fecha 9 de diciembre de 2013, mediante la cual se impuso sanción de destitución e inhabilidad general por el término de 15 años al señor Gustavo Francisco </w:t>
      </w:r>
      <w:proofErr w:type="spellStart"/>
      <w:r w:rsidRPr="009B3BD2">
        <w:rPr>
          <w:rFonts w:asciiTheme="majorHAnsi" w:hAnsiTheme="majorHAnsi" w:cs="Arial"/>
          <w:sz w:val="20"/>
          <w:szCs w:val="20"/>
          <w:lang w:val="es-MX"/>
        </w:rPr>
        <w:t>Petro</w:t>
      </w:r>
      <w:proofErr w:type="spellEnd"/>
      <w:r w:rsidRPr="009B3BD2">
        <w:rPr>
          <w:rFonts w:asciiTheme="majorHAnsi" w:hAnsiTheme="majorHAnsi" w:cs="Arial"/>
          <w:sz w:val="20"/>
          <w:szCs w:val="20"/>
          <w:lang w:val="es-MX"/>
        </w:rPr>
        <w:t xml:space="preserve"> Urrego. 2.- Decisión del 13 de enero de 2014 proferida por la Sala Disciplinaria de la Procuraduría General de la Nación, que resolvió no reponer y en consecuencia confirmar el fallo de única instancia del 9 de diciembre de 2013</w:t>
      </w:r>
      <w:r w:rsidRPr="009B3BD2">
        <w:rPr>
          <w:rStyle w:val="FootnoteReference"/>
          <w:rFonts w:asciiTheme="majorHAnsi" w:hAnsiTheme="majorHAnsi"/>
          <w:sz w:val="20"/>
          <w:szCs w:val="20"/>
          <w:lang w:val="es-CO"/>
        </w:rPr>
        <w:footnoteReference w:id="53"/>
      </w:r>
      <w:r w:rsidRPr="009B3BD2">
        <w:rPr>
          <w:rFonts w:asciiTheme="majorHAnsi" w:hAnsiTheme="majorHAnsi" w:cs="Arial"/>
          <w:sz w:val="20"/>
          <w:szCs w:val="20"/>
          <w:lang w:val="es-MX"/>
        </w:rPr>
        <w:t xml:space="preserve">. </w:t>
      </w:r>
    </w:p>
    <w:p w14:paraId="3113C71A" w14:textId="77777777" w:rsidR="00A22FB4" w:rsidRPr="009B3BD2" w:rsidRDefault="00A22FB4" w:rsidP="00A22FB4">
      <w:pPr>
        <w:rPr>
          <w:sz w:val="20"/>
          <w:szCs w:val="20"/>
          <w:lang w:val="es-CO"/>
        </w:rPr>
      </w:pPr>
    </w:p>
    <w:p w14:paraId="068C549F" w14:textId="146017F1" w:rsidR="00A341D1" w:rsidRPr="009B3BD2" w:rsidRDefault="001B7DA9" w:rsidP="00B12AC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w:t>
      </w:r>
      <w:r w:rsidR="00334BB2" w:rsidRPr="009B3BD2">
        <w:rPr>
          <w:rFonts w:ascii="Cambria" w:hAnsi="Cambria"/>
          <w:sz w:val="20"/>
          <w:szCs w:val="20"/>
          <w:lang w:val="es-CO"/>
        </w:rPr>
        <w:t xml:space="preserve">n virtud de dicha medida, la presunta víctima fue reintegrada a su cargo como Alcalde Mayor de Bogotá. </w:t>
      </w:r>
      <w:r w:rsidR="00A341D1" w:rsidRPr="009B3BD2">
        <w:rPr>
          <w:rFonts w:ascii="Cambria" w:hAnsi="Cambria"/>
          <w:sz w:val="20"/>
          <w:szCs w:val="20"/>
          <w:lang w:val="es-CO"/>
        </w:rPr>
        <w:t>La Procuraduría General de la Nación interpuso recurso de súplica contra la decisión de 13 de mayo de 2014. El 17 de marzo de 2015 la Sala Plena de lo Contencioso Administrativo del Consejo de Estado desestimó el recurso de súplica y confirmó la decisión “que ordenó la medida cautelar de suspensión provisional de los actos administrativos demandados”</w:t>
      </w:r>
      <w:r w:rsidR="00C772D1" w:rsidRPr="009B3BD2">
        <w:rPr>
          <w:rStyle w:val="FootnoteReference"/>
          <w:rFonts w:asciiTheme="majorHAnsi" w:hAnsiTheme="majorHAnsi"/>
          <w:sz w:val="20"/>
          <w:szCs w:val="20"/>
          <w:lang w:val="es-CO"/>
        </w:rPr>
        <w:footnoteReference w:id="54"/>
      </w:r>
      <w:r w:rsidR="00A341D1" w:rsidRPr="009B3BD2">
        <w:rPr>
          <w:rFonts w:ascii="Cambria" w:hAnsi="Cambria"/>
          <w:sz w:val="20"/>
          <w:szCs w:val="20"/>
          <w:lang w:val="es-CO"/>
        </w:rPr>
        <w:t xml:space="preserve">. </w:t>
      </w:r>
    </w:p>
    <w:p w14:paraId="6C5CF831" w14:textId="77777777" w:rsidR="00B12ACF" w:rsidRPr="009B3BD2" w:rsidRDefault="00B12ACF" w:rsidP="00B12AC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52178BD9" w14:textId="3F732D6F" w:rsidR="00B12ACF" w:rsidRPr="009B3BD2" w:rsidRDefault="00B12ACF" w:rsidP="00A22FB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A la fecha, la acción de nulidad y restablecimiento del derecho no ha sido resuelta.</w:t>
      </w:r>
    </w:p>
    <w:p w14:paraId="5096FD13" w14:textId="77777777" w:rsidR="00A22FB4" w:rsidRPr="009B3BD2" w:rsidRDefault="00A22FB4" w:rsidP="00A341D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4B77AD46" w14:textId="2EE9CE72" w:rsidR="002F1883" w:rsidRPr="009B3BD2" w:rsidRDefault="0025186B" w:rsidP="00EF3D40">
      <w:pPr>
        <w:pStyle w:val="Heading2"/>
        <w:numPr>
          <w:ilvl w:val="0"/>
          <w:numId w:val="59"/>
        </w:numPr>
        <w:ind w:left="1440" w:hanging="720"/>
        <w:rPr>
          <w:rFonts w:ascii="Cambria" w:hAnsi="Cambria" w:cs="Arial"/>
          <w:bCs/>
          <w:iCs/>
          <w:lang w:val="es-VE"/>
        </w:rPr>
      </w:pPr>
      <w:bookmarkStart w:id="29" w:name="_Toc497398863"/>
      <w:r w:rsidRPr="009B3BD2">
        <w:rPr>
          <w:rFonts w:ascii="Cambria" w:hAnsi="Cambria" w:cs="Arial"/>
          <w:bCs/>
          <w:iCs/>
          <w:lang w:val="es-VE"/>
        </w:rPr>
        <w:t>Sobre el segundo proceso disciplinario</w:t>
      </w:r>
      <w:bookmarkEnd w:id="29"/>
      <w:r w:rsidRPr="009B3BD2">
        <w:rPr>
          <w:rFonts w:ascii="Cambria" w:hAnsi="Cambria" w:cs="Arial"/>
          <w:bCs/>
          <w:iCs/>
          <w:lang w:val="es-VE"/>
        </w:rPr>
        <w:t xml:space="preserve"> </w:t>
      </w:r>
    </w:p>
    <w:p w14:paraId="493F3B6F" w14:textId="77777777" w:rsidR="0024438B" w:rsidRPr="009B3BD2" w:rsidRDefault="0024438B" w:rsidP="0024438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19D7E579" w14:textId="77777777" w:rsidR="0024438B" w:rsidRPr="009B3BD2" w:rsidRDefault="004F766D" w:rsidP="0024438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VE"/>
        </w:rPr>
        <w:t>Según</w:t>
      </w:r>
      <w:r w:rsidRPr="009B3BD2">
        <w:rPr>
          <w:rFonts w:ascii="Cambria" w:hAnsi="Cambria"/>
          <w:sz w:val="20"/>
          <w:szCs w:val="20"/>
          <w:lang w:val="es-CO"/>
        </w:rPr>
        <w:t xml:space="preserve"> </w:t>
      </w:r>
      <w:r w:rsidR="0009072D" w:rsidRPr="009B3BD2">
        <w:rPr>
          <w:rFonts w:ascii="Cambria" w:hAnsi="Cambria"/>
          <w:sz w:val="20"/>
          <w:szCs w:val="20"/>
          <w:lang w:val="es-CO"/>
        </w:rPr>
        <w:t>información pública</w:t>
      </w:r>
      <w:r w:rsidRPr="009B3BD2">
        <w:rPr>
          <w:rFonts w:ascii="Cambria" w:hAnsi="Cambria"/>
          <w:sz w:val="20"/>
          <w:szCs w:val="20"/>
          <w:lang w:val="es-CO"/>
        </w:rPr>
        <w:t xml:space="preserve"> el </w:t>
      </w:r>
      <w:r w:rsidR="0009072D" w:rsidRPr="009B3BD2">
        <w:rPr>
          <w:rFonts w:ascii="Cambria" w:hAnsi="Cambria"/>
          <w:sz w:val="20"/>
          <w:szCs w:val="20"/>
          <w:lang w:val="es-CO"/>
        </w:rPr>
        <w:t>26 de agosto de 2013</w:t>
      </w:r>
      <w:r w:rsidR="0054512C" w:rsidRPr="009B3BD2">
        <w:rPr>
          <w:rFonts w:ascii="Cambria" w:hAnsi="Cambria"/>
          <w:sz w:val="20"/>
          <w:szCs w:val="20"/>
          <w:lang w:val="es-CO"/>
        </w:rPr>
        <w:t xml:space="preserve"> el Alcalde Mayor de Bogotá decretó  la “modificación excepcional de normas urbanísticas del Plan de Ordenamiento Territorial de Bogotá” a través del Decreto 364</w:t>
      </w:r>
      <w:r w:rsidR="0054512C" w:rsidRPr="009B3BD2">
        <w:rPr>
          <w:rStyle w:val="FootnoteReference"/>
          <w:rFonts w:asciiTheme="majorHAnsi" w:hAnsiTheme="majorHAnsi"/>
          <w:sz w:val="20"/>
          <w:szCs w:val="20"/>
          <w:lang w:val="es-CO"/>
        </w:rPr>
        <w:footnoteReference w:id="55"/>
      </w:r>
      <w:r w:rsidR="0054512C" w:rsidRPr="009B3BD2">
        <w:rPr>
          <w:rFonts w:ascii="Cambria" w:hAnsi="Cambria"/>
          <w:sz w:val="20"/>
          <w:szCs w:val="20"/>
          <w:lang w:val="es-CO"/>
        </w:rPr>
        <w:t>.</w:t>
      </w:r>
      <w:r w:rsidR="00EE1451" w:rsidRPr="009B3BD2">
        <w:rPr>
          <w:rFonts w:ascii="Cambria" w:hAnsi="Cambria"/>
          <w:sz w:val="20"/>
          <w:szCs w:val="20"/>
          <w:lang w:val="es-CO"/>
        </w:rPr>
        <w:t xml:space="preserve">  </w:t>
      </w:r>
    </w:p>
    <w:p w14:paraId="0A8B05C3" w14:textId="77777777" w:rsidR="0024438B" w:rsidRPr="009B3BD2" w:rsidRDefault="0024438B" w:rsidP="0024438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1268C32A" w14:textId="135742AE" w:rsidR="0054512C" w:rsidRPr="009B3BD2" w:rsidRDefault="00EE1451" w:rsidP="0024438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Indicó que c</w:t>
      </w:r>
      <w:r w:rsidR="0057700B" w:rsidRPr="009B3BD2">
        <w:rPr>
          <w:rFonts w:ascii="Cambria" w:hAnsi="Cambria"/>
          <w:sz w:val="20"/>
          <w:szCs w:val="20"/>
          <w:lang w:val="es-CO"/>
        </w:rPr>
        <w:t xml:space="preserve">onforme a un </w:t>
      </w:r>
      <w:r w:rsidR="0024438B" w:rsidRPr="009B3BD2">
        <w:rPr>
          <w:rFonts w:ascii="Cambria" w:hAnsi="Cambria"/>
          <w:sz w:val="20"/>
          <w:szCs w:val="20"/>
          <w:lang w:val="es-CO"/>
        </w:rPr>
        <w:t>Decreto</w:t>
      </w:r>
      <w:r w:rsidR="0057700B" w:rsidRPr="009B3BD2">
        <w:rPr>
          <w:rFonts w:ascii="Cambria" w:hAnsi="Cambria"/>
          <w:sz w:val="20"/>
          <w:szCs w:val="20"/>
          <w:lang w:val="es-CO"/>
        </w:rPr>
        <w:t xml:space="preserve"> </w:t>
      </w:r>
      <w:r w:rsidR="0024438B" w:rsidRPr="009B3BD2">
        <w:rPr>
          <w:rFonts w:ascii="Cambria" w:hAnsi="Cambria"/>
          <w:sz w:val="20"/>
          <w:szCs w:val="20"/>
          <w:lang w:val="es-CO"/>
        </w:rPr>
        <w:t>de 2004</w:t>
      </w:r>
      <w:r w:rsidRPr="009B3BD2">
        <w:rPr>
          <w:rFonts w:ascii="Cambria" w:hAnsi="Cambria"/>
          <w:sz w:val="20"/>
          <w:szCs w:val="20"/>
          <w:lang w:val="es-CO"/>
        </w:rPr>
        <w:t xml:space="preserve"> la modificación excepcional de las normas urbanísticas del Plan de Ordenamiento Territorial por parte del Alcalde Municipal o Distrital es posible siempre y cuando se demuestren y soporten técnicamente los motivos que dan lugar a ella, y refirió que las razones que motivaron dicha modificación son: i) cambios en las proyecciones y composición de la población de Bogotá; ii) necesidad de ejecutar proyectos de impacto en la movilidad de la ciudad; iii) integrar la gestión del riesgo y la</w:t>
      </w:r>
      <w:r w:rsidR="002F1883" w:rsidRPr="009B3BD2">
        <w:rPr>
          <w:rFonts w:ascii="Cambria" w:hAnsi="Cambria"/>
          <w:sz w:val="20"/>
          <w:szCs w:val="20"/>
          <w:lang w:val="es-CO"/>
        </w:rPr>
        <w:t xml:space="preserve"> adaptación al cambio climático al ordenamiento territorial, incorporando las determinaciones de la Ley 1523 de 2012;  iv) armonizar el ordenamiento del suelo rural con las normas nacionales establecidas en el Decreto 3600 de 2007; y v) simplificación normativa</w:t>
      </w:r>
      <w:r w:rsidR="001A1D1B" w:rsidRPr="009B3BD2">
        <w:rPr>
          <w:rStyle w:val="FootnoteReference"/>
          <w:rFonts w:asciiTheme="majorHAnsi" w:hAnsiTheme="majorHAnsi"/>
          <w:sz w:val="20"/>
          <w:szCs w:val="20"/>
          <w:lang w:val="es-CO"/>
        </w:rPr>
        <w:footnoteReference w:id="56"/>
      </w:r>
      <w:r w:rsidR="002F1883" w:rsidRPr="009B3BD2">
        <w:rPr>
          <w:rFonts w:ascii="Cambria" w:hAnsi="Cambria"/>
          <w:sz w:val="20"/>
          <w:szCs w:val="20"/>
          <w:lang w:val="es-CO"/>
        </w:rPr>
        <w:t xml:space="preserve">. </w:t>
      </w:r>
    </w:p>
    <w:p w14:paraId="17451C05" w14:textId="77777777" w:rsidR="00B144FB" w:rsidRDefault="00B144FB">
      <w:pPr>
        <w:rPr>
          <w:rFonts w:asciiTheme="majorHAnsi" w:eastAsiaTheme="majorEastAsia" w:hAnsiTheme="majorHAnsi" w:cstheme="majorBidi"/>
          <w:b/>
          <w:bCs/>
          <w:sz w:val="20"/>
          <w:szCs w:val="20"/>
          <w:lang w:val="es-CO"/>
        </w:rPr>
      </w:pPr>
      <w:r>
        <w:rPr>
          <w:sz w:val="20"/>
          <w:szCs w:val="20"/>
          <w:lang w:val="es-CO"/>
        </w:rPr>
        <w:br w:type="page"/>
      </w:r>
    </w:p>
    <w:p w14:paraId="5813D402" w14:textId="3A63872A" w:rsidR="0009072D" w:rsidRPr="009B3BD2" w:rsidRDefault="005036FF" w:rsidP="0071724E">
      <w:pPr>
        <w:pStyle w:val="Heading3"/>
        <w:numPr>
          <w:ilvl w:val="0"/>
          <w:numId w:val="60"/>
        </w:numPr>
        <w:ind w:firstLine="0"/>
        <w:rPr>
          <w:color w:val="auto"/>
          <w:sz w:val="20"/>
          <w:szCs w:val="20"/>
          <w:lang w:val="es-CO"/>
        </w:rPr>
      </w:pPr>
      <w:bookmarkStart w:id="30" w:name="_Toc497398864"/>
      <w:r w:rsidRPr="009B3BD2">
        <w:rPr>
          <w:color w:val="auto"/>
          <w:sz w:val="20"/>
          <w:szCs w:val="20"/>
          <w:lang w:val="es-CO"/>
        </w:rPr>
        <w:lastRenderedPageBreak/>
        <w:t>Cargos disciplinarios</w:t>
      </w:r>
      <w:bookmarkEnd w:id="30"/>
    </w:p>
    <w:p w14:paraId="0BB941F2" w14:textId="77777777" w:rsidR="0071724E" w:rsidRPr="009B3BD2" w:rsidRDefault="0071724E" w:rsidP="0071724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5D23A5FF" w14:textId="1A5C60CA" w:rsidR="00843AC4" w:rsidRPr="009B3BD2" w:rsidRDefault="00A72D33" w:rsidP="007172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 xml:space="preserve">El 26 de septiembre de 2013 </w:t>
      </w:r>
      <w:r w:rsidR="002D2EBA" w:rsidRPr="009B3BD2">
        <w:rPr>
          <w:rFonts w:ascii="Cambria" w:hAnsi="Cambria"/>
          <w:sz w:val="20"/>
          <w:szCs w:val="20"/>
          <w:lang w:val="es-CO"/>
        </w:rPr>
        <w:t>un</w:t>
      </w:r>
      <w:r w:rsidR="00364C4C" w:rsidRPr="009B3BD2">
        <w:rPr>
          <w:rFonts w:ascii="Cambria" w:hAnsi="Cambria"/>
          <w:sz w:val="20"/>
          <w:szCs w:val="20"/>
          <w:lang w:val="es-CO"/>
        </w:rPr>
        <w:t xml:space="preserve"> c</w:t>
      </w:r>
      <w:r w:rsidRPr="009B3BD2">
        <w:rPr>
          <w:rFonts w:ascii="Cambria" w:hAnsi="Cambria"/>
          <w:sz w:val="20"/>
          <w:szCs w:val="20"/>
          <w:lang w:val="es-CO"/>
        </w:rPr>
        <w:t>oncejal de Distrito de Bogotá denunció a la presunta víctima ante el Procurador General de la Nación por considerar que se excedió en sus funci</w:t>
      </w:r>
      <w:r w:rsidR="00364C4C" w:rsidRPr="009B3BD2">
        <w:rPr>
          <w:rFonts w:ascii="Cambria" w:hAnsi="Cambria"/>
          <w:sz w:val="20"/>
          <w:szCs w:val="20"/>
          <w:lang w:val="es-CO"/>
        </w:rPr>
        <w:t xml:space="preserve">ones al emitir el Decreto 364. </w:t>
      </w:r>
      <w:r w:rsidRPr="009B3BD2">
        <w:rPr>
          <w:rFonts w:ascii="Cambria" w:hAnsi="Cambria"/>
          <w:sz w:val="20"/>
          <w:szCs w:val="20"/>
          <w:lang w:val="es-CO"/>
        </w:rPr>
        <w:t xml:space="preserve"> Con posterioridad</w:t>
      </w:r>
      <w:r w:rsidR="00364C4C" w:rsidRPr="009B3BD2">
        <w:rPr>
          <w:rFonts w:ascii="Cambria" w:hAnsi="Cambria"/>
          <w:sz w:val="20"/>
          <w:szCs w:val="20"/>
          <w:lang w:val="es-CO"/>
        </w:rPr>
        <w:t xml:space="preserve"> se adhirió a dicha denuncia</w:t>
      </w:r>
      <w:r w:rsidRPr="009B3BD2">
        <w:rPr>
          <w:rFonts w:ascii="Cambria" w:hAnsi="Cambria"/>
          <w:sz w:val="20"/>
          <w:szCs w:val="20"/>
          <w:lang w:val="es-CO"/>
        </w:rPr>
        <w:t xml:space="preserve"> la Cámara Regional de la Construcción de Bogotá D.C</w:t>
      </w:r>
      <w:r w:rsidRPr="009B3BD2">
        <w:rPr>
          <w:rStyle w:val="FootnoteReference"/>
          <w:rFonts w:asciiTheme="majorHAnsi" w:hAnsiTheme="majorHAnsi"/>
          <w:sz w:val="20"/>
          <w:szCs w:val="20"/>
          <w:lang w:val="es-CO"/>
        </w:rPr>
        <w:footnoteReference w:id="57"/>
      </w:r>
      <w:r w:rsidRPr="009B3BD2">
        <w:rPr>
          <w:rFonts w:ascii="Cambria" w:hAnsi="Cambria"/>
          <w:sz w:val="20"/>
          <w:szCs w:val="20"/>
          <w:lang w:val="es-CO"/>
        </w:rPr>
        <w:t>.</w:t>
      </w:r>
    </w:p>
    <w:p w14:paraId="3BA4139C" w14:textId="77777777" w:rsidR="003C698B" w:rsidRPr="009B3BD2" w:rsidRDefault="003C698B" w:rsidP="003C698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209117B3" w14:textId="77777777" w:rsidR="00763D17" w:rsidRPr="009B3BD2" w:rsidRDefault="00A72D33" w:rsidP="007172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B3BD2">
        <w:rPr>
          <w:rFonts w:ascii="Cambria" w:hAnsi="Cambria"/>
          <w:sz w:val="20"/>
          <w:szCs w:val="20"/>
          <w:lang w:val="es-CO"/>
        </w:rPr>
        <w:t>En virtud de lo anterior</w:t>
      </w:r>
      <w:r w:rsidR="001A1D1B" w:rsidRPr="009B3BD2">
        <w:rPr>
          <w:rFonts w:ascii="Cambria" w:hAnsi="Cambria"/>
          <w:sz w:val="20"/>
          <w:szCs w:val="20"/>
          <w:lang w:val="es-VE"/>
        </w:rPr>
        <w:t xml:space="preserve">, la Procuraduría General de la Nación </w:t>
      </w:r>
      <w:r w:rsidR="0025186B" w:rsidRPr="009B3BD2">
        <w:rPr>
          <w:rFonts w:ascii="Cambria" w:hAnsi="Cambria"/>
          <w:sz w:val="20"/>
          <w:szCs w:val="20"/>
          <w:lang w:val="es-VE"/>
        </w:rPr>
        <w:t xml:space="preserve">inició </w:t>
      </w:r>
      <w:r w:rsidRPr="009B3BD2">
        <w:rPr>
          <w:rFonts w:ascii="Cambria" w:hAnsi="Cambria"/>
          <w:sz w:val="20"/>
          <w:szCs w:val="20"/>
          <w:lang w:val="es-VE"/>
        </w:rPr>
        <w:t>un proceso disciplinario en contra de la presunta vícti</w:t>
      </w:r>
      <w:r w:rsidR="00DC435C" w:rsidRPr="009B3BD2">
        <w:rPr>
          <w:rFonts w:ascii="Cambria" w:hAnsi="Cambria"/>
          <w:sz w:val="20"/>
          <w:szCs w:val="20"/>
          <w:lang w:val="es-VE"/>
        </w:rPr>
        <w:t xml:space="preserve">ma </w:t>
      </w:r>
      <w:r w:rsidR="0025186B" w:rsidRPr="009B3BD2">
        <w:rPr>
          <w:rFonts w:ascii="Cambria" w:hAnsi="Cambria"/>
          <w:sz w:val="20"/>
          <w:szCs w:val="20"/>
          <w:lang w:val="es-VE"/>
        </w:rPr>
        <w:t>por supuestas irregularidades cometidas en la expedición del Decreto del Pl</w:t>
      </w:r>
      <w:r w:rsidR="00763D17" w:rsidRPr="009B3BD2">
        <w:rPr>
          <w:rFonts w:ascii="Cambria" w:hAnsi="Cambria"/>
          <w:sz w:val="20"/>
          <w:szCs w:val="20"/>
          <w:lang w:val="es-VE"/>
        </w:rPr>
        <w:t>an de Ordenamiento Territorial</w:t>
      </w:r>
      <w:r w:rsidR="00CD048F" w:rsidRPr="009B3BD2">
        <w:rPr>
          <w:rStyle w:val="FootnoteReference"/>
          <w:rFonts w:asciiTheme="majorHAnsi" w:hAnsiTheme="majorHAnsi"/>
          <w:sz w:val="20"/>
          <w:szCs w:val="20"/>
          <w:lang w:val="es-CO"/>
        </w:rPr>
        <w:footnoteReference w:id="58"/>
      </w:r>
      <w:r w:rsidR="00763D17" w:rsidRPr="009B3BD2">
        <w:rPr>
          <w:rFonts w:ascii="Cambria" w:hAnsi="Cambria"/>
          <w:sz w:val="20"/>
          <w:szCs w:val="20"/>
          <w:lang w:val="es-VE"/>
        </w:rPr>
        <w:t>.</w:t>
      </w:r>
    </w:p>
    <w:p w14:paraId="7946E133" w14:textId="77777777" w:rsidR="0071724E" w:rsidRPr="009B3BD2" w:rsidRDefault="0071724E" w:rsidP="0071724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70E3EA0C" w14:textId="5F161E50" w:rsidR="00C90FF3" w:rsidRPr="009B3BD2" w:rsidRDefault="00DC435C" w:rsidP="009C6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B3BD2">
        <w:rPr>
          <w:rFonts w:ascii="Cambria" w:hAnsi="Cambria"/>
          <w:sz w:val="20"/>
          <w:szCs w:val="20"/>
          <w:lang w:val="es-VE"/>
        </w:rPr>
        <w:t xml:space="preserve">El 10 de agosto de 2015 la Procuraduría General de la Nación formuló cargos en contra de la presunta víctima </w:t>
      </w:r>
      <w:r w:rsidR="00CD048F" w:rsidRPr="009B3BD2">
        <w:rPr>
          <w:rFonts w:ascii="Cambria" w:hAnsi="Cambria"/>
          <w:sz w:val="20"/>
          <w:szCs w:val="20"/>
          <w:lang w:val="es-VE"/>
        </w:rPr>
        <w:t>porque “incumplió las normas constitucionales, legales y reglamentaria</w:t>
      </w:r>
      <w:r w:rsidR="003D1275" w:rsidRPr="009B3BD2">
        <w:rPr>
          <w:rFonts w:ascii="Cambria" w:hAnsi="Cambria"/>
          <w:sz w:val="20"/>
          <w:szCs w:val="20"/>
          <w:lang w:val="es-VE"/>
        </w:rPr>
        <w:t>s</w:t>
      </w:r>
      <w:r w:rsidR="00CD048F" w:rsidRPr="009B3BD2">
        <w:rPr>
          <w:rFonts w:ascii="Cambria" w:hAnsi="Cambria"/>
          <w:sz w:val="20"/>
          <w:szCs w:val="20"/>
          <w:lang w:val="es-VE"/>
        </w:rPr>
        <w:t xml:space="preserve"> que le imponían el deber de acatar la decisión del Concejo</w:t>
      </w:r>
      <w:r w:rsidR="003D1275" w:rsidRPr="009B3BD2">
        <w:rPr>
          <w:rFonts w:ascii="Cambria" w:hAnsi="Cambria"/>
          <w:sz w:val="20"/>
          <w:szCs w:val="20"/>
          <w:lang w:val="es-VE"/>
        </w:rPr>
        <w:t xml:space="preserve"> Distrital” el cual se pronunció</w:t>
      </w:r>
      <w:r w:rsidR="00CD048F" w:rsidRPr="009B3BD2">
        <w:rPr>
          <w:rFonts w:ascii="Cambria" w:hAnsi="Cambria"/>
          <w:sz w:val="20"/>
          <w:szCs w:val="20"/>
          <w:lang w:val="es-VE"/>
        </w:rPr>
        <w:t xml:space="preserve"> de manera negativa respecto de su proyecto de acuerdo</w:t>
      </w:r>
      <w:r w:rsidR="00CD048F" w:rsidRPr="009B3BD2">
        <w:rPr>
          <w:rStyle w:val="FootnoteReference"/>
          <w:rFonts w:asciiTheme="majorHAnsi" w:hAnsiTheme="majorHAnsi"/>
          <w:sz w:val="20"/>
          <w:szCs w:val="20"/>
          <w:lang w:val="es-CO"/>
        </w:rPr>
        <w:footnoteReference w:id="59"/>
      </w:r>
      <w:r w:rsidR="000C7EE7" w:rsidRPr="009B3BD2">
        <w:rPr>
          <w:rFonts w:ascii="Cambria" w:hAnsi="Cambria"/>
          <w:sz w:val="20"/>
          <w:szCs w:val="20"/>
          <w:lang w:val="es-CO"/>
        </w:rPr>
        <w:t xml:space="preserve"> </w:t>
      </w:r>
      <w:r w:rsidR="005036FF" w:rsidRPr="009B3BD2">
        <w:rPr>
          <w:rFonts w:ascii="Cambria" w:hAnsi="Cambria"/>
          <w:sz w:val="20"/>
          <w:szCs w:val="20"/>
          <w:lang w:val="es-CO"/>
        </w:rPr>
        <w:t xml:space="preserve">, sin embargo “optó </w:t>
      </w:r>
      <w:r w:rsidR="006D4F0C" w:rsidRPr="009B3BD2">
        <w:rPr>
          <w:rFonts w:ascii="Cambria" w:hAnsi="Cambria"/>
          <w:sz w:val="20"/>
          <w:szCs w:val="20"/>
          <w:lang w:val="es-CO"/>
        </w:rPr>
        <w:t>por expedir voluntariamente el D</w:t>
      </w:r>
      <w:r w:rsidR="005036FF" w:rsidRPr="009B3BD2">
        <w:rPr>
          <w:rFonts w:ascii="Cambria" w:hAnsi="Cambria"/>
          <w:sz w:val="20"/>
          <w:szCs w:val="20"/>
          <w:lang w:val="es-CO"/>
        </w:rPr>
        <w:t>ecreto 364</w:t>
      </w:r>
      <w:r w:rsidR="006D4F0C" w:rsidRPr="009B3BD2">
        <w:rPr>
          <w:rFonts w:ascii="Cambria" w:hAnsi="Cambria"/>
          <w:sz w:val="20"/>
          <w:szCs w:val="20"/>
          <w:lang w:val="es-CO"/>
        </w:rPr>
        <w:t>(…)</w:t>
      </w:r>
      <w:r w:rsidR="005036FF" w:rsidRPr="009B3BD2">
        <w:rPr>
          <w:rFonts w:ascii="Cambria" w:hAnsi="Cambria"/>
          <w:sz w:val="20"/>
          <w:szCs w:val="20"/>
          <w:lang w:val="es-CO"/>
        </w:rPr>
        <w:t>”</w:t>
      </w:r>
      <w:r w:rsidR="005036FF" w:rsidRPr="009B3BD2">
        <w:rPr>
          <w:rStyle w:val="FootnoteReference"/>
          <w:rFonts w:asciiTheme="majorHAnsi" w:hAnsiTheme="majorHAnsi"/>
          <w:sz w:val="20"/>
          <w:szCs w:val="20"/>
          <w:lang w:val="es-CO"/>
        </w:rPr>
        <w:footnoteReference w:id="60"/>
      </w:r>
      <w:r w:rsidR="005036FF" w:rsidRPr="009B3BD2">
        <w:rPr>
          <w:rFonts w:asciiTheme="majorHAnsi" w:hAnsiTheme="majorHAnsi"/>
          <w:sz w:val="20"/>
          <w:szCs w:val="20"/>
          <w:lang w:val="es-CO"/>
        </w:rPr>
        <w:t xml:space="preserve">. </w:t>
      </w:r>
      <w:r w:rsidR="00851A93" w:rsidRPr="009B3BD2">
        <w:rPr>
          <w:rFonts w:asciiTheme="majorHAnsi" w:hAnsiTheme="majorHAnsi"/>
          <w:sz w:val="20"/>
          <w:szCs w:val="20"/>
          <w:lang w:val="es-CO"/>
        </w:rPr>
        <w:t xml:space="preserve"> </w:t>
      </w:r>
      <w:r w:rsidR="005036FF" w:rsidRPr="009B3BD2">
        <w:rPr>
          <w:rFonts w:ascii="Cambria" w:hAnsi="Cambria"/>
          <w:sz w:val="20"/>
          <w:szCs w:val="20"/>
          <w:lang w:val="es-VE"/>
        </w:rPr>
        <w:t>En</w:t>
      </w:r>
      <w:r w:rsidR="005036FF" w:rsidRPr="009B3BD2">
        <w:rPr>
          <w:rFonts w:asciiTheme="majorHAnsi" w:hAnsiTheme="majorHAnsi"/>
          <w:sz w:val="20"/>
          <w:szCs w:val="20"/>
          <w:lang w:val="es-CO"/>
        </w:rPr>
        <w:t xml:space="preserve"> los cargos se calificó como una falta grave la conducta de la presunta víctima, por el grado de culpabilidad, tratarse del Alcalde Mayor de Bogotá  y tener trascendencia social, “en razón a que</w:t>
      </w:r>
      <w:r w:rsidR="009E09DB" w:rsidRPr="009B3BD2">
        <w:rPr>
          <w:rFonts w:asciiTheme="majorHAnsi" w:hAnsiTheme="majorHAnsi"/>
          <w:sz w:val="20"/>
          <w:szCs w:val="20"/>
          <w:lang w:val="es-CO"/>
        </w:rPr>
        <w:t xml:space="preserve"> el uso del suelo es un aspecto</w:t>
      </w:r>
      <w:r w:rsidR="005036FF" w:rsidRPr="009B3BD2">
        <w:rPr>
          <w:rFonts w:asciiTheme="majorHAnsi" w:hAnsiTheme="majorHAnsi"/>
          <w:sz w:val="20"/>
          <w:szCs w:val="20"/>
          <w:lang w:val="es-CO"/>
        </w:rPr>
        <w:t xml:space="preserve"> que afecta “al conglomerado en general”</w:t>
      </w:r>
      <w:r w:rsidR="005036FF" w:rsidRPr="009B3BD2">
        <w:rPr>
          <w:rStyle w:val="FootnoteReference"/>
          <w:rFonts w:asciiTheme="majorHAnsi" w:hAnsiTheme="majorHAnsi"/>
          <w:sz w:val="20"/>
          <w:szCs w:val="20"/>
          <w:lang w:val="es-CO"/>
        </w:rPr>
        <w:footnoteReference w:id="61"/>
      </w:r>
      <w:r w:rsidR="005036FF" w:rsidRPr="009B3BD2">
        <w:rPr>
          <w:rFonts w:asciiTheme="majorHAnsi" w:hAnsiTheme="majorHAnsi"/>
          <w:sz w:val="20"/>
          <w:szCs w:val="20"/>
          <w:lang w:val="es-CO"/>
        </w:rPr>
        <w:t>.</w:t>
      </w:r>
    </w:p>
    <w:p w14:paraId="7296C677" w14:textId="77777777" w:rsidR="003C698B" w:rsidRPr="009B3BD2" w:rsidRDefault="003C698B" w:rsidP="003C698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1D48CA07" w14:textId="0D9CC1C7" w:rsidR="005F7A67" w:rsidRPr="009B3BD2" w:rsidRDefault="00851A93" w:rsidP="00C90FF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B3BD2">
        <w:rPr>
          <w:rFonts w:ascii="Cambria" w:hAnsi="Cambria"/>
          <w:sz w:val="20"/>
          <w:szCs w:val="20"/>
          <w:lang w:val="es-VE"/>
        </w:rPr>
        <w:t>En el marco del proceso la presunta víctima presentó una se</w:t>
      </w:r>
      <w:r w:rsidR="00D31555" w:rsidRPr="009B3BD2">
        <w:rPr>
          <w:rFonts w:ascii="Cambria" w:hAnsi="Cambria"/>
          <w:sz w:val="20"/>
          <w:szCs w:val="20"/>
          <w:lang w:val="es-VE"/>
        </w:rPr>
        <w:t>rie de alegatos de descargo. En particular, refirió que tenía la facultad para expedir el Decreto 364 conforme al artículo 12 de la Ley 810 de 2003, porque el 7 d</w:t>
      </w:r>
      <w:r w:rsidR="00207CFE" w:rsidRPr="009B3BD2">
        <w:rPr>
          <w:rFonts w:ascii="Cambria" w:hAnsi="Cambria"/>
          <w:sz w:val="20"/>
          <w:szCs w:val="20"/>
          <w:lang w:val="es-VE"/>
        </w:rPr>
        <w:t>e junio de 2013 el proyecto de A</w:t>
      </w:r>
      <w:r w:rsidR="00D31555" w:rsidRPr="009B3BD2">
        <w:rPr>
          <w:rFonts w:ascii="Cambria" w:hAnsi="Cambria"/>
          <w:sz w:val="20"/>
          <w:szCs w:val="20"/>
          <w:lang w:val="es-VE"/>
        </w:rPr>
        <w:t>cuerdo 118</w:t>
      </w:r>
      <w:r w:rsidR="00937426" w:rsidRPr="009B3BD2">
        <w:rPr>
          <w:rFonts w:ascii="Cambria" w:hAnsi="Cambria"/>
          <w:sz w:val="20"/>
          <w:szCs w:val="20"/>
          <w:lang w:val="es-VE"/>
        </w:rPr>
        <w:t>, que proponía modificaciones al ordenamiento territorial,</w:t>
      </w:r>
      <w:r w:rsidR="00D31555" w:rsidRPr="009B3BD2">
        <w:rPr>
          <w:rFonts w:ascii="Cambria" w:hAnsi="Cambria"/>
          <w:sz w:val="20"/>
          <w:szCs w:val="20"/>
          <w:lang w:val="es-VE"/>
        </w:rPr>
        <w:t xml:space="preserve"> fue “no aprobado”. Refirió al respecto que debe confe</w:t>
      </w:r>
      <w:r w:rsidR="009E09DB" w:rsidRPr="009B3BD2">
        <w:rPr>
          <w:rFonts w:ascii="Cambria" w:hAnsi="Cambria"/>
          <w:sz w:val="20"/>
          <w:szCs w:val="20"/>
          <w:lang w:val="es-VE"/>
        </w:rPr>
        <w:t xml:space="preserve">rírsele el significado natural </w:t>
      </w:r>
      <w:r w:rsidR="00D31555" w:rsidRPr="009B3BD2">
        <w:rPr>
          <w:rFonts w:ascii="Cambria" w:hAnsi="Cambria"/>
          <w:sz w:val="20"/>
          <w:szCs w:val="20"/>
          <w:lang w:val="es-VE"/>
        </w:rPr>
        <w:t>y obvio a las palabras “no aprueba” del artículo 12 de la Ley 810 de 2003, es decir que debe significar “no estar de acuerdo con el proyecto”</w:t>
      </w:r>
      <w:r w:rsidR="00D31555" w:rsidRPr="009B3BD2">
        <w:rPr>
          <w:rStyle w:val="FootnoteReference"/>
          <w:rFonts w:asciiTheme="majorHAnsi" w:hAnsiTheme="majorHAnsi"/>
          <w:sz w:val="20"/>
          <w:szCs w:val="20"/>
          <w:lang w:val="es-CO"/>
        </w:rPr>
        <w:footnoteReference w:id="62"/>
      </w:r>
      <w:r w:rsidR="005F7A67" w:rsidRPr="009B3BD2">
        <w:rPr>
          <w:rFonts w:asciiTheme="majorHAnsi" w:hAnsiTheme="majorHAnsi"/>
          <w:sz w:val="20"/>
          <w:szCs w:val="20"/>
          <w:lang w:val="es-CO"/>
        </w:rPr>
        <w:t xml:space="preserve">. </w:t>
      </w:r>
      <w:r w:rsidR="00D31555" w:rsidRPr="009B3BD2">
        <w:rPr>
          <w:rFonts w:asciiTheme="majorHAnsi" w:hAnsiTheme="majorHAnsi"/>
          <w:sz w:val="20"/>
          <w:szCs w:val="20"/>
          <w:lang w:val="es-CO"/>
        </w:rPr>
        <w:t xml:space="preserve">Asimismo, argumentó que </w:t>
      </w:r>
      <w:r w:rsidR="005247DC" w:rsidRPr="009B3BD2">
        <w:rPr>
          <w:rFonts w:asciiTheme="majorHAnsi" w:hAnsiTheme="majorHAnsi"/>
          <w:sz w:val="20"/>
          <w:szCs w:val="20"/>
          <w:lang w:val="es-CO"/>
        </w:rPr>
        <w:t>no existe conducta típica, y que si bien, en materia disciplinaria la tipicidad es abierta, debe señalarse inequívocamente la existencia de una falta disciplinaria, lo cual no sucede en este caso, en el que existen otras interpretaciones jurídicas y razonables de las normas invocadas</w:t>
      </w:r>
      <w:r w:rsidR="009E09DB" w:rsidRPr="009B3BD2">
        <w:rPr>
          <w:rStyle w:val="FootnoteReference"/>
          <w:rFonts w:asciiTheme="majorHAnsi" w:hAnsiTheme="majorHAnsi"/>
          <w:sz w:val="20"/>
          <w:szCs w:val="20"/>
          <w:lang w:val="es-CO"/>
        </w:rPr>
        <w:footnoteReference w:id="63"/>
      </w:r>
      <w:r w:rsidR="005247DC" w:rsidRPr="009B3BD2">
        <w:rPr>
          <w:rFonts w:asciiTheme="majorHAnsi" w:hAnsiTheme="majorHAnsi"/>
          <w:sz w:val="20"/>
          <w:szCs w:val="20"/>
          <w:lang w:val="es-CO"/>
        </w:rPr>
        <w:t xml:space="preserve">. </w:t>
      </w:r>
      <w:r w:rsidR="00D31555" w:rsidRPr="009B3BD2">
        <w:rPr>
          <w:rFonts w:ascii="Cambria" w:hAnsi="Cambria"/>
          <w:sz w:val="20"/>
          <w:szCs w:val="20"/>
          <w:lang w:val="es-VE"/>
        </w:rPr>
        <w:t xml:space="preserve"> </w:t>
      </w:r>
    </w:p>
    <w:p w14:paraId="0C7B3FB2" w14:textId="77777777" w:rsidR="005F7A67" w:rsidRPr="009B3BD2" w:rsidRDefault="005F7A67" w:rsidP="00C90FF3">
      <w:pPr>
        <w:pStyle w:val="Heading3"/>
        <w:numPr>
          <w:ilvl w:val="0"/>
          <w:numId w:val="60"/>
        </w:numPr>
        <w:ind w:firstLine="0"/>
        <w:rPr>
          <w:b w:val="0"/>
          <w:sz w:val="20"/>
          <w:szCs w:val="20"/>
          <w:lang w:val="es-CO"/>
        </w:rPr>
      </w:pPr>
      <w:bookmarkStart w:id="31" w:name="_Toc497398865"/>
      <w:r w:rsidRPr="009B3BD2">
        <w:rPr>
          <w:color w:val="auto"/>
          <w:sz w:val="20"/>
          <w:szCs w:val="20"/>
          <w:lang w:val="es-CO"/>
        </w:rPr>
        <w:t>Suspensión del Decreto 364 por el Consejo de Estado</w:t>
      </w:r>
      <w:bookmarkEnd w:id="31"/>
      <w:r w:rsidRPr="009B3BD2">
        <w:rPr>
          <w:color w:val="auto"/>
          <w:sz w:val="20"/>
          <w:szCs w:val="20"/>
          <w:lang w:val="es-CO"/>
        </w:rPr>
        <w:t xml:space="preserve"> </w:t>
      </w:r>
    </w:p>
    <w:p w14:paraId="6F473846" w14:textId="77777777" w:rsidR="00C90FF3" w:rsidRPr="009B3BD2" w:rsidRDefault="00C90FF3" w:rsidP="00C90FF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1A46C081" w14:textId="36BD5445" w:rsidR="005F7A67" w:rsidRPr="009B3BD2" w:rsidRDefault="005F7A67" w:rsidP="00C90FF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 27 de marzo de 2014 la Sala de lo Contencioso Administrativo del Consejo de Estado decretó la suspensión provisional del De</w:t>
      </w:r>
      <w:r w:rsidR="00995AFE" w:rsidRPr="009B3BD2">
        <w:rPr>
          <w:rFonts w:ascii="Cambria" w:hAnsi="Cambria"/>
          <w:sz w:val="20"/>
          <w:szCs w:val="20"/>
          <w:lang w:val="es-CO"/>
        </w:rPr>
        <w:t xml:space="preserve">creto, luego de considerar que </w:t>
      </w:r>
      <w:r w:rsidRPr="009B3BD2">
        <w:rPr>
          <w:rFonts w:ascii="Cambria" w:hAnsi="Cambria"/>
          <w:sz w:val="20"/>
          <w:szCs w:val="20"/>
          <w:lang w:val="es-CO"/>
        </w:rPr>
        <w:t xml:space="preserve">si bien el Alcalde tiene la facultad de modificar excepcionalmente el Plan de Ordenamiento Territorial, “ello solo es posible cuando el Concejo no toma ninguna decisión sobre el Proyecto de Acuerdo de revisión, en el sentido de aprobarlo o negarlo en un plazo de 90 días calendario, lo cual no aconteció en el sub lite, pues, como quedó visto, la Corporación </w:t>
      </w:r>
      <w:proofErr w:type="spellStart"/>
      <w:r w:rsidRPr="009B3BD2">
        <w:rPr>
          <w:rFonts w:ascii="Cambria" w:hAnsi="Cambria"/>
          <w:sz w:val="20"/>
          <w:szCs w:val="20"/>
          <w:lang w:val="es-CO"/>
        </w:rPr>
        <w:t>Edilicea</w:t>
      </w:r>
      <w:proofErr w:type="spellEnd"/>
      <w:r w:rsidRPr="009B3BD2">
        <w:rPr>
          <w:rFonts w:ascii="Cambria" w:hAnsi="Cambria"/>
          <w:sz w:val="20"/>
          <w:szCs w:val="20"/>
          <w:lang w:val="es-CO"/>
        </w:rPr>
        <w:t xml:space="preserve"> </w:t>
      </w:r>
      <w:r w:rsidRPr="009B3BD2">
        <w:rPr>
          <w:rFonts w:ascii="Cambria" w:hAnsi="Cambria"/>
          <w:sz w:val="20"/>
          <w:szCs w:val="20"/>
          <w:lang w:val="es-CO"/>
        </w:rPr>
        <w:lastRenderedPageBreak/>
        <w:t>de Bogotá se pronunció de manera negativa respecto del Proyecto de Acuerdo 118 de 2013, por lo que, se repite, el Alcalde no podía adoptarlo por Decreto”</w:t>
      </w:r>
      <w:r w:rsidRPr="009B3BD2">
        <w:rPr>
          <w:rStyle w:val="FootnoteReference"/>
          <w:rFonts w:asciiTheme="majorHAnsi" w:hAnsiTheme="majorHAnsi"/>
          <w:sz w:val="20"/>
          <w:szCs w:val="20"/>
          <w:lang w:val="es-CO"/>
        </w:rPr>
        <w:footnoteReference w:id="64"/>
      </w:r>
      <w:r w:rsidRPr="009B3BD2">
        <w:rPr>
          <w:rFonts w:ascii="Cambria" w:hAnsi="Cambria"/>
          <w:sz w:val="20"/>
          <w:szCs w:val="20"/>
          <w:lang w:val="es-CO"/>
        </w:rPr>
        <w:t xml:space="preserve">. </w:t>
      </w:r>
    </w:p>
    <w:p w14:paraId="2753DE12" w14:textId="77777777" w:rsidR="003435FF" w:rsidRPr="009B3BD2" w:rsidRDefault="003435FF" w:rsidP="003435FF">
      <w:pPr>
        <w:pStyle w:val="Heading3"/>
        <w:numPr>
          <w:ilvl w:val="0"/>
          <w:numId w:val="60"/>
        </w:numPr>
        <w:ind w:firstLine="0"/>
        <w:rPr>
          <w:rFonts w:ascii="Cambria" w:hAnsi="Cambria"/>
          <w:sz w:val="20"/>
          <w:szCs w:val="20"/>
          <w:lang w:val="es-CO"/>
        </w:rPr>
      </w:pPr>
      <w:bookmarkStart w:id="32" w:name="_Toc497398866"/>
      <w:r w:rsidRPr="009B3BD2">
        <w:rPr>
          <w:color w:val="auto"/>
          <w:sz w:val="20"/>
          <w:szCs w:val="20"/>
          <w:lang w:val="es-CO"/>
        </w:rPr>
        <w:t xml:space="preserve">Decisión </w:t>
      </w:r>
      <w:r w:rsidR="008F753A" w:rsidRPr="009B3BD2">
        <w:rPr>
          <w:color w:val="auto"/>
          <w:sz w:val="20"/>
          <w:szCs w:val="20"/>
          <w:lang w:val="es-CO"/>
        </w:rPr>
        <w:t xml:space="preserve">sancionatoria </w:t>
      </w:r>
      <w:r w:rsidRPr="009B3BD2">
        <w:rPr>
          <w:color w:val="auto"/>
          <w:sz w:val="20"/>
          <w:szCs w:val="20"/>
          <w:lang w:val="es-CO"/>
        </w:rPr>
        <w:t>de única instancia</w:t>
      </w:r>
      <w:bookmarkEnd w:id="32"/>
    </w:p>
    <w:p w14:paraId="577B1DC6" w14:textId="77777777" w:rsidR="003435FF" w:rsidRPr="009B3BD2" w:rsidRDefault="003435FF" w:rsidP="003435F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2932087A" w14:textId="7C058039" w:rsidR="003435FF" w:rsidRPr="009B3BD2" w:rsidRDefault="003435FF" w:rsidP="003435F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 27 de junio de 2016 el Procurador General de la Nación dio por “agotadas las etapas dentro del proceso disciplinario” y dictó fallo de única instancia  en el que decidió “SANCIONAR al señor GUSTAVO FRANCISCO PETRO URREGO (…) por la falta grave a título de dolo, con DOCE MESES DE SUSPENSIÓN E INHABILIDAD ESPECIAL por el mismo término, conforme a las consideraciones de este despacho”. Asimismo determinó “NO REPONER la decisión del 30 de marzo d</w:t>
      </w:r>
      <w:r w:rsidR="007D4E13" w:rsidRPr="009B3BD2">
        <w:rPr>
          <w:rFonts w:ascii="Cambria" w:hAnsi="Cambria"/>
          <w:sz w:val="20"/>
          <w:szCs w:val="20"/>
          <w:lang w:val="es-CO"/>
        </w:rPr>
        <w:t>e 2016, en la que se resolvió una</w:t>
      </w:r>
      <w:r w:rsidRPr="009B3BD2">
        <w:rPr>
          <w:rFonts w:ascii="Cambria" w:hAnsi="Cambria"/>
          <w:sz w:val="20"/>
          <w:szCs w:val="20"/>
          <w:lang w:val="es-CO"/>
        </w:rPr>
        <w:t xml:space="preserve"> solicitud de nulidad del apoderado del disciplinado, advirtiendo que contra esta decisión no proceden recursos por la vía administrativa”</w:t>
      </w:r>
      <w:r w:rsidRPr="009B3BD2">
        <w:rPr>
          <w:rStyle w:val="FootnoteReference"/>
          <w:rFonts w:asciiTheme="majorHAnsi" w:hAnsiTheme="majorHAnsi"/>
          <w:sz w:val="20"/>
          <w:szCs w:val="20"/>
          <w:lang w:val="es-CO"/>
        </w:rPr>
        <w:footnoteReference w:id="65"/>
      </w:r>
      <w:r w:rsidRPr="009B3BD2">
        <w:rPr>
          <w:rFonts w:ascii="Cambria" w:hAnsi="Cambria"/>
          <w:sz w:val="20"/>
          <w:szCs w:val="20"/>
          <w:lang w:val="es-CO"/>
        </w:rPr>
        <w:t xml:space="preserve">.  </w:t>
      </w:r>
    </w:p>
    <w:p w14:paraId="13061C7E" w14:textId="77777777" w:rsidR="003435FF" w:rsidRPr="009B3BD2" w:rsidRDefault="003435FF" w:rsidP="00A65056">
      <w:pPr>
        <w:rPr>
          <w:sz w:val="20"/>
          <w:szCs w:val="20"/>
          <w:lang w:val="es-CO"/>
        </w:rPr>
      </w:pPr>
    </w:p>
    <w:p w14:paraId="6C7FD567" w14:textId="3FAF97BA" w:rsidR="003435FF" w:rsidRPr="009B3BD2" w:rsidRDefault="003435FF" w:rsidP="003435F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 xml:space="preserve">Por otra parte, calificó la falta como grave tomando en cuenta “el grado de culpabilidad”,  </w:t>
      </w:r>
      <w:r w:rsidR="00D0263C" w:rsidRPr="009B3BD2">
        <w:rPr>
          <w:rFonts w:ascii="Cambria" w:hAnsi="Cambria"/>
          <w:sz w:val="20"/>
          <w:szCs w:val="20"/>
          <w:lang w:val="es-CO"/>
        </w:rPr>
        <w:t xml:space="preserve">y </w:t>
      </w:r>
      <w:r w:rsidRPr="009B3BD2">
        <w:rPr>
          <w:rFonts w:ascii="Cambria" w:hAnsi="Cambria"/>
          <w:sz w:val="20"/>
          <w:szCs w:val="20"/>
          <w:lang w:val="es-CO"/>
        </w:rPr>
        <w:t>“la jerarquía y el mando del servidor público”, indicando que se trata del Alca</w:t>
      </w:r>
      <w:r w:rsidR="00BD07CD" w:rsidRPr="009B3BD2">
        <w:rPr>
          <w:rFonts w:ascii="Cambria" w:hAnsi="Cambria"/>
          <w:sz w:val="20"/>
          <w:szCs w:val="20"/>
          <w:lang w:val="es-CO"/>
        </w:rPr>
        <w:t xml:space="preserve">lde Distrital de Bogotá “lo que </w:t>
      </w:r>
      <w:r w:rsidRPr="009B3BD2">
        <w:rPr>
          <w:rFonts w:ascii="Cambria" w:hAnsi="Cambria"/>
          <w:sz w:val="20"/>
          <w:szCs w:val="20"/>
          <w:lang w:val="es-CO"/>
        </w:rPr>
        <w:t>debe generar en la administración ese ejemplo sobre el cumplimiento de las disposiciones constitucionales, legales y reglamentarias que hacen parte del ordenamiento jurídico”, así como “la trascendencia social de la falta”, refiriendo respecto de este último aspecto que “el uso del suelo (…) afecta al conglomerado de manera general”</w:t>
      </w:r>
      <w:r w:rsidRPr="009B3BD2">
        <w:rPr>
          <w:rStyle w:val="FootnoteReference"/>
          <w:rFonts w:asciiTheme="majorHAnsi" w:hAnsiTheme="majorHAnsi"/>
          <w:sz w:val="20"/>
          <w:szCs w:val="20"/>
          <w:lang w:val="es-CO"/>
        </w:rPr>
        <w:t xml:space="preserve"> </w:t>
      </w:r>
      <w:r w:rsidRPr="009B3BD2">
        <w:rPr>
          <w:rStyle w:val="FootnoteReference"/>
          <w:rFonts w:asciiTheme="majorHAnsi" w:hAnsiTheme="majorHAnsi"/>
          <w:sz w:val="20"/>
          <w:szCs w:val="20"/>
          <w:lang w:val="es-CO"/>
        </w:rPr>
        <w:footnoteReference w:id="66"/>
      </w:r>
      <w:r w:rsidR="00EB1F62" w:rsidRPr="009B3BD2">
        <w:rPr>
          <w:rFonts w:ascii="Cambria" w:hAnsi="Cambria"/>
          <w:sz w:val="20"/>
          <w:szCs w:val="20"/>
          <w:lang w:val="es-CO"/>
        </w:rPr>
        <w:t xml:space="preserve">. </w:t>
      </w:r>
      <w:r w:rsidRPr="009B3BD2">
        <w:rPr>
          <w:rFonts w:ascii="Cambria" w:hAnsi="Cambria"/>
          <w:sz w:val="20"/>
          <w:szCs w:val="20"/>
          <w:lang w:val="es-CO"/>
        </w:rPr>
        <w:t>Por ello decidió imponer la pena de doce meses de suspensión en el cargo e inhabilitación por el mismo término “de acuerdo a los criterios de dosificación contenidos en el artículo 47 de la Ley 734 de 2002” tomando en cuenta los elementos anteriores “que hacen parte del juicio de proporcionalidad y razonabilidad entendiendo que se parte de un mínimo y de un máximo para imponer la sanción, en los términos del artículo 46 de la Ley 734 de 2002, que impide que sea inferior a 30 días ni superior a 12 meses”</w:t>
      </w:r>
      <w:r w:rsidRPr="009B3BD2">
        <w:rPr>
          <w:rStyle w:val="FootnoteReference"/>
          <w:rFonts w:asciiTheme="majorHAnsi" w:hAnsiTheme="majorHAnsi"/>
          <w:sz w:val="20"/>
          <w:szCs w:val="20"/>
          <w:lang w:val="es-CO"/>
        </w:rPr>
        <w:t xml:space="preserve"> </w:t>
      </w:r>
      <w:r w:rsidRPr="009B3BD2">
        <w:rPr>
          <w:rStyle w:val="FootnoteReference"/>
          <w:rFonts w:asciiTheme="majorHAnsi" w:hAnsiTheme="majorHAnsi"/>
          <w:sz w:val="20"/>
          <w:szCs w:val="20"/>
          <w:lang w:val="es-CO"/>
        </w:rPr>
        <w:footnoteReference w:id="67"/>
      </w:r>
      <w:r w:rsidRPr="009B3BD2">
        <w:rPr>
          <w:rFonts w:ascii="Cambria" w:hAnsi="Cambria"/>
          <w:sz w:val="20"/>
          <w:szCs w:val="20"/>
          <w:lang w:val="es-CO"/>
        </w:rPr>
        <w:t>.</w:t>
      </w:r>
    </w:p>
    <w:p w14:paraId="37DC8992" w14:textId="77777777" w:rsidR="00223317" w:rsidRPr="009B3BD2" w:rsidRDefault="00223317" w:rsidP="00223317">
      <w:pPr>
        <w:pStyle w:val="ListParagraph"/>
        <w:rPr>
          <w:sz w:val="20"/>
          <w:szCs w:val="20"/>
          <w:lang w:val="es-CO"/>
        </w:rPr>
      </w:pPr>
    </w:p>
    <w:p w14:paraId="229669A0" w14:textId="69209331" w:rsidR="00223317" w:rsidRPr="009B3BD2" w:rsidRDefault="00223317" w:rsidP="00223317">
      <w:pPr>
        <w:pStyle w:val="Heading3"/>
        <w:numPr>
          <w:ilvl w:val="0"/>
          <w:numId w:val="60"/>
        </w:numPr>
        <w:ind w:firstLine="0"/>
        <w:rPr>
          <w:rFonts w:ascii="Cambria" w:hAnsi="Cambria"/>
          <w:sz w:val="20"/>
          <w:szCs w:val="20"/>
          <w:lang w:val="es-CO"/>
        </w:rPr>
      </w:pPr>
      <w:bookmarkStart w:id="33" w:name="_Toc497398867"/>
      <w:r w:rsidRPr="009B3BD2">
        <w:rPr>
          <w:color w:val="auto"/>
          <w:sz w:val="20"/>
          <w:szCs w:val="20"/>
          <w:lang w:val="es-CO"/>
        </w:rPr>
        <w:t>Promulgación de la Ley 1864</w:t>
      </w:r>
      <w:r w:rsidR="008706BD" w:rsidRPr="009B3BD2">
        <w:rPr>
          <w:color w:val="auto"/>
          <w:sz w:val="20"/>
          <w:szCs w:val="20"/>
          <w:lang w:val="es-CO"/>
        </w:rPr>
        <w:t xml:space="preserve"> de 2017</w:t>
      </w:r>
      <w:bookmarkEnd w:id="33"/>
    </w:p>
    <w:p w14:paraId="7F2AC321" w14:textId="77777777" w:rsidR="00992B32" w:rsidRPr="009B3BD2" w:rsidRDefault="00992B32" w:rsidP="00223317">
      <w:pPr>
        <w:rPr>
          <w:sz w:val="20"/>
          <w:szCs w:val="20"/>
          <w:lang w:val="es-CO"/>
        </w:rPr>
      </w:pPr>
    </w:p>
    <w:p w14:paraId="268CCCCA" w14:textId="0646AA06" w:rsidR="00992B32" w:rsidRPr="009B3BD2" w:rsidRDefault="00992B32" w:rsidP="003435F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 17 de agosto de 2017 el Congreso de Colombia promulgó</w:t>
      </w:r>
      <w:r w:rsidR="000D0B39" w:rsidRPr="009B3BD2">
        <w:rPr>
          <w:rFonts w:ascii="Cambria" w:hAnsi="Cambria"/>
          <w:sz w:val="20"/>
          <w:szCs w:val="20"/>
          <w:lang w:val="es-CO"/>
        </w:rPr>
        <w:t xml:space="preserve"> la Ley 1864 que establece en su</w:t>
      </w:r>
      <w:r w:rsidRPr="009B3BD2">
        <w:rPr>
          <w:rFonts w:ascii="Cambria" w:hAnsi="Cambria"/>
          <w:sz w:val="20"/>
          <w:szCs w:val="20"/>
          <w:lang w:val="es-CO"/>
        </w:rPr>
        <w:t xml:space="preserve"> artículo 5, lo siguiente:</w:t>
      </w:r>
    </w:p>
    <w:p w14:paraId="02992858" w14:textId="77777777" w:rsidR="00992B32" w:rsidRPr="009B3BD2" w:rsidRDefault="00992B32" w:rsidP="00992B32">
      <w:pPr>
        <w:pStyle w:val="ListParagraph"/>
        <w:rPr>
          <w:sz w:val="20"/>
          <w:szCs w:val="20"/>
          <w:lang w:val="es-CO"/>
        </w:rPr>
      </w:pPr>
    </w:p>
    <w:p w14:paraId="48AD6BF8" w14:textId="75FB4BF6" w:rsidR="0093053F" w:rsidRPr="009B3BD2" w:rsidRDefault="00992B32" w:rsidP="00A14B6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CO"/>
        </w:rPr>
      </w:pPr>
      <w:r w:rsidRPr="009B3BD2">
        <w:rPr>
          <w:rFonts w:ascii="Cambria" w:hAnsi="Cambria"/>
          <w:sz w:val="20"/>
          <w:szCs w:val="20"/>
          <w:lang w:val="es-CO"/>
        </w:rPr>
        <w:t>Artículo 389</w:t>
      </w:r>
      <w:r w:rsidR="00FA46B3" w:rsidRPr="009B3BD2">
        <w:rPr>
          <w:rFonts w:ascii="Cambria" w:hAnsi="Cambria"/>
          <w:sz w:val="20"/>
          <w:szCs w:val="20"/>
          <w:lang w:val="es-CO"/>
        </w:rPr>
        <w:t xml:space="preserve"> </w:t>
      </w:r>
      <w:r w:rsidRPr="009B3BD2">
        <w:rPr>
          <w:rFonts w:ascii="Cambria" w:hAnsi="Cambria"/>
          <w:sz w:val="20"/>
          <w:szCs w:val="20"/>
          <w:lang w:val="es-CO"/>
        </w:rPr>
        <w:t>A. Elección ilícita de candidatos. El que sea elegido para un cargo de elección popular estando inhabilitado para desempeñarlo por decisión judicial, disciplinaria o fiscal incurrirá en prisión de cuatro (4) a nueve (9) años y multa de doscientos (200) a ochocientos (800) salarios mínimos legales mensuales vigentes</w:t>
      </w:r>
      <w:r w:rsidRPr="009B3BD2">
        <w:rPr>
          <w:rStyle w:val="FootnoteReference"/>
          <w:rFonts w:ascii="Cambria" w:hAnsi="Cambria"/>
          <w:sz w:val="20"/>
          <w:szCs w:val="20"/>
          <w:lang w:val="es-CO"/>
        </w:rPr>
        <w:footnoteReference w:id="68"/>
      </w:r>
      <w:r w:rsidRPr="009B3BD2">
        <w:rPr>
          <w:rFonts w:ascii="Cambria" w:hAnsi="Cambria"/>
          <w:sz w:val="20"/>
          <w:szCs w:val="20"/>
          <w:lang w:val="es-CO"/>
        </w:rPr>
        <w:t xml:space="preserve">. </w:t>
      </w:r>
    </w:p>
    <w:p w14:paraId="4013E52F" w14:textId="77777777" w:rsidR="00EF62E0" w:rsidRPr="009B3BD2" w:rsidRDefault="00EF62E0" w:rsidP="0093053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1E6D6EB0" w14:textId="77777777" w:rsidR="00114301" w:rsidRPr="009B3BD2" w:rsidRDefault="00EF62E0" w:rsidP="0093053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La C</w:t>
      </w:r>
      <w:r w:rsidR="00EB1F62" w:rsidRPr="009B3BD2">
        <w:rPr>
          <w:rFonts w:ascii="Cambria" w:hAnsi="Cambria"/>
          <w:sz w:val="20"/>
          <w:szCs w:val="20"/>
          <w:lang w:val="es-CO"/>
        </w:rPr>
        <w:t xml:space="preserve">omisión resalta que a lo largo </w:t>
      </w:r>
      <w:r w:rsidRPr="009B3BD2">
        <w:rPr>
          <w:rFonts w:ascii="Cambria" w:hAnsi="Cambria"/>
          <w:sz w:val="20"/>
          <w:szCs w:val="20"/>
          <w:lang w:val="es-CO"/>
        </w:rPr>
        <w:t>de los dos procesos disciplinarios que impusieron inhabilitaciones la presunta víctima alegó que el Procurador General de la Nación no tenía la competencia de inhabilitar a funcionarios de elección popular, conforme al artícul</w:t>
      </w:r>
      <w:r w:rsidR="00297A61" w:rsidRPr="009B3BD2">
        <w:rPr>
          <w:rFonts w:ascii="Cambria" w:hAnsi="Cambria"/>
          <w:sz w:val="20"/>
          <w:szCs w:val="20"/>
          <w:lang w:val="es-CO"/>
        </w:rPr>
        <w:t>o 23 de la Convención Americana. S</w:t>
      </w:r>
      <w:r w:rsidRPr="009B3BD2">
        <w:rPr>
          <w:rFonts w:ascii="Cambria" w:hAnsi="Cambria"/>
          <w:sz w:val="20"/>
          <w:szCs w:val="20"/>
          <w:lang w:val="es-CO"/>
        </w:rPr>
        <w:t>in embargo</w:t>
      </w:r>
      <w:r w:rsidR="00297A61" w:rsidRPr="009B3BD2">
        <w:rPr>
          <w:rFonts w:ascii="Cambria" w:hAnsi="Cambria"/>
          <w:sz w:val="20"/>
          <w:szCs w:val="20"/>
          <w:lang w:val="es-CO"/>
        </w:rPr>
        <w:t>,</w:t>
      </w:r>
      <w:r w:rsidRPr="009B3BD2">
        <w:rPr>
          <w:rFonts w:ascii="Cambria" w:hAnsi="Cambria"/>
          <w:sz w:val="20"/>
          <w:szCs w:val="20"/>
          <w:lang w:val="es-CO"/>
        </w:rPr>
        <w:t xml:space="preserve"> sus argumentos fueron desestimados, tomando en cuenta que la Corte Constitucional ya </w:t>
      </w:r>
      <w:r w:rsidR="00297A61" w:rsidRPr="009B3BD2">
        <w:rPr>
          <w:rFonts w:ascii="Cambria" w:hAnsi="Cambria"/>
          <w:sz w:val="20"/>
          <w:szCs w:val="20"/>
          <w:lang w:val="es-CO"/>
        </w:rPr>
        <w:t xml:space="preserve">declaró la </w:t>
      </w:r>
      <w:r w:rsidRPr="009B3BD2">
        <w:rPr>
          <w:rFonts w:ascii="Cambria" w:hAnsi="Cambria"/>
          <w:sz w:val="20"/>
          <w:szCs w:val="20"/>
          <w:lang w:val="es-CO"/>
        </w:rPr>
        <w:t>constitucionalidad de la facultad de inhabilitar a la luz de estándares nacionales e internacionales.</w:t>
      </w:r>
    </w:p>
    <w:p w14:paraId="3F000E8B" w14:textId="673C0537" w:rsidR="00EF62E0" w:rsidRPr="009B3BD2" w:rsidRDefault="00EF62E0" w:rsidP="0011430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r w:rsidRPr="009B3BD2">
        <w:rPr>
          <w:rFonts w:ascii="Cambria" w:hAnsi="Cambria"/>
          <w:sz w:val="20"/>
          <w:szCs w:val="20"/>
          <w:lang w:val="es-CO"/>
        </w:rPr>
        <w:t xml:space="preserve"> </w:t>
      </w:r>
    </w:p>
    <w:p w14:paraId="1D99EACF" w14:textId="77777777" w:rsidR="00B144FB" w:rsidRDefault="00B144FB">
      <w:pPr>
        <w:rPr>
          <w:rFonts w:ascii="Cambria" w:eastAsia="Times New Roman" w:hAnsi="Cambria" w:cs="Arial"/>
          <w:b/>
          <w:bCs/>
          <w:iCs/>
          <w:sz w:val="20"/>
          <w:szCs w:val="20"/>
          <w:bdr w:val="none" w:sz="0" w:space="0" w:color="auto"/>
          <w:lang w:val="es-VE"/>
        </w:rPr>
      </w:pPr>
      <w:r>
        <w:rPr>
          <w:rFonts w:ascii="Cambria" w:hAnsi="Cambria" w:cs="Arial"/>
          <w:bCs/>
          <w:iCs/>
          <w:lang w:val="es-VE"/>
        </w:rPr>
        <w:br w:type="page"/>
      </w:r>
    </w:p>
    <w:p w14:paraId="003AC4CA" w14:textId="5150A36A" w:rsidR="00944AD5" w:rsidRPr="009B3BD2" w:rsidRDefault="002F5231" w:rsidP="00944AD5">
      <w:pPr>
        <w:pStyle w:val="Heading2"/>
        <w:numPr>
          <w:ilvl w:val="0"/>
          <w:numId w:val="59"/>
        </w:numPr>
        <w:ind w:left="1440" w:hanging="720"/>
        <w:rPr>
          <w:rFonts w:ascii="Cambria" w:hAnsi="Cambria" w:cs="Arial"/>
          <w:bCs/>
          <w:iCs/>
          <w:lang w:val="es-VE"/>
        </w:rPr>
      </w:pPr>
      <w:bookmarkStart w:id="34" w:name="_Toc497398868"/>
      <w:r w:rsidRPr="009B3BD2">
        <w:rPr>
          <w:rFonts w:ascii="Cambria" w:hAnsi="Cambria" w:cs="Arial"/>
          <w:bCs/>
          <w:iCs/>
          <w:lang w:val="es-VE"/>
        </w:rPr>
        <w:lastRenderedPageBreak/>
        <w:t>Sobre el tercer proceso por responsabilidad fiscal</w:t>
      </w:r>
      <w:bookmarkEnd w:id="34"/>
    </w:p>
    <w:p w14:paraId="26BCADBF" w14:textId="77777777" w:rsidR="00944AD5" w:rsidRPr="009B3BD2" w:rsidRDefault="00944AD5" w:rsidP="00944AD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lang w:val="es-VE"/>
        </w:rPr>
      </w:pPr>
    </w:p>
    <w:p w14:paraId="2F6230E2" w14:textId="283D095A" w:rsidR="00512539" w:rsidRPr="009B3BD2" w:rsidRDefault="00553BD4" w:rsidP="0051253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VE"/>
        </w:rPr>
      </w:pPr>
      <w:r w:rsidRPr="009B3BD2">
        <w:rPr>
          <w:rFonts w:asciiTheme="majorHAnsi" w:hAnsiTheme="majorHAnsi"/>
          <w:sz w:val="20"/>
          <w:szCs w:val="20"/>
          <w:lang w:val="es-VE"/>
        </w:rPr>
        <w:t xml:space="preserve">Según información de público conocimiento, el 23 de julio de 2012 </w:t>
      </w:r>
      <w:r w:rsidR="00554620" w:rsidRPr="009B3BD2">
        <w:rPr>
          <w:rFonts w:asciiTheme="majorHAnsi" w:hAnsiTheme="majorHAnsi"/>
          <w:sz w:val="20"/>
          <w:szCs w:val="20"/>
          <w:lang w:val="es-VE"/>
        </w:rPr>
        <w:t>el Alcalde Mayor de Bogotá expidió el Decreto</w:t>
      </w:r>
      <w:r w:rsidR="00A927C1" w:rsidRPr="009B3BD2">
        <w:rPr>
          <w:rFonts w:asciiTheme="majorHAnsi" w:hAnsiTheme="majorHAnsi"/>
          <w:sz w:val="20"/>
          <w:szCs w:val="20"/>
          <w:lang w:val="es-VE"/>
        </w:rPr>
        <w:t xml:space="preserve"> 356 </w:t>
      </w:r>
      <w:r w:rsidR="00554620" w:rsidRPr="009B3BD2">
        <w:rPr>
          <w:rFonts w:asciiTheme="majorHAnsi" w:hAnsiTheme="majorHAnsi"/>
          <w:sz w:val="20"/>
          <w:szCs w:val="20"/>
          <w:lang w:val="es-VE"/>
        </w:rPr>
        <w:t xml:space="preserve">a través del cual estableció la “tarifa del servicio de transporte urbano masivo de pasajeros del Sistema </w:t>
      </w:r>
      <w:r w:rsidR="00C317D2" w:rsidRPr="009B3BD2">
        <w:rPr>
          <w:rFonts w:asciiTheme="majorHAnsi" w:hAnsiTheme="majorHAnsi"/>
          <w:sz w:val="20"/>
          <w:szCs w:val="20"/>
          <w:lang w:val="es-VE"/>
        </w:rPr>
        <w:t>Transmilenio</w:t>
      </w:r>
      <w:r w:rsidR="00554620" w:rsidRPr="009B3BD2">
        <w:rPr>
          <w:rFonts w:asciiTheme="majorHAnsi" w:hAnsiTheme="majorHAnsi"/>
          <w:sz w:val="20"/>
          <w:szCs w:val="20"/>
          <w:lang w:val="es-VE"/>
        </w:rPr>
        <w:t xml:space="preserve"> y del componente zonal del Sistema Integrado de Transporte Público “SITP” en el Distrito Capital”</w:t>
      </w:r>
      <w:r w:rsidR="0007508C" w:rsidRPr="009B3BD2">
        <w:rPr>
          <w:rStyle w:val="FootnoteReference"/>
          <w:rFonts w:asciiTheme="majorHAnsi" w:hAnsiTheme="majorHAnsi"/>
          <w:sz w:val="20"/>
          <w:szCs w:val="20"/>
          <w:lang w:val="es-VE"/>
        </w:rPr>
        <w:footnoteReference w:id="69"/>
      </w:r>
      <w:r w:rsidR="0007508C" w:rsidRPr="009B3BD2">
        <w:rPr>
          <w:rFonts w:asciiTheme="majorHAnsi" w:hAnsiTheme="majorHAnsi"/>
          <w:sz w:val="20"/>
          <w:szCs w:val="20"/>
          <w:lang w:val="es-VE"/>
        </w:rPr>
        <w:t>.</w:t>
      </w:r>
      <w:r w:rsidR="00512539" w:rsidRPr="009B3BD2">
        <w:rPr>
          <w:rFonts w:asciiTheme="majorHAnsi" w:hAnsiTheme="majorHAnsi"/>
          <w:sz w:val="20"/>
          <w:szCs w:val="20"/>
          <w:lang w:val="es-VE"/>
        </w:rPr>
        <w:t xml:space="preserve"> Dicho decreto redujo los precios de la tarifa del Transmilenio</w:t>
      </w:r>
      <w:r w:rsidR="00512539" w:rsidRPr="009B3BD2">
        <w:rPr>
          <w:rStyle w:val="FootnoteReference"/>
          <w:rFonts w:asciiTheme="majorHAnsi" w:hAnsiTheme="majorHAnsi"/>
          <w:sz w:val="20"/>
          <w:szCs w:val="20"/>
          <w:lang w:val="es-VE"/>
        </w:rPr>
        <w:footnoteReference w:id="70"/>
      </w:r>
      <w:r w:rsidR="00512539" w:rsidRPr="009B3BD2">
        <w:rPr>
          <w:rFonts w:asciiTheme="majorHAnsi" w:hAnsiTheme="majorHAnsi"/>
          <w:sz w:val="20"/>
          <w:szCs w:val="20"/>
          <w:lang w:val="es-VE"/>
        </w:rPr>
        <w:t xml:space="preserve">. </w:t>
      </w:r>
    </w:p>
    <w:p w14:paraId="6B9BDD11" w14:textId="77777777" w:rsidR="00944AD5" w:rsidRPr="009B3BD2" w:rsidRDefault="00944AD5" w:rsidP="00944AD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080"/>
        <w:jc w:val="both"/>
        <w:rPr>
          <w:lang w:val="es-VE"/>
        </w:rPr>
      </w:pPr>
    </w:p>
    <w:p w14:paraId="557CBC80" w14:textId="77777777" w:rsidR="00C90FF3" w:rsidRPr="009B3BD2" w:rsidRDefault="0013591C" w:rsidP="00C90FF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VE"/>
        </w:rPr>
      </w:pPr>
      <w:r w:rsidRPr="009B3BD2">
        <w:rPr>
          <w:rFonts w:ascii="Cambria" w:hAnsi="Cambria"/>
          <w:sz w:val="20"/>
          <w:szCs w:val="20"/>
          <w:lang w:val="es-CO"/>
        </w:rPr>
        <w:t xml:space="preserve">El 27 de junio de 2016 la Directora de Responsabilidad Fiscal y Jurisdicción Coactiva de la Contraloría de Bogotá D.C. dictó el auto 01, declarando la responsabilidad fiscal de Gustavo Francisco </w:t>
      </w:r>
      <w:proofErr w:type="spellStart"/>
      <w:r w:rsidRPr="009B3BD2">
        <w:rPr>
          <w:rFonts w:ascii="Cambria" w:hAnsi="Cambria"/>
          <w:sz w:val="20"/>
          <w:szCs w:val="20"/>
          <w:lang w:val="es-CO"/>
        </w:rPr>
        <w:t>Petro</w:t>
      </w:r>
      <w:proofErr w:type="spellEnd"/>
      <w:r w:rsidRPr="009B3BD2">
        <w:rPr>
          <w:rFonts w:ascii="Cambria" w:hAnsi="Cambria"/>
          <w:sz w:val="20"/>
          <w:szCs w:val="20"/>
          <w:lang w:val="es-CO"/>
        </w:rPr>
        <w:t xml:space="preserve"> Urrego por las tarifas del servicio de transporte público Tra</w:t>
      </w:r>
      <w:r w:rsidR="00FD721F" w:rsidRPr="009B3BD2">
        <w:rPr>
          <w:rFonts w:ascii="Cambria" w:hAnsi="Cambria"/>
          <w:sz w:val="20"/>
          <w:szCs w:val="20"/>
          <w:lang w:val="es-CO"/>
        </w:rPr>
        <w:t>n</w:t>
      </w:r>
      <w:r w:rsidRPr="009B3BD2">
        <w:rPr>
          <w:rFonts w:ascii="Cambria" w:hAnsi="Cambria"/>
          <w:sz w:val="20"/>
          <w:szCs w:val="20"/>
          <w:lang w:val="es-CO"/>
        </w:rPr>
        <w:t>smilenio S.A</w:t>
      </w:r>
      <w:r w:rsidRPr="009B3BD2">
        <w:rPr>
          <w:rStyle w:val="FootnoteReference"/>
          <w:rFonts w:asciiTheme="majorHAnsi" w:hAnsiTheme="majorHAnsi"/>
          <w:sz w:val="20"/>
          <w:szCs w:val="20"/>
          <w:lang w:val="es-CO"/>
        </w:rPr>
        <w:footnoteReference w:id="71"/>
      </w:r>
      <w:r w:rsidRPr="009B3BD2">
        <w:rPr>
          <w:rFonts w:ascii="Cambria" w:hAnsi="Cambria"/>
          <w:sz w:val="20"/>
          <w:szCs w:val="20"/>
          <w:lang w:val="es-CO"/>
        </w:rPr>
        <w:t>.</w:t>
      </w:r>
    </w:p>
    <w:p w14:paraId="2D5866EC" w14:textId="77777777" w:rsidR="00C90FF3" w:rsidRPr="009B3BD2" w:rsidRDefault="00C90FF3" w:rsidP="00C90FF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lang w:val="es-VE"/>
        </w:rPr>
      </w:pPr>
    </w:p>
    <w:p w14:paraId="046D8B97" w14:textId="228DDC6C" w:rsidR="00C90FF3" w:rsidRPr="009B3BD2" w:rsidRDefault="00483925" w:rsidP="002257E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VE"/>
        </w:rPr>
      </w:pPr>
      <w:r w:rsidRPr="009B3BD2">
        <w:rPr>
          <w:rFonts w:ascii="Cambria" w:hAnsi="Cambria"/>
          <w:sz w:val="20"/>
          <w:szCs w:val="20"/>
          <w:lang w:val="es-CO"/>
        </w:rPr>
        <w:t xml:space="preserve">Con posterioridad  el 15 y 16 de julio la defensa de la presunta víctima interpuso una serie de recursos de nulidad </w:t>
      </w:r>
      <w:r w:rsidR="00BD07CD" w:rsidRPr="009B3BD2">
        <w:rPr>
          <w:rFonts w:ascii="Cambria" w:hAnsi="Cambria"/>
          <w:sz w:val="20"/>
          <w:szCs w:val="20"/>
          <w:lang w:val="es-CO"/>
        </w:rPr>
        <w:t xml:space="preserve"> en contra de dicha decisión, lo</w:t>
      </w:r>
      <w:r w:rsidR="003B6B0E" w:rsidRPr="009B3BD2">
        <w:rPr>
          <w:rFonts w:ascii="Cambria" w:hAnsi="Cambria"/>
          <w:sz w:val="20"/>
          <w:szCs w:val="20"/>
          <w:lang w:val="es-CO"/>
        </w:rPr>
        <w:t>s cuales fueron declarado</w:t>
      </w:r>
      <w:r w:rsidRPr="009B3BD2">
        <w:rPr>
          <w:rFonts w:ascii="Cambria" w:hAnsi="Cambria"/>
          <w:sz w:val="20"/>
          <w:szCs w:val="20"/>
          <w:lang w:val="es-CO"/>
        </w:rPr>
        <w:t xml:space="preserve">s sin lugar el 25 de julio de 2016. </w:t>
      </w:r>
      <w:r w:rsidR="007524F1" w:rsidRPr="009B3BD2">
        <w:rPr>
          <w:rFonts w:ascii="Cambria" w:hAnsi="Cambria"/>
          <w:sz w:val="20"/>
          <w:szCs w:val="20"/>
          <w:lang w:val="es-CO"/>
        </w:rPr>
        <w:t>Asimismo, la presunta víctima interpuso una nueva nulidad el 27 de julio de 2016, la cual fue declarada si</w:t>
      </w:r>
      <w:r w:rsidR="00C90FF3" w:rsidRPr="009B3BD2">
        <w:rPr>
          <w:rFonts w:ascii="Cambria" w:hAnsi="Cambria"/>
          <w:sz w:val="20"/>
          <w:szCs w:val="20"/>
          <w:lang w:val="es-CO"/>
        </w:rPr>
        <w:t>n lugar el 3 de agosto de 2016.</w:t>
      </w:r>
      <w:r w:rsidR="002257E7" w:rsidRPr="009B3BD2">
        <w:rPr>
          <w:lang w:val="es-VE"/>
        </w:rPr>
        <w:t xml:space="preserve"> </w:t>
      </w:r>
      <w:r w:rsidR="006B4530" w:rsidRPr="009B3BD2">
        <w:rPr>
          <w:rFonts w:ascii="Cambria" w:hAnsi="Cambria"/>
          <w:sz w:val="20"/>
          <w:szCs w:val="20"/>
          <w:lang w:val="es-CO"/>
        </w:rPr>
        <w:t xml:space="preserve">Contra la anterior decisión, la presunta víctima interpuso recursos de reposición, los cuales se declararon sin lugar el 27 de octubre de 2016.  Finalmente interpuso recursos de apelación. </w:t>
      </w:r>
    </w:p>
    <w:p w14:paraId="7990CE3C" w14:textId="77777777" w:rsidR="00C90FF3" w:rsidRPr="009B3BD2" w:rsidRDefault="00C90FF3" w:rsidP="00C90FF3">
      <w:pPr>
        <w:pStyle w:val="ListParagraph"/>
        <w:rPr>
          <w:sz w:val="20"/>
          <w:szCs w:val="20"/>
          <w:lang w:val="es-CO"/>
        </w:rPr>
      </w:pPr>
    </w:p>
    <w:p w14:paraId="4344BE58" w14:textId="049086D0" w:rsidR="00512539" w:rsidRPr="009B3BD2" w:rsidRDefault="006B4530" w:rsidP="00992B3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VE"/>
        </w:rPr>
      </w:pPr>
      <w:r w:rsidRPr="009B3BD2">
        <w:rPr>
          <w:rFonts w:ascii="Cambria" w:hAnsi="Cambria"/>
          <w:sz w:val="20"/>
          <w:szCs w:val="20"/>
          <w:lang w:val="es-CO"/>
        </w:rPr>
        <w:t>El 29 de noviembre de 2016 el Contralor de Bogotá resolvió negativamente los recursos de apelación interpuestos y determinó “CONFIRMAR en todas sus partes, el fallo con responsabilidad Fiscal No.</w:t>
      </w:r>
      <w:r w:rsidR="002257E7" w:rsidRPr="009B3BD2">
        <w:rPr>
          <w:rFonts w:ascii="Cambria" w:hAnsi="Cambria"/>
          <w:sz w:val="20"/>
          <w:szCs w:val="20"/>
          <w:lang w:val="es-CO"/>
        </w:rPr>
        <w:t xml:space="preserve"> </w:t>
      </w:r>
      <w:r w:rsidRPr="009B3BD2">
        <w:rPr>
          <w:rFonts w:ascii="Cambria" w:hAnsi="Cambria"/>
          <w:sz w:val="20"/>
          <w:szCs w:val="20"/>
          <w:lang w:val="es-CO"/>
        </w:rPr>
        <w:t>01 de 27 de junio de 2016 de conformidad con lo expuesto en la parte motiva de la providencia”</w:t>
      </w:r>
      <w:r w:rsidR="00541762" w:rsidRPr="009B3BD2">
        <w:rPr>
          <w:rStyle w:val="FootnoteReference"/>
          <w:rFonts w:asciiTheme="majorHAnsi" w:hAnsiTheme="majorHAnsi"/>
          <w:sz w:val="20"/>
          <w:szCs w:val="20"/>
          <w:lang w:val="es-CO"/>
        </w:rPr>
        <w:footnoteReference w:id="72"/>
      </w:r>
      <w:r w:rsidRPr="009B3BD2">
        <w:rPr>
          <w:rFonts w:ascii="Cambria" w:hAnsi="Cambria"/>
          <w:sz w:val="20"/>
          <w:szCs w:val="20"/>
          <w:lang w:val="es-CO"/>
        </w:rPr>
        <w:t>.</w:t>
      </w:r>
      <w:r w:rsidR="00356D57" w:rsidRPr="009B3BD2">
        <w:rPr>
          <w:rFonts w:ascii="Cambria" w:hAnsi="Cambria"/>
          <w:sz w:val="20"/>
          <w:szCs w:val="20"/>
          <w:lang w:val="es-CO"/>
        </w:rPr>
        <w:t xml:space="preserve"> En dicha decisión indicó que “está plenamente demostrado que justamente la disminución generalizada de tarifas produjo un detrime</w:t>
      </w:r>
      <w:r w:rsidR="003261A3" w:rsidRPr="009B3BD2">
        <w:rPr>
          <w:rFonts w:ascii="Cambria" w:hAnsi="Cambria"/>
          <w:sz w:val="20"/>
          <w:szCs w:val="20"/>
          <w:lang w:val="es-CO"/>
        </w:rPr>
        <w:t>nto patrimonial en cuantía de $</w:t>
      </w:r>
      <w:r w:rsidR="00356D57" w:rsidRPr="009B3BD2">
        <w:rPr>
          <w:rFonts w:ascii="Cambria" w:hAnsi="Cambria"/>
          <w:sz w:val="20"/>
          <w:szCs w:val="20"/>
          <w:lang w:val="es-CO"/>
        </w:rPr>
        <w:t>217.204.847.989 por la transferencia de recursos del Distrito Capital a través de la Secretaría de la Hacienda, para cubrir el gasto diferencial tarifario ocasionado con la rebaja general de las referidas tarifas”</w:t>
      </w:r>
      <w:r w:rsidR="00356D57" w:rsidRPr="009B3BD2">
        <w:rPr>
          <w:rStyle w:val="FootnoteReference"/>
          <w:rFonts w:asciiTheme="majorHAnsi" w:hAnsiTheme="majorHAnsi"/>
          <w:sz w:val="20"/>
          <w:szCs w:val="20"/>
          <w:lang w:val="es-CO"/>
        </w:rPr>
        <w:t xml:space="preserve"> </w:t>
      </w:r>
      <w:r w:rsidR="00356D57" w:rsidRPr="009B3BD2">
        <w:rPr>
          <w:rStyle w:val="FootnoteReference"/>
          <w:rFonts w:asciiTheme="majorHAnsi" w:hAnsiTheme="majorHAnsi"/>
          <w:sz w:val="20"/>
          <w:szCs w:val="20"/>
          <w:lang w:val="es-CO"/>
        </w:rPr>
        <w:footnoteReference w:id="73"/>
      </w:r>
      <w:r w:rsidR="00356D57" w:rsidRPr="009B3BD2">
        <w:rPr>
          <w:rFonts w:ascii="Cambria" w:hAnsi="Cambria"/>
          <w:sz w:val="20"/>
          <w:szCs w:val="20"/>
          <w:lang w:val="es-CO"/>
        </w:rPr>
        <w:t xml:space="preserve">. </w:t>
      </w:r>
    </w:p>
    <w:p w14:paraId="3F471B32" w14:textId="77777777" w:rsidR="00992B32" w:rsidRPr="009B3BD2" w:rsidRDefault="00992B32" w:rsidP="00992B3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lang w:val="es-VE"/>
        </w:rPr>
      </w:pPr>
    </w:p>
    <w:p w14:paraId="25EB3637" w14:textId="1A575CEB" w:rsidR="00F65569" w:rsidRPr="009B3BD2" w:rsidRDefault="008036CA" w:rsidP="00C90FF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B3BD2">
        <w:rPr>
          <w:rFonts w:ascii="Cambria" w:hAnsi="Cambria"/>
          <w:sz w:val="20"/>
          <w:szCs w:val="20"/>
          <w:lang w:val="es-CO"/>
        </w:rPr>
        <w:t xml:space="preserve">El 31 de marzo de 2017 la parte peticionaria interpuso una acción judicial de nulidad y restablecimiento del derecho </w:t>
      </w:r>
      <w:r w:rsidR="00D27AB7" w:rsidRPr="009B3BD2">
        <w:rPr>
          <w:rFonts w:ascii="Cambria" w:hAnsi="Cambria"/>
          <w:sz w:val="20"/>
          <w:szCs w:val="20"/>
          <w:lang w:val="es-CO"/>
        </w:rPr>
        <w:t>ante el Consejo de Estado que se encontraría pendiente de decisión</w:t>
      </w:r>
      <w:r w:rsidR="002F089E" w:rsidRPr="009B3BD2">
        <w:rPr>
          <w:rStyle w:val="FootnoteReference"/>
          <w:rFonts w:asciiTheme="majorHAnsi" w:hAnsiTheme="majorHAnsi"/>
          <w:sz w:val="20"/>
          <w:szCs w:val="20"/>
          <w:lang w:val="es-CO"/>
        </w:rPr>
        <w:footnoteReference w:id="74"/>
      </w:r>
      <w:r w:rsidRPr="009B3BD2">
        <w:rPr>
          <w:rFonts w:ascii="Cambria" w:hAnsi="Cambria"/>
          <w:sz w:val="20"/>
          <w:szCs w:val="20"/>
          <w:lang w:val="es-CO"/>
        </w:rPr>
        <w:t xml:space="preserve">. </w:t>
      </w:r>
    </w:p>
    <w:p w14:paraId="366A1747" w14:textId="77777777" w:rsidR="001F797F" w:rsidRPr="009B3BD2" w:rsidRDefault="001F797F" w:rsidP="001F797F">
      <w:pPr>
        <w:pStyle w:val="ListParagraph"/>
        <w:rPr>
          <w:sz w:val="20"/>
          <w:szCs w:val="20"/>
          <w:lang w:val="es-VE"/>
        </w:rPr>
      </w:pPr>
    </w:p>
    <w:p w14:paraId="1F0BD21E" w14:textId="77777777" w:rsidR="001F797F" w:rsidRPr="009B3BD2" w:rsidRDefault="001F797F" w:rsidP="001F797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La Comisión observa que la Ley 610 de 2000 establece:</w:t>
      </w:r>
    </w:p>
    <w:p w14:paraId="238892C8" w14:textId="77777777" w:rsidR="001F797F" w:rsidRPr="009B3BD2" w:rsidRDefault="001F797F" w:rsidP="001F797F">
      <w:pPr>
        <w:pStyle w:val="ListParagraph"/>
        <w:rPr>
          <w:sz w:val="20"/>
          <w:szCs w:val="20"/>
          <w:lang w:val="es-CO"/>
        </w:rPr>
      </w:pPr>
    </w:p>
    <w:p w14:paraId="4973B9E1" w14:textId="77777777" w:rsidR="001F797F" w:rsidRPr="009B3BD2" w:rsidRDefault="001F797F" w:rsidP="001F797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sidRPr="009B3BD2">
        <w:rPr>
          <w:rFonts w:ascii="Cambria" w:hAnsi="Cambria"/>
          <w:sz w:val="20"/>
          <w:szCs w:val="20"/>
          <w:lang w:val="es-CO"/>
        </w:rPr>
        <w:t>Artículo 60. Boletín de responsables fiscales. (…)</w:t>
      </w:r>
      <w:r w:rsidRPr="009B3BD2">
        <w:rPr>
          <w:rFonts w:ascii="Arial" w:hAnsi="Arial" w:cs="Arial"/>
          <w:color w:val="000000"/>
          <w:sz w:val="27"/>
          <w:szCs w:val="27"/>
          <w:shd w:val="clear" w:color="auto" w:fill="FFFFFF"/>
          <w:lang w:val="es-VE"/>
        </w:rPr>
        <w:t xml:space="preserve"> </w:t>
      </w:r>
      <w:r w:rsidRPr="009B3BD2">
        <w:rPr>
          <w:rFonts w:ascii="Cambria" w:hAnsi="Cambria" w:cs="Arial"/>
          <w:color w:val="000000"/>
          <w:sz w:val="20"/>
          <w:szCs w:val="20"/>
          <w:shd w:val="clear" w:color="auto" w:fill="FFFFFF"/>
          <w:lang w:val="es-VE"/>
        </w:rPr>
        <w:t>Los representantes legales, así como los nominadores y demás funcionarios competentes, deberán abstenerse de nombrar, dar posesión o celebrar cualquier tipo de contrato con quienes aparezcan en el boletín de responsables, so pena de incurrir en causal de mala conducta, en concordancia con lo dispuesto en el artículo 6° de la Ley 190 de 1995</w:t>
      </w:r>
      <w:r w:rsidRPr="009B3BD2">
        <w:rPr>
          <w:rStyle w:val="FootnoteReference"/>
          <w:rFonts w:ascii="Cambria" w:hAnsi="Cambria" w:cs="Arial"/>
          <w:color w:val="000000"/>
          <w:sz w:val="20"/>
          <w:szCs w:val="20"/>
          <w:shd w:val="clear" w:color="auto" w:fill="FFFFFF"/>
          <w:lang w:val="es-VE"/>
        </w:rPr>
        <w:footnoteReference w:id="75"/>
      </w:r>
      <w:r w:rsidRPr="009B3BD2">
        <w:rPr>
          <w:rFonts w:ascii="Cambria" w:hAnsi="Cambria" w:cs="Arial"/>
          <w:color w:val="000000"/>
          <w:sz w:val="20"/>
          <w:szCs w:val="20"/>
          <w:shd w:val="clear" w:color="auto" w:fill="FFFFFF"/>
          <w:lang w:val="es-VE"/>
        </w:rPr>
        <w:t>.</w:t>
      </w:r>
    </w:p>
    <w:p w14:paraId="4B8BA8C8" w14:textId="77777777" w:rsidR="0013591C" w:rsidRPr="009B3BD2" w:rsidRDefault="0013591C" w:rsidP="0013591C">
      <w:pPr>
        <w:rPr>
          <w:lang w:val="es-VE"/>
        </w:rPr>
      </w:pPr>
    </w:p>
    <w:p w14:paraId="47D6E177" w14:textId="77777777" w:rsidR="00331C90" w:rsidRPr="009B3BD2" w:rsidRDefault="00285C11" w:rsidP="00240091">
      <w:pPr>
        <w:pStyle w:val="Heading2"/>
        <w:numPr>
          <w:ilvl w:val="0"/>
          <w:numId w:val="59"/>
        </w:numPr>
        <w:ind w:left="1440" w:hanging="720"/>
        <w:rPr>
          <w:rFonts w:ascii="Cambria" w:hAnsi="Cambria" w:cs="Arial"/>
          <w:bCs/>
          <w:iCs/>
          <w:lang w:val="es-VE"/>
        </w:rPr>
      </w:pPr>
      <w:bookmarkStart w:id="35" w:name="_Toc497398869"/>
      <w:r w:rsidRPr="009B3BD2">
        <w:rPr>
          <w:rFonts w:ascii="Cambria" w:hAnsi="Cambria" w:cs="Arial"/>
          <w:bCs/>
          <w:iCs/>
          <w:lang w:val="es-VE"/>
        </w:rPr>
        <w:t xml:space="preserve">Sobre </w:t>
      </w:r>
      <w:r w:rsidR="0093053F" w:rsidRPr="009B3BD2">
        <w:rPr>
          <w:rFonts w:ascii="Cambria" w:hAnsi="Cambria" w:cs="Arial"/>
          <w:bCs/>
          <w:iCs/>
          <w:lang w:val="es-VE"/>
        </w:rPr>
        <w:t xml:space="preserve">la multa de la Superintendencia </w:t>
      </w:r>
      <w:r w:rsidRPr="009B3BD2">
        <w:rPr>
          <w:rFonts w:ascii="Cambria" w:hAnsi="Cambria" w:cs="Arial"/>
          <w:bCs/>
          <w:iCs/>
          <w:lang w:val="es-VE"/>
        </w:rPr>
        <w:t>de Industria</w:t>
      </w:r>
      <w:r w:rsidR="00C90FF3" w:rsidRPr="009B3BD2">
        <w:rPr>
          <w:rFonts w:ascii="Cambria" w:hAnsi="Cambria" w:cs="Arial"/>
          <w:bCs/>
          <w:iCs/>
          <w:lang w:val="es-VE"/>
        </w:rPr>
        <w:t xml:space="preserve"> y</w:t>
      </w:r>
      <w:r w:rsidRPr="009B3BD2">
        <w:rPr>
          <w:rFonts w:ascii="Cambria" w:hAnsi="Cambria" w:cs="Arial"/>
          <w:bCs/>
          <w:iCs/>
          <w:lang w:val="es-VE"/>
        </w:rPr>
        <w:t xml:space="preserve"> Comercio</w:t>
      </w:r>
      <w:bookmarkEnd w:id="35"/>
    </w:p>
    <w:p w14:paraId="19945FC9" w14:textId="77777777" w:rsidR="00C90FF3" w:rsidRPr="009B3BD2" w:rsidRDefault="00C90FF3" w:rsidP="00C90FF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2020021B" w14:textId="2C01DD44" w:rsidR="00195730" w:rsidRPr="009B3BD2" w:rsidRDefault="00973315" w:rsidP="0050693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w:t>
      </w:r>
      <w:r w:rsidR="0042426C" w:rsidRPr="009B3BD2">
        <w:rPr>
          <w:rFonts w:ascii="Cambria" w:hAnsi="Cambria"/>
          <w:sz w:val="20"/>
          <w:szCs w:val="20"/>
          <w:lang w:val="es-CO"/>
        </w:rPr>
        <w:t xml:space="preserve">n 2014 la Superintendencia de Industria y Comercio impuso </w:t>
      </w:r>
      <w:r w:rsidR="00223317" w:rsidRPr="009B3BD2">
        <w:rPr>
          <w:rFonts w:ascii="Cambria" w:hAnsi="Cambria"/>
          <w:sz w:val="20"/>
          <w:szCs w:val="20"/>
          <w:lang w:val="es-CO"/>
        </w:rPr>
        <w:t xml:space="preserve">una </w:t>
      </w:r>
      <w:r w:rsidR="0042426C" w:rsidRPr="009B3BD2">
        <w:rPr>
          <w:rFonts w:ascii="Cambria" w:hAnsi="Cambria"/>
          <w:sz w:val="20"/>
          <w:szCs w:val="20"/>
          <w:lang w:val="es-CO"/>
        </w:rPr>
        <w:t>multa a</w:t>
      </w:r>
      <w:r w:rsidR="00E279EF" w:rsidRPr="009B3BD2">
        <w:rPr>
          <w:rFonts w:ascii="Cambria" w:hAnsi="Cambria"/>
          <w:sz w:val="20"/>
          <w:szCs w:val="20"/>
          <w:lang w:val="es-CO"/>
        </w:rPr>
        <w:t xml:space="preserve">l señor </w:t>
      </w:r>
      <w:proofErr w:type="spellStart"/>
      <w:r w:rsidR="00E279EF" w:rsidRPr="009B3BD2">
        <w:rPr>
          <w:rFonts w:ascii="Cambria" w:hAnsi="Cambria"/>
          <w:sz w:val="20"/>
          <w:szCs w:val="20"/>
          <w:lang w:val="es-CO"/>
        </w:rPr>
        <w:t>Petro</w:t>
      </w:r>
      <w:proofErr w:type="spellEnd"/>
      <w:r w:rsidR="00E279EF" w:rsidRPr="009B3BD2">
        <w:rPr>
          <w:rFonts w:ascii="Cambria" w:hAnsi="Cambria"/>
          <w:sz w:val="20"/>
          <w:szCs w:val="20"/>
          <w:lang w:val="es-CO"/>
        </w:rPr>
        <w:t xml:space="preserve"> Urrego</w:t>
      </w:r>
      <w:r w:rsidR="0042426C" w:rsidRPr="009B3BD2">
        <w:rPr>
          <w:rFonts w:ascii="Cambria" w:hAnsi="Cambria"/>
          <w:sz w:val="20"/>
          <w:szCs w:val="20"/>
          <w:lang w:val="es-CO"/>
        </w:rPr>
        <w:t xml:space="preserve"> por un monto de </w:t>
      </w:r>
      <w:r w:rsidR="006F507D" w:rsidRPr="009B3BD2">
        <w:rPr>
          <w:rFonts w:ascii="Cambria" w:hAnsi="Cambria"/>
          <w:sz w:val="20"/>
          <w:szCs w:val="20"/>
          <w:lang w:val="es-CO"/>
        </w:rPr>
        <w:t>$ 410.256</w:t>
      </w:r>
      <w:r w:rsidR="00F014B7" w:rsidRPr="009B3BD2">
        <w:rPr>
          <w:rFonts w:ascii="Cambria" w:hAnsi="Cambria"/>
          <w:sz w:val="20"/>
          <w:szCs w:val="20"/>
          <w:lang w:val="es-CO"/>
        </w:rPr>
        <w:t>.000.00</w:t>
      </w:r>
      <w:r w:rsidR="0042426C" w:rsidRPr="009B3BD2">
        <w:rPr>
          <w:rFonts w:ascii="Cambria" w:hAnsi="Cambria"/>
          <w:sz w:val="20"/>
          <w:szCs w:val="20"/>
          <w:lang w:val="es-CO"/>
        </w:rPr>
        <w:t xml:space="preserve"> pesos</w:t>
      </w:r>
      <w:r w:rsidR="004200AD" w:rsidRPr="009B3BD2">
        <w:rPr>
          <w:rFonts w:ascii="Cambria" w:hAnsi="Cambria"/>
          <w:sz w:val="20"/>
          <w:szCs w:val="20"/>
          <w:lang w:val="es-CO"/>
        </w:rPr>
        <w:t xml:space="preserve"> así como multas a otras personas</w:t>
      </w:r>
      <w:r w:rsidR="00F22E1E" w:rsidRPr="009B3BD2">
        <w:rPr>
          <w:rFonts w:ascii="Cambria" w:hAnsi="Cambria"/>
          <w:sz w:val="20"/>
          <w:szCs w:val="20"/>
          <w:lang w:val="es-CO"/>
        </w:rPr>
        <w:t xml:space="preserve"> individuales, y a la Empresa de </w:t>
      </w:r>
      <w:r w:rsidR="00F22E1E" w:rsidRPr="009B3BD2">
        <w:rPr>
          <w:rFonts w:ascii="Cambria" w:hAnsi="Cambria"/>
          <w:sz w:val="20"/>
          <w:szCs w:val="20"/>
          <w:lang w:val="es-CO"/>
        </w:rPr>
        <w:lastRenderedPageBreak/>
        <w:t>Acueducto, Alcantarillado y Aseo de Bogotá (EAB), Unidad Administrativa Especial de Servicios Públicos (UAESP) y Aguas de Bogotá</w:t>
      </w:r>
      <w:r w:rsidR="004200AD" w:rsidRPr="009B3BD2">
        <w:rPr>
          <w:rFonts w:ascii="Cambria" w:hAnsi="Cambria"/>
          <w:sz w:val="20"/>
          <w:szCs w:val="20"/>
          <w:lang w:val="es-CO"/>
        </w:rPr>
        <w:t>,</w:t>
      </w:r>
      <w:r w:rsidR="00F014B7" w:rsidRPr="009B3BD2">
        <w:rPr>
          <w:rFonts w:ascii="Cambria" w:hAnsi="Cambria"/>
          <w:sz w:val="20"/>
          <w:szCs w:val="20"/>
          <w:lang w:val="es-CO"/>
        </w:rPr>
        <w:t xml:space="preserve"> por “prácticas comerciales restrictivas de la libre competencia en el mercado de prestación del servicio de aseo en Bogotá”</w:t>
      </w:r>
      <w:r w:rsidR="00310B1C" w:rsidRPr="009B3BD2">
        <w:rPr>
          <w:rStyle w:val="FootnoteReference"/>
          <w:rFonts w:asciiTheme="majorHAnsi" w:hAnsiTheme="majorHAnsi"/>
          <w:sz w:val="20"/>
          <w:szCs w:val="20"/>
          <w:lang w:val="es-CO"/>
        </w:rPr>
        <w:footnoteReference w:id="76"/>
      </w:r>
      <w:r w:rsidR="008E3F0E" w:rsidRPr="009B3BD2">
        <w:rPr>
          <w:rFonts w:ascii="Cambria" w:hAnsi="Cambria"/>
          <w:sz w:val="20"/>
          <w:szCs w:val="20"/>
          <w:lang w:val="es-CO"/>
        </w:rPr>
        <w:t>.</w:t>
      </w:r>
      <w:r w:rsidR="009A38B0" w:rsidRPr="009B3BD2">
        <w:rPr>
          <w:rFonts w:ascii="Cambria" w:hAnsi="Cambria"/>
          <w:sz w:val="20"/>
          <w:szCs w:val="20"/>
          <w:lang w:val="es-CO"/>
        </w:rPr>
        <w:t xml:space="preserve">  </w:t>
      </w:r>
    </w:p>
    <w:p w14:paraId="478695CE" w14:textId="77777777" w:rsidR="00F074EC" w:rsidRPr="009B3BD2" w:rsidRDefault="00F074EC" w:rsidP="00F074E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06FD8EA5" w14:textId="0012902B" w:rsidR="001814F2" w:rsidRPr="009B3BD2" w:rsidRDefault="00BB7536" w:rsidP="00BB7536">
      <w:pPr>
        <w:pStyle w:val="Heading1"/>
        <w:numPr>
          <w:ilvl w:val="0"/>
          <w:numId w:val="54"/>
        </w:numPr>
      </w:pPr>
      <w:bookmarkStart w:id="36" w:name="_Toc475546054"/>
      <w:bookmarkStart w:id="37" w:name="_Toc491783100"/>
      <w:bookmarkStart w:id="38" w:name="_Toc497398870"/>
      <w:r w:rsidRPr="009B3BD2">
        <w:t>ANÁLISIS DE DERECHO</w:t>
      </w:r>
      <w:bookmarkEnd w:id="36"/>
      <w:bookmarkEnd w:id="37"/>
      <w:bookmarkEnd w:id="38"/>
      <w:r w:rsidRPr="009B3BD2">
        <w:t xml:space="preserve"> </w:t>
      </w:r>
      <w:bookmarkStart w:id="39" w:name="_Toc487443885"/>
    </w:p>
    <w:p w14:paraId="4855F255" w14:textId="77777777" w:rsidR="00195730" w:rsidRPr="009B3BD2" w:rsidRDefault="00195730" w:rsidP="00195730">
      <w:pPr>
        <w:rPr>
          <w:lang w:val="es-ES_tradnl"/>
        </w:rPr>
      </w:pPr>
    </w:p>
    <w:p w14:paraId="243E8F08" w14:textId="77777777" w:rsidR="008F3C41" w:rsidRPr="009B3BD2" w:rsidRDefault="00B71751" w:rsidP="0031377E">
      <w:pPr>
        <w:pStyle w:val="Heading1"/>
        <w:numPr>
          <w:ilvl w:val="0"/>
          <w:numId w:val="65"/>
        </w:numPr>
        <w:ind w:left="1440" w:hanging="720"/>
        <w:jc w:val="both"/>
        <w:rPr>
          <w:lang w:val="es-CO"/>
        </w:rPr>
      </w:pPr>
      <w:bookmarkStart w:id="40" w:name="_Toc497398871"/>
      <w:bookmarkStart w:id="41" w:name="_Toc491783101"/>
      <w:r w:rsidRPr="009B3BD2">
        <w:rPr>
          <w:lang w:val="es-CO"/>
        </w:rPr>
        <w:t>Derechos políticos</w:t>
      </w:r>
      <w:r w:rsidR="00EE76D9" w:rsidRPr="009B3BD2">
        <w:rPr>
          <w:rStyle w:val="FootnoteReference"/>
          <w:rFonts w:asciiTheme="majorHAnsi" w:hAnsiTheme="majorHAnsi"/>
          <w:b w:val="0"/>
          <w:sz w:val="20"/>
          <w:lang w:val="es-CO"/>
        </w:rPr>
        <w:footnoteReference w:id="77"/>
      </w:r>
      <w:r w:rsidRPr="009B3BD2">
        <w:rPr>
          <w:lang w:val="es-CO"/>
        </w:rPr>
        <w:t xml:space="preserve"> en relación </w:t>
      </w:r>
      <w:r w:rsidR="00EE76D9" w:rsidRPr="009B3BD2">
        <w:rPr>
          <w:lang w:val="es-CO"/>
        </w:rPr>
        <w:t xml:space="preserve">con </w:t>
      </w:r>
      <w:r w:rsidRPr="009B3BD2">
        <w:rPr>
          <w:lang w:val="es-CO"/>
        </w:rPr>
        <w:t>los artículos 1.1</w:t>
      </w:r>
      <w:r w:rsidR="00087DFA" w:rsidRPr="009B3BD2">
        <w:rPr>
          <w:rStyle w:val="FootnoteReference"/>
          <w:rFonts w:asciiTheme="majorHAnsi" w:hAnsiTheme="majorHAnsi"/>
          <w:b w:val="0"/>
          <w:sz w:val="20"/>
          <w:lang w:val="es-CO"/>
        </w:rPr>
        <w:footnoteReference w:id="78"/>
      </w:r>
      <w:r w:rsidRPr="009B3BD2">
        <w:rPr>
          <w:b w:val="0"/>
          <w:lang w:val="es-CO"/>
        </w:rPr>
        <w:t xml:space="preserve"> </w:t>
      </w:r>
      <w:r w:rsidRPr="009B3BD2">
        <w:rPr>
          <w:lang w:val="es-CO"/>
        </w:rPr>
        <w:t>y 2</w:t>
      </w:r>
      <w:r w:rsidR="00EE76D9" w:rsidRPr="009B3BD2">
        <w:rPr>
          <w:rStyle w:val="FootnoteReference"/>
          <w:rFonts w:asciiTheme="majorHAnsi" w:hAnsiTheme="majorHAnsi"/>
          <w:b w:val="0"/>
          <w:sz w:val="20"/>
          <w:lang w:val="es-CO"/>
        </w:rPr>
        <w:footnoteReference w:id="79"/>
      </w:r>
      <w:r w:rsidRPr="009B3BD2">
        <w:rPr>
          <w:lang w:val="es-CO"/>
        </w:rPr>
        <w:t xml:space="preserve"> de la Convención Americana</w:t>
      </w:r>
      <w:bookmarkEnd w:id="40"/>
    </w:p>
    <w:p w14:paraId="0B1C2A7B" w14:textId="10084CCD" w:rsidR="00A10D57" w:rsidRPr="009B3BD2" w:rsidRDefault="00A10D57" w:rsidP="00816CF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lang w:val="es-CO"/>
        </w:rPr>
      </w:pPr>
    </w:p>
    <w:p w14:paraId="529677B8" w14:textId="77777777" w:rsidR="008F3C41" w:rsidRPr="009B3BD2" w:rsidRDefault="008F3C41" w:rsidP="008F0E82">
      <w:pPr>
        <w:pStyle w:val="Heading2"/>
        <w:numPr>
          <w:ilvl w:val="0"/>
          <w:numId w:val="68"/>
        </w:numPr>
        <w:tabs>
          <w:tab w:val="left" w:pos="1440"/>
        </w:tabs>
        <w:ind w:hanging="1080"/>
      </w:pPr>
      <w:bookmarkStart w:id="42" w:name="_Toc497398872"/>
      <w:r w:rsidRPr="009B3BD2">
        <w:t>Consideraciones generales</w:t>
      </w:r>
      <w:bookmarkEnd w:id="42"/>
      <w:r w:rsidRPr="009B3BD2">
        <w:t xml:space="preserve"> </w:t>
      </w:r>
    </w:p>
    <w:p w14:paraId="56AD320B" w14:textId="77777777" w:rsidR="006C2EBA" w:rsidRPr="009B3BD2" w:rsidRDefault="006C2EBA" w:rsidP="006C2E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53282645" w14:textId="5574CBBB" w:rsidR="006C2EBA" w:rsidRPr="009B3BD2" w:rsidRDefault="006C2EBA" w:rsidP="001B71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El artículo 23 de la Convención reconoce y protege la participación política a través del derecho al sufragio activo, así como el derecho al sufragio pasivo, entendido este último como el de postularse para un cargo de elección popular, y el establecimiento de una regulación electoral adecuada que garantice el ejercicio de esos derechos sin exclusiones o limitaciones arbitrarias o discriminatorias</w:t>
      </w:r>
      <w:r w:rsidRPr="009B3BD2">
        <w:rPr>
          <w:rStyle w:val="FootnoteReference"/>
          <w:rFonts w:ascii="Cambria" w:hAnsi="Cambria"/>
          <w:sz w:val="20"/>
          <w:szCs w:val="20"/>
          <w:lang w:val="es-CO"/>
        </w:rPr>
        <w:footnoteReference w:id="80"/>
      </w:r>
      <w:r w:rsidRPr="009B3BD2">
        <w:rPr>
          <w:rFonts w:ascii="Cambria" w:hAnsi="Cambria"/>
          <w:sz w:val="20"/>
          <w:szCs w:val="20"/>
          <w:lang w:val="es-CO"/>
        </w:rPr>
        <w:t xml:space="preserve">.  El artículo 23.2, estipula que el ejercicio de los derechos políticos puede ser reglamentado “exclusivamente por razones de edad, nacionalidad, residencia, idioma, instrucción, capacidad civil o metal, o condena, por juez competente, en proceso penal”. </w:t>
      </w:r>
    </w:p>
    <w:p w14:paraId="2A24527C" w14:textId="77777777" w:rsidR="001B7135" w:rsidRPr="009B3BD2" w:rsidRDefault="001B7135" w:rsidP="00BA6384">
      <w:pPr>
        <w:tabs>
          <w:tab w:val="left" w:pos="1440"/>
        </w:tabs>
        <w:jc w:val="both"/>
        <w:rPr>
          <w:rFonts w:ascii="Cambria" w:hAnsi="Cambria"/>
          <w:sz w:val="20"/>
          <w:szCs w:val="20"/>
          <w:lang w:val="es-CO"/>
        </w:rPr>
      </w:pPr>
    </w:p>
    <w:p w14:paraId="4E7D26D4" w14:textId="00F03CEE" w:rsidR="001B7135" w:rsidRPr="00BD7D1E" w:rsidRDefault="001B7135" w:rsidP="001B71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BD7D1E">
        <w:rPr>
          <w:rFonts w:ascii="Cambria" w:hAnsi="Cambria"/>
          <w:sz w:val="20"/>
          <w:szCs w:val="20"/>
          <w:lang w:val="es-CO"/>
        </w:rPr>
        <w:t xml:space="preserve">La CIDH considera que el derecho a ser elegido a un cargo de elección popular, </w:t>
      </w:r>
      <w:r w:rsidR="00BD7D1E" w:rsidRPr="00BD7D1E">
        <w:rPr>
          <w:rFonts w:ascii="Cambria" w:hAnsi="Cambria"/>
          <w:sz w:val="20"/>
          <w:szCs w:val="20"/>
          <w:lang w:val="es-CO"/>
        </w:rPr>
        <w:t>así</w:t>
      </w:r>
      <w:r w:rsidR="00464BC1" w:rsidRPr="00BD7D1E">
        <w:rPr>
          <w:rFonts w:ascii="Cambria" w:hAnsi="Cambria"/>
          <w:sz w:val="20"/>
          <w:szCs w:val="20"/>
          <w:lang w:val="es-CO"/>
        </w:rPr>
        <w:t xml:space="preserve"> como a completar el respectivo mandato, </w:t>
      </w:r>
      <w:r w:rsidRPr="00BD7D1E">
        <w:rPr>
          <w:rFonts w:ascii="Cambria" w:hAnsi="Cambria"/>
          <w:sz w:val="20"/>
          <w:szCs w:val="20"/>
          <w:lang w:val="es-CO"/>
        </w:rPr>
        <w:t>constituye uno de los atributos esenciales que integran los derechos políticos, por lo que las restricciones a dicho derecho deben estar encaminadas a proteger b</w:t>
      </w:r>
      <w:r w:rsidR="00BD7D1E" w:rsidRPr="00BD7D1E">
        <w:rPr>
          <w:rFonts w:ascii="Cambria" w:hAnsi="Cambria"/>
          <w:sz w:val="20"/>
          <w:szCs w:val="20"/>
          <w:lang w:val="es-CO"/>
        </w:rPr>
        <w:t xml:space="preserve">ienes jurídicos fundamentales, </w:t>
      </w:r>
      <w:r w:rsidR="00464BC1" w:rsidRPr="00BD7D1E">
        <w:rPr>
          <w:rFonts w:ascii="Cambria" w:hAnsi="Cambria"/>
          <w:sz w:val="20"/>
          <w:szCs w:val="20"/>
          <w:lang w:val="es-CO"/>
        </w:rPr>
        <w:t xml:space="preserve">por lo que </w:t>
      </w:r>
      <w:r w:rsidRPr="00BD7D1E">
        <w:rPr>
          <w:rFonts w:ascii="Cambria" w:hAnsi="Cambria"/>
          <w:sz w:val="20"/>
          <w:szCs w:val="20"/>
          <w:lang w:val="es-CO"/>
        </w:rPr>
        <w:t>deben ser analizadas cuidadosamente</w:t>
      </w:r>
      <w:r w:rsidR="00464BC1" w:rsidRPr="00BD7D1E">
        <w:rPr>
          <w:rFonts w:ascii="Cambria" w:hAnsi="Cambria"/>
          <w:sz w:val="20"/>
          <w:szCs w:val="20"/>
          <w:lang w:val="es-CO"/>
        </w:rPr>
        <w:t xml:space="preserve"> y bajo un escrutinio riguroso</w:t>
      </w:r>
      <w:r w:rsidR="00143DCE" w:rsidRPr="00BD7D1E">
        <w:rPr>
          <w:rFonts w:ascii="Cambria" w:hAnsi="Cambria"/>
          <w:sz w:val="20"/>
          <w:szCs w:val="20"/>
          <w:lang w:val="es-CO"/>
        </w:rPr>
        <w:t>. En un caso</w:t>
      </w:r>
      <w:r w:rsidRPr="00BD7D1E">
        <w:rPr>
          <w:rFonts w:ascii="Cambria" w:hAnsi="Cambria"/>
          <w:sz w:val="20"/>
          <w:szCs w:val="20"/>
          <w:lang w:val="es-CO"/>
        </w:rPr>
        <w:t xml:space="preserve"> como el presente, de una persona elegida a un cargo de elección popular, debe tomarse en cuenta</w:t>
      </w:r>
      <w:r w:rsidRPr="00BD7D1E">
        <w:rPr>
          <w:rFonts w:ascii="Cambria" w:hAnsi="Cambria"/>
          <w:sz w:val="20"/>
          <w:szCs w:val="20"/>
          <w:lang w:val="es-VE"/>
        </w:rPr>
        <w:t xml:space="preserve"> que una restricción al derecho al sufragio activo</w:t>
      </w:r>
      <w:r w:rsidR="00143DCE" w:rsidRPr="00BD7D1E">
        <w:rPr>
          <w:rFonts w:ascii="Cambria" w:hAnsi="Cambria"/>
          <w:sz w:val="20"/>
          <w:szCs w:val="20"/>
          <w:lang w:val="es-VE"/>
        </w:rPr>
        <w:t xml:space="preserve"> mediante destitución o inhabilitación,</w:t>
      </w:r>
      <w:r w:rsidRPr="00BD7D1E">
        <w:rPr>
          <w:rFonts w:ascii="Cambria" w:hAnsi="Cambria"/>
          <w:sz w:val="20"/>
          <w:szCs w:val="20"/>
          <w:lang w:val="es-VE"/>
        </w:rPr>
        <w:t xml:space="preserve"> puede afectar no solamente a la persona en cuestión sino también la libre expresión de la voluntad de los electores a través del sufragio universal</w:t>
      </w:r>
      <w:r w:rsidRPr="00BD7D1E">
        <w:rPr>
          <w:rStyle w:val="FootnoteReference"/>
          <w:rFonts w:ascii="Cambria" w:eastAsia="Times New Roman" w:hAnsi="Cambria" w:cs="Courier New"/>
          <w:color w:val="212121"/>
          <w:sz w:val="20"/>
          <w:szCs w:val="20"/>
          <w:lang w:val="es-ES"/>
        </w:rPr>
        <w:footnoteReference w:id="81"/>
      </w:r>
      <w:r w:rsidRPr="00BD7D1E">
        <w:rPr>
          <w:rFonts w:ascii="Cambria" w:hAnsi="Cambria"/>
          <w:sz w:val="20"/>
          <w:szCs w:val="20"/>
          <w:lang w:val="es-VE"/>
        </w:rPr>
        <w:t>. De esta manera, una restricción arbitraria de los derechos polít</w:t>
      </w:r>
      <w:r w:rsidR="00F23A63" w:rsidRPr="00BD7D1E">
        <w:rPr>
          <w:rFonts w:ascii="Cambria" w:hAnsi="Cambria"/>
          <w:sz w:val="20"/>
          <w:szCs w:val="20"/>
          <w:lang w:val="es-VE"/>
        </w:rPr>
        <w:t>icos que impacte en el derecho de</w:t>
      </w:r>
      <w:r w:rsidRPr="00BD7D1E">
        <w:rPr>
          <w:rFonts w:ascii="Cambria" w:hAnsi="Cambria"/>
          <w:sz w:val="20"/>
          <w:szCs w:val="20"/>
          <w:lang w:val="es-VE"/>
        </w:rPr>
        <w:t xml:space="preserve"> una per</w:t>
      </w:r>
      <w:r w:rsidR="00143DCE" w:rsidRPr="00BD7D1E">
        <w:rPr>
          <w:rFonts w:ascii="Cambria" w:hAnsi="Cambria"/>
          <w:sz w:val="20"/>
          <w:szCs w:val="20"/>
          <w:lang w:val="es-VE"/>
        </w:rPr>
        <w:t>sona a ser elegida popularmente y a completar su mandato,</w:t>
      </w:r>
      <w:r w:rsidRPr="00BD7D1E">
        <w:rPr>
          <w:rFonts w:ascii="Cambria" w:hAnsi="Cambria"/>
          <w:sz w:val="20"/>
          <w:szCs w:val="20"/>
          <w:lang w:val="es-VE"/>
        </w:rPr>
        <w:t xml:space="preserve"> no afecta únicamente los derechos políticos de la persona en cuestión, sino que implica una afectación en la dimensión colectiva de dichos derechos y, en suma, tiene la virtualidad de incidir significativamente en el juego democrático. </w:t>
      </w:r>
    </w:p>
    <w:p w14:paraId="32476D4E" w14:textId="77777777" w:rsidR="001B7135" w:rsidRPr="009B3BD2" w:rsidRDefault="001B7135" w:rsidP="001B7135">
      <w:pPr>
        <w:tabs>
          <w:tab w:val="left" w:pos="1440"/>
        </w:tabs>
        <w:ind w:left="720"/>
        <w:jc w:val="both"/>
        <w:rPr>
          <w:rFonts w:ascii="Cambria" w:hAnsi="Cambria"/>
          <w:sz w:val="20"/>
          <w:szCs w:val="20"/>
          <w:lang w:val="es-VE"/>
        </w:rPr>
      </w:pPr>
    </w:p>
    <w:p w14:paraId="2EE8552C" w14:textId="1F76C029" w:rsidR="001B7135" w:rsidRPr="00BD7D1E" w:rsidRDefault="00143DCE" w:rsidP="005A59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BD7D1E">
        <w:rPr>
          <w:rFonts w:ascii="Cambria" w:hAnsi="Cambria"/>
          <w:sz w:val="20"/>
          <w:szCs w:val="20"/>
          <w:lang w:val="es-CO"/>
        </w:rPr>
        <w:t>E</w:t>
      </w:r>
      <w:r w:rsidR="001B7135" w:rsidRPr="00BD7D1E">
        <w:rPr>
          <w:rFonts w:ascii="Cambria" w:hAnsi="Cambria"/>
          <w:sz w:val="20"/>
          <w:szCs w:val="20"/>
          <w:lang w:val="es-CO"/>
        </w:rPr>
        <w:t>l Tribunal Europeo de Derechos Humanos</w:t>
      </w:r>
      <w:r w:rsidRPr="00BD7D1E">
        <w:rPr>
          <w:rFonts w:ascii="Cambria" w:hAnsi="Cambria"/>
          <w:sz w:val="20"/>
          <w:szCs w:val="20"/>
          <w:lang w:val="es-CO"/>
        </w:rPr>
        <w:t xml:space="preserve"> también se refirió a la dimensión colectiva de los derechos políticos</w:t>
      </w:r>
      <w:r w:rsidR="001B7135" w:rsidRPr="00BD7D1E">
        <w:rPr>
          <w:rFonts w:ascii="Cambria" w:hAnsi="Cambria"/>
          <w:sz w:val="20"/>
          <w:szCs w:val="20"/>
          <w:lang w:val="es-VE"/>
        </w:rPr>
        <w:t xml:space="preserve"> </w:t>
      </w:r>
      <w:r w:rsidR="001B7135" w:rsidRPr="00BD7D1E">
        <w:rPr>
          <w:rFonts w:ascii="Cambria" w:hAnsi="Cambria"/>
          <w:sz w:val="20"/>
          <w:szCs w:val="20"/>
          <w:lang w:val="es-CO"/>
        </w:rPr>
        <w:t>en el ca</w:t>
      </w:r>
      <w:r w:rsidR="00C14B28" w:rsidRPr="00BD7D1E">
        <w:rPr>
          <w:rFonts w:ascii="Cambria" w:hAnsi="Cambria"/>
          <w:sz w:val="20"/>
          <w:szCs w:val="20"/>
          <w:lang w:val="es-CO"/>
        </w:rPr>
        <w:t xml:space="preserve">so </w:t>
      </w:r>
      <w:proofErr w:type="spellStart"/>
      <w:r w:rsidR="00C14B28" w:rsidRPr="00BD7D1E">
        <w:rPr>
          <w:rFonts w:ascii="Cambria" w:hAnsi="Cambria"/>
          <w:sz w:val="20"/>
          <w:szCs w:val="20"/>
          <w:lang w:val="es-CO"/>
        </w:rPr>
        <w:t>Paksa</w:t>
      </w:r>
      <w:r w:rsidR="00E56924" w:rsidRPr="00BD7D1E">
        <w:rPr>
          <w:rFonts w:ascii="Cambria" w:hAnsi="Cambria"/>
          <w:sz w:val="20"/>
          <w:szCs w:val="20"/>
          <w:lang w:val="es-CO"/>
        </w:rPr>
        <w:t>s</w:t>
      </w:r>
      <w:proofErr w:type="spellEnd"/>
      <w:r w:rsidR="00E56924" w:rsidRPr="00BD7D1E">
        <w:rPr>
          <w:rFonts w:ascii="Cambria" w:hAnsi="Cambria"/>
          <w:sz w:val="20"/>
          <w:szCs w:val="20"/>
          <w:lang w:val="es-CO"/>
        </w:rPr>
        <w:t xml:space="preserve"> vs. Lituania, indicando que la inhabilitación</w:t>
      </w:r>
      <w:r w:rsidR="00216C1E" w:rsidRPr="00BD7D1E">
        <w:rPr>
          <w:rFonts w:ascii="Cambria" w:hAnsi="Cambria"/>
          <w:sz w:val="20"/>
          <w:szCs w:val="20"/>
          <w:lang w:val="es-CO"/>
        </w:rPr>
        <w:t xml:space="preserve"> irreversible</w:t>
      </w:r>
      <w:r w:rsidR="00E56924" w:rsidRPr="00BD7D1E">
        <w:rPr>
          <w:rFonts w:ascii="Cambria" w:hAnsi="Cambria"/>
          <w:sz w:val="20"/>
          <w:szCs w:val="20"/>
          <w:lang w:val="es-CO"/>
        </w:rPr>
        <w:t xml:space="preserve"> de</w:t>
      </w:r>
      <w:r w:rsidR="001B7135" w:rsidRPr="00BD7D1E">
        <w:rPr>
          <w:rFonts w:ascii="Cambria" w:hAnsi="Cambria"/>
          <w:sz w:val="20"/>
          <w:szCs w:val="20"/>
          <w:lang w:val="es-CO"/>
        </w:rPr>
        <w:t xml:space="preserve"> un Presidente de la República para ser miem</w:t>
      </w:r>
      <w:r w:rsidRPr="00BD7D1E">
        <w:rPr>
          <w:rFonts w:ascii="Cambria" w:hAnsi="Cambria"/>
          <w:sz w:val="20"/>
          <w:szCs w:val="20"/>
          <w:lang w:val="es-CO"/>
        </w:rPr>
        <w:t>bro del Parlamento</w:t>
      </w:r>
      <w:r w:rsidR="00E56924" w:rsidRPr="00BD7D1E">
        <w:rPr>
          <w:rFonts w:ascii="Cambria" w:hAnsi="Cambria"/>
          <w:sz w:val="20"/>
          <w:szCs w:val="20"/>
          <w:lang w:val="es-CO"/>
        </w:rPr>
        <w:t xml:space="preserve">, puede no resultar proporcionada a las exigencias de </w:t>
      </w:r>
      <w:r w:rsidR="00E56924" w:rsidRPr="00BD7D1E">
        <w:rPr>
          <w:rFonts w:ascii="Cambria" w:hAnsi="Cambria"/>
          <w:sz w:val="20"/>
          <w:szCs w:val="20"/>
          <w:lang w:val="es-CO"/>
        </w:rPr>
        <w:lastRenderedPageBreak/>
        <w:t xml:space="preserve">mantener el juego democrático. En el mismo caso, el Tribunal </w:t>
      </w:r>
      <w:r w:rsidR="00216C1E" w:rsidRPr="00BD7D1E">
        <w:rPr>
          <w:rFonts w:ascii="Cambria" w:hAnsi="Cambria"/>
          <w:sz w:val="20"/>
          <w:szCs w:val="20"/>
          <w:lang w:val="es-CO"/>
        </w:rPr>
        <w:t xml:space="preserve">enfatizó en el rol del electorado </w:t>
      </w:r>
      <w:r w:rsidR="005142D4" w:rsidRPr="00BD7D1E">
        <w:rPr>
          <w:rFonts w:ascii="Cambria" w:hAnsi="Cambria"/>
          <w:sz w:val="20"/>
          <w:szCs w:val="20"/>
          <w:lang w:val="es-CO"/>
        </w:rPr>
        <w:t>y la manera en que dicho rol se ve afectado por una inhabilitació</w:t>
      </w:r>
      <w:r w:rsidR="005A59AA" w:rsidRPr="00BD7D1E">
        <w:rPr>
          <w:rFonts w:ascii="Cambria" w:hAnsi="Cambria"/>
          <w:sz w:val="20"/>
          <w:szCs w:val="20"/>
          <w:lang w:val="es-CO"/>
        </w:rPr>
        <w:t>n de dicha naturaleza</w:t>
      </w:r>
      <w:r w:rsidR="001B7135" w:rsidRPr="00BD7D1E">
        <w:rPr>
          <w:rStyle w:val="FootnoteReference"/>
          <w:rFonts w:ascii="Cambria" w:hAnsi="Cambria"/>
          <w:sz w:val="20"/>
          <w:szCs w:val="20"/>
          <w:lang w:val="es-CO"/>
        </w:rPr>
        <w:footnoteReference w:id="82"/>
      </w:r>
      <w:r w:rsidR="001B7135" w:rsidRPr="00BD7D1E">
        <w:rPr>
          <w:rFonts w:ascii="Cambria" w:hAnsi="Cambria"/>
          <w:sz w:val="20"/>
          <w:szCs w:val="20"/>
          <w:lang w:val="es-CO"/>
        </w:rPr>
        <w:t>.</w:t>
      </w:r>
    </w:p>
    <w:p w14:paraId="29B6A632" w14:textId="77777777" w:rsidR="005A59AA" w:rsidRPr="005A59AA" w:rsidRDefault="005A59AA" w:rsidP="005A59A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22183694" w14:textId="7266D27E" w:rsidR="001B7135" w:rsidRPr="009B3BD2" w:rsidRDefault="001B7135" w:rsidP="001B71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B3BD2">
        <w:rPr>
          <w:rFonts w:ascii="Cambria" w:hAnsi="Cambria"/>
          <w:sz w:val="20"/>
          <w:szCs w:val="20"/>
          <w:lang w:val="es-VE"/>
        </w:rPr>
        <w:t xml:space="preserve">Tanto la </w:t>
      </w:r>
      <w:r w:rsidRPr="00BD7D1E">
        <w:rPr>
          <w:rFonts w:ascii="Cambria" w:hAnsi="Cambria"/>
          <w:sz w:val="20"/>
          <w:szCs w:val="20"/>
          <w:lang w:val="es-VE"/>
        </w:rPr>
        <w:t xml:space="preserve">Comisión como la Corte Interamericana se han pronunciado sobre la sanción de inhabilitación para ejercer cargos de elección popular a la luz del artículo 23 de la Convención Americana en el caso </w:t>
      </w:r>
      <w:r w:rsidRPr="00BD7D1E">
        <w:rPr>
          <w:rFonts w:ascii="Cambria" w:hAnsi="Cambria"/>
          <w:i/>
          <w:sz w:val="20"/>
          <w:szCs w:val="20"/>
          <w:lang w:val="es-VE"/>
        </w:rPr>
        <w:t xml:space="preserve">López Mendoza vs. Venezuela. </w:t>
      </w:r>
      <w:r w:rsidR="00720C5C" w:rsidRPr="00BD7D1E">
        <w:rPr>
          <w:rFonts w:ascii="Cambria" w:hAnsi="Cambria"/>
          <w:sz w:val="20"/>
          <w:szCs w:val="20"/>
          <w:lang w:val="es-VE"/>
        </w:rPr>
        <w:t>La Comisión estima que l</w:t>
      </w:r>
      <w:r w:rsidR="005211E2" w:rsidRPr="00BD7D1E">
        <w:rPr>
          <w:rFonts w:ascii="Cambria" w:hAnsi="Cambria"/>
          <w:sz w:val="20"/>
          <w:szCs w:val="20"/>
          <w:lang w:val="es-VE"/>
        </w:rPr>
        <w:t xml:space="preserve">as consideraciones que se efectúan a continuación, resultan aplicables </w:t>
      </w:r>
      <w:r w:rsidR="002B0791" w:rsidRPr="00BD7D1E">
        <w:rPr>
          <w:rFonts w:ascii="Cambria" w:hAnsi="Cambria"/>
          <w:sz w:val="20"/>
          <w:szCs w:val="20"/>
          <w:lang w:val="es-VE"/>
        </w:rPr>
        <w:t>igualmente a la destitución de funcionarios de elección popular, tanto por la naturaleza severa de dicha sanción como po</w:t>
      </w:r>
      <w:r w:rsidR="00BD5B6B" w:rsidRPr="00BD7D1E">
        <w:rPr>
          <w:rFonts w:ascii="Cambria" w:hAnsi="Cambria"/>
          <w:sz w:val="20"/>
          <w:szCs w:val="20"/>
          <w:lang w:val="es-VE"/>
        </w:rPr>
        <w:t>r el impacto que la misma tiene desde una dimensión colectiva de los derechos políticos.</w:t>
      </w:r>
      <w:r w:rsidR="00BD5B6B">
        <w:rPr>
          <w:rFonts w:ascii="Cambria" w:hAnsi="Cambria"/>
          <w:sz w:val="20"/>
          <w:szCs w:val="20"/>
          <w:lang w:val="es-VE"/>
        </w:rPr>
        <w:t xml:space="preserve"> </w:t>
      </w:r>
    </w:p>
    <w:p w14:paraId="15F28B15" w14:textId="77777777" w:rsidR="001B7135" w:rsidRPr="009B3BD2" w:rsidRDefault="001B7135" w:rsidP="00B43EA2">
      <w:pPr>
        <w:rPr>
          <w:rFonts w:ascii="Cambria" w:hAnsi="Cambria"/>
          <w:sz w:val="20"/>
          <w:szCs w:val="20"/>
          <w:lang w:val="es-VE"/>
        </w:rPr>
      </w:pPr>
    </w:p>
    <w:p w14:paraId="14CE6AC4" w14:textId="2A81D605" w:rsidR="001B7135" w:rsidRPr="009B3BD2" w:rsidRDefault="001B7135" w:rsidP="001B71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VE"/>
        </w:rPr>
        <w:t>La Corte Interamericana</w:t>
      </w:r>
      <w:r w:rsidRPr="009B3BD2">
        <w:rPr>
          <w:rFonts w:ascii="Cambria" w:hAnsi="Cambria"/>
          <w:sz w:val="20"/>
          <w:szCs w:val="20"/>
          <w:lang w:val="es-CO"/>
        </w:rPr>
        <w:t xml:space="preserve"> evaluó el artículo 23.2 de la Convención Americana y, particularmente, la </w:t>
      </w:r>
      <w:r w:rsidRPr="009B3BD2">
        <w:rPr>
          <w:rFonts w:ascii="Cambria" w:hAnsi="Cambria"/>
          <w:sz w:val="20"/>
          <w:szCs w:val="20"/>
          <w:lang w:val="es-VE"/>
        </w:rPr>
        <w:t>frase “</w:t>
      </w:r>
      <w:r w:rsidRPr="009B3BD2">
        <w:rPr>
          <w:rFonts w:ascii="Cambria" w:hAnsi="Cambria" w:cs="Tahoma"/>
          <w:sz w:val="20"/>
          <w:szCs w:val="20"/>
          <w:lang w:val="es-VE"/>
        </w:rPr>
        <w:t>condena, por juez competente, en proceso penal”, llegando a la conclusión de que las restricciones a los derechos políticos deben basarse en los criterios del inciso 2 del artículo 23 de la Convención, por lo que la inhabilitación por la vía administrativa y no penal</w:t>
      </w:r>
      <w:r w:rsidR="002F74E6">
        <w:rPr>
          <w:rFonts w:ascii="Cambria" w:hAnsi="Cambria" w:cs="Tahoma"/>
          <w:sz w:val="20"/>
          <w:szCs w:val="20"/>
          <w:lang w:val="es-VE"/>
        </w:rPr>
        <w:t>, a través de una autoridad de naturaleza administrativa,</w:t>
      </w:r>
      <w:r w:rsidRPr="009B3BD2">
        <w:rPr>
          <w:rFonts w:ascii="Cambria" w:hAnsi="Cambria" w:cs="Tahoma"/>
          <w:sz w:val="20"/>
          <w:szCs w:val="20"/>
          <w:lang w:val="es-VE"/>
        </w:rPr>
        <w:t xml:space="preserve"> se encuentra prohibida en la Convención Americana</w:t>
      </w:r>
      <w:r w:rsidRPr="009B3BD2">
        <w:rPr>
          <w:rStyle w:val="FootnoteReference"/>
          <w:rFonts w:ascii="Cambria" w:hAnsi="Cambria" w:cs="Tahoma"/>
          <w:sz w:val="20"/>
          <w:szCs w:val="20"/>
          <w:lang w:val="es-VE"/>
        </w:rPr>
        <w:footnoteReference w:id="83"/>
      </w:r>
      <w:r w:rsidRPr="009B3BD2">
        <w:rPr>
          <w:rFonts w:ascii="Cambria" w:hAnsi="Cambria" w:cs="Tahoma"/>
          <w:sz w:val="20"/>
          <w:szCs w:val="20"/>
          <w:lang w:val="es-VE"/>
        </w:rPr>
        <w:t xml:space="preserve">. </w:t>
      </w:r>
      <w:r w:rsidR="00464BC1" w:rsidRPr="009B3BD2">
        <w:rPr>
          <w:rFonts w:ascii="Cambria" w:hAnsi="Cambria" w:cs="Tahoma"/>
          <w:sz w:val="20"/>
          <w:szCs w:val="20"/>
          <w:lang w:val="es-VE"/>
        </w:rPr>
        <w:t xml:space="preserve">La Corte refirió que dicho caso: </w:t>
      </w:r>
      <w:r w:rsidRPr="009B3BD2">
        <w:rPr>
          <w:rFonts w:ascii="Cambria" w:hAnsi="Cambria" w:cs="Tahoma"/>
          <w:sz w:val="20"/>
          <w:szCs w:val="20"/>
          <w:lang w:val="es-VE"/>
        </w:rPr>
        <w:t xml:space="preserve"> </w:t>
      </w:r>
    </w:p>
    <w:p w14:paraId="4DE29547" w14:textId="77777777" w:rsidR="001B7135" w:rsidRPr="009B3BD2" w:rsidRDefault="001B7135" w:rsidP="001B7135">
      <w:pPr>
        <w:tabs>
          <w:tab w:val="left" w:pos="1440"/>
        </w:tabs>
        <w:jc w:val="both"/>
        <w:rPr>
          <w:rFonts w:ascii="Cambria" w:hAnsi="Cambria"/>
          <w:sz w:val="20"/>
          <w:szCs w:val="20"/>
          <w:lang w:val="es-CO"/>
        </w:rPr>
      </w:pPr>
    </w:p>
    <w:p w14:paraId="0885A7DA" w14:textId="77777777" w:rsidR="001B7135" w:rsidRPr="009B3BD2" w:rsidRDefault="001B7135" w:rsidP="001B7135">
      <w:pPr>
        <w:tabs>
          <w:tab w:val="left" w:pos="1440"/>
        </w:tabs>
        <w:ind w:left="720"/>
        <w:jc w:val="both"/>
        <w:rPr>
          <w:rFonts w:ascii="Cambria" w:hAnsi="Cambria"/>
          <w:sz w:val="20"/>
          <w:szCs w:val="20"/>
          <w:lang w:val="es-CO"/>
        </w:rPr>
      </w:pPr>
      <w:r w:rsidRPr="009B3BD2">
        <w:rPr>
          <w:rFonts w:ascii="Cambria" w:hAnsi="Cambria"/>
          <w:sz w:val="20"/>
          <w:szCs w:val="20"/>
          <w:lang w:val="es-CO"/>
        </w:rPr>
        <w:t>Que se refiere a una restricción impuesta por vía de sanción, debería tratarse de una “condena, por juez competente, en proceso penal”. Ninguno de esos requisitos se ha cumplido, pues el órgano que impuso dichas sanciones no era un “juez competente”, no hubo “condena” y las sanciones no se aplicaron como resultado de “un proceso penal, en el que tendrían que haberse respetado las garantías judiciales consagradas en el artículo 8 de la Convención Americana.</w:t>
      </w:r>
    </w:p>
    <w:p w14:paraId="0A850E9F" w14:textId="77777777" w:rsidR="001B7135" w:rsidRPr="009B3BD2" w:rsidRDefault="001B7135" w:rsidP="001B7135">
      <w:pPr>
        <w:tabs>
          <w:tab w:val="left" w:pos="1440"/>
        </w:tabs>
        <w:ind w:left="720"/>
        <w:jc w:val="both"/>
        <w:rPr>
          <w:rFonts w:ascii="Cambria" w:hAnsi="Cambria"/>
          <w:sz w:val="20"/>
          <w:szCs w:val="20"/>
          <w:lang w:val="es-CO"/>
        </w:rPr>
      </w:pPr>
    </w:p>
    <w:p w14:paraId="2D8E949F" w14:textId="77777777" w:rsidR="001B7135" w:rsidRPr="009B3BD2" w:rsidRDefault="001B7135" w:rsidP="001B71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En el informe de fondo de dicho caso, la Comisión efectuó un análisis de la sanción de inhabilitación, partiendo del sentido manifiesto del artículo 23.2 de la Convención Americana y concluyó que “la imposición de una sanción de inhabilitación para la postulación a un cargo de elección popular, por un periodo de tiempo, tiene naturaleza de sanción penal por lo que obliga a exigir, a quien tiene la facultad de imponerla, el respeto de ciertas garantías procesales propias de un procedimiento de índole penal, las cuales son más estrictas que las garantías de debido proceso que se exigen en los procedimientos administrativos”</w:t>
      </w:r>
      <w:r w:rsidRPr="009B3BD2">
        <w:rPr>
          <w:rStyle w:val="FootnoteReference"/>
          <w:rFonts w:ascii="Cambria" w:hAnsi="Cambria"/>
          <w:sz w:val="20"/>
          <w:szCs w:val="20"/>
          <w:lang w:val="es-CO"/>
        </w:rPr>
        <w:footnoteReference w:id="84"/>
      </w:r>
      <w:r w:rsidRPr="009B3BD2">
        <w:rPr>
          <w:rFonts w:ascii="Cambria" w:hAnsi="Cambria"/>
          <w:sz w:val="20"/>
          <w:szCs w:val="20"/>
          <w:lang w:val="es-CO"/>
        </w:rPr>
        <w:t>.</w:t>
      </w:r>
    </w:p>
    <w:p w14:paraId="51E86DB4" w14:textId="77777777" w:rsidR="001B7135" w:rsidRPr="009B3BD2" w:rsidRDefault="001B7135" w:rsidP="001B7135">
      <w:pPr>
        <w:tabs>
          <w:tab w:val="left" w:pos="1440"/>
        </w:tabs>
        <w:ind w:left="720"/>
        <w:jc w:val="both"/>
        <w:rPr>
          <w:rFonts w:ascii="Cambria" w:hAnsi="Cambria"/>
          <w:sz w:val="20"/>
          <w:szCs w:val="20"/>
          <w:lang w:val="es-CO"/>
        </w:rPr>
      </w:pPr>
    </w:p>
    <w:p w14:paraId="5CC57957" w14:textId="1F07CD57" w:rsidR="001B7135" w:rsidRPr="00BD7D1E" w:rsidRDefault="001B7135" w:rsidP="001B71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BD7D1E">
        <w:rPr>
          <w:rFonts w:ascii="Cambria" w:hAnsi="Cambria"/>
          <w:sz w:val="20"/>
          <w:szCs w:val="20"/>
          <w:lang w:val="es-CO"/>
        </w:rPr>
        <w:t xml:space="preserve">La Comisión </w:t>
      </w:r>
      <w:r w:rsidR="00464BC1" w:rsidRPr="00BD7D1E">
        <w:rPr>
          <w:rFonts w:ascii="Cambria" w:hAnsi="Cambria"/>
          <w:sz w:val="20"/>
          <w:szCs w:val="20"/>
          <w:lang w:val="es-CO"/>
        </w:rPr>
        <w:t>entiende</w:t>
      </w:r>
      <w:r w:rsidRPr="00BD7D1E">
        <w:rPr>
          <w:rFonts w:ascii="Cambria" w:hAnsi="Cambria"/>
          <w:sz w:val="20"/>
          <w:szCs w:val="20"/>
          <w:lang w:val="es-CO"/>
        </w:rPr>
        <w:t xml:space="preserve"> que la exigencia de que se trate de una condena penal en firme se explica pues si bien la </w:t>
      </w:r>
      <w:r w:rsidR="00087457" w:rsidRPr="00BD7D1E">
        <w:rPr>
          <w:rFonts w:ascii="Cambria" w:hAnsi="Cambria"/>
          <w:sz w:val="20"/>
          <w:szCs w:val="20"/>
          <w:lang w:val="es-CO"/>
        </w:rPr>
        <w:t xml:space="preserve">destitución e </w:t>
      </w:r>
      <w:r w:rsidRPr="00BD7D1E">
        <w:rPr>
          <w:rFonts w:ascii="Cambria" w:hAnsi="Cambria"/>
          <w:sz w:val="20"/>
          <w:szCs w:val="20"/>
          <w:lang w:val="es-CO"/>
        </w:rPr>
        <w:t xml:space="preserve">inhabilitación de un funcionario </w:t>
      </w:r>
      <w:r w:rsidR="00087457" w:rsidRPr="00BD7D1E">
        <w:rPr>
          <w:rFonts w:ascii="Cambria" w:hAnsi="Cambria"/>
          <w:sz w:val="20"/>
          <w:szCs w:val="20"/>
          <w:lang w:val="es-CO"/>
        </w:rPr>
        <w:t xml:space="preserve">de elección popular </w:t>
      </w:r>
      <w:r w:rsidRPr="00BD7D1E">
        <w:rPr>
          <w:rFonts w:ascii="Cambria" w:hAnsi="Cambria"/>
          <w:sz w:val="20"/>
          <w:szCs w:val="20"/>
          <w:lang w:val="es-CO"/>
        </w:rPr>
        <w:t>que pudo haber incurrido en infracciones meramente administrativas que no constituyen delitos podría perseguir el fin legítimo de evitar que personas no idó</w:t>
      </w:r>
      <w:r w:rsidR="00464BC1" w:rsidRPr="00BD7D1E">
        <w:rPr>
          <w:rFonts w:ascii="Cambria" w:hAnsi="Cambria"/>
          <w:sz w:val="20"/>
          <w:szCs w:val="20"/>
          <w:lang w:val="es-CO"/>
        </w:rPr>
        <w:t>neas ejerzan la función pública</w:t>
      </w:r>
      <w:r w:rsidRPr="00BD7D1E">
        <w:rPr>
          <w:rFonts w:ascii="Cambria" w:hAnsi="Cambria"/>
          <w:sz w:val="20"/>
          <w:szCs w:val="20"/>
          <w:lang w:val="es-CO"/>
        </w:rPr>
        <w:t xml:space="preserve">, existen medios menos lesivos para el logro de dicho fin, lo que debe ser evaluado tomando en cuenta que </w:t>
      </w:r>
      <w:r w:rsidR="00464BC1" w:rsidRPr="00BD7D1E">
        <w:rPr>
          <w:rFonts w:ascii="Cambria" w:hAnsi="Cambria"/>
          <w:sz w:val="20"/>
          <w:szCs w:val="20"/>
          <w:lang w:val="es-CO"/>
        </w:rPr>
        <w:t xml:space="preserve"> tal como</w:t>
      </w:r>
      <w:r w:rsidR="00DB4A69" w:rsidRPr="00BD7D1E">
        <w:rPr>
          <w:rFonts w:ascii="Cambria" w:hAnsi="Cambria"/>
          <w:sz w:val="20"/>
          <w:szCs w:val="20"/>
          <w:lang w:val="es-CO"/>
        </w:rPr>
        <w:t xml:space="preserve"> lo indicó el Tribunal Europeo </w:t>
      </w:r>
      <w:r w:rsidRPr="00BD7D1E">
        <w:rPr>
          <w:rFonts w:ascii="Cambria" w:hAnsi="Cambria"/>
          <w:sz w:val="20"/>
          <w:szCs w:val="20"/>
          <w:lang w:val="es-CO"/>
        </w:rPr>
        <w:t>es, en principio, al electorado al que en el marco del juego democrático, le corresponde determinar mediante el derecho al sufragio activo, la idoneidad de los candidatos para ejercer la función pública. Además de q</w:t>
      </w:r>
      <w:r w:rsidR="00DB4A69" w:rsidRPr="00BD7D1E">
        <w:rPr>
          <w:rFonts w:ascii="Cambria" w:hAnsi="Cambria"/>
          <w:sz w:val="20"/>
          <w:szCs w:val="20"/>
          <w:lang w:val="es-CO"/>
        </w:rPr>
        <w:t>ue existen medios menos lesivos,</w:t>
      </w:r>
      <w:r w:rsidRPr="00BD7D1E">
        <w:rPr>
          <w:rFonts w:ascii="Cambria" w:hAnsi="Cambria"/>
          <w:sz w:val="20"/>
          <w:szCs w:val="20"/>
          <w:lang w:val="es-CO"/>
        </w:rPr>
        <w:t xml:space="preserve"> en todo caso, la sanción de </w:t>
      </w:r>
      <w:r w:rsidR="00DB4A69" w:rsidRPr="00BD7D1E">
        <w:rPr>
          <w:rFonts w:ascii="Cambria" w:hAnsi="Cambria"/>
          <w:sz w:val="20"/>
          <w:szCs w:val="20"/>
          <w:lang w:val="es-CO"/>
        </w:rPr>
        <w:t xml:space="preserve">destitución e </w:t>
      </w:r>
      <w:r w:rsidRPr="00BD7D1E">
        <w:rPr>
          <w:rFonts w:ascii="Cambria" w:hAnsi="Cambria"/>
          <w:sz w:val="20"/>
          <w:szCs w:val="20"/>
          <w:lang w:val="es-CO"/>
        </w:rPr>
        <w:t>inhabilitación</w:t>
      </w:r>
      <w:r w:rsidR="00DB4A69" w:rsidRPr="00BD7D1E">
        <w:rPr>
          <w:rFonts w:ascii="Cambria" w:hAnsi="Cambria"/>
          <w:sz w:val="20"/>
          <w:szCs w:val="20"/>
          <w:lang w:val="es-CO"/>
        </w:rPr>
        <w:t xml:space="preserve"> de un funcionario de elección popular </w:t>
      </w:r>
      <w:r w:rsidRPr="00BD7D1E">
        <w:rPr>
          <w:rFonts w:ascii="Cambria" w:hAnsi="Cambria"/>
          <w:sz w:val="20"/>
          <w:szCs w:val="20"/>
          <w:lang w:val="es-CO"/>
        </w:rPr>
        <w:t xml:space="preserve">por infracciones meramente administrativas que no constituyen delitos, no satisface el estándar de proporcionalidad estricta en tanto el grado de afectación que tiene en los derechos políticos tanto de la persona </w:t>
      </w:r>
      <w:r w:rsidR="00192FB7" w:rsidRPr="00BD7D1E">
        <w:rPr>
          <w:rFonts w:ascii="Cambria" w:hAnsi="Cambria"/>
          <w:sz w:val="20"/>
          <w:szCs w:val="20"/>
          <w:lang w:val="es-CO"/>
        </w:rPr>
        <w:t xml:space="preserve">destituida e </w:t>
      </w:r>
      <w:r w:rsidRPr="00BD7D1E">
        <w:rPr>
          <w:rFonts w:ascii="Cambria" w:hAnsi="Cambria"/>
          <w:sz w:val="20"/>
          <w:szCs w:val="20"/>
          <w:lang w:val="es-CO"/>
        </w:rPr>
        <w:t>inhabilitada como de la sociedad en su conjunto, es especialmente intenso, frente a un mediano logro de</w:t>
      </w:r>
      <w:r w:rsidR="00464BC1" w:rsidRPr="00BD7D1E">
        <w:rPr>
          <w:rFonts w:ascii="Cambria" w:hAnsi="Cambria"/>
          <w:sz w:val="20"/>
          <w:szCs w:val="20"/>
          <w:lang w:val="es-CO"/>
        </w:rPr>
        <w:t xml:space="preserve"> garantizar</w:t>
      </w:r>
      <w:r w:rsidRPr="00BD7D1E">
        <w:rPr>
          <w:rFonts w:ascii="Cambria" w:hAnsi="Cambria"/>
          <w:sz w:val="20"/>
          <w:szCs w:val="20"/>
          <w:lang w:val="es-CO"/>
        </w:rPr>
        <w:t xml:space="preserve"> la idoneidad de </w:t>
      </w:r>
      <w:r w:rsidR="00192FB7" w:rsidRPr="00BD7D1E">
        <w:rPr>
          <w:rFonts w:ascii="Cambria" w:hAnsi="Cambria"/>
          <w:sz w:val="20"/>
          <w:szCs w:val="20"/>
          <w:lang w:val="es-CO"/>
        </w:rPr>
        <w:t>las personas</w:t>
      </w:r>
      <w:r w:rsidRPr="00BD7D1E">
        <w:rPr>
          <w:rFonts w:ascii="Cambria" w:hAnsi="Cambria"/>
          <w:sz w:val="20"/>
          <w:szCs w:val="20"/>
          <w:lang w:val="es-CO"/>
        </w:rPr>
        <w:t xml:space="preserve"> para ejercer la función pública cuando estos pudieron haber cometido infracciones administrativas que si bien pueden revestir cierta gravedad, al no llegar a la entidad de un delito, no logra justificar la afectación intensa a los derecho</w:t>
      </w:r>
      <w:r w:rsidR="00192FB7" w:rsidRPr="00BD7D1E">
        <w:rPr>
          <w:rFonts w:ascii="Cambria" w:hAnsi="Cambria"/>
          <w:sz w:val="20"/>
          <w:szCs w:val="20"/>
          <w:lang w:val="es-CO"/>
        </w:rPr>
        <w:t>s</w:t>
      </w:r>
      <w:r w:rsidRPr="00BD7D1E">
        <w:rPr>
          <w:rFonts w:ascii="Cambria" w:hAnsi="Cambria"/>
          <w:sz w:val="20"/>
          <w:szCs w:val="20"/>
          <w:lang w:val="es-CO"/>
        </w:rPr>
        <w:t xml:space="preserve"> políticos en los términos explicados</w:t>
      </w:r>
      <w:r w:rsidRPr="00BD7D1E">
        <w:rPr>
          <w:rStyle w:val="FootnoteReference"/>
          <w:rFonts w:ascii="Cambria" w:hAnsi="Cambria"/>
          <w:sz w:val="20"/>
          <w:szCs w:val="20"/>
          <w:lang w:val="es-CO"/>
        </w:rPr>
        <w:footnoteReference w:id="85"/>
      </w:r>
      <w:r w:rsidRPr="00BD7D1E">
        <w:rPr>
          <w:rFonts w:ascii="Cambria" w:hAnsi="Cambria"/>
          <w:sz w:val="20"/>
          <w:szCs w:val="20"/>
          <w:lang w:val="es-CO"/>
        </w:rPr>
        <w:t>.</w:t>
      </w:r>
    </w:p>
    <w:p w14:paraId="00E0A172" w14:textId="5E72C2AA" w:rsidR="001B7135" w:rsidRPr="009B3BD2" w:rsidRDefault="001B7135" w:rsidP="001B7135">
      <w:pPr>
        <w:tabs>
          <w:tab w:val="left" w:pos="1440"/>
        </w:tabs>
        <w:jc w:val="both"/>
        <w:rPr>
          <w:rFonts w:ascii="Cambria" w:hAnsi="Cambria"/>
          <w:sz w:val="20"/>
          <w:szCs w:val="20"/>
          <w:lang w:val="es-CO"/>
        </w:rPr>
      </w:pPr>
      <w:r w:rsidRPr="009B3BD2">
        <w:rPr>
          <w:rFonts w:ascii="Cambria" w:hAnsi="Cambria"/>
          <w:sz w:val="20"/>
          <w:szCs w:val="20"/>
          <w:lang w:val="es-CO"/>
        </w:rPr>
        <w:t xml:space="preserve"> </w:t>
      </w:r>
    </w:p>
    <w:p w14:paraId="449E3841" w14:textId="02FA5577" w:rsidR="001B7135" w:rsidRPr="00BD7D1E" w:rsidRDefault="001B7135" w:rsidP="001B71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BD7D1E">
        <w:rPr>
          <w:rFonts w:ascii="Cambria" w:hAnsi="Cambria"/>
          <w:sz w:val="20"/>
          <w:szCs w:val="20"/>
          <w:lang w:val="es-CO"/>
        </w:rPr>
        <w:lastRenderedPageBreak/>
        <w:t xml:space="preserve">En resumen, </w:t>
      </w:r>
      <w:r w:rsidRPr="00BD7D1E">
        <w:rPr>
          <w:rFonts w:ascii="Cambria" w:hAnsi="Cambria"/>
          <w:sz w:val="20"/>
          <w:szCs w:val="20"/>
          <w:lang w:val="es-VE"/>
        </w:rPr>
        <w:t>ambos órganos del sistema interamericano, han llegado a la misma conclusión de desprender del artículo 23.2 una regla clara conforme a la cual la sanción de inhabilitación para ser elegido en un cargo de elección popular, no puede ser impuesta sino a través de condena penal en firme y</w:t>
      </w:r>
      <w:r w:rsidR="00C2628F" w:rsidRPr="00BD7D1E">
        <w:rPr>
          <w:rFonts w:ascii="Cambria" w:hAnsi="Cambria"/>
          <w:sz w:val="20"/>
          <w:szCs w:val="20"/>
          <w:lang w:val="es-VE"/>
        </w:rPr>
        <w:t xml:space="preserve"> no por la vía administrativa. </w:t>
      </w:r>
      <w:r w:rsidR="00B171B3" w:rsidRPr="00BD7D1E">
        <w:rPr>
          <w:rFonts w:ascii="Cambria" w:hAnsi="Cambria"/>
          <w:sz w:val="20"/>
          <w:szCs w:val="20"/>
          <w:lang w:val="es-VE"/>
        </w:rPr>
        <w:t xml:space="preserve">La Comisión considera que esta regla se aplica también a la destitución de personas que ejercen cargos de elección popular en los términos explicados. </w:t>
      </w:r>
    </w:p>
    <w:p w14:paraId="42BF8441" w14:textId="77777777" w:rsidR="001B7135" w:rsidRPr="009B3BD2" w:rsidRDefault="001B7135" w:rsidP="001B7135">
      <w:pPr>
        <w:tabs>
          <w:tab w:val="left" w:pos="1440"/>
        </w:tabs>
        <w:jc w:val="both"/>
        <w:rPr>
          <w:rFonts w:ascii="Cambria" w:hAnsi="Cambria"/>
          <w:sz w:val="20"/>
          <w:szCs w:val="20"/>
          <w:lang w:val="es-VE"/>
        </w:rPr>
      </w:pPr>
    </w:p>
    <w:p w14:paraId="4841805D" w14:textId="77777777" w:rsidR="001B7135" w:rsidRPr="009B3BD2" w:rsidRDefault="001B7135" w:rsidP="001B7135">
      <w:pPr>
        <w:pStyle w:val="Heading2"/>
        <w:numPr>
          <w:ilvl w:val="0"/>
          <w:numId w:val="68"/>
        </w:numPr>
        <w:tabs>
          <w:tab w:val="left" w:pos="1440"/>
        </w:tabs>
        <w:ind w:hanging="1080"/>
      </w:pPr>
      <w:bookmarkStart w:id="43" w:name="_Toc497398873"/>
      <w:r w:rsidRPr="009B3BD2">
        <w:t>Análisis del presente caso</w:t>
      </w:r>
      <w:bookmarkEnd w:id="43"/>
    </w:p>
    <w:p w14:paraId="13E645F5" w14:textId="77777777" w:rsidR="001B7135" w:rsidRPr="009B3BD2" w:rsidRDefault="001B7135" w:rsidP="001B7135">
      <w:pPr>
        <w:tabs>
          <w:tab w:val="left" w:pos="1440"/>
        </w:tabs>
        <w:jc w:val="both"/>
        <w:rPr>
          <w:rFonts w:ascii="Cambria" w:hAnsi="Cambria"/>
          <w:sz w:val="20"/>
          <w:szCs w:val="20"/>
          <w:lang w:val="es-ES"/>
        </w:rPr>
      </w:pPr>
    </w:p>
    <w:p w14:paraId="04167723" w14:textId="0508DE8C" w:rsidR="001B7135" w:rsidRPr="00BD7D1E" w:rsidRDefault="001B7135" w:rsidP="001B71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BD7D1E">
        <w:rPr>
          <w:rFonts w:ascii="Cambria" w:hAnsi="Cambria"/>
          <w:sz w:val="20"/>
          <w:szCs w:val="20"/>
          <w:lang w:val="es-VE"/>
        </w:rPr>
        <w:t xml:space="preserve">En el presente caso el Procurador General de la Nación impuso la sanción de </w:t>
      </w:r>
      <w:r w:rsidR="00E55B5D" w:rsidRPr="00BD7D1E">
        <w:rPr>
          <w:rFonts w:ascii="Cambria" w:hAnsi="Cambria"/>
          <w:sz w:val="20"/>
          <w:szCs w:val="20"/>
          <w:lang w:val="es-VE"/>
        </w:rPr>
        <w:t xml:space="preserve">destitución e </w:t>
      </w:r>
      <w:r w:rsidRPr="00BD7D1E">
        <w:rPr>
          <w:rFonts w:ascii="Cambria" w:hAnsi="Cambria"/>
          <w:sz w:val="20"/>
          <w:szCs w:val="20"/>
          <w:lang w:val="es-VE"/>
        </w:rPr>
        <w:t>inhabilitación general por el término de quince años a la presunta víctima el 9 de diciembre de 2013 por la suscripción de un contrato interadministrativo y la expedición de los Decretos 564 y 570 de la Alcaldía de Bogotá. Asimismo, impuso una nueva inhabilitación especial el 27 de junio de 2016 por la emisión del Decreto 4002 que modificó las normas urbanísticas del Plan de Ordenamiento Territorial. La Comisión destaca que la Constitución Política otorga la potestad disciplinaria a la Pr</w:t>
      </w:r>
      <w:r w:rsidR="00E55B5D" w:rsidRPr="00BD7D1E">
        <w:rPr>
          <w:rFonts w:ascii="Cambria" w:hAnsi="Cambria"/>
          <w:sz w:val="20"/>
          <w:szCs w:val="20"/>
          <w:lang w:val="es-VE"/>
        </w:rPr>
        <w:t xml:space="preserve">ocuraduría General de la Nación, incluyendo la </w:t>
      </w:r>
      <w:r w:rsidR="002F74E6" w:rsidRPr="00BD7D1E">
        <w:rPr>
          <w:rFonts w:ascii="Cambria" w:hAnsi="Cambria"/>
          <w:sz w:val="20"/>
          <w:szCs w:val="20"/>
          <w:lang w:val="es-VE"/>
        </w:rPr>
        <w:t>potestad</w:t>
      </w:r>
      <w:r w:rsidR="00E55B5D" w:rsidRPr="00BD7D1E">
        <w:rPr>
          <w:rFonts w:ascii="Cambria" w:hAnsi="Cambria"/>
          <w:sz w:val="20"/>
          <w:szCs w:val="20"/>
          <w:lang w:val="es-VE"/>
        </w:rPr>
        <w:t xml:space="preserve"> de destituir a personas elegidas popularmente. En cuanto a la </w:t>
      </w:r>
      <w:r w:rsidR="002F74E6" w:rsidRPr="00BD7D1E">
        <w:rPr>
          <w:rFonts w:ascii="Cambria" w:hAnsi="Cambria"/>
          <w:sz w:val="20"/>
          <w:szCs w:val="20"/>
          <w:lang w:val="es-VE"/>
        </w:rPr>
        <w:t>inhabilitación</w:t>
      </w:r>
      <w:r w:rsidR="00E55B5D" w:rsidRPr="00BD7D1E">
        <w:rPr>
          <w:rFonts w:ascii="Cambria" w:hAnsi="Cambria"/>
          <w:sz w:val="20"/>
          <w:szCs w:val="20"/>
          <w:lang w:val="es-VE"/>
        </w:rPr>
        <w:t>, la misma s</w:t>
      </w:r>
      <w:r w:rsidRPr="00BD7D1E">
        <w:rPr>
          <w:rFonts w:ascii="Cambria" w:hAnsi="Cambria"/>
          <w:sz w:val="20"/>
          <w:szCs w:val="20"/>
          <w:lang w:val="es-VE"/>
        </w:rPr>
        <w:t xml:space="preserve">e encuentra contemplada en el Código Disciplinario Único dentro del abanico de sanciones que puede imponer dicha entidad en el ejercicio de la potestad disciplinaria atribuida constitucionalmente. </w:t>
      </w:r>
    </w:p>
    <w:p w14:paraId="6CE536DB" w14:textId="77777777" w:rsidR="001B7135" w:rsidRPr="009B3BD2" w:rsidRDefault="001B7135" w:rsidP="001B7135">
      <w:pPr>
        <w:tabs>
          <w:tab w:val="left" w:pos="2674"/>
        </w:tabs>
        <w:ind w:left="720"/>
        <w:jc w:val="both"/>
        <w:rPr>
          <w:rFonts w:ascii="Cambria" w:hAnsi="Cambria"/>
          <w:sz w:val="20"/>
          <w:szCs w:val="20"/>
          <w:lang w:val="es-ES"/>
        </w:rPr>
      </w:pPr>
    </w:p>
    <w:p w14:paraId="307651CA" w14:textId="51FC484B" w:rsidR="001B7135" w:rsidRPr="00BD7D1E" w:rsidRDefault="001B7135" w:rsidP="00A17EA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BD7D1E">
        <w:rPr>
          <w:rFonts w:ascii="Cambria" w:hAnsi="Cambria"/>
          <w:sz w:val="20"/>
          <w:szCs w:val="20"/>
          <w:lang w:val="es-ES"/>
        </w:rPr>
        <w:t>La CIDH observa que la</w:t>
      </w:r>
      <w:r w:rsidR="00E717A4" w:rsidRPr="00BD7D1E">
        <w:rPr>
          <w:rFonts w:ascii="Cambria" w:hAnsi="Cambria"/>
          <w:sz w:val="20"/>
          <w:szCs w:val="20"/>
          <w:lang w:val="es-ES"/>
        </w:rPr>
        <w:t>s sanciones de</w:t>
      </w:r>
      <w:r w:rsidRPr="00BD7D1E">
        <w:rPr>
          <w:rFonts w:ascii="Cambria" w:hAnsi="Cambria"/>
          <w:sz w:val="20"/>
          <w:szCs w:val="20"/>
          <w:lang w:val="es-ES"/>
        </w:rPr>
        <w:t xml:space="preserve"> </w:t>
      </w:r>
      <w:r w:rsidR="00E717A4" w:rsidRPr="00BD7D1E">
        <w:rPr>
          <w:rFonts w:ascii="Cambria" w:hAnsi="Cambria"/>
          <w:sz w:val="20"/>
          <w:szCs w:val="20"/>
          <w:lang w:val="es-ES"/>
        </w:rPr>
        <w:t xml:space="preserve">destitución e </w:t>
      </w:r>
      <w:r w:rsidRPr="00BD7D1E">
        <w:rPr>
          <w:rFonts w:ascii="Cambria" w:hAnsi="Cambria"/>
          <w:sz w:val="20"/>
          <w:szCs w:val="20"/>
          <w:lang w:val="es-ES"/>
        </w:rPr>
        <w:t xml:space="preserve">inhabilitación del señor </w:t>
      </w:r>
      <w:proofErr w:type="spellStart"/>
      <w:r w:rsidRPr="00BD7D1E">
        <w:rPr>
          <w:rFonts w:ascii="Cambria" w:hAnsi="Cambria"/>
          <w:sz w:val="20"/>
          <w:szCs w:val="20"/>
          <w:lang w:val="es-ES"/>
        </w:rPr>
        <w:t>Petro</w:t>
      </w:r>
      <w:proofErr w:type="spellEnd"/>
      <w:r w:rsidRPr="00BD7D1E">
        <w:rPr>
          <w:rFonts w:ascii="Cambria" w:hAnsi="Cambria"/>
          <w:sz w:val="20"/>
          <w:szCs w:val="20"/>
          <w:lang w:val="es-ES"/>
        </w:rPr>
        <w:t xml:space="preserve"> Urrego no</w:t>
      </w:r>
      <w:r w:rsidR="008633D2" w:rsidRPr="00BD7D1E">
        <w:rPr>
          <w:rFonts w:ascii="Cambria" w:hAnsi="Cambria"/>
          <w:sz w:val="20"/>
          <w:szCs w:val="20"/>
          <w:lang w:val="es-ES"/>
        </w:rPr>
        <w:t xml:space="preserve"> fueron</w:t>
      </w:r>
      <w:r w:rsidRPr="00BD7D1E">
        <w:rPr>
          <w:rFonts w:ascii="Cambria" w:hAnsi="Cambria"/>
          <w:sz w:val="20"/>
          <w:szCs w:val="20"/>
          <w:lang w:val="es-ES"/>
        </w:rPr>
        <w:t xml:space="preserve"> impuesta</w:t>
      </w:r>
      <w:r w:rsidR="008633D2" w:rsidRPr="00BD7D1E">
        <w:rPr>
          <w:rFonts w:ascii="Cambria" w:hAnsi="Cambria"/>
          <w:sz w:val="20"/>
          <w:szCs w:val="20"/>
          <w:lang w:val="es-ES"/>
        </w:rPr>
        <w:t>s</w:t>
      </w:r>
      <w:r w:rsidRPr="00BD7D1E">
        <w:rPr>
          <w:rFonts w:ascii="Cambria" w:hAnsi="Cambria"/>
          <w:sz w:val="20"/>
          <w:szCs w:val="20"/>
          <w:lang w:val="es-ES"/>
        </w:rPr>
        <w:t xml:space="preserve"> por un tribunal p</w:t>
      </w:r>
      <w:r w:rsidR="008633D2" w:rsidRPr="00BD7D1E">
        <w:rPr>
          <w:rFonts w:ascii="Cambria" w:hAnsi="Cambria"/>
          <w:sz w:val="20"/>
          <w:szCs w:val="20"/>
          <w:lang w:val="es-ES"/>
        </w:rPr>
        <w:t xml:space="preserve">enal mediante condena en firme </w:t>
      </w:r>
      <w:r w:rsidRPr="00BD7D1E">
        <w:rPr>
          <w:rFonts w:ascii="Cambria" w:hAnsi="Cambria"/>
          <w:sz w:val="20"/>
          <w:szCs w:val="20"/>
          <w:lang w:val="es-ES"/>
        </w:rPr>
        <w:t xml:space="preserve">como lo exigen los estándares indicados con anterioridad. Además de que la </w:t>
      </w:r>
      <w:r w:rsidR="00E61536" w:rsidRPr="00BD7D1E">
        <w:rPr>
          <w:rFonts w:ascii="Cambria" w:hAnsi="Cambria"/>
          <w:sz w:val="20"/>
          <w:szCs w:val="20"/>
          <w:lang w:val="es-ES"/>
        </w:rPr>
        <w:t>Procuraduría General de la Nación</w:t>
      </w:r>
      <w:r w:rsidR="002F74E6" w:rsidRPr="00BD7D1E">
        <w:rPr>
          <w:rFonts w:ascii="Cambria" w:hAnsi="Cambria"/>
          <w:sz w:val="20"/>
          <w:szCs w:val="20"/>
          <w:lang w:val="es-ES"/>
        </w:rPr>
        <w:t>, atendiendo a su naturaleza propiamente administrativa,</w:t>
      </w:r>
      <w:r w:rsidR="00E61536" w:rsidRPr="00BD7D1E">
        <w:rPr>
          <w:rFonts w:ascii="Cambria" w:hAnsi="Cambria"/>
          <w:sz w:val="20"/>
          <w:szCs w:val="20"/>
          <w:lang w:val="es-ES"/>
        </w:rPr>
        <w:t xml:space="preserve"> no es la </w:t>
      </w:r>
      <w:r w:rsidRPr="00BD7D1E">
        <w:rPr>
          <w:rFonts w:ascii="Cambria" w:hAnsi="Cambria"/>
          <w:sz w:val="20"/>
          <w:szCs w:val="20"/>
          <w:lang w:val="es-ES"/>
        </w:rPr>
        <w:t xml:space="preserve">autoridad adecuada para imponer </w:t>
      </w:r>
      <w:r w:rsidR="00D254B6" w:rsidRPr="00BD7D1E">
        <w:rPr>
          <w:rFonts w:ascii="Cambria" w:hAnsi="Cambria"/>
          <w:sz w:val="20"/>
          <w:szCs w:val="20"/>
          <w:lang w:val="es-ES"/>
        </w:rPr>
        <w:t>sanciones</w:t>
      </w:r>
      <w:r w:rsidR="00E61536" w:rsidRPr="00BD7D1E">
        <w:rPr>
          <w:rFonts w:ascii="Cambria" w:hAnsi="Cambria"/>
          <w:sz w:val="20"/>
          <w:szCs w:val="20"/>
          <w:lang w:val="es-ES"/>
        </w:rPr>
        <w:t xml:space="preserve"> severas</w:t>
      </w:r>
      <w:r w:rsidRPr="00BD7D1E">
        <w:rPr>
          <w:rFonts w:ascii="Cambria" w:hAnsi="Cambria"/>
          <w:sz w:val="20"/>
          <w:szCs w:val="20"/>
          <w:lang w:val="es-ES"/>
        </w:rPr>
        <w:t xml:space="preserve"> de esta naturaleza, dado que las faltas disciplinarias en que habría incurrido el señor </w:t>
      </w:r>
      <w:proofErr w:type="spellStart"/>
      <w:r w:rsidRPr="00BD7D1E">
        <w:rPr>
          <w:rFonts w:ascii="Cambria" w:hAnsi="Cambria"/>
          <w:sz w:val="20"/>
          <w:szCs w:val="20"/>
          <w:lang w:val="es-ES"/>
        </w:rPr>
        <w:t>Petro</w:t>
      </w:r>
      <w:proofErr w:type="spellEnd"/>
      <w:r w:rsidRPr="00BD7D1E">
        <w:rPr>
          <w:rFonts w:ascii="Cambria" w:hAnsi="Cambria"/>
          <w:sz w:val="20"/>
          <w:szCs w:val="20"/>
          <w:lang w:val="es-ES"/>
        </w:rPr>
        <w:t xml:space="preserve"> Urrego no alcanzaron a constituir delito penal, resulta evidente que la</w:t>
      </w:r>
      <w:r w:rsidR="008A3EB0" w:rsidRPr="00BD7D1E">
        <w:rPr>
          <w:rFonts w:ascii="Cambria" w:hAnsi="Cambria"/>
          <w:sz w:val="20"/>
          <w:szCs w:val="20"/>
          <w:lang w:val="es-ES"/>
        </w:rPr>
        <w:t>s sancio</w:t>
      </w:r>
      <w:r w:rsidRPr="00BD7D1E">
        <w:rPr>
          <w:rFonts w:ascii="Cambria" w:hAnsi="Cambria"/>
          <w:sz w:val="20"/>
          <w:szCs w:val="20"/>
          <w:lang w:val="es-ES"/>
        </w:rPr>
        <w:t>n</w:t>
      </w:r>
      <w:r w:rsidR="008A3EB0" w:rsidRPr="00BD7D1E">
        <w:rPr>
          <w:rFonts w:ascii="Cambria" w:hAnsi="Cambria"/>
          <w:sz w:val="20"/>
          <w:szCs w:val="20"/>
          <w:lang w:val="es-ES"/>
        </w:rPr>
        <w:t>es</w:t>
      </w:r>
      <w:r w:rsidRPr="00BD7D1E">
        <w:rPr>
          <w:rFonts w:ascii="Cambria" w:hAnsi="Cambria"/>
          <w:sz w:val="20"/>
          <w:szCs w:val="20"/>
          <w:lang w:val="es-ES"/>
        </w:rPr>
        <w:t xml:space="preserve"> de </w:t>
      </w:r>
      <w:r w:rsidR="008A3EB0" w:rsidRPr="00BD7D1E">
        <w:rPr>
          <w:rFonts w:ascii="Cambria" w:hAnsi="Cambria"/>
          <w:sz w:val="20"/>
          <w:szCs w:val="20"/>
          <w:lang w:val="es-ES"/>
        </w:rPr>
        <w:t>destitución e inhabilitación resultaron</w:t>
      </w:r>
      <w:r w:rsidR="00464BC1" w:rsidRPr="00BD7D1E">
        <w:rPr>
          <w:rFonts w:ascii="Cambria" w:hAnsi="Cambria"/>
          <w:sz w:val="20"/>
          <w:szCs w:val="20"/>
          <w:lang w:val="es-ES"/>
        </w:rPr>
        <w:t xml:space="preserve"> incompatible</w:t>
      </w:r>
      <w:r w:rsidR="008A3EB0" w:rsidRPr="00BD7D1E">
        <w:rPr>
          <w:rFonts w:ascii="Cambria" w:hAnsi="Cambria"/>
          <w:sz w:val="20"/>
          <w:szCs w:val="20"/>
          <w:lang w:val="es-ES"/>
        </w:rPr>
        <w:t>s</w:t>
      </w:r>
      <w:r w:rsidR="00464BC1" w:rsidRPr="00BD7D1E">
        <w:rPr>
          <w:rFonts w:ascii="Cambria" w:hAnsi="Cambria"/>
          <w:sz w:val="20"/>
          <w:szCs w:val="20"/>
          <w:lang w:val="es-ES"/>
        </w:rPr>
        <w:t xml:space="preserve"> con el artículo 23 de la Convención Americana</w:t>
      </w:r>
      <w:r w:rsidRPr="00BD7D1E">
        <w:rPr>
          <w:rFonts w:ascii="Cambria" w:hAnsi="Cambria"/>
          <w:sz w:val="20"/>
          <w:szCs w:val="20"/>
          <w:lang w:val="es-ES"/>
        </w:rPr>
        <w:t xml:space="preserve"> en los términos analizados en la sección anterior. </w:t>
      </w:r>
      <w:r w:rsidR="00464BC1" w:rsidRPr="00BD7D1E">
        <w:rPr>
          <w:rFonts w:ascii="Cambria" w:hAnsi="Cambria"/>
          <w:sz w:val="20"/>
          <w:szCs w:val="20"/>
          <w:lang w:val="es-ES"/>
        </w:rPr>
        <w:t xml:space="preserve"> </w:t>
      </w:r>
    </w:p>
    <w:p w14:paraId="462C9151" w14:textId="77777777" w:rsidR="001B7135" w:rsidRPr="009B3BD2" w:rsidRDefault="001B7135" w:rsidP="00BD7D1E">
      <w:pPr>
        <w:tabs>
          <w:tab w:val="left" w:pos="1440"/>
        </w:tabs>
        <w:jc w:val="both"/>
        <w:rPr>
          <w:rFonts w:ascii="Cambria" w:hAnsi="Cambria"/>
          <w:sz w:val="20"/>
          <w:szCs w:val="20"/>
          <w:lang w:val="es-ES"/>
        </w:rPr>
      </w:pPr>
    </w:p>
    <w:p w14:paraId="36CFAF96" w14:textId="77777777" w:rsidR="001B7135" w:rsidRPr="009B3BD2" w:rsidRDefault="001B7135" w:rsidP="001B71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9B3BD2">
        <w:rPr>
          <w:rFonts w:ascii="Cambria" w:hAnsi="Cambria"/>
          <w:sz w:val="20"/>
          <w:szCs w:val="20"/>
          <w:lang w:val="es-ES"/>
        </w:rPr>
        <w:t xml:space="preserve">Además de esta conclusión, la Comisión considera sumamente preocupante la reciente promulgación del artículo 5 de la Ley 1864, el cual sanciona con pena de prisión entre 4 a 9 años a quien sea elegido para un cargo de elección popular estando inhabilitado por decisión “judicial, disciplinaria o fiscal”. Esta norma, al validar que la inhabilitación pueda ser impuesta por vía “disciplinaria o fiscal”, resulta contraria al artículo 23 de la Convención Americana y, por lo tanto, como se indicará en las recomendaciones, constituiría otra violación de los derechos políticos del señor </w:t>
      </w:r>
      <w:proofErr w:type="spellStart"/>
      <w:r w:rsidRPr="009B3BD2">
        <w:rPr>
          <w:rFonts w:ascii="Cambria" w:hAnsi="Cambria"/>
          <w:sz w:val="20"/>
          <w:szCs w:val="20"/>
          <w:lang w:val="es-ES"/>
        </w:rPr>
        <w:t>Petro</w:t>
      </w:r>
      <w:proofErr w:type="spellEnd"/>
      <w:r w:rsidRPr="009B3BD2">
        <w:rPr>
          <w:rFonts w:ascii="Cambria" w:hAnsi="Cambria"/>
          <w:sz w:val="20"/>
          <w:szCs w:val="20"/>
          <w:lang w:val="es-ES"/>
        </w:rPr>
        <w:t xml:space="preserve"> Urrego quien no ha sido inhabilitado mediante un proceso penal con condena en firme como lo exige la Convención. </w:t>
      </w:r>
    </w:p>
    <w:p w14:paraId="588FDB31" w14:textId="77777777" w:rsidR="001B7135" w:rsidRPr="009B3BD2" w:rsidRDefault="001B7135" w:rsidP="001B7135">
      <w:pPr>
        <w:tabs>
          <w:tab w:val="left" w:pos="1440"/>
        </w:tabs>
        <w:jc w:val="both"/>
        <w:rPr>
          <w:rFonts w:ascii="Cambria" w:hAnsi="Cambria"/>
          <w:sz w:val="20"/>
          <w:szCs w:val="20"/>
          <w:lang w:val="es-ES"/>
        </w:rPr>
      </w:pPr>
    </w:p>
    <w:p w14:paraId="21D8CE81" w14:textId="77777777" w:rsidR="001B7135" w:rsidRPr="009B3BD2" w:rsidRDefault="001B7135" w:rsidP="001B71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9B3BD2">
        <w:rPr>
          <w:rFonts w:ascii="Cambria" w:hAnsi="Cambria"/>
          <w:sz w:val="20"/>
          <w:szCs w:val="20"/>
          <w:lang w:val="es-ES"/>
        </w:rPr>
        <w:t xml:space="preserve">Finalmente, la Comisión no deja de notar que la defensa principal del Estado colombiano es que la Corte Constitucional ya analizó la posibilidad de que el Procurador General de la Nación inhabilite por la vía disciplinaria y estableció que la misma no viola la Convención Americana. Al respecto, la CIDH recuerda que es a los órganos del sistema interamericano a quienes les corresponde interpretar la Convención Americana y, por lo tanto, determinar si dicha interpretación judicial es conforme </w:t>
      </w:r>
      <w:proofErr w:type="gramStart"/>
      <w:r w:rsidRPr="009B3BD2">
        <w:rPr>
          <w:rFonts w:ascii="Cambria" w:hAnsi="Cambria"/>
          <w:sz w:val="20"/>
          <w:szCs w:val="20"/>
          <w:lang w:val="es-ES"/>
        </w:rPr>
        <w:t>a</w:t>
      </w:r>
      <w:proofErr w:type="gramEnd"/>
      <w:r w:rsidRPr="009B3BD2">
        <w:rPr>
          <w:rFonts w:ascii="Cambria" w:hAnsi="Cambria"/>
          <w:sz w:val="20"/>
          <w:szCs w:val="20"/>
          <w:lang w:val="es-ES"/>
        </w:rPr>
        <w:t xml:space="preserve"> dicho instrumento internacional. En el presente caso, la determinación de la Corte Constitucional invocando el artículo 23 de la Convención resulta incompatible a la luz de dicho artículo, tal como ya determinaron ambos órganos del sistema interamericano en el caso </w:t>
      </w:r>
      <w:r w:rsidRPr="009B3BD2">
        <w:rPr>
          <w:rFonts w:ascii="Cambria" w:hAnsi="Cambria"/>
          <w:i/>
          <w:sz w:val="20"/>
          <w:szCs w:val="20"/>
          <w:lang w:val="es-ES"/>
        </w:rPr>
        <w:t xml:space="preserve">López Mendoza vs. Venezuela, </w:t>
      </w:r>
      <w:r w:rsidRPr="009B3BD2">
        <w:rPr>
          <w:rFonts w:ascii="Cambria" w:hAnsi="Cambria"/>
          <w:sz w:val="20"/>
          <w:szCs w:val="20"/>
          <w:lang w:val="es-ES"/>
        </w:rPr>
        <w:t xml:space="preserve">y se reitera en esta oportunidad. </w:t>
      </w:r>
    </w:p>
    <w:p w14:paraId="1576ED54" w14:textId="77777777" w:rsidR="001B7135" w:rsidRPr="009B3BD2" w:rsidRDefault="001B7135" w:rsidP="001B7135">
      <w:pPr>
        <w:tabs>
          <w:tab w:val="left" w:pos="1440"/>
        </w:tabs>
        <w:jc w:val="both"/>
        <w:rPr>
          <w:rFonts w:ascii="Cambria" w:hAnsi="Cambria"/>
          <w:sz w:val="20"/>
          <w:szCs w:val="20"/>
          <w:lang w:val="es-ES"/>
        </w:rPr>
      </w:pPr>
    </w:p>
    <w:p w14:paraId="4A41F597" w14:textId="53E208E7" w:rsidR="001B7135" w:rsidRPr="00BD7D1E" w:rsidRDefault="001B7135" w:rsidP="002E7D6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BD7D1E">
        <w:rPr>
          <w:rFonts w:ascii="Cambria" w:hAnsi="Cambria"/>
          <w:sz w:val="20"/>
          <w:szCs w:val="20"/>
          <w:lang w:val="es-CO"/>
        </w:rPr>
        <w:t xml:space="preserve">En virtud de las anteriores consideraciones, la CIDH concluye que el Estado colombiano es responsable por la violación de los artículos 23.1 y 23.2 de la Convención Americana en relación con los artículos 1.1 y 2 del mismo instrumento en perjuicio de Gustavo Francisco </w:t>
      </w:r>
      <w:proofErr w:type="spellStart"/>
      <w:r w:rsidRPr="00BD7D1E">
        <w:rPr>
          <w:rFonts w:ascii="Cambria" w:hAnsi="Cambria"/>
          <w:sz w:val="20"/>
          <w:szCs w:val="20"/>
          <w:lang w:val="es-CO"/>
        </w:rPr>
        <w:t>Petro</w:t>
      </w:r>
      <w:proofErr w:type="spellEnd"/>
      <w:r w:rsidRPr="00BD7D1E">
        <w:rPr>
          <w:rFonts w:ascii="Cambria" w:hAnsi="Cambria"/>
          <w:sz w:val="20"/>
          <w:szCs w:val="20"/>
          <w:lang w:val="es-CO"/>
        </w:rPr>
        <w:t xml:space="preserve"> Urrego. Específicamente, la violación al deber de adoptar disposiciones de derecho interno, se configura por la vigencia y aplicación al caso de la</w:t>
      </w:r>
      <w:r w:rsidR="00360F5C" w:rsidRPr="00BD7D1E">
        <w:rPr>
          <w:rFonts w:ascii="Cambria" w:hAnsi="Cambria"/>
          <w:sz w:val="20"/>
          <w:szCs w:val="20"/>
          <w:lang w:val="es-CO"/>
        </w:rPr>
        <w:t>s</w:t>
      </w:r>
      <w:r w:rsidRPr="00BD7D1E">
        <w:rPr>
          <w:rFonts w:ascii="Cambria" w:hAnsi="Cambria"/>
          <w:sz w:val="20"/>
          <w:szCs w:val="20"/>
          <w:lang w:val="es-CO"/>
        </w:rPr>
        <w:t xml:space="preserve"> norma</w:t>
      </w:r>
      <w:r w:rsidR="00360F5C" w:rsidRPr="00BD7D1E">
        <w:rPr>
          <w:rFonts w:ascii="Cambria" w:hAnsi="Cambria"/>
          <w:sz w:val="20"/>
          <w:szCs w:val="20"/>
          <w:lang w:val="es-CO"/>
        </w:rPr>
        <w:t>s de la Constitución Política y</w:t>
      </w:r>
      <w:r w:rsidRPr="00BD7D1E">
        <w:rPr>
          <w:rFonts w:ascii="Cambria" w:hAnsi="Cambria"/>
          <w:sz w:val="20"/>
          <w:szCs w:val="20"/>
          <w:lang w:val="es-CO"/>
        </w:rPr>
        <w:t xml:space="preserve"> del Código Disciplinario Único que faculta</w:t>
      </w:r>
      <w:r w:rsidR="00360F5C" w:rsidRPr="00BD7D1E">
        <w:rPr>
          <w:rFonts w:ascii="Cambria" w:hAnsi="Cambria"/>
          <w:sz w:val="20"/>
          <w:szCs w:val="20"/>
          <w:lang w:val="es-CO"/>
        </w:rPr>
        <w:t>n</w:t>
      </w:r>
      <w:r w:rsidRPr="00BD7D1E">
        <w:rPr>
          <w:rFonts w:ascii="Cambria" w:hAnsi="Cambria"/>
          <w:sz w:val="20"/>
          <w:szCs w:val="20"/>
          <w:lang w:val="es-CO"/>
        </w:rPr>
        <w:t xml:space="preserve"> a la Procuraduría General de la Nación para</w:t>
      </w:r>
      <w:r w:rsidR="00F67CA7" w:rsidRPr="00BD7D1E">
        <w:rPr>
          <w:rFonts w:ascii="Cambria" w:hAnsi="Cambria"/>
          <w:sz w:val="20"/>
          <w:szCs w:val="20"/>
          <w:lang w:val="es-CO"/>
        </w:rPr>
        <w:t xml:space="preserve"> destituir e inhabilitar a funcionarios de elección popular,</w:t>
      </w:r>
      <w:r w:rsidRPr="00BD7D1E">
        <w:rPr>
          <w:rFonts w:ascii="Cambria" w:hAnsi="Cambria"/>
          <w:sz w:val="20"/>
          <w:szCs w:val="20"/>
          <w:lang w:val="es-CO"/>
        </w:rPr>
        <w:t xml:space="preserve"> así como de la reciente penalización de la conducta de ser elegido estando inhabilitado mediante decisión disciplinaria y fiscal. </w:t>
      </w:r>
    </w:p>
    <w:p w14:paraId="3B1D01C3" w14:textId="77777777" w:rsidR="006C2EBA" w:rsidRPr="009B3BD2" w:rsidRDefault="006C2EBA" w:rsidP="006D1D3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2107AC26" w14:textId="77777777" w:rsidR="00DF69B0" w:rsidRPr="009B3BD2" w:rsidRDefault="004C0E87" w:rsidP="00DF69B0">
      <w:pPr>
        <w:pStyle w:val="Heading1"/>
        <w:numPr>
          <w:ilvl w:val="0"/>
          <w:numId w:val="65"/>
        </w:numPr>
        <w:ind w:left="1440" w:hanging="720"/>
        <w:jc w:val="both"/>
        <w:rPr>
          <w:lang w:val="es-CO"/>
        </w:rPr>
      </w:pPr>
      <w:bookmarkStart w:id="44" w:name="_Toc497398874"/>
      <w:r w:rsidRPr="009B3BD2">
        <w:rPr>
          <w:lang w:val="es-CO"/>
        </w:rPr>
        <w:lastRenderedPageBreak/>
        <w:t>Derecho a l</w:t>
      </w:r>
      <w:r w:rsidR="00BB7536" w:rsidRPr="009B3BD2">
        <w:rPr>
          <w:lang w:val="es-CO"/>
        </w:rPr>
        <w:t>a</w:t>
      </w:r>
      <w:r w:rsidRPr="009B3BD2">
        <w:rPr>
          <w:lang w:val="es-CO"/>
        </w:rPr>
        <w:t>s</w:t>
      </w:r>
      <w:r w:rsidR="00BB7536" w:rsidRPr="009B3BD2">
        <w:rPr>
          <w:lang w:val="es-CO"/>
        </w:rPr>
        <w:t xml:space="preserve"> garantías judiciales</w:t>
      </w:r>
      <w:r w:rsidR="00BB7536" w:rsidRPr="009B3BD2">
        <w:rPr>
          <w:rStyle w:val="FootnoteReference"/>
          <w:rFonts w:ascii="Cambria" w:hAnsi="Cambria"/>
          <w:b w:val="0"/>
          <w:sz w:val="20"/>
          <w:lang w:val="es-CO"/>
        </w:rPr>
        <w:footnoteReference w:id="86"/>
      </w:r>
      <w:r w:rsidR="00BB7536" w:rsidRPr="009B3BD2">
        <w:rPr>
          <w:lang w:val="es-CO"/>
        </w:rPr>
        <w:t xml:space="preserve"> </w:t>
      </w:r>
      <w:r w:rsidR="00F97DCB" w:rsidRPr="009B3BD2">
        <w:rPr>
          <w:lang w:val="es-CO"/>
        </w:rPr>
        <w:t>y protección judicial</w:t>
      </w:r>
      <w:r w:rsidR="00F97DCB" w:rsidRPr="009B3BD2">
        <w:rPr>
          <w:rStyle w:val="FootnoteReference"/>
          <w:rFonts w:ascii="Cambria" w:hAnsi="Cambria"/>
          <w:b w:val="0"/>
          <w:sz w:val="20"/>
          <w:lang w:val="es-CO"/>
        </w:rPr>
        <w:footnoteReference w:id="87"/>
      </w:r>
      <w:bookmarkEnd w:id="44"/>
      <w:r w:rsidR="00F97DCB" w:rsidRPr="009B3BD2">
        <w:rPr>
          <w:lang w:val="es-CO"/>
        </w:rPr>
        <w:t xml:space="preserve"> </w:t>
      </w:r>
    </w:p>
    <w:p w14:paraId="3E63E447" w14:textId="77777777" w:rsidR="00DF69B0" w:rsidRPr="009B3BD2" w:rsidRDefault="00DF69B0" w:rsidP="00DF69B0">
      <w:pPr>
        <w:rPr>
          <w:lang w:val="es-CO"/>
        </w:rPr>
      </w:pPr>
    </w:p>
    <w:p w14:paraId="193953A8" w14:textId="77777777" w:rsidR="00DF69B0" w:rsidRPr="009B3BD2" w:rsidRDefault="00DF69B0" w:rsidP="008F0E82">
      <w:pPr>
        <w:pStyle w:val="Heading2"/>
        <w:numPr>
          <w:ilvl w:val="0"/>
          <w:numId w:val="69"/>
        </w:numPr>
        <w:tabs>
          <w:tab w:val="left" w:pos="1440"/>
        </w:tabs>
        <w:ind w:hanging="1080"/>
      </w:pPr>
      <w:bookmarkStart w:id="45" w:name="_Toc497398875"/>
      <w:r w:rsidRPr="009B3BD2">
        <w:t>Consideraciones generales</w:t>
      </w:r>
      <w:bookmarkEnd w:id="45"/>
      <w:r w:rsidRPr="009B3BD2">
        <w:t xml:space="preserve"> </w:t>
      </w:r>
    </w:p>
    <w:p w14:paraId="474B2208" w14:textId="77777777" w:rsidR="00DF69B0" w:rsidRPr="009B3BD2" w:rsidRDefault="00DF69B0" w:rsidP="00DF69B0">
      <w:pPr>
        <w:rPr>
          <w:rFonts w:ascii="Times-Roman" w:hAnsi="Times-Roman" w:cs="Times-Roman"/>
          <w:b/>
          <w:sz w:val="16"/>
          <w:szCs w:val="16"/>
          <w:lang w:val="es-CO"/>
        </w:rPr>
      </w:pPr>
    </w:p>
    <w:p w14:paraId="28656A1E" w14:textId="158865E3" w:rsidR="00DF69B0" w:rsidRPr="009B3BD2" w:rsidRDefault="00DF69B0" w:rsidP="00DF69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eastAsia="es-ES"/>
        </w:rPr>
      </w:pPr>
      <w:r w:rsidRPr="009B3BD2">
        <w:rPr>
          <w:rFonts w:ascii="Cambria" w:hAnsi="Cambria"/>
          <w:sz w:val="20"/>
          <w:szCs w:val="20"/>
          <w:lang w:val="es-CO"/>
        </w:rPr>
        <w:t>La Comisión recuerda que ambos órganos del sistema interamericano han indicado que las garantías establecidas en el artículo 8 de la Convención Americana,  no se limitan a procesos penales</w:t>
      </w:r>
      <w:r w:rsidRPr="009B3BD2">
        <w:rPr>
          <w:rFonts w:ascii="Cambria" w:hAnsi="Cambria"/>
          <w:sz w:val="20"/>
          <w:szCs w:val="20"/>
          <w:lang w:val="es-ES" w:eastAsia="es-ES"/>
        </w:rPr>
        <w:t>, sino que aplican a procesos de otra naturaleza</w:t>
      </w:r>
      <w:r w:rsidRPr="009B3BD2">
        <w:rPr>
          <w:rFonts w:ascii="Cambria" w:hAnsi="Cambria"/>
          <w:sz w:val="20"/>
          <w:szCs w:val="20"/>
          <w:vertAlign w:val="superscript"/>
          <w:lang w:eastAsia="es-ES"/>
        </w:rPr>
        <w:footnoteReference w:id="88"/>
      </w:r>
      <w:r w:rsidRPr="009B3BD2">
        <w:rPr>
          <w:rFonts w:ascii="Cambria" w:hAnsi="Cambria"/>
          <w:sz w:val="20"/>
          <w:szCs w:val="20"/>
          <w:lang w:val="es-ES" w:eastAsia="es-ES"/>
        </w:rPr>
        <w:t>. Específicamente, cuando se trata de procesos sancionatorios, ambos órganos del sistema han indicado que aplican, análogamente, las garantías establecidas en el artículo 8.2 de la Convención Americana</w:t>
      </w:r>
      <w:r w:rsidRPr="009B3BD2">
        <w:rPr>
          <w:rFonts w:ascii="Cambria" w:hAnsi="Cambria"/>
          <w:sz w:val="20"/>
          <w:szCs w:val="20"/>
          <w:vertAlign w:val="superscript"/>
          <w:lang w:eastAsia="es-ES"/>
        </w:rPr>
        <w:footnoteReference w:id="89"/>
      </w:r>
      <w:r w:rsidRPr="009B3BD2">
        <w:rPr>
          <w:rFonts w:ascii="Cambria" w:hAnsi="Cambria"/>
          <w:sz w:val="20"/>
          <w:szCs w:val="20"/>
          <w:lang w:val="es-ES" w:eastAsia="es-ES"/>
        </w:rPr>
        <w:t>. Tomando en cuenta que en el presente caso se impusieron dos sanciones disciplinarias de inhabilitación,</w:t>
      </w:r>
      <w:r w:rsidR="00EC5757" w:rsidRPr="009B3BD2">
        <w:rPr>
          <w:rFonts w:ascii="Cambria" w:hAnsi="Cambria"/>
          <w:sz w:val="20"/>
          <w:szCs w:val="20"/>
          <w:lang w:val="es-ES" w:eastAsia="es-ES"/>
        </w:rPr>
        <w:t xml:space="preserve"> una sanción de destitución</w:t>
      </w:r>
      <w:r w:rsidR="00E240CF" w:rsidRPr="009B3BD2">
        <w:rPr>
          <w:rFonts w:ascii="Cambria" w:hAnsi="Cambria"/>
          <w:sz w:val="20"/>
          <w:szCs w:val="20"/>
          <w:lang w:val="es-ES" w:eastAsia="es-ES"/>
        </w:rPr>
        <w:t xml:space="preserve"> y</w:t>
      </w:r>
      <w:r w:rsidRPr="009B3BD2">
        <w:rPr>
          <w:rFonts w:ascii="Cambria" w:hAnsi="Cambria"/>
          <w:sz w:val="20"/>
          <w:szCs w:val="20"/>
          <w:lang w:val="es-ES" w:eastAsia="es-ES"/>
        </w:rPr>
        <w:t xml:space="preserve"> dos sanciones de multa, resulta evidente que se trató de procedimientos de carácter sancionatorio, por lo que resultan aplicables las garantías del debido proceso establecidas en el artículo 8.2 de la Convención. De especial relevancia</w:t>
      </w:r>
      <w:r w:rsidR="00F37ACB" w:rsidRPr="009B3BD2">
        <w:rPr>
          <w:rFonts w:ascii="Cambria" w:hAnsi="Cambria"/>
          <w:sz w:val="20"/>
          <w:szCs w:val="20"/>
          <w:lang w:val="es-ES" w:eastAsia="es-ES"/>
        </w:rPr>
        <w:t xml:space="preserve"> para el presente caso</w:t>
      </w:r>
      <w:r w:rsidRPr="009B3BD2">
        <w:rPr>
          <w:rFonts w:ascii="Cambria" w:hAnsi="Cambria"/>
          <w:sz w:val="20"/>
          <w:szCs w:val="20"/>
          <w:lang w:val="es-ES" w:eastAsia="es-ES"/>
        </w:rPr>
        <w:t xml:space="preserve"> resultan el derecho a contar con una autoridad disciplinaria competente, independiente e imparcial, </w:t>
      </w:r>
      <w:r w:rsidR="0042514D" w:rsidRPr="009B3BD2">
        <w:rPr>
          <w:rFonts w:ascii="Cambria" w:hAnsi="Cambria"/>
          <w:sz w:val="20"/>
          <w:szCs w:val="20"/>
          <w:lang w:val="es-ES" w:eastAsia="es-ES"/>
        </w:rPr>
        <w:t xml:space="preserve">el principio de presunción de inocencia, </w:t>
      </w:r>
      <w:r w:rsidRPr="009B3BD2">
        <w:rPr>
          <w:rFonts w:ascii="Cambria" w:hAnsi="Cambria"/>
          <w:sz w:val="20"/>
          <w:szCs w:val="20"/>
          <w:lang w:val="es-ES" w:eastAsia="es-ES"/>
        </w:rPr>
        <w:t>así como el derecho a recurrir el fallo sancionatorio ante instancia superior</w:t>
      </w:r>
      <w:r w:rsidR="00A17EA3" w:rsidRPr="009B3BD2">
        <w:rPr>
          <w:rFonts w:ascii="Cambria" w:hAnsi="Cambria"/>
          <w:sz w:val="20"/>
          <w:szCs w:val="20"/>
          <w:lang w:val="es-ES" w:eastAsia="es-ES"/>
        </w:rPr>
        <w:t xml:space="preserve"> y/o judicial</w:t>
      </w:r>
      <w:r w:rsidRPr="009B3BD2">
        <w:rPr>
          <w:rFonts w:ascii="Cambria" w:hAnsi="Cambria"/>
          <w:sz w:val="20"/>
          <w:szCs w:val="20"/>
          <w:lang w:val="es-ES" w:eastAsia="es-ES"/>
        </w:rPr>
        <w:t xml:space="preserve">, en relación con la protección judicial. A continuación la Comisión efectuará algunas consideraciones generales sobre dichas garantías. </w:t>
      </w:r>
    </w:p>
    <w:p w14:paraId="55A4D93D" w14:textId="77777777" w:rsidR="00DF69B0" w:rsidRPr="009B3BD2" w:rsidRDefault="00DF69B0" w:rsidP="00DF69B0">
      <w:pPr>
        <w:tabs>
          <w:tab w:val="left" w:pos="1440"/>
        </w:tabs>
        <w:ind w:left="720"/>
        <w:jc w:val="both"/>
        <w:rPr>
          <w:rFonts w:ascii="Cambria" w:hAnsi="Cambria"/>
          <w:sz w:val="20"/>
          <w:szCs w:val="20"/>
          <w:lang w:val="es-ES" w:eastAsia="es-ES"/>
        </w:rPr>
      </w:pPr>
    </w:p>
    <w:p w14:paraId="302ED8EB" w14:textId="4AC83694" w:rsidR="00DF69B0" w:rsidRPr="009B3BD2" w:rsidRDefault="00DF69B0" w:rsidP="0019573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 xml:space="preserve">La CIDH recuerda que las garantías de independencia, </w:t>
      </w:r>
      <w:r w:rsidRPr="009B3BD2">
        <w:rPr>
          <w:rFonts w:ascii="Cambria" w:hAnsi="Cambria"/>
          <w:sz w:val="20"/>
          <w:szCs w:val="20"/>
          <w:lang w:val="es-VE" w:eastAsia="es-ES"/>
        </w:rPr>
        <w:t>competencia e imparcialidad deben ser satisfechas por las autoridades que tengan a su conocimiento los procesos disciplinarios, al constituir una función materialmente jurisdiccional y un presupuesto esencial del debido proceso, con independencia de que la autoridad disciplinaria no sea formalmente un tribunal”</w:t>
      </w:r>
      <w:r w:rsidRPr="009B3BD2">
        <w:rPr>
          <w:rStyle w:val="FootnoteReference"/>
          <w:rFonts w:ascii="Cambria" w:hAnsi="Cambria"/>
          <w:sz w:val="20"/>
          <w:szCs w:val="20"/>
          <w:lang w:val="es-VE" w:eastAsia="es-ES"/>
        </w:rPr>
        <w:footnoteReference w:id="90"/>
      </w:r>
      <w:r w:rsidRPr="009B3BD2">
        <w:rPr>
          <w:rFonts w:ascii="Cambria" w:hAnsi="Cambria"/>
          <w:sz w:val="20"/>
          <w:szCs w:val="20"/>
          <w:lang w:val="es-VE" w:eastAsia="es-ES"/>
        </w:rPr>
        <w:t xml:space="preserve">. Con respecto a la imparcialidad de la autoridad disciplinaria, de acuerdo con la CIDH, esta </w:t>
      </w:r>
      <w:r w:rsidRPr="009B3BD2">
        <w:rPr>
          <w:rFonts w:ascii="Cambria" w:hAnsi="Cambria"/>
          <w:sz w:val="20"/>
          <w:szCs w:val="20"/>
          <w:lang w:val="es-VE"/>
        </w:rPr>
        <w:t>exige que la autoridad que interviene se aproxime a los hechos careciendo, de manera subjetiva de todo prejuicio y, ofreciendo garantías suficientes de índole objetiva que permitan desterrar toda duda que el justiciable o la comunidad puedan albergar respecto de la ausencia de imparcialidad</w:t>
      </w:r>
      <w:r w:rsidRPr="009B3BD2">
        <w:rPr>
          <w:rStyle w:val="FootnoteReference"/>
          <w:rFonts w:ascii="Cambria" w:hAnsi="Cambria"/>
          <w:sz w:val="20"/>
          <w:szCs w:val="20"/>
          <w:lang w:val="es-VE" w:eastAsia="es-ES"/>
        </w:rPr>
        <w:footnoteReference w:id="91"/>
      </w:r>
      <w:r w:rsidR="005D44DA" w:rsidRPr="009B3BD2">
        <w:rPr>
          <w:rFonts w:ascii="Cambria" w:hAnsi="Cambria"/>
          <w:sz w:val="20"/>
          <w:szCs w:val="20"/>
          <w:lang w:val="es-VE"/>
        </w:rPr>
        <w:t xml:space="preserve">. </w:t>
      </w:r>
      <w:r w:rsidRPr="009B3BD2">
        <w:rPr>
          <w:rFonts w:ascii="Cambria" w:hAnsi="Cambria"/>
          <w:sz w:val="20"/>
          <w:szCs w:val="20"/>
          <w:lang w:val="es-VE"/>
        </w:rPr>
        <w:t>La imparcialidad del tribunal implica que sus integrantes no tengan un interés directo, una posición tomada, una preferencia por alguna de las partes y que no se encuentren involucrados en la controversia</w:t>
      </w:r>
      <w:r w:rsidRPr="009B3BD2">
        <w:rPr>
          <w:rStyle w:val="FootnoteReference"/>
          <w:rFonts w:ascii="Cambria" w:hAnsi="Cambria"/>
          <w:sz w:val="20"/>
          <w:szCs w:val="20"/>
          <w:lang w:val="es-VE" w:eastAsia="es-ES"/>
        </w:rPr>
        <w:footnoteReference w:id="92"/>
      </w:r>
      <w:r w:rsidR="005D44DA" w:rsidRPr="009B3BD2">
        <w:rPr>
          <w:rFonts w:ascii="Cambria" w:hAnsi="Cambria"/>
          <w:sz w:val="20"/>
          <w:szCs w:val="20"/>
          <w:lang w:val="es-VE"/>
        </w:rPr>
        <w:t xml:space="preserve">. </w:t>
      </w:r>
      <w:r w:rsidRPr="009B3BD2">
        <w:rPr>
          <w:rFonts w:ascii="Cambria" w:hAnsi="Cambria"/>
          <w:sz w:val="20"/>
          <w:szCs w:val="20"/>
          <w:lang w:val="es-VE"/>
        </w:rPr>
        <w:t xml:space="preserve">La Corte Europea ha explicado que la imparcialidad personal o subjetiva se presume a menos que exista prueba en contrario. Por su parte, la denominada prueba objetiva consiste en determinar si la </w:t>
      </w:r>
      <w:r w:rsidRPr="009B3BD2">
        <w:rPr>
          <w:rFonts w:ascii="Cambria" w:hAnsi="Cambria"/>
          <w:sz w:val="20"/>
          <w:szCs w:val="20"/>
          <w:lang w:val="es-VE"/>
        </w:rPr>
        <w:lastRenderedPageBreak/>
        <w:t>autoridad que realizó las funciones jurisdiccionales proporcionó elementos convincentes que permitan eliminar temores legítimos o fundadas sospechas de parcialidad sobre su persona”</w:t>
      </w:r>
      <w:r w:rsidRPr="009B3BD2">
        <w:rPr>
          <w:rStyle w:val="FootnoteReference"/>
          <w:rFonts w:ascii="Cambria" w:hAnsi="Cambria"/>
          <w:sz w:val="20"/>
          <w:szCs w:val="20"/>
          <w:lang w:val="es-VE" w:eastAsia="es-ES"/>
        </w:rPr>
        <w:t xml:space="preserve"> </w:t>
      </w:r>
      <w:r w:rsidRPr="009B3BD2">
        <w:rPr>
          <w:rStyle w:val="FootnoteReference"/>
          <w:rFonts w:ascii="Cambria" w:hAnsi="Cambria"/>
          <w:sz w:val="20"/>
          <w:szCs w:val="20"/>
          <w:lang w:val="es-VE" w:eastAsia="es-ES"/>
        </w:rPr>
        <w:footnoteReference w:id="93"/>
      </w:r>
      <w:r w:rsidRPr="009B3BD2">
        <w:rPr>
          <w:rFonts w:ascii="Cambria" w:hAnsi="Cambria"/>
          <w:sz w:val="20"/>
          <w:szCs w:val="20"/>
          <w:lang w:val="es-VE"/>
        </w:rPr>
        <w:t>.</w:t>
      </w:r>
    </w:p>
    <w:p w14:paraId="10448E75" w14:textId="77777777" w:rsidR="0034587C" w:rsidRPr="009B3BD2" w:rsidRDefault="0034587C" w:rsidP="0034587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3119E53D" w14:textId="77777777" w:rsidR="00DF69B0" w:rsidRPr="009B3BD2" w:rsidRDefault="00DF69B0" w:rsidP="00DF69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Con respecto al derecho a recurrir, la CIDH recuerda que dicho derecho hace parte del debido proceso legal de un procedimiento sancionatorio  disciplinario</w:t>
      </w:r>
      <w:r w:rsidRPr="009B3BD2">
        <w:rPr>
          <w:rFonts w:ascii="Cambria" w:hAnsi="Cambria"/>
          <w:sz w:val="20"/>
          <w:szCs w:val="20"/>
          <w:vertAlign w:val="superscript"/>
        </w:rPr>
        <w:footnoteReference w:id="94"/>
      </w:r>
      <w:r w:rsidRPr="009B3BD2">
        <w:rPr>
          <w:rFonts w:ascii="Cambria" w:hAnsi="Cambria"/>
          <w:sz w:val="20"/>
          <w:szCs w:val="20"/>
          <w:lang w:val="es-CO"/>
        </w:rPr>
        <w:t xml:space="preserve"> y es una garantía primordial cuya finalidad es evitar que se consolide una situación de injusticia</w:t>
      </w:r>
      <w:r w:rsidRPr="009B3BD2">
        <w:rPr>
          <w:rStyle w:val="FootnoteReference"/>
          <w:rFonts w:ascii="Cambria" w:hAnsi="Cambria"/>
          <w:sz w:val="20"/>
          <w:szCs w:val="20"/>
          <w:lang w:val="es-CO"/>
        </w:rPr>
        <w:footnoteReference w:id="95"/>
      </w:r>
      <w:r w:rsidRPr="009B3BD2">
        <w:rPr>
          <w:rFonts w:ascii="Cambria" w:hAnsi="Cambria"/>
          <w:sz w:val="20"/>
          <w:szCs w:val="20"/>
          <w:lang w:val="es-CO"/>
        </w:rPr>
        <w:t>.  En cuanto al alcance del derecho a recurrir, tanto la CIDH como la Corte han indicado que este implica un examen por un juez o tribunal distinto y de superior jerarquía tanto de aspectos de hecho como de derecho de la decisión recurrida</w:t>
      </w:r>
      <w:r w:rsidRPr="009B3BD2">
        <w:rPr>
          <w:rStyle w:val="FootnoteReference"/>
          <w:rFonts w:ascii="Cambria" w:hAnsi="Cambria"/>
          <w:sz w:val="20"/>
          <w:szCs w:val="20"/>
          <w:lang w:val="es-CO"/>
        </w:rPr>
        <w:footnoteReference w:id="96"/>
      </w:r>
      <w:r w:rsidRPr="009B3BD2">
        <w:rPr>
          <w:rFonts w:ascii="Cambria" w:hAnsi="Cambria"/>
          <w:sz w:val="20"/>
          <w:szCs w:val="20"/>
          <w:lang w:val="es-CO"/>
        </w:rPr>
        <w:t>. Debe proceder antes que la sentencia adquiera calidad de cosa juzgada, debe ser resuelto en un plazo razonable, debe ser oportuno y eficaz, es decir, debe dar resultado o respuesta al fin para el cual fue concebido. Además, debe ser accesible, sin requerir mayores formalidades que tornen ilusorio el derecho</w:t>
      </w:r>
      <w:r w:rsidRPr="009B3BD2">
        <w:rPr>
          <w:rStyle w:val="FootnoteReference"/>
          <w:rFonts w:ascii="Cambria" w:hAnsi="Cambria"/>
          <w:sz w:val="20"/>
          <w:szCs w:val="20"/>
          <w:lang w:val="es-CO"/>
        </w:rPr>
        <w:footnoteReference w:id="97"/>
      </w:r>
      <w:r w:rsidRPr="009B3BD2">
        <w:rPr>
          <w:rFonts w:ascii="Cambria" w:hAnsi="Cambria"/>
          <w:sz w:val="20"/>
          <w:szCs w:val="20"/>
          <w:lang w:val="es-CO"/>
        </w:rPr>
        <w:t xml:space="preserve">.  </w:t>
      </w:r>
    </w:p>
    <w:p w14:paraId="497C1A9E" w14:textId="77777777" w:rsidR="00DF69B0" w:rsidRPr="009B3BD2" w:rsidRDefault="00DF69B0" w:rsidP="00DF69B0">
      <w:pPr>
        <w:pStyle w:val="ListParagraph"/>
        <w:rPr>
          <w:sz w:val="20"/>
          <w:szCs w:val="20"/>
          <w:lang w:val="es-CO"/>
        </w:rPr>
      </w:pPr>
    </w:p>
    <w:p w14:paraId="391607D9" w14:textId="7DE2968A" w:rsidR="00DF69B0" w:rsidRPr="009B3BD2" w:rsidRDefault="00D268B8" w:rsidP="00DF69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Finalmente, l</w:t>
      </w:r>
      <w:r w:rsidR="00DF69B0" w:rsidRPr="009B3BD2">
        <w:rPr>
          <w:rFonts w:ascii="Cambria" w:hAnsi="Cambria"/>
          <w:sz w:val="20"/>
          <w:szCs w:val="20"/>
          <w:lang w:val="es-CO"/>
        </w:rPr>
        <w:t>a CIDH recuerda que el Estado está en la obligación general de proveer recursos judiciales efectivos a las personas que aleguen ser víctimas de violaciones de derechos humanos (artículo 25), los cuales deben ser sustanciados de conformidad con las reglas del debido proceso legal (artículo 8.1). Para que exista un recurso efectivo no basta con que esté previsto legalmente sino que deber ser realmente idóneo para establecer si se ha incurrido en una violación a los derechos humanos, y proveer lo necesario para remediarla</w:t>
      </w:r>
      <w:r w:rsidR="00DF69B0" w:rsidRPr="009B3BD2">
        <w:rPr>
          <w:rFonts w:ascii="Cambria" w:hAnsi="Cambria"/>
          <w:sz w:val="20"/>
          <w:szCs w:val="20"/>
          <w:vertAlign w:val="superscript"/>
        </w:rPr>
        <w:footnoteReference w:id="98"/>
      </w:r>
      <w:r w:rsidR="00DF69B0" w:rsidRPr="009B3BD2">
        <w:rPr>
          <w:rFonts w:ascii="Cambria" w:hAnsi="Cambria"/>
          <w:sz w:val="20"/>
          <w:szCs w:val="20"/>
          <w:lang w:val="es-CO"/>
        </w:rPr>
        <w:t xml:space="preserve">. </w:t>
      </w:r>
    </w:p>
    <w:p w14:paraId="1D37F19E" w14:textId="77777777" w:rsidR="00DF69B0" w:rsidRPr="009B3BD2" w:rsidRDefault="00DF69B0" w:rsidP="00DF69B0">
      <w:pPr>
        <w:tabs>
          <w:tab w:val="left" w:pos="1440"/>
        </w:tabs>
        <w:jc w:val="both"/>
        <w:rPr>
          <w:rFonts w:ascii="Cambria" w:hAnsi="Cambria"/>
          <w:sz w:val="20"/>
          <w:szCs w:val="20"/>
          <w:lang w:val="es-CO"/>
        </w:rPr>
      </w:pPr>
    </w:p>
    <w:p w14:paraId="063CEF74" w14:textId="77777777" w:rsidR="00DF69B0" w:rsidRPr="009B3BD2" w:rsidRDefault="00DF69B0" w:rsidP="008F0E82">
      <w:pPr>
        <w:pStyle w:val="Heading2"/>
        <w:numPr>
          <w:ilvl w:val="0"/>
          <w:numId w:val="69"/>
        </w:numPr>
        <w:tabs>
          <w:tab w:val="clear" w:pos="1800"/>
          <w:tab w:val="num" w:pos="1440"/>
        </w:tabs>
        <w:ind w:hanging="1080"/>
        <w:rPr>
          <w:rFonts w:ascii="Cambria" w:hAnsi="Cambria"/>
          <w:lang w:val="es-CO"/>
        </w:rPr>
      </w:pPr>
      <w:bookmarkStart w:id="46" w:name="_Toc497398876"/>
      <w:r w:rsidRPr="009B3BD2">
        <w:t>Análisis del presente caso</w:t>
      </w:r>
      <w:bookmarkEnd w:id="46"/>
    </w:p>
    <w:p w14:paraId="6ABAD954" w14:textId="77777777" w:rsidR="00DF69B0" w:rsidRPr="009B3BD2" w:rsidRDefault="00DF69B0" w:rsidP="00DF69B0">
      <w:pPr>
        <w:rPr>
          <w:rFonts w:ascii="Times-Roman" w:hAnsi="Times-Roman" w:cs="Times-Roman"/>
          <w:sz w:val="20"/>
          <w:szCs w:val="20"/>
          <w:lang w:val="es-CO"/>
        </w:rPr>
      </w:pPr>
    </w:p>
    <w:p w14:paraId="2411988B" w14:textId="32992212" w:rsidR="004F39C9" w:rsidRPr="009B3BD2" w:rsidRDefault="00DF69B0" w:rsidP="005D44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imes-Roman" w:hAnsi="Times-Roman" w:cs="Times-Roman"/>
          <w:sz w:val="20"/>
          <w:szCs w:val="20"/>
          <w:lang w:val="es-CO"/>
        </w:rPr>
      </w:pPr>
      <w:r w:rsidRPr="009B3BD2">
        <w:rPr>
          <w:rFonts w:ascii="Cambria" w:hAnsi="Cambria"/>
          <w:sz w:val="20"/>
          <w:szCs w:val="20"/>
          <w:lang w:val="es-CO"/>
        </w:rPr>
        <w:t>En primer lugar, y en cuanto a la garantía de imparcialidad objetiva de la autoridad disciplinaria, la CIDH recuerda que en el presente caso, en los dos procesos disciplinarios que impusieron sanciones de inhabilitación a la presunta víctima</w:t>
      </w:r>
      <w:r w:rsidR="00C7287F" w:rsidRPr="009B3BD2">
        <w:rPr>
          <w:rFonts w:ascii="Cambria" w:hAnsi="Cambria"/>
          <w:sz w:val="20"/>
          <w:szCs w:val="20"/>
          <w:lang w:val="es-CO"/>
        </w:rPr>
        <w:t xml:space="preserve"> y en uno de ellos su destitución,</w:t>
      </w:r>
      <w:r w:rsidRPr="009B3BD2">
        <w:rPr>
          <w:rFonts w:ascii="Cambria" w:hAnsi="Cambria"/>
          <w:sz w:val="20"/>
          <w:szCs w:val="20"/>
          <w:lang w:val="es-CO"/>
        </w:rPr>
        <w:t xml:space="preserve"> tanto los pliegos de cargos como la sanción disciplinaria fueron emitidas por el mismo órgano.  Con respecto al primer proceso, el pliego de cargos fue formulado el 20 de junio de 2013 por la Sala Disciplinaria de la Procuraduría General de la Nación y la decisión sancionatoria fue emitida el 9 de diciembre de 2013 por la misma Sala Disciplinaria. Con respecto al segundo proceso, los cargos fueron formulados el 10 de agosto de 2015 por la Procuraduría General de la Nación y la decisión sancionatoria fue emitida el 27 de junio de 2016 por el Procurador General de la Nación.</w:t>
      </w:r>
    </w:p>
    <w:p w14:paraId="1D306175" w14:textId="5215C18B" w:rsidR="00DF69B0" w:rsidRPr="009B3BD2" w:rsidRDefault="00DF69B0" w:rsidP="004F39C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imes-Roman" w:hAnsi="Times-Roman" w:cs="Times-Roman"/>
          <w:sz w:val="20"/>
          <w:szCs w:val="20"/>
          <w:lang w:val="es-CO"/>
        </w:rPr>
      </w:pPr>
      <w:r w:rsidRPr="009B3BD2">
        <w:rPr>
          <w:rFonts w:ascii="Cambria" w:hAnsi="Cambria"/>
          <w:sz w:val="20"/>
          <w:szCs w:val="20"/>
          <w:lang w:val="es-CO"/>
        </w:rPr>
        <w:t xml:space="preserve">  </w:t>
      </w:r>
    </w:p>
    <w:p w14:paraId="6417753B" w14:textId="15D962DC" w:rsidR="00DF69B0" w:rsidRPr="009B3BD2" w:rsidRDefault="00DF69B0" w:rsidP="000004E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 xml:space="preserve">La Comisión </w:t>
      </w:r>
      <w:r w:rsidR="004C4CF8" w:rsidRPr="009B3BD2">
        <w:rPr>
          <w:rFonts w:ascii="Cambria" w:hAnsi="Cambria"/>
          <w:sz w:val="20"/>
          <w:szCs w:val="20"/>
          <w:lang w:val="es-CO"/>
        </w:rPr>
        <w:t>observa que en el presente caso</w:t>
      </w:r>
      <w:r w:rsidRPr="009B3BD2">
        <w:rPr>
          <w:rFonts w:ascii="Cambria" w:hAnsi="Cambria"/>
          <w:sz w:val="20"/>
          <w:szCs w:val="20"/>
          <w:lang w:val="es-CO"/>
        </w:rPr>
        <w:t xml:space="preserve"> cumplir ambas funciones, </w:t>
      </w:r>
      <w:r w:rsidR="00A17EA3" w:rsidRPr="009B3BD2">
        <w:rPr>
          <w:rFonts w:ascii="Cambria" w:hAnsi="Cambria"/>
          <w:sz w:val="20"/>
          <w:szCs w:val="20"/>
          <w:lang w:val="es-CO"/>
        </w:rPr>
        <w:t xml:space="preserve">en ambos procesos, </w:t>
      </w:r>
      <w:r w:rsidRPr="009B3BD2">
        <w:rPr>
          <w:rFonts w:ascii="Cambria" w:hAnsi="Cambria"/>
          <w:sz w:val="20"/>
          <w:szCs w:val="20"/>
          <w:lang w:val="es-CO"/>
        </w:rPr>
        <w:t>de formular cargos y luego de el</w:t>
      </w:r>
      <w:r w:rsidR="00EE6199" w:rsidRPr="009B3BD2">
        <w:rPr>
          <w:rFonts w:ascii="Cambria" w:hAnsi="Cambria"/>
          <w:sz w:val="20"/>
          <w:szCs w:val="20"/>
          <w:lang w:val="es-CO"/>
        </w:rPr>
        <w:t>lo proferir una sanción, resultó</w:t>
      </w:r>
      <w:r w:rsidRPr="009B3BD2">
        <w:rPr>
          <w:rFonts w:ascii="Cambria" w:hAnsi="Cambria"/>
          <w:sz w:val="20"/>
          <w:szCs w:val="20"/>
          <w:lang w:val="es-CO"/>
        </w:rPr>
        <w:t xml:space="preserve"> problemático frente a la garantía de imparcialidad, particularmente desde el punto d</w:t>
      </w:r>
      <w:r w:rsidR="00EE6199" w:rsidRPr="009B3BD2">
        <w:rPr>
          <w:rFonts w:ascii="Cambria" w:hAnsi="Cambria"/>
          <w:sz w:val="20"/>
          <w:szCs w:val="20"/>
          <w:lang w:val="es-CO"/>
        </w:rPr>
        <w:t>e vista objetivo, ya que implicó</w:t>
      </w:r>
      <w:r w:rsidRPr="009B3BD2">
        <w:rPr>
          <w:rFonts w:ascii="Cambria" w:hAnsi="Cambria"/>
          <w:sz w:val="20"/>
          <w:szCs w:val="20"/>
          <w:lang w:val="es-CO"/>
        </w:rPr>
        <w:t xml:space="preserve"> que la </w:t>
      </w:r>
      <w:r w:rsidR="00EE6199" w:rsidRPr="009B3BD2">
        <w:rPr>
          <w:rFonts w:ascii="Cambria" w:hAnsi="Cambria"/>
          <w:sz w:val="20"/>
          <w:szCs w:val="20"/>
          <w:lang w:val="es-CO"/>
        </w:rPr>
        <w:t>autoridad disciplinaria se formará previamente</w:t>
      </w:r>
      <w:r w:rsidRPr="009B3BD2">
        <w:rPr>
          <w:rFonts w:ascii="Cambria" w:hAnsi="Cambria"/>
          <w:sz w:val="20"/>
          <w:szCs w:val="20"/>
          <w:lang w:val="es-CO"/>
        </w:rPr>
        <w:t xml:space="preserve"> una idea sobre los hechos y la manera en que estos encuadran en determinada causal disciplinaria. La propia legislación </w:t>
      </w:r>
      <w:r w:rsidR="00CD11B1" w:rsidRPr="009B3BD2">
        <w:rPr>
          <w:rFonts w:ascii="Cambria" w:hAnsi="Cambria"/>
          <w:sz w:val="20"/>
          <w:szCs w:val="20"/>
          <w:lang w:val="es-CO"/>
        </w:rPr>
        <w:t xml:space="preserve">aplicable </w:t>
      </w:r>
      <w:r w:rsidRPr="009B3BD2">
        <w:rPr>
          <w:rFonts w:ascii="Cambria" w:hAnsi="Cambria"/>
          <w:sz w:val="20"/>
          <w:szCs w:val="20"/>
          <w:lang w:val="es-CO"/>
        </w:rPr>
        <w:t xml:space="preserve">establece que la autoridad disciplinaria formulará pliego de cargos cuando “esté objetivamente demostrada la falta” y “exista prueba que comprometa la responsabilidad del investigado”. Ello implica, evidentemente, que </w:t>
      </w:r>
      <w:r w:rsidR="0018491B" w:rsidRPr="009B3BD2">
        <w:rPr>
          <w:rFonts w:ascii="Cambria" w:hAnsi="Cambria"/>
          <w:sz w:val="20"/>
          <w:szCs w:val="20"/>
          <w:lang w:val="es-CO"/>
        </w:rPr>
        <w:t xml:space="preserve">desde el momento en que </w:t>
      </w:r>
      <w:r w:rsidR="003E53D3" w:rsidRPr="009B3BD2">
        <w:rPr>
          <w:rFonts w:ascii="Cambria" w:hAnsi="Cambria"/>
          <w:sz w:val="20"/>
          <w:szCs w:val="20"/>
          <w:lang w:val="es-CO"/>
        </w:rPr>
        <w:t>la Sala</w:t>
      </w:r>
      <w:r w:rsidR="00464000" w:rsidRPr="009B3BD2">
        <w:rPr>
          <w:rFonts w:ascii="Cambria" w:hAnsi="Cambria"/>
          <w:sz w:val="20"/>
          <w:szCs w:val="20"/>
          <w:lang w:val="es-CO"/>
        </w:rPr>
        <w:t xml:space="preserve"> Disciplinaria</w:t>
      </w:r>
      <w:r w:rsidR="00493C9D" w:rsidRPr="009B3BD2">
        <w:rPr>
          <w:rFonts w:ascii="Cambria" w:hAnsi="Cambria"/>
          <w:sz w:val="20"/>
          <w:szCs w:val="20"/>
          <w:lang w:val="es-CO"/>
        </w:rPr>
        <w:t xml:space="preserve"> de l</w:t>
      </w:r>
      <w:r w:rsidR="00464000" w:rsidRPr="009B3BD2">
        <w:rPr>
          <w:rFonts w:ascii="Cambria" w:hAnsi="Cambria"/>
          <w:sz w:val="20"/>
          <w:szCs w:val="20"/>
          <w:lang w:val="es-CO"/>
        </w:rPr>
        <w:t xml:space="preserve">a </w:t>
      </w:r>
      <w:r w:rsidRPr="009B3BD2">
        <w:rPr>
          <w:rFonts w:ascii="Cambria" w:hAnsi="Cambria"/>
          <w:sz w:val="20"/>
          <w:szCs w:val="20"/>
          <w:lang w:val="es-CO"/>
        </w:rPr>
        <w:t>Procuraduría formul</w:t>
      </w:r>
      <w:r w:rsidR="00493C9D" w:rsidRPr="009B3BD2">
        <w:rPr>
          <w:rFonts w:ascii="Cambria" w:hAnsi="Cambria"/>
          <w:sz w:val="20"/>
          <w:szCs w:val="20"/>
          <w:lang w:val="es-CO"/>
        </w:rPr>
        <w:t>ó</w:t>
      </w:r>
      <w:r w:rsidRPr="009B3BD2">
        <w:rPr>
          <w:rFonts w:ascii="Cambria" w:hAnsi="Cambria"/>
          <w:sz w:val="20"/>
          <w:szCs w:val="20"/>
          <w:lang w:val="es-CO"/>
        </w:rPr>
        <w:t xml:space="preserve"> pliego de cargos</w:t>
      </w:r>
      <w:r w:rsidR="0018491B" w:rsidRPr="009B3BD2">
        <w:rPr>
          <w:rFonts w:ascii="Cambria" w:hAnsi="Cambria"/>
          <w:sz w:val="20"/>
          <w:szCs w:val="20"/>
          <w:lang w:val="es-CO"/>
        </w:rPr>
        <w:t xml:space="preserve">, </w:t>
      </w:r>
      <w:r w:rsidR="00493C9D" w:rsidRPr="009B3BD2">
        <w:rPr>
          <w:rFonts w:ascii="Cambria" w:hAnsi="Cambria"/>
          <w:sz w:val="20"/>
          <w:szCs w:val="20"/>
          <w:lang w:val="es-CO"/>
        </w:rPr>
        <w:t>tenía</w:t>
      </w:r>
      <w:r w:rsidR="006B1BE2" w:rsidRPr="009B3BD2">
        <w:rPr>
          <w:rFonts w:ascii="Cambria" w:hAnsi="Cambria"/>
          <w:sz w:val="20"/>
          <w:szCs w:val="20"/>
          <w:lang w:val="es-CO"/>
        </w:rPr>
        <w:t xml:space="preserve"> una posición tomada sobre la responsabilidad disciplinaria </w:t>
      </w:r>
      <w:r w:rsidR="00A44E53" w:rsidRPr="009B3BD2">
        <w:rPr>
          <w:rFonts w:ascii="Cambria" w:hAnsi="Cambria"/>
          <w:sz w:val="20"/>
          <w:szCs w:val="20"/>
          <w:lang w:val="es-CO"/>
        </w:rPr>
        <w:t xml:space="preserve">del señor </w:t>
      </w:r>
      <w:proofErr w:type="spellStart"/>
      <w:r w:rsidR="00A44E53" w:rsidRPr="009B3BD2">
        <w:rPr>
          <w:rFonts w:ascii="Cambria" w:hAnsi="Cambria"/>
          <w:sz w:val="20"/>
          <w:szCs w:val="20"/>
          <w:lang w:val="es-CO"/>
        </w:rPr>
        <w:t>Petro</w:t>
      </w:r>
      <w:proofErr w:type="spellEnd"/>
      <w:r w:rsidR="00A44E53" w:rsidRPr="009B3BD2">
        <w:rPr>
          <w:rFonts w:ascii="Cambria" w:hAnsi="Cambria"/>
          <w:sz w:val="20"/>
          <w:szCs w:val="20"/>
          <w:lang w:val="es-CO"/>
        </w:rPr>
        <w:t xml:space="preserve"> Urrego. Frente a dicha situación, la CIDH observa que no sólo no actuaron en su función </w:t>
      </w:r>
      <w:r w:rsidR="00A44E53" w:rsidRPr="009B3BD2">
        <w:rPr>
          <w:rFonts w:ascii="Cambria" w:hAnsi="Cambria"/>
          <w:sz w:val="20"/>
          <w:szCs w:val="20"/>
          <w:lang w:val="es-CO"/>
        </w:rPr>
        <w:lastRenderedPageBreak/>
        <w:t xml:space="preserve">materialmente jurisdiccional </w:t>
      </w:r>
      <w:r w:rsidRPr="009B3BD2">
        <w:rPr>
          <w:rFonts w:ascii="Cambria" w:hAnsi="Cambria"/>
          <w:sz w:val="20"/>
          <w:szCs w:val="20"/>
          <w:lang w:val="es-CO"/>
        </w:rPr>
        <w:t>careciendo de todo prejuicio</w:t>
      </w:r>
      <w:r w:rsidR="00A44E53" w:rsidRPr="009B3BD2">
        <w:rPr>
          <w:rFonts w:ascii="Cambria" w:hAnsi="Cambria"/>
          <w:sz w:val="20"/>
          <w:szCs w:val="20"/>
          <w:lang w:val="es-CO"/>
        </w:rPr>
        <w:t xml:space="preserve"> y, consecuentemente, de manera imparcial. </w:t>
      </w:r>
      <w:r w:rsidR="00F10CEE" w:rsidRPr="009B3BD2">
        <w:rPr>
          <w:rFonts w:ascii="Cambria" w:hAnsi="Cambria"/>
          <w:sz w:val="20"/>
          <w:szCs w:val="20"/>
          <w:lang w:val="es-CO"/>
        </w:rPr>
        <w:t xml:space="preserve">La Comisión observa que el </w:t>
      </w:r>
      <w:r w:rsidR="00595F1B" w:rsidRPr="009B3BD2">
        <w:rPr>
          <w:rFonts w:ascii="Cambria" w:hAnsi="Cambria"/>
          <w:sz w:val="20"/>
          <w:szCs w:val="20"/>
          <w:lang w:val="es-CO"/>
        </w:rPr>
        <w:t>diseño</w:t>
      </w:r>
      <w:r w:rsidR="00F10CEE" w:rsidRPr="009B3BD2">
        <w:rPr>
          <w:rFonts w:ascii="Cambria" w:hAnsi="Cambria"/>
          <w:sz w:val="20"/>
          <w:szCs w:val="20"/>
          <w:lang w:val="es-CO"/>
        </w:rPr>
        <w:t xml:space="preserve"> </w:t>
      </w:r>
      <w:r w:rsidR="00595F1B" w:rsidRPr="009B3BD2">
        <w:rPr>
          <w:rFonts w:ascii="Cambria" w:hAnsi="Cambria"/>
          <w:sz w:val="20"/>
          <w:szCs w:val="20"/>
          <w:lang w:val="es-CO"/>
        </w:rPr>
        <w:t xml:space="preserve"> conforme al cual la misma autoridad que formula cargos es la que decide sobre la responsabilidad disciplinaria, </w:t>
      </w:r>
      <w:r w:rsidR="00F10CEE" w:rsidRPr="009B3BD2">
        <w:rPr>
          <w:rFonts w:ascii="Cambria" w:hAnsi="Cambria"/>
          <w:sz w:val="20"/>
          <w:szCs w:val="20"/>
          <w:lang w:val="es-CO"/>
        </w:rPr>
        <w:t xml:space="preserve">y la forma en la que operó en el presente caso, </w:t>
      </w:r>
      <w:r w:rsidR="00A17EA3" w:rsidRPr="009B3BD2">
        <w:rPr>
          <w:rFonts w:ascii="Cambria" w:hAnsi="Cambria"/>
          <w:sz w:val="20"/>
          <w:szCs w:val="20"/>
          <w:lang w:val="es-CO"/>
        </w:rPr>
        <w:t xml:space="preserve">con la imposición de sanciones severas, </w:t>
      </w:r>
      <w:r w:rsidR="000004EA" w:rsidRPr="009B3BD2">
        <w:rPr>
          <w:rFonts w:ascii="Cambria" w:hAnsi="Cambria"/>
          <w:sz w:val="20"/>
          <w:szCs w:val="20"/>
          <w:lang w:val="es-CO"/>
        </w:rPr>
        <w:t xml:space="preserve">concretamente la inhabilitación de 15 años y la destitución de un Alcalde electo por voto popular, </w:t>
      </w:r>
      <w:r w:rsidR="00A17EA3" w:rsidRPr="009B3BD2">
        <w:rPr>
          <w:rFonts w:ascii="Cambria" w:hAnsi="Cambria"/>
          <w:sz w:val="20"/>
          <w:szCs w:val="20"/>
          <w:lang w:val="es-CO"/>
        </w:rPr>
        <w:t>generó</w:t>
      </w:r>
      <w:r w:rsidR="00595F1B" w:rsidRPr="009B3BD2">
        <w:rPr>
          <w:rFonts w:ascii="Cambria" w:hAnsi="Cambria"/>
          <w:sz w:val="20"/>
          <w:szCs w:val="20"/>
          <w:lang w:val="es-CO"/>
        </w:rPr>
        <w:t xml:space="preserve"> en la persona procesada una carga desproporcionada de demostrar, a la misma autoridad que formuló los cargos por considerarlos acreditados, que no incurrió en los mismos. Esto resulta también contrario al principio de presunció</w:t>
      </w:r>
      <w:r w:rsidR="005C6F80" w:rsidRPr="009B3BD2">
        <w:rPr>
          <w:rFonts w:ascii="Cambria" w:hAnsi="Cambria"/>
          <w:sz w:val="20"/>
          <w:szCs w:val="20"/>
          <w:lang w:val="es-CO"/>
        </w:rPr>
        <w:t>n de inocencia</w:t>
      </w:r>
      <w:r w:rsidR="00595F1B" w:rsidRPr="009B3BD2">
        <w:rPr>
          <w:rFonts w:ascii="Cambria" w:hAnsi="Cambria"/>
          <w:sz w:val="20"/>
          <w:szCs w:val="20"/>
          <w:lang w:val="es-CO"/>
        </w:rPr>
        <w:t xml:space="preserve"> aplicable a todo proceso sancionatorio.</w:t>
      </w:r>
    </w:p>
    <w:p w14:paraId="72F94D52" w14:textId="77777777" w:rsidR="00195730" w:rsidRPr="009B3BD2" w:rsidRDefault="00195730" w:rsidP="0019573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61182A6A" w14:textId="62D725B3" w:rsidR="00DF69B0" w:rsidRPr="009B3BD2" w:rsidRDefault="00DF69B0" w:rsidP="00DF69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 xml:space="preserve">En virtud de lo anterior, la CIDH concluye que el Estado colombiano violó </w:t>
      </w:r>
      <w:r w:rsidR="005C6F80" w:rsidRPr="009B3BD2">
        <w:rPr>
          <w:rFonts w:ascii="Cambria" w:hAnsi="Cambria"/>
          <w:sz w:val="20"/>
          <w:szCs w:val="20"/>
          <w:lang w:val="es-CO"/>
        </w:rPr>
        <w:t xml:space="preserve">el derecho a que la decisión sancionatoria sea emitida por autoridad </w:t>
      </w:r>
      <w:r w:rsidRPr="009B3BD2">
        <w:rPr>
          <w:rFonts w:ascii="Cambria" w:hAnsi="Cambria"/>
          <w:sz w:val="20"/>
          <w:szCs w:val="20"/>
          <w:lang w:val="es-CO"/>
        </w:rPr>
        <w:t>imparcial</w:t>
      </w:r>
      <w:r w:rsidR="005C6F80" w:rsidRPr="009B3BD2">
        <w:rPr>
          <w:rFonts w:ascii="Cambria" w:hAnsi="Cambria"/>
          <w:sz w:val="20"/>
          <w:szCs w:val="20"/>
          <w:lang w:val="es-CO"/>
        </w:rPr>
        <w:t xml:space="preserve"> así como el principio de presunció</w:t>
      </w:r>
      <w:r w:rsidR="00792E80" w:rsidRPr="009B3BD2">
        <w:rPr>
          <w:rFonts w:ascii="Cambria" w:hAnsi="Cambria"/>
          <w:sz w:val="20"/>
          <w:szCs w:val="20"/>
          <w:lang w:val="es-CO"/>
        </w:rPr>
        <w:t>n de inocencia</w:t>
      </w:r>
      <w:r w:rsidR="00847376" w:rsidRPr="009B3BD2">
        <w:rPr>
          <w:rFonts w:ascii="Cambria" w:hAnsi="Cambria"/>
          <w:sz w:val="20"/>
          <w:szCs w:val="20"/>
          <w:lang w:val="es-CO"/>
        </w:rPr>
        <w:t>.</w:t>
      </w:r>
      <w:r w:rsidR="005C6F80" w:rsidRPr="009B3BD2">
        <w:rPr>
          <w:rFonts w:ascii="Cambria" w:hAnsi="Cambria"/>
          <w:sz w:val="20"/>
          <w:szCs w:val="20"/>
          <w:lang w:val="es-CO"/>
        </w:rPr>
        <w:t xml:space="preserve"> </w:t>
      </w:r>
      <w:r w:rsidRPr="009B3BD2">
        <w:rPr>
          <w:rFonts w:ascii="Cambria" w:hAnsi="Cambria"/>
          <w:sz w:val="20"/>
          <w:szCs w:val="20"/>
          <w:lang w:val="es-CO"/>
        </w:rPr>
        <w:t xml:space="preserve"> </w:t>
      </w:r>
    </w:p>
    <w:p w14:paraId="77200670" w14:textId="77777777" w:rsidR="00DF69B0" w:rsidRPr="009B3BD2" w:rsidRDefault="00DF69B0" w:rsidP="00DF69B0">
      <w:pPr>
        <w:tabs>
          <w:tab w:val="left" w:pos="1440"/>
        </w:tabs>
        <w:jc w:val="both"/>
        <w:rPr>
          <w:rFonts w:ascii="Cambria" w:hAnsi="Cambria"/>
          <w:sz w:val="20"/>
          <w:szCs w:val="20"/>
          <w:lang w:val="es-CO"/>
        </w:rPr>
      </w:pPr>
    </w:p>
    <w:p w14:paraId="22A3E00A" w14:textId="6EAD6C45" w:rsidR="00DF69B0" w:rsidRPr="009B3BD2" w:rsidRDefault="00DF69B0" w:rsidP="00DF69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 xml:space="preserve">En segundo lugar, la Comisión recuerda que la presunta víctima interpuso un recurso </w:t>
      </w:r>
      <w:r w:rsidR="00A74164" w:rsidRPr="009B3BD2">
        <w:rPr>
          <w:rFonts w:ascii="Cambria" w:hAnsi="Cambria"/>
          <w:sz w:val="20"/>
          <w:szCs w:val="20"/>
          <w:lang w:val="es-CO"/>
        </w:rPr>
        <w:t xml:space="preserve">de </w:t>
      </w:r>
      <w:r w:rsidRPr="009B3BD2">
        <w:rPr>
          <w:rFonts w:ascii="Cambria" w:hAnsi="Cambria"/>
          <w:sz w:val="20"/>
          <w:szCs w:val="20"/>
          <w:lang w:val="es-CO"/>
        </w:rPr>
        <w:t xml:space="preserve">reposición en contra de la decisión sancionatoria de 9 de diciembre de 2013, </w:t>
      </w:r>
      <w:r w:rsidR="003D06F6" w:rsidRPr="009B3BD2">
        <w:rPr>
          <w:rFonts w:ascii="Cambria" w:hAnsi="Cambria"/>
          <w:sz w:val="20"/>
          <w:szCs w:val="20"/>
          <w:lang w:val="es-CO"/>
        </w:rPr>
        <w:t xml:space="preserve">único </w:t>
      </w:r>
      <w:r w:rsidRPr="009B3BD2">
        <w:rPr>
          <w:rFonts w:ascii="Cambria" w:hAnsi="Cambria"/>
          <w:sz w:val="20"/>
          <w:szCs w:val="20"/>
          <w:lang w:val="es-CO"/>
        </w:rPr>
        <w:t xml:space="preserve">recurso procedente contra el fallo de única instancia que emite el </w:t>
      </w:r>
      <w:r w:rsidR="00E13180" w:rsidRPr="009B3BD2">
        <w:rPr>
          <w:rFonts w:ascii="Cambria" w:hAnsi="Cambria"/>
          <w:sz w:val="20"/>
          <w:szCs w:val="20"/>
          <w:lang w:val="es-CO"/>
        </w:rPr>
        <w:t>Procurador General de la Nación</w:t>
      </w:r>
      <w:r w:rsidRPr="009B3BD2">
        <w:rPr>
          <w:rFonts w:ascii="Cambria" w:hAnsi="Cambria"/>
          <w:sz w:val="20"/>
          <w:szCs w:val="20"/>
          <w:lang w:val="es-CO"/>
        </w:rPr>
        <w:t xml:space="preserve"> como máxima autoridad disciplinaria</w:t>
      </w:r>
      <w:r w:rsidR="003D06F6" w:rsidRPr="009B3BD2">
        <w:rPr>
          <w:rFonts w:ascii="Cambria" w:hAnsi="Cambria"/>
          <w:sz w:val="20"/>
          <w:szCs w:val="20"/>
          <w:lang w:val="es-CO"/>
        </w:rPr>
        <w:t xml:space="preserve"> antes de que el mismo adquiera firmeza.</w:t>
      </w:r>
      <w:r w:rsidRPr="009B3BD2">
        <w:rPr>
          <w:rFonts w:ascii="Cambria" w:hAnsi="Cambria"/>
          <w:sz w:val="20"/>
          <w:szCs w:val="20"/>
          <w:lang w:val="es-CO"/>
        </w:rPr>
        <w:t xml:space="preserve"> Sin embargo la Comisión observa que dicho recurso</w:t>
      </w:r>
      <w:r w:rsidR="00E13180" w:rsidRPr="009B3BD2">
        <w:rPr>
          <w:rFonts w:ascii="Cambria" w:hAnsi="Cambria"/>
          <w:sz w:val="20"/>
          <w:szCs w:val="20"/>
          <w:lang w:val="es-CO"/>
        </w:rPr>
        <w:t>,</w:t>
      </w:r>
      <w:r w:rsidRPr="009B3BD2">
        <w:rPr>
          <w:rFonts w:ascii="Cambria" w:hAnsi="Cambria"/>
          <w:sz w:val="20"/>
          <w:szCs w:val="20"/>
          <w:lang w:val="es-CO"/>
        </w:rPr>
        <w:t xml:space="preserve"> conforme a la ley es resuelto por la misma autoridad que dictó la sanción, tal como ocurri</w:t>
      </w:r>
      <w:r w:rsidR="00E13180" w:rsidRPr="009B3BD2">
        <w:rPr>
          <w:rFonts w:ascii="Cambria" w:hAnsi="Cambria"/>
          <w:sz w:val="20"/>
          <w:szCs w:val="20"/>
          <w:lang w:val="es-CO"/>
        </w:rPr>
        <w:t>ó en el presente caso en el que</w:t>
      </w:r>
      <w:r w:rsidRPr="009B3BD2">
        <w:rPr>
          <w:rFonts w:ascii="Cambria" w:hAnsi="Cambria"/>
          <w:sz w:val="20"/>
          <w:szCs w:val="20"/>
          <w:lang w:val="es-CO"/>
        </w:rPr>
        <w:t xml:space="preserve"> el Procurador General de la Nación denegó el recurso.  La Comisión recuerda que el derecho a recurrir implica un examen por una autoridad distinta y de superior jerarquía, por lo que el recurso de reposición no satisface </w:t>
      </w:r>
      <w:r w:rsidR="007E68B8" w:rsidRPr="009B3BD2">
        <w:rPr>
          <w:rFonts w:ascii="Cambria" w:hAnsi="Cambria"/>
          <w:sz w:val="20"/>
          <w:szCs w:val="20"/>
          <w:lang w:val="es-CO"/>
        </w:rPr>
        <w:t xml:space="preserve">uno de los requerimientos mínimos </w:t>
      </w:r>
      <w:r w:rsidRPr="009B3BD2">
        <w:rPr>
          <w:rFonts w:ascii="Cambria" w:hAnsi="Cambria"/>
          <w:sz w:val="20"/>
          <w:szCs w:val="20"/>
          <w:lang w:val="es-CO"/>
        </w:rPr>
        <w:t>del artículo 8.2</w:t>
      </w:r>
      <w:r w:rsidR="007E68B8" w:rsidRPr="009B3BD2">
        <w:rPr>
          <w:rFonts w:ascii="Cambria" w:hAnsi="Cambria"/>
          <w:sz w:val="20"/>
          <w:szCs w:val="20"/>
          <w:lang w:val="es-CO"/>
        </w:rPr>
        <w:t xml:space="preserve"> </w:t>
      </w:r>
      <w:r w:rsidRPr="009B3BD2">
        <w:rPr>
          <w:rFonts w:ascii="Cambria" w:hAnsi="Cambria"/>
          <w:sz w:val="20"/>
          <w:szCs w:val="20"/>
          <w:lang w:val="es-CO"/>
        </w:rPr>
        <w:t>h</w:t>
      </w:r>
      <w:r w:rsidR="007E68B8" w:rsidRPr="009B3BD2">
        <w:rPr>
          <w:rFonts w:ascii="Cambria" w:hAnsi="Cambria"/>
          <w:sz w:val="20"/>
          <w:szCs w:val="20"/>
          <w:lang w:val="es-CO"/>
        </w:rPr>
        <w:t>).</w:t>
      </w:r>
      <w:r w:rsidRPr="009B3BD2">
        <w:rPr>
          <w:rFonts w:ascii="Cambria" w:hAnsi="Cambria"/>
          <w:sz w:val="20"/>
          <w:szCs w:val="20"/>
          <w:lang w:val="es-CO"/>
        </w:rPr>
        <w:t xml:space="preserve">  </w:t>
      </w:r>
    </w:p>
    <w:p w14:paraId="03D6A219" w14:textId="77777777" w:rsidR="00DF69B0" w:rsidRPr="009B3BD2" w:rsidRDefault="00DF69B0" w:rsidP="00DF69B0">
      <w:pPr>
        <w:pStyle w:val="ListParagraph"/>
        <w:rPr>
          <w:sz w:val="20"/>
          <w:szCs w:val="20"/>
          <w:lang w:val="es-CO"/>
        </w:rPr>
      </w:pPr>
    </w:p>
    <w:p w14:paraId="5C1550FA" w14:textId="12D0E165" w:rsidR="00DF69B0" w:rsidRPr="009B3BD2" w:rsidRDefault="00DF69B0" w:rsidP="00DF69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Por otra parte, la Comisión observa que con posterioridad a la negación del recurso de reposición, el 31 de marzo de 2014 la presunta víctima presentó una demanda de nulidad y restablecimiento del derecho</w:t>
      </w:r>
      <w:r w:rsidR="000E4082" w:rsidRPr="009B3BD2">
        <w:rPr>
          <w:rFonts w:ascii="Cambria" w:hAnsi="Cambria"/>
          <w:sz w:val="20"/>
          <w:szCs w:val="20"/>
          <w:lang w:val="es-CO"/>
        </w:rPr>
        <w:t xml:space="preserve"> del acto administrativo sancionatorio. </w:t>
      </w:r>
      <w:r w:rsidR="00424AE1" w:rsidRPr="009B3BD2">
        <w:rPr>
          <w:rFonts w:ascii="Cambria" w:hAnsi="Cambria"/>
          <w:sz w:val="20"/>
          <w:szCs w:val="20"/>
          <w:lang w:val="es-CO"/>
        </w:rPr>
        <w:t>S</w:t>
      </w:r>
      <w:r w:rsidRPr="009B3BD2">
        <w:rPr>
          <w:rFonts w:ascii="Cambria" w:hAnsi="Cambria"/>
          <w:sz w:val="20"/>
          <w:szCs w:val="20"/>
          <w:lang w:val="es-CO"/>
        </w:rPr>
        <w:t>in embargo</w:t>
      </w:r>
      <w:r w:rsidR="00BB6246" w:rsidRPr="009B3BD2">
        <w:rPr>
          <w:rFonts w:ascii="Cambria" w:hAnsi="Cambria"/>
          <w:sz w:val="20"/>
          <w:szCs w:val="20"/>
          <w:lang w:val="es-CO"/>
        </w:rPr>
        <w:t>,</w:t>
      </w:r>
      <w:r w:rsidRPr="009B3BD2">
        <w:rPr>
          <w:rFonts w:ascii="Cambria" w:hAnsi="Cambria"/>
          <w:sz w:val="20"/>
          <w:szCs w:val="20"/>
          <w:lang w:val="es-CO"/>
        </w:rPr>
        <w:t xml:space="preserve"> transcurridos más de 3 años y 6 meses desde </w:t>
      </w:r>
      <w:r w:rsidR="00BB6246" w:rsidRPr="009B3BD2">
        <w:rPr>
          <w:rFonts w:ascii="Cambria" w:hAnsi="Cambria"/>
          <w:sz w:val="20"/>
          <w:szCs w:val="20"/>
          <w:lang w:val="es-CO"/>
        </w:rPr>
        <w:t xml:space="preserve">su interposición, </w:t>
      </w:r>
      <w:r w:rsidRPr="009B3BD2">
        <w:rPr>
          <w:rFonts w:ascii="Cambria" w:hAnsi="Cambria"/>
          <w:sz w:val="20"/>
          <w:szCs w:val="20"/>
          <w:lang w:val="es-CO"/>
        </w:rPr>
        <w:t xml:space="preserve">el mismo recurso no ha sido resuelto.   </w:t>
      </w:r>
    </w:p>
    <w:p w14:paraId="38D073FE" w14:textId="77777777" w:rsidR="00DF69B0" w:rsidRPr="009B3BD2" w:rsidRDefault="00DF69B0" w:rsidP="00DF69B0">
      <w:pPr>
        <w:tabs>
          <w:tab w:val="left" w:pos="1440"/>
        </w:tabs>
        <w:jc w:val="both"/>
        <w:rPr>
          <w:rFonts w:ascii="Cambria" w:hAnsi="Cambria"/>
          <w:sz w:val="20"/>
          <w:szCs w:val="20"/>
          <w:lang w:val="es-CO"/>
        </w:rPr>
      </w:pPr>
    </w:p>
    <w:p w14:paraId="2FFEA3B4" w14:textId="5D776EBE" w:rsidR="00DF69B0" w:rsidRPr="009B3BD2" w:rsidRDefault="00DF69B0" w:rsidP="00DF69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9B3BD2">
        <w:rPr>
          <w:rFonts w:ascii="Cambria" w:hAnsi="Cambria"/>
          <w:sz w:val="20"/>
          <w:szCs w:val="20"/>
          <w:lang w:val="es-CO"/>
        </w:rPr>
        <w:t>La Comisión recuerda que para efectos de determinar la razonabilidad del plazo</w:t>
      </w:r>
      <w:r w:rsidR="00CD0E69" w:rsidRPr="009B3BD2">
        <w:rPr>
          <w:rFonts w:ascii="Cambria" w:hAnsi="Cambria"/>
          <w:sz w:val="20"/>
          <w:szCs w:val="20"/>
          <w:lang w:val="es-CO"/>
        </w:rPr>
        <w:t>,</w:t>
      </w:r>
      <w:r w:rsidRPr="009B3BD2">
        <w:rPr>
          <w:rFonts w:ascii="Cambria" w:hAnsi="Cambria"/>
          <w:sz w:val="20"/>
          <w:szCs w:val="20"/>
          <w:lang w:val="es-CO"/>
        </w:rPr>
        <w:t xml:space="preserve"> la jurisprudencia </w:t>
      </w:r>
      <w:r w:rsidR="005E759A" w:rsidRPr="009B3BD2">
        <w:rPr>
          <w:rFonts w:ascii="Cambria" w:hAnsi="Cambria"/>
          <w:sz w:val="20"/>
          <w:szCs w:val="20"/>
          <w:lang w:val="es-CO"/>
        </w:rPr>
        <w:t xml:space="preserve">interamericana </w:t>
      </w:r>
      <w:r w:rsidRPr="009B3BD2">
        <w:rPr>
          <w:rFonts w:ascii="Cambria" w:hAnsi="Cambria"/>
          <w:sz w:val="20"/>
          <w:szCs w:val="20"/>
          <w:lang w:val="es-CO"/>
        </w:rPr>
        <w:t>ha</w:t>
      </w:r>
      <w:r w:rsidR="005E759A" w:rsidRPr="009B3BD2">
        <w:rPr>
          <w:rFonts w:ascii="Cambria" w:hAnsi="Cambria"/>
          <w:sz w:val="20"/>
          <w:szCs w:val="20"/>
          <w:lang w:val="es-CO"/>
        </w:rPr>
        <w:t xml:space="preserve"> desarrollado</w:t>
      </w:r>
      <w:r w:rsidRPr="009B3BD2">
        <w:rPr>
          <w:rFonts w:ascii="Cambria" w:hAnsi="Cambria"/>
          <w:sz w:val="20"/>
          <w:szCs w:val="20"/>
          <w:lang w:val="es-CO"/>
        </w:rPr>
        <w:t xml:space="preserve"> cuatros elementos: </w:t>
      </w:r>
      <w:r w:rsidRPr="009B3BD2">
        <w:rPr>
          <w:rFonts w:ascii="Cambria" w:hAnsi="Cambria"/>
          <w:bCs/>
          <w:sz w:val="20"/>
          <w:szCs w:val="20"/>
          <w:lang w:val="es-EC"/>
        </w:rPr>
        <w:t>a) la complejidad del asunto; b) la actividad procesal del interesado;  c) la conducta de las autoridades judiciales</w:t>
      </w:r>
      <w:r w:rsidR="001C20FA" w:rsidRPr="009B3BD2">
        <w:rPr>
          <w:rFonts w:ascii="Cambria" w:hAnsi="Cambria"/>
          <w:bCs/>
          <w:sz w:val="20"/>
          <w:szCs w:val="20"/>
          <w:lang w:val="es-EC"/>
        </w:rPr>
        <w:t>;</w:t>
      </w:r>
      <w:r w:rsidRPr="009B3BD2">
        <w:rPr>
          <w:rFonts w:ascii="Cambria" w:hAnsi="Cambria"/>
          <w:bCs/>
          <w:sz w:val="20"/>
          <w:szCs w:val="20"/>
          <w:lang w:val="es-EC"/>
        </w:rPr>
        <w:t xml:space="preserve"> y d) la afectación generada en la situación jurídica de la persona involucrada en el proceso</w:t>
      </w:r>
      <w:r w:rsidRPr="009B3BD2">
        <w:rPr>
          <w:rStyle w:val="FootnoteReference"/>
          <w:rFonts w:ascii="Cambria" w:hAnsi="Cambria"/>
          <w:bCs/>
          <w:sz w:val="20"/>
          <w:szCs w:val="20"/>
          <w:lang w:val="es-EC"/>
        </w:rPr>
        <w:footnoteReference w:id="99"/>
      </w:r>
      <w:r w:rsidRPr="009B3BD2">
        <w:rPr>
          <w:rFonts w:ascii="Cambria" w:hAnsi="Cambria"/>
          <w:bCs/>
          <w:sz w:val="20"/>
          <w:szCs w:val="20"/>
          <w:lang w:val="es-EC"/>
        </w:rPr>
        <w:t>. En relación con el primer elemento, la CIDH observa que</w:t>
      </w:r>
      <w:r w:rsidR="006611BC" w:rsidRPr="009B3BD2">
        <w:rPr>
          <w:rFonts w:ascii="Cambria" w:hAnsi="Cambria"/>
          <w:bCs/>
          <w:sz w:val="20"/>
          <w:szCs w:val="20"/>
          <w:lang w:val="es-EC"/>
        </w:rPr>
        <w:t xml:space="preserve"> el Estado no justificó la demora demostrando que la demanda de nulidad y restablecimiento del derecho revistiera </w:t>
      </w:r>
      <w:r w:rsidRPr="009B3BD2">
        <w:rPr>
          <w:rFonts w:ascii="Cambria" w:hAnsi="Cambria"/>
          <w:bCs/>
          <w:sz w:val="20"/>
          <w:szCs w:val="20"/>
          <w:lang w:val="es-EC"/>
        </w:rPr>
        <w:t xml:space="preserve">mayor complejidad </w:t>
      </w:r>
      <w:r w:rsidR="006611BC" w:rsidRPr="009B3BD2">
        <w:rPr>
          <w:rFonts w:ascii="Cambria" w:hAnsi="Cambria"/>
          <w:bCs/>
          <w:sz w:val="20"/>
          <w:szCs w:val="20"/>
          <w:lang w:val="es-EC"/>
        </w:rPr>
        <w:t xml:space="preserve">y ello tampoco se desprende del expediente. </w:t>
      </w:r>
      <w:r w:rsidRPr="009B3BD2">
        <w:rPr>
          <w:rFonts w:ascii="Cambria" w:hAnsi="Cambria"/>
          <w:bCs/>
          <w:sz w:val="20"/>
          <w:szCs w:val="20"/>
          <w:lang w:val="es-EC"/>
        </w:rPr>
        <w:t>En cuanto al segundo y tercer elemento</w:t>
      </w:r>
      <w:r w:rsidR="00C77960" w:rsidRPr="009B3BD2">
        <w:rPr>
          <w:rFonts w:ascii="Cambria" w:hAnsi="Cambria"/>
          <w:bCs/>
          <w:sz w:val="20"/>
          <w:szCs w:val="20"/>
          <w:lang w:val="es-EC"/>
        </w:rPr>
        <w:t>s</w:t>
      </w:r>
      <w:r w:rsidRPr="009B3BD2">
        <w:rPr>
          <w:rFonts w:ascii="Cambria" w:hAnsi="Cambria"/>
          <w:bCs/>
          <w:sz w:val="20"/>
          <w:szCs w:val="20"/>
          <w:lang w:val="es-EC"/>
        </w:rPr>
        <w:t xml:space="preserve">, la Comisión destaca que desde el planteamiento de la demanda han trascurrido más de 3 años y </w:t>
      </w:r>
      <w:r w:rsidR="00206559" w:rsidRPr="009B3BD2">
        <w:rPr>
          <w:rFonts w:ascii="Cambria" w:hAnsi="Cambria"/>
          <w:bCs/>
          <w:sz w:val="20"/>
          <w:szCs w:val="20"/>
          <w:lang w:val="es-EC"/>
        </w:rPr>
        <w:t>6</w:t>
      </w:r>
      <w:r w:rsidRPr="009B3BD2">
        <w:rPr>
          <w:rFonts w:ascii="Cambria" w:hAnsi="Cambria"/>
          <w:bCs/>
          <w:sz w:val="20"/>
          <w:szCs w:val="20"/>
          <w:lang w:val="es-EC"/>
        </w:rPr>
        <w:t xml:space="preserve"> meses, y hasta la fecha la Sala únicamente ha suspendido “provisionalmente” la decisión sancionatoria. </w:t>
      </w:r>
      <w:r w:rsidR="00FF149E" w:rsidRPr="009B3BD2">
        <w:rPr>
          <w:rFonts w:ascii="Cambria" w:hAnsi="Cambria"/>
          <w:bCs/>
          <w:sz w:val="20"/>
          <w:szCs w:val="20"/>
          <w:lang w:val="es-EC"/>
        </w:rPr>
        <w:t xml:space="preserve">La Comisión no cuenta con información que demuestre que el Consejo de Estado haya actuado con diligencia para resolver la demanda, en tanto, como se indicó, el Estado no procuró justificar la demora. Por otra parte, no surge del expediente elemento alguno que indique que la demora sea atribuible al señor </w:t>
      </w:r>
      <w:proofErr w:type="spellStart"/>
      <w:r w:rsidR="00FF149E" w:rsidRPr="009B3BD2">
        <w:rPr>
          <w:rFonts w:ascii="Cambria" w:hAnsi="Cambria"/>
          <w:bCs/>
          <w:sz w:val="20"/>
          <w:szCs w:val="20"/>
          <w:lang w:val="es-EC"/>
        </w:rPr>
        <w:t>Petro</w:t>
      </w:r>
      <w:proofErr w:type="spellEnd"/>
      <w:r w:rsidR="00FF149E" w:rsidRPr="009B3BD2">
        <w:rPr>
          <w:rFonts w:ascii="Cambria" w:hAnsi="Cambria"/>
          <w:bCs/>
          <w:sz w:val="20"/>
          <w:szCs w:val="20"/>
          <w:lang w:val="es-EC"/>
        </w:rPr>
        <w:t xml:space="preserve"> Urrego. </w:t>
      </w:r>
    </w:p>
    <w:p w14:paraId="56DAEE5B" w14:textId="77777777" w:rsidR="00DF69B0" w:rsidRPr="009B3BD2" w:rsidRDefault="00DF69B0" w:rsidP="00DF69B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491044DF" w14:textId="0F5A37FE" w:rsidR="00DF69B0" w:rsidRPr="002F74E6" w:rsidRDefault="00DF69B0" w:rsidP="00DF69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B3BD2">
        <w:rPr>
          <w:rFonts w:ascii="Cambria" w:hAnsi="Cambria"/>
          <w:sz w:val="20"/>
          <w:szCs w:val="20"/>
          <w:lang w:val="es-VE"/>
        </w:rPr>
        <w:t>En cuanto al cua</w:t>
      </w:r>
      <w:r w:rsidR="00E13180" w:rsidRPr="009B3BD2">
        <w:rPr>
          <w:rFonts w:ascii="Cambria" w:hAnsi="Cambria"/>
          <w:sz w:val="20"/>
          <w:szCs w:val="20"/>
          <w:lang w:val="es-VE"/>
        </w:rPr>
        <w:t>rto elemento la Comisión subraya</w:t>
      </w:r>
      <w:r w:rsidRPr="009B3BD2">
        <w:rPr>
          <w:rFonts w:ascii="Cambria" w:hAnsi="Cambria"/>
          <w:sz w:val="20"/>
          <w:szCs w:val="20"/>
          <w:lang w:val="es-VE"/>
        </w:rPr>
        <w:t xml:space="preserve"> que la demora ha tenido un impacto en la situación jurídica de la presunta víctima, ya que la sanción de inhabilitación que le fue impuesta le impediría</w:t>
      </w:r>
      <w:r w:rsidR="00AC1293" w:rsidRPr="009B3BD2">
        <w:rPr>
          <w:rFonts w:ascii="Cambria" w:hAnsi="Cambria"/>
          <w:sz w:val="20"/>
          <w:szCs w:val="20"/>
          <w:lang w:val="es-VE"/>
        </w:rPr>
        <w:t xml:space="preserve"> ejercer su derecho al sufragio pasivo </w:t>
      </w:r>
      <w:r w:rsidRPr="009B3BD2">
        <w:rPr>
          <w:rFonts w:ascii="Cambria" w:hAnsi="Cambria"/>
          <w:sz w:val="20"/>
          <w:szCs w:val="20"/>
          <w:lang w:val="es-VE"/>
        </w:rPr>
        <w:t>como candidato presidencial en las elecciones de 2018</w:t>
      </w:r>
      <w:r w:rsidR="00AC1293" w:rsidRPr="009B3BD2">
        <w:rPr>
          <w:rFonts w:ascii="Cambria" w:hAnsi="Cambria"/>
          <w:sz w:val="20"/>
          <w:szCs w:val="20"/>
          <w:lang w:val="es-VE"/>
        </w:rPr>
        <w:t xml:space="preserve"> como, según la parte peticionaria, es su interés. Esta situación no se modifica por el hecho de la suspensión provi</w:t>
      </w:r>
      <w:r w:rsidR="00307D02" w:rsidRPr="009B3BD2">
        <w:rPr>
          <w:rFonts w:ascii="Cambria" w:hAnsi="Cambria"/>
          <w:sz w:val="20"/>
          <w:szCs w:val="20"/>
          <w:lang w:val="es-VE"/>
        </w:rPr>
        <w:t xml:space="preserve">sional del acto administrativo sancionatorio, pues el señor </w:t>
      </w:r>
      <w:proofErr w:type="spellStart"/>
      <w:r w:rsidR="00307D02" w:rsidRPr="009B3BD2">
        <w:rPr>
          <w:rFonts w:ascii="Cambria" w:hAnsi="Cambria"/>
          <w:sz w:val="20"/>
          <w:szCs w:val="20"/>
          <w:lang w:val="es-VE"/>
        </w:rPr>
        <w:t>Petro</w:t>
      </w:r>
      <w:proofErr w:type="spellEnd"/>
      <w:r w:rsidR="00307D02" w:rsidRPr="009B3BD2">
        <w:rPr>
          <w:rFonts w:ascii="Cambria" w:hAnsi="Cambria"/>
          <w:sz w:val="20"/>
          <w:szCs w:val="20"/>
          <w:lang w:val="es-VE"/>
        </w:rPr>
        <w:t xml:space="preserve"> Urrego se mantiene en situación de incertidumbre sobre el resultado final de su demanda, la cual podría ser rechazada. Este escenario de incertidumbre impacta necesariamente en las posibilidades de desplegar una campaña presidencial, mientras pesa una sanción de inhabilitación pendiente de decisión judicial. </w:t>
      </w:r>
      <w:r w:rsidRPr="009B3BD2">
        <w:rPr>
          <w:rFonts w:ascii="Cambria" w:hAnsi="Cambria"/>
          <w:sz w:val="20"/>
          <w:szCs w:val="20"/>
          <w:lang w:val="es-VE"/>
        </w:rPr>
        <w:t xml:space="preserve">Por otra parte, </w:t>
      </w:r>
      <w:r w:rsidR="00307D02" w:rsidRPr="009B3BD2">
        <w:rPr>
          <w:rFonts w:ascii="Cambria" w:hAnsi="Cambria"/>
          <w:sz w:val="20"/>
          <w:szCs w:val="20"/>
          <w:lang w:val="es-VE"/>
        </w:rPr>
        <w:t xml:space="preserve">aún </w:t>
      </w:r>
      <w:r w:rsidRPr="009B3BD2">
        <w:rPr>
          <w:rFonts w:ascii="Cambria" w:hAnsi="Cambria"/>
          <w:sz w:val="20"/>
          <w:szCs w:val="20"/>
          <w:lang w:val="es-VE"/>
        </w:rPr>
        <w:t>en el caso de permitirse su participació</w:t>
      </w:r>
      <w:r w:rsidR="00491445" w:rsidRPr="009B3BD2">
        <w:rPr>
          <w:rFonts w:ascii="Cambria" w:hAnsi="Cambria"/>
          <w:sz w:val="20"/>
          <w:szCs w:val="20"/>
          <w:lang w:val="es-VE"/>
        </w:rPr>
        <w:t>n</w:t>
      </w:r>
      <w:r w:rsidR="00307D02" w:rsidRPr="009B3BD2">
        <w:rPr>
          <w:rFonts w:ascii="Cambria" w:hAnsi="Cambria"/>
          <w:sz w:val="20"/>
          <w:szCs w:val="20"/>
          <w:lang w:val="es-VE"/>
        </w:rPr>
        <w:t>,</w:t>
      </w:r>
      <w:r w:rsidRPr="009B3BD2">
        <w:rPr>
          <w:rFonts w:ascii="Cambria" w:hAnsi="Cambria"/>
          <w:sz w:val="20"/>
          <w:szCs w:val="20"/>
          <w:lang w:val="es-VE"/>
        </w:rPr>
        <w:t xml:space="preserve"> a raíz de una reforma penal recién aprobada, </w:t>
      </w:r>
      <w:r w:rsidR="00307D02" w:rsidRPr="009B3BD2">
        <w:rPr>
          <w:rFonts w:ascii="Cambria" w:hAnsi="Cambria"/>
          <w:sz w:val="20"/>
          <w:szCs w:val="20"/>
          <w:lang w:val="es-VE"/>
        </w:rPr>
        <w:t xml:space="preserve">podría </w:t>
      </w:r>
      <w:r w:rsidRPr="009B3BD2">
        <w:rPr>
          <w:rFonts w:ascii="Cambria" w:hAnsi="Cambria"/>
          <w:sz w:val="20"/>
          <w:szCs w:val="20"/>
          <w:lang w:val="es-VE"/>
        </w:rPr>
        <w:t>incurrir en el delito de “elección ilícita de candidatos” con una pena entre 4 a 9 años de prisión y multa de 200 a 800 salarios mínimos, si resultara electo</w:t>
      </w:r>
      <w:r w:rsidR="00307D02" w:rsidRPr="009B3BD2">
        <w:rPr>
          <w:rFonts w:ascii="Cambria" w:hAnsi="Cambria"/>
          <w:sz w:val="20"/>
          <w:szCs w:val="20"/>
          <w:lang w:val="es-VE"/>
        </w:rPr>
        <w:t xml:space="preserve"> y en caso de que la inhabilitación sea validada por el Consejo de Estado. </w:t>
      </w:r>
      <w:r w:rsidRPr="009B3BD2">
        <w:rPr>
          <w:rFonts w:ascii="Cambria" w:hAnsi="Cambria"/>
          <w:sz w:val="20"/>
          <w:szCs w:val="20"/>
          <w:lang w:val="es-VE"/>
        </w:rPr>
        <w:t xml:space="preserve"> </w:t>
      </w:r>
      <w:r w:rsidR="00426F32" w:rsidRPr="009B3BD2">
        <w:rPr>
          <w:rFonts w:ascii="Cambria" w:hAnsi="Cambria"/>
          <w:sz w:val="20"/>
          <w:szCs w:val="20"/>
          <w:lang w:val="es-VE"/>
        </w:rPr>
        <w:t>La Comisión subraya que es especialmente grave la actuación del Estado en la destitución e inhabilitación de la presunta víctima, lo cual requiere de una respuesta más pronta por la naturaleza de esta situación.</w:t>
      </w:r>
    </w:p>
    <w:p w14:paraId="5F04F01E" w14:textId="6B390E71" w:rsidR="00792E80" w:rsidRPr="009B3BD2" w:rsidRDefault="00DF69B0" w:rsidP="006D1D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B3BD2">
        <w:rPr>
          <w:rFonts w:ascii="Cambria" w:hAnsi="Cambria"/>
          <w:sz w:val="20"/>
          <w:szCs w:val="20"/>
          <w:lang w:val="es-CO"/>
        </w:rPr>
        <w:lastRenderedPageBreak/>
        <w:t>Si bien la Comisión cuenta con información según la cual, algunas decisiones del Consejo de Estado respecto de recursos de nulidad y restablecimiento del derecho permitirían revisiones integrales de decisiones sancionatorias</w:t>
      </w:r>
      <w:r w:rsidRPr="009B3BD2">
        <w:rPr>
          <w:rStyle w:val="FootnoteReference"/>
          <w:rFonts w:asciiTheme="majorHAnsi" w:hAnsiTheme="majorHAnsi"/>
          <w:sz w:val="20"/>
          <w:szCs w:val="20"/>
          <w:lang w:val="es-CO"/>
        </w:rPr>
        <w:footnoteReference w:id="100"/>
      </w:r>
      <w:r w:rsidRPr="009B3BD2">
        <w:rPr>
          <w:rFonts w:ascii="Cambria" w:hAnsi="Cambria"/>
          <w:sz w:val="20"/>
          <w:szCs w:val="20"/>
          <w:lang w:val="es-CO"/>
        </w:rPr>
        <w:t xml:space="preserve"> emitidas por el Procurador General de la Nación</w:t>
      </w:r>
      <w:r w:rsidR="0060252B" w:rsidRPr="009B3BD2">
        <w:rPr>
          <w:rFonts w:ascii="Cambria" w:hAnsi="Cambria"/>
          <w:sz w:val="20"/>
          <w:szCs w:val="20"/>
          <w:lang w:val="es-CO"/>
        </w:rPr>
        <w:t xml:space="preserve"> a pesar de la presunción de legalidad que pesa sobre los actos administrativos,</w:t>
      </w:r>
      <w:r w:rsidRPr="009B3BD2">
        <w:rPr>
          <w:rFonts w:ascii="Cambria" w:hAnsi="Cambria"/>
          <w:sz w:val="20"/>
          <w:szCs w:val="20"/>
          <w:lang w:val="es-CO"/>
        </w:rPr>
        <w:t xml:space="preserve"> observa que en el presente caso no se ha garantizado a la presunta víctima el derecho a recurrir el fallo, ya que el recurso de reposición no cumple con los estándares del derecho a recurrir, y el recurso de nulidad y restablecimiento del derecho no ha sido resuelto en un plazo razonable</w:t>
      </w:r>
      <w:r w:rsidR="0025272F" w:rsidRPr="009B3BD2">
        <w:rPr>
          <w:rFonts w:ascii="Cambria" w:hAnsi="Cambria"/>
          <w:sz w:val="20"/>
          <w:szCs w:val="20"/>
          <w:lang w:val="es-CO"/>
        </w:rPr>
        <w:t xml:space="preserve"> de forma que la CIDH pueda evaluar</w:t>
      </w:r>
      <w:r w:rsidR="0060252B" w:rsidRPr="009B3BD2">
        <w:rPr>
          <w:rFonts w:ascii="Cambria" w:hAnsi="Cambria"/>
          <w:sz w:val="20"/>
          <w:szCs w:val="20"/>
          <w:lang w:val="es-CO"/>
        </w:rPr>
        <w:t xml:space="preserve"> si el mismo cumplió con los requerimientos del artículo 8.2 h)</w:t>
      </w:r>
      <w:r w:rsidR="00792E80" w:rsidRPr="009B3BD2">
        <w:rPr>
          <w:rFonts w:ascii="Cambria" w:hAnsi="Cambria"/>
          <w:sz w:val="20"/>
          <w:szCs w:val="20"/>
          <w:lang w:val="es-CO"/>
        </w:rPr>
        <w:t xml:space="preserve"> de la Convención.</w:t>
      </w:r>
      <w:r w:rsidR="0060252B" w:rsidRPr="009B3BD2">
        <w:rPr>
          <w:rFonts w:ascii="Cambria" w:hAnsi="Cambria"/>
          <w:sz w:val="20"/>
          <w:szCs w:val="20"/>
          <w:lang w:val="es-CO"/>
        </w:rPr>
        <w:t xml:space="preserve"> </w:t>
      </w:r>
      <w:r w:rsidR="00847376" w:rsidRPr="009B3BD2">
        <w:rPr>
          <w:rFonts w:ascii="Cambria" w:hAnsi="Cambria"/>
          <w:sz w:val="20"/>
          <w:szCs w:val="20"/>
          <w:lang w:val="es-CO"/>
        </w:rPr>
        <w:t xml:space="preserve">Además, </w:t>
      </w:r>
      <w:r w:rsidR="007B2B84" w:rsidRPr="009B3BD2">
        <w:rPr>
          <w:rFonts w:ascii="Cambria" w:hAnsi="Cambria"/>
          <w:sz w:val="20"/>
          <w:szCs w:val="20"/>
          <w:lang w:val="es-CO"/>
        </w:rPr>
        <w:t>co</w:t>
      </w:r>
      <w:r w:rsidR="001124E0" w:rsidRPr="009B3BD2">
        <w:rPr>
          <w:rFonts w:ascii="Cambria" w:hAnsi="Cambria"/>
          <w:sz w:val="20"/>
          <w:szCs w:val="20"/>
          <w:lang w:val="es-CO"/>
        </w:rPr>
        <w:t xml:space="preserve">mo consecuencia de dicha demora, que se suma a los rechazos de las acciones de tutela, el señor </w:t>
      </w:r>
      <w:proofErr w:type="spellStart"/>
      <w:r w:rsidR="001124E0" w:rsidRPr="009B3BD2">
        <w:rPr>
          <w:rFonts w:ascii="Cambria" w:hAnsi="Cambria"/>
          <w:sz w:val="20"/>
          <w:szCs w:val="20"/>
          <w:lang w:val="es-CO"/>
        </w:rPr>
        <w:t>Petro</w:t>
      </w:r>
      <w:proofErr w:type="spellEnd"/>
      <w:r w:rsidR="001124E0" w:rsidRPr="009B3BD2">
        <w:rPr>
          <w:rFonts w:ascii="Cambria" w:hAnsi="Cambria"/>
          <w:sz w:val="20"/>
          <w:szCs w:val="20"/>
          <w:lang w:val="es-CO"/>
        </w:rPr>
        <w:t xml:space="preserve"> Urrego tampoco ha contado con un recurso judicial sencillo, rápido y efectivo que lo ampare frente a la</w:t>
      </w:r>
      <w:r w:rsidR="00FF4B4F" w:rsidRPr="009B3BD2">
        <w:rPr>
          <w:rFonts w:ascii="Cambria" w:hAnsi="Cambria"/>
          <w:sz w:val="20"/>
          <w:szCs w:val="20"/>
          <w:lang w:val="es-CO"/>
        </w:rPr>
        <w:t>s violaciones al debido proceso planteadas en su demanda</w:t>
      </w:r>
      <w:r w:rsidR="007E6462" w:rsidRPr="009B3BD2">
        <w:rPr>
          <w:rFonts w:ascii="Cambria" w:hAnsi="Cambria"/>
          <w:sz w:val="20"/>
          <w:szCs w:val="20"/>
          <w:lang w:val="es-CO"/>
        </w:rPr>
        <w:t>.</w:t>
      </w:r>
    </w:p>
    <w:p w14:paraId="42FD6A6B" w14:textId="77777777" w:rsidR="007E6462" w:rsidRPr="009B3BD2" w:rsidRDefault="007E6462" w:rsidP="006D1D2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102EFB54" w14:textId="1D9BA0F9" w:rsidR="00DF69B0" w:rsidRPr="009B3BD2" w:rsidRDefault="00DF69B0" w:rsidP="00DF69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B3BD2">
        <w:rPr>
          <w:rFonts w:ascii="Cambria" w:hAnsi="Cambria"/>
          <w:sz w:val="20"/>
          <w:szCs w:val="20"/>
          <w:lang w:val="es-CO"/>
        </w:rPr>
        <w:t xml:space="preserve">En virtud de </w:t>
      </w:r>
      <w:r w:rsidR="00270001" w:rsidRPr="009B3BD2">
        <w:rPr>
          <w:rFonts w:ascii="Cambria" w:hAnsi="Cambria"/>
          <w:sz w:val="20"/>
          <w:szCs w:val="20"/>
          <w:lang w:val="es-CO"/>
        </w:rPr>
        <w:t xml:space="preserve">todo lo indicado en esta sección, </w:t>
      </w:r>
      <w:r w:rsidRPr="009B3BD2">
        <w:rPr>
          <w:rFonts w:ascii="Cambria" w:hAnsi="Cambria"/>
          <w:sz w:val="20"/>
          <w:szCs w:val="20"/>
          <w:lang w:val="es-CO"/>
        </w:rPr>
        <w:t xml:space="preserve"> la Comisión concluye que el Estado</w:t>
      </w:r>
      <w:r w:rsidR="00A373D4" w:rsidRPr="009B3BD2">
        <w:rPr>
          <w:rFonts w:ascii="Cambria" w:hAnsi="Cambria"/>
          <w:sz w:val="20"/>
          <w:szCs w:val="20"/>
          <w:lang w:val="es-CO"/>
        </w:rPr>
        <w:t xml:space="preserve"> colombiano es responsable por la violación de los derechos establecidos en los artículos </w:t>
      </w:r>
      <w:r w:rsidRPr="009B3BD2">
        <w:rPr>
          <w:rFonts w:ascii="Cambria" w:hAnsi="Cambria"/>
          <w:sz w:val="20"/>
          <w:szCs w:val="20"/>
          <w:lang w:val="es-CO"/>
        </w:rPr>
        <w:t>8.1, 8.2</w:t>
      </w:r>
      <w:r w:rsidR="00A373D4" w:rsidRPr="009B3BD2">
        <w:rPr>
          <w:rFonts w:ascii="Cambria" w:hAnsi="Cambria"/>
          <w:sz w:val="20"/>
          <w:szCs w:val="20"/>
          <w:lang w:val="es-CO"/>
        </w:rPr>
        <w:t xml:space="preserve"> </w:t>
      </w:r>
      <w:r w:rsidRPr="009B3BD2">
        <w:rPr>
          <w:rFonts w:ascii="Cambria" w:hAnsi="Cambria"/>
          <w:sz w:val="20"/>
          <w:szCs w:val="20"/>
          <w:lang w:val="es-CO"/>
        </w:rPr>
        <w:t>h</w:t>
      </w:r>
      <w:r w:rsidR="00A373D4" w:rsidRPr="009B3BD2">
        <w:rPr>
          <w:rFonts w:ascii="Cambria" w:hAnsi="Cambria"/>
          <w:sz w:val="20"/>
          <w:szCs w:val="20"/>
          <w:lang w:val="es-CO"/>
        </w:rPr>
        <w:t>)</w:t>
      </w:r>
      <w:r w:rsidRPr="009B3BD2">
        <w:rPr>
          <w:rFonts w:ascii="Cambria" w:hAnsi="Cambria"/>
          <w:sz w:val="20"/>
          <w:szCs w:val="20"/>
          <w:lang w:val="es-CO"/>
        </w:rPr>
        <w:t xml:space="preserve"> y 25.1 de la Convención Americana en relación con </w:t>
      </w:r>
      <w:r w:rsidR="00A373D4" w:rsidRPr="009B3BD2">
        <w:rPr>
          <w:rFonts w:ascii="Cambria" w:hAnsi="Cambria"/>
          <w:sz w:val="20"/>
          <w:szCs w:val="20"/>
          <w:lang w:val="es-CO"/>
        </w:rPr>
        <w:t>los</w:t>
      </w:r>
      <w:r w:rsidRPr="009B3BD2">
        <w:rPr>
          <w:rFonts w:ascii="Cambria" w:hAnsi="Cambria"/>
          <w:sz w:val="20"/>
          <w:szCs w:val="20"/>
          <w:lang w:val="es-CO"/>
        </w:rPr>
        <w:t xml:space="preserve"> artículo</w:t>
      </w:r>
      <w:r w:rsidR="00A373D4" w:rsidRPr="009B3BD2">
        <w:rPr>
          <w:rFonts w:ascii="Cambria" w:hAnsi="Cambria"/>
          <w:sz w:val="20"/>
          <w:szCs w:val="20"/>
          <w:lang w:val="es-CO"/>
        </w:rPr>
        <w:t>s</w:t>
      </w:r>
      <w:r w:rsidRPr="009B3BD2">
        <w:rPr>
          <w:rFonts w:ascii="Cambria" w:hAnsi="Cambria"/>
          <w:sz w:val="20"/>
          <w:szCs w:val="20"/>
          <w:lang w:val="es-CO"/>
        </w:rPr>
        <w:t xml:space="preserve"> 1.1</w:t>
      </w:r>
      <w:r w:rsidR="00A373D4" w:rsidRPr="009B3BD2">
        <w:rPr>
          <w:rFonts w:ascii="Cambria" w:hAnsi="Cambria"/>
          <w:sz w:val="20"/>
          <w:szCs w:val="20"/>
          <w:lang w:val="es-CO"/>
        </w:rPr>
        <w:t xml:space="preserve"> y 2</w:t>
      </w:r>
      <w:r w:rsidRPr="009B3BD2">
        <w:rPr>
          <w:rFonts w:ascii="Cambria" w:hAnsi="Cambria"/>
          <w:sz w:val="20"/>
          <w:szCs w:val="20"/>
          <w:lang w:val="es-CO"/>
        </w:rPr>
        <w:t xml:space="preserve"> del mismo instrumento, en perjuicio de Gustavo Francisco </w:t>
      </w:r>
      <w:proofErr w:type="spellStart"/>
      <w:r w:rsidRPr="009B3BD2">
        <w:rPr>
          <w:rFonts w:ascii="Cambria" w:hAnsi="Cambria"/>
          <w:sz w:val="20"/>
          <w:szCs w:val="20"/>
          <w:lang w:val="es-CO"/>
        </w:rPr>
        <w:t>Petro</w:t>
      </w:r>
      <w:proofErr w:type="spellEnd"/>
      <w:r w:rsidRPr="009B3BD2">
        <w:rPr>
          <w:rFonts w:ascii="Cambria" w:hAnsi="Cambria"/>
          <w:sz w:val="20"/>
          <w:szCs w:val="20"/>
          <w:lang w:val="es-CO"/>
        </w:rPr>
        <w:t xml:space="preserve"> Urrego. </w:t>
      </w:r>
    </w:p>
    <w:p w14:paraId="756C7099" w14:textId="77777777" w:rsidR="00DF69B0" w:rsidRPr="009B3BD2" w:rsidRDefault="00DF69B0" w:rsidP="00E914F2">
      <w:pPr>
        <w:rPr>
          <w:sz w:val="20"/>
          <w:szCs w:val="20"/>
          <w:lang w:val="es-VE"/>
        </w:rPr>
      </w:pPr>
    </w:p>
    <w:p w14:paraId="5C28886E" w14:textId="77777777" w:rsidR="001D6AE2" w:rsidRPr="009B3BD2" w:rsidRDefault="001D6AE2" w:rsidP="001D6AE2">
      <w:pPr>
        <w:pStyle w:val="Heading1"/>
        <w:numPr>
          <w:ilvl w:val="0"/>
          <w:numId w:val="65"/>
        </w:numPr>
        <w:tabs>
          <w:tab w:val="left" w:pos="1440"/>
        </w:tabs>
        <w:ind w:left="1440" w:hanging="720"/>
        <w:jc w:val="both"/>
        <w:rPr>
          <w:lang w:val="es-CO"/>
        </w:rPr>
      </w:pPr>
      <w:bookmarkStart w:id="47" w:name="_Toc497398877"/>
      <w:r w:rsidRPr="009B3BD2">
        <w:rPr>
          <w:lang w:val="es-CO"/>
        </w:rPr>
        <w:t>Igualdad ante la ley</w:t>
      </w:r>
      <w:r w:rsidRPr="009B3BD2">
        <w:rPr>
          <w:rStyle w:val="FootnoteReference"/>
          <w:rFonts w:ascii="Cambria" w:hAnsi="Cambria"/>
          <w:b w:val="0"/>
          <w:sz w:val="20"/>
          <w:lang w:val="es-CO"/>
        </w:rPr>
        <w:footnoteReference w:id="101"/>
      </w:r>
      <w:r w:rsidRPr="009B3BD2">
        <w:rPr>
          <w:lang w:val="es-CO"/>
        </w:rPr>
        <w:t xml:space="preserve"> y protección judicial</w:t>
      </w:r>
      <w:r w:rsidRPr="009B3BD2">
        <w:rPr>
          <w:rStyle w:val="FootnoteReference"/>
          <w:rFonts w:ascii="Cambria" w:hAnsi="Cambria"/>
          <w:b w:val="0"/>
          <w:sz w:val="20"/>
          <w:lang w:val="es-CO"/>
        </w:rPr>
        <w:footnoteReference w:id="102"/>
      </w:r>
      <w:bookmarkEnd w:id="47"/>
    </w:p>
    <w:bookmarkEnd w:id="39"/>
    <w:bookmarkEnd w:id="41"/>
    <w:p w14:paraId="077FE286" w14:textId="77777777" w:rsidR="00FB25B0" w:rsidRPr="009B3BD2" w:rsidRDefault="00FB25B0" w:rsidP="00462884">
      <w:pPr>
        <w:rPr>
          <w:lang w:val="es-CO"/>
        </w:rPr>
      </w:pPr>
    </w:p>
    <w:p w14:paraId="5021DB09" w14:textId="77777777" w:rsidR="008C7CE8" w:rsidRPr="009B3BD2" w:rsidRDefault="00A24910" w:rsidP="008C7CE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_tradnl"/>
        </w:rPr>
      </w:pPr>
      <w:r w:rsidRPr="009B3BD2">
        <w:rPr>
          <w:rFonts w:ascii="Cambria" w:hAnsi="Cambria"/>
          <w:sz w:val="20"/>
          <w:szCs w:val="20"/>
          <w:lang w:val="es-CO"/>
        </w:rPr>
        <w:t xml:space="preserve">La Comisión y la Corte Interamericanas han señalado que el principio de igualdad y no discriminación </w:t>
      </w:r>
      <w:r w:rsidRPr="009B3BD2">
        <w:rPr>
          <w:rFonts w:asciiTheme="majorHAnsi" w:hAnsiTheme="majorHAnsi"/>
          <w:sz w:val="20"/>
          <w:szCs w:val="20"/>
          <w:lang w:val="es-ES_tradnl"/>
        </w:rPr>
        <w:t xml:space="preserve">constituye el eje central y </w:t>
      </w:r>
      <w:r w:rsidRPr="009B3BD2">
        <w:rPr>
          <w:rFonts w:asciiTheme="majorHAnsi" w:hAnsiTheme="majorHAnsi"/>
          <w:sz w:val="20"/>
          <w:szCs w:val="20"/>
          <w:lang w:val="es-CO"/>
        </w:rPr>
        <w:t>fundamental</w:t>
      </w:r>
      <w:r w:rsidRPr="009B3BD2">
        <w:rPr>
          <w:rFonts w:asciiTheme="majorHAnsi" w:hAnsiTheme="majorHAnsi"/>
          <w:sz w:val="20"/>
          <w:szCs w:val="20"/>
          <w:lang w:val="es-ES_tradnl"/>
        </w:rPr>
        <w:t xml:space="preserve"> del sistema interamericano de derechos humanos.  Asimismo, se ha establecido que “acarrea obligaciones </w:t>
      </w:r>
      <w:r w:rsidRPr="009B3BD2">
        <w:rPr>
          <w:rFonts w:asciiTheme="majorHAnsi" w:hAnsiTheme="majorHAnsi"/>
          <w:i/>
          <w:sz w:val="20"/>
          <w:szCs w:val="20"/>
          <w:lang w:val="es-ES_tradnl"/>
        </w:rPr>
        <w:t>erga omnes</w:t>
      </w:r>
      <w:r w:rsidRPr="009B3BD2">
        <w:rPr>
          <w:rFonts w:asciiTheme="majorHAnsi" w:hAnsiTheme="majorHAnsi"/>
          <w:sz w:val="20"/>
          <w:szCs w:val="20"/>
          <w:lang w:val="es-ES_tradnl"/>
        </w:rPr>
        <w:t xml:space="preserve"> de protección que vinculan a todos los Estados y generan efectos con respecto a terceros, inclusive particulares”</w:t>
      </w:r>
      <w:r w:rsidRPr="009B3BD2">
        <w:rPr>
          <w:rStyle w:val="FootnoteReference"/>
          <w:rFonts w:asciiTheme="majorHAnsi" w:hAnsiTheme="majorHAnsi"/>
          <w:sz w:val="20"/>
          <w:szCs w:val="20"/>
          <w:lang w:val="es-ES_tradnl"/>
        </w:rPr>
        <w:footnoteReference w:id="103"/>
      </w:r>
      <w:r w:rsidR="00E914F2" w:rsidRPr="009B3BD2">
        <w:rPr>
          <w:rFonts w:asciiTheme="majorHAnsi" w:hAnsiTheme="majorHAnsi"/>
          <w:sz w:val="20"/>
          <w:szCs w:val="20"/>
          <w:lang w:val="es-ES_tradnl"/>
        </w:rPr>
        <w:t xml:space="preserve">. </w:t>
      </w:r>
      <w:r w:rsidRPr="009B3BD2">
        <w:rPr>
          <w:rFonts w:asciiTheme="majorHAnsi" w:hAnsiTheme="majorHAnsi" w:cs="Arial"/>
          <w:sz w:val="20"/>
          <w:szCs w:val="20"/>
          <w:lang w:val="es-CO"/>
        </w:rPr>
        <w:t xml:space="preserve">La Corte ha indicado que en la actual etapa de la evolución del derecho internacional, el principio fundamental de igualdad y no discriminación ha ingresado en el dominio del </w:t>
      </w:r>
      <w:proofErr w:type="spellStart"/>
      <w:r w:rsidRPr="009B3BD2">
        <w:rPr>
          <w:rFonts w:asciiTheme="majorHAnsi" w:hAnsiTheme="majorHAnsi" w:cs="Arial"/>
          <w:i/>
          <w:iCs/>
          <w:sz w:val="20"/>
          <w:szCs w:val="20"/>
          <w:lang w:val="es-CO"/>
        </w:rPr>
        <w:t>jus</w:t>
      </w:r>
      <w:proofErr w:type="spellEnd"/>
      <w:r w:rsidRPr="009B3BD2">
        <w:rPr>
          <w:rFonts w:asciiTheme="majorHAnsi" w:hAnsiTheme="majorHAnsi" w:cs="Arial"/>
          <w:i/>
          <w:iCs/>
          <w:sz w:val="20"/>
          <w:szCs w:val="20"/>
          <w:lang w:val="es-CO"/>
        </w:rPr>
        <w:t xml:space="preserve"> </w:t>
      </w:r>
      <w:proofErr w:type="spellStart"/>
      <w:r w:rsidRPr="009B3BD2">
        <w:rPr>
          <w:rFonts w:asciiTheme="majorHAnsi" w:hAnsiTheme="majorHAnsi" w:cs="Arial"/>
          <w:i/>
          <w:iCs/>
          <w:sz w:val="20"/>
          <w:szCs w:val="20"/>
          <w:lang w:val="es-CO"/>
        </w:rPr>
        <w:t>cogens</w:t>
      </w:r>
      <w:proofErr w:type="spellEnd"/>
      <w:r w:rsidRPr="009B3BD2">
        <w:rPr>
          <w:rFonts w:asciiTheme="majorHAnsi" w:hAnsiTheme="majorHAnsi" w:cs="Arial"/>
          <w:i/>
          <w:iCs/>
          <w:sz w:val="20"/>
          <w:szCs w:val="20"/>
          <w:lang w:val="es-CO"/>
        </w:rPr>
        <w:t xml:space="preserve">. </w:t>
      </w:r>
      <w:r w:rsidRPr="009B3BD2">
        <w:rPr>
          <w:rFonts w:asciiTheme="majorHAnsi" w:hAnsiTheme="majorHAnsi" w:cs="Arial"/>
          <w:sz w:val="20"/>
          <w:szCs w:val="20"/>
          <w:lang w:val="es-CO"/>
        </w:rPr>
        <w:t>Sobre él descansa el andamiaje jurídico del orden público nacional e internacional, y permea todo el ordenamiento jurídico</w:t>
      </w:r>
      <w:r w:rsidRPr="009B3BD2">
        <w:rPr>
          <w:rFonts w:asciiTheme="majorHAnsi" w:hAnsiTheme="majorHAnsi" w:cs="Arial"/>
          <w:sz w:val="20"/>
          <w:szCs w:val="20"/>
          <w:vertAlign w:val="superscript"/>
        </w:rPr>
        <w:footnoteReference w:id="104"/>
      </w:r>
      <w:r w:rsidRPr="009B3BD2">
        <w:rPr>
          <w:rFonts w:asciiTheme="majorHAnsi" w:hAnsiTheme="majorHAnsi" w:cs="Arial"/>
          <w:sz w:val="20"/>
          <w:szCs w:val="20"/>
          <w:lang w:val="es-CO"/>
        </w:rPr>
        <w:t>.</w:t>
      </w:r>
    </w:p>
    <w:p w14:paraId="6D2C231E" w14:textId="77777777" w:rsidR="00C439DF" w:rsidRPr="009B3BD2" w:rsidRDefault="00C439DF" w:rsidP="006D1D28">
      <w:pPr>
        <w:rPr>
          <w:lang w:val="es-ES_tradnl"/>
        </w:rPr>
      </w:pPr>
    </w:p>
    <w:p w14:paraId="514C1D4C" w14:textId="0E1F8629" w:rsidR="00C439DF" w:rsidRPr="009B3BD2" w:rsidRDefault="00DD40D4" w:rsidP="008C7CE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_tradnl"/>
        </w:rPr>
      </w:pPr>
      <w:r w:rsidRPr="009B3BD2">
        <w:rPr>
          <w:rFonts w:asciiTheme="majorHAnsi" w:hAnsiTheme="majorHAnsi"/>
          <w:sz w:val="20"/>
          <w:szCs w:val="20"/>
          <w:lang w:val="es-ES_tradnl"/>
        </w:rPr>
        <w:t xml:space="preserve">En su </w:t>
      </w:r>
      <w:r w:rsidR="00C439DF" w:rsidRPr="009B3BD2">
        <w:rPr>
          <w:rFonts w:asciiTheme="majorHAnsi" w:hAnsiTheme="majorHAnsi"/>
          <w:sz w:val="20"/>
          <w:szCs w:val="20"/>
          <w:lang w:val="es-ES_tradnl"/>
        </w:rPr>
        <w:t>jurisprudenci</w:t>
      </w:r>
      <w:r w:rsidR="007E6462" w:rsidRPr="009B3BD2">
        <w:rPr>
          <w:rFonts w:asciiTheme="majorHAnsi" w:hAnsiTheme="majorHAnsi"/>
          <w:sz w:val="20"/>
          <w:szCs w:val="20"/>
          <w:lang w:val="es-ES_tradnl"/>
        </w:rPr>
        <w:t>a</w:t>
      </w:r>
      <w:r w:rsidRPr="009B3BD2">
        <w:rPr>
          <w:rFonts w:asciiTheme="majorHAnsi" w:hAnsiTheme="majorHAnsi"/>
          <w:sz w:val="20"/>
          <w:szCs w:val="20"/>
          <w:lang w:val="es-ES_tradnl"/>
        </w:rPr>
        <w:t xml:space="preserve">, tanto la CIDH como la Corte se </w:t>
      </w:r>
      <w:r w:rsidR="00C439DF" w:rsidRPr="009B3BD2">
        <w:rPr>
          <w:rFonts w:asciiTheme="majorHAnsi" w:hAnsiTheme="majorHAnsi"/>
          <w:sz w:val="20"/>
          <w:szCs w:val="20"/>
          <w:lang w:val="es-ES_tradnl"/>
        </w:rPr>
        <w:t>ha</w:t>
      </w:r>
      <w:r w:rsidRPr="009B3BD2">
        <w:rPr>
          <w:rFonts w:asciiTheme="majorHAnsi" w:hAnsiTheme="majorHAnsi"/>
          <w:sz w:val="20"/>
          <w:szCs w:val="20"/>
          <w:lang w:val="es-ES_tradnl"/>
        </w:rPr>
        <w:t>n</w:t>
      </w:r>
      <w:r w:rsidR="00C439DF" w:rsidRPr="009B3BD2">
        <w:rPr>
          <w:rFonts w:asciiTheme="majorHAnsi" w:hAnsiTheme="majorHAnsi"/>
          <w:sz w:val="20"/>
          <w:szCs w:val="20"/>
          <w:lang w:val="es-ES_tradnl"/>
        </w:rPr>
        <w:t xml:space="preserve"> </w:t>
      </w:r>
      <w:r w:rsidR="00A74164" w:rsidRPr="009B3BD2">
        <w:rPr>
          <w:rFonts w:asciiTheme="majorHAnsi" w:hAnsiTheme="majorHAnsi"/>
          <w:sz w:val="20"/>
          <w:szCs w:val="20"/>
          <w:lang w:val="es-ES_tradnl"/>
        </w:rPr>
        <w:t xml:space="preserve">referido </w:t>
      </w:r>
      <w:r w:rsidR="004C31A6" w:rsidRPr="009B3BD2">
        <w:rPr>
          <w:rFonts w:asciiTheme="majorHAnsi" w:hAnsiTheme="majorHAnsi"/>
          <w:sz w:val="20"/>
          <w:szCs w:val="20"/>
          <w:lang w:val="es-ES_tradnl"/>
        </w:rPr>
        <w:t xml:space="preserve">a la </w:t>
      </w:r>
      <w:r w:rsidR="00C439DF" w:rsidRPr="009B3BD2">
        <w:rPr>
          <w:rFonts w:asciiTheme="majorHAnsi" w:hAnsiTheme="majorHAnsi"/>
          <w:sz w:val="20"/>
          <w:szCs w:val="20"/>
          <w:lang w:val="es-ES_tradnl"/>
        </w:rPr>
        <w:t>“desviación de poder”</w:t>
      </w:r>
      <w:r w:rsidR="004C31A6" w:rsidRPr="009B3BD2">
        <w:rPr>
          <w:rFonts w:asciiTheme="majorHAnsi" w:hAnsiTheme="majorHAnsi"/>
          <w:sz w:val="20"/>
          <w:szCs w:val="20"/>
          <w:lang w:val="es-ES_tradnl"/>
        </w:rPr>
        <w:t xml:space="preserve"> como</w:t>
      </w:r>
      <w:r w:rsidR="00C439DF" w:rsidRPr="009B3BD2">
        <w:rPr>
          <w:rFonts w:asciiTheme="majorHAnsi" w:hAnsiTheme="majorHAnsi"/>
          <w:sz w:val="20"/>
          <w:szCs w:val="20"/>
          <w:lang w:val="es-ES_tradnl"/>
        </w:rPr>
        <w:t xml:space="preserve"> el mecanismo a través del cual recursos legítimos de administración de justicia son utilizados con finalidades no declaradas y no evidentes a primera vista que tienen el objeto de establecer una sanción “implícita” con una finalidad distinta de aquellas para las que han sido previstas por la ley</w:t>
      </w:r>
      <w:r w:rsidR="00C439DF" w:rsidRPr="009B3BD2">
        <w:rPr>
          <w:rStyle w:val="FootnoteReference"/>
          <w:rFonts w:asciiTheme="majorHAnsi" w:hAnsiTheme="majorHAnsi"/>
          <w:sz w:val="20"/>
          <w:szCs w:val="20"/>
          <w:lang w:val="es-MX"/>
        </w:rPr>
        <w:footnoteReference w:id="105"/>
      </w:r>
      <w:r w:rsidR="00305408" w:rsidRPr="009B3BD2">
        <w:rPr>
          <w:rFonts w:asciiTheme="majorHAnsi" w:hAnsiTheme="majorHAnsi"/>
          <w:sz w:val="20"/>
          <w:szCs w:val="20"/>
          <w:lang w:val="es-ES_tradnl"/>
        </w:rPr>
        <w:t xml:space="preserve">. En ciertos supuestos, la desviación de poder </w:t>
      </w:r>
      <w:r w:rsidR="00D4485C" w:rsidRPr="009B3BD2">
        <w:rPr>
          <w:rFonts w:asciiTheme="majorHAnsi" w:hAnsiTheme="majorHAnsi"/>
          <w:sz w:val="20"/>
          <w:szCs w:val="20"/>
          <w:lang w:val="es-ES_tradnl"/>
        </w:rPr>
        <w:t>puede configurar una violación al principio de igualdad</w:t>
      </w:r>
      <w:r w:rsidR="0073108F" w:rsidRPr="009B3BD2">
        <w:rPr>
          <w:rFonts w:asciiTheme="majorHAnsi" w:hAnsiTheme="majorHAnsi"/>
          <w:sz w:val="20"/>
          <w:szCs w:val="20"/>
          <w:lang w:val="es-ES_tradnl"/>
        </w:rPr>
        <w:t xml:space="preserve"> al tratarse de casos de discriminación encubierta</w:t>
      </w:r>
      <w:r w:rsidR="0073108F" w:rsidRPr="009B3BD2">
        <w:rPr>
          <w:rStyle w:val="FootnoteReference"/>
          <w:rFonts w:asciiTheme="majorHAnsi" w:hAnsiTheme="majorHAnsi"/>
          <w:sz w:val="20"/>
          <w:szCs w:val="20"/>
          <w:lang w:val="es-ES_tradnl"/>
        </w:rPr>
        <w:footnoteReference w:id="106"/>
      </w:r>
      <w:r w:rsidR="0073108F" w:rsidRPr="009B3BD2">
        <w:rPr>
          <w:rFonts w:asciiTheme="majorHAnsi" w:hAnsiTheme="majorHAnsi"/>
          <w:sz w:val="20"/>
          <w:szCs w:val="20"/>
          <w:lang w:val="es-ES_tradnl"/>
        </w:rPr>
        <w:t xml:space="preserve">. Cuando se alega la discriminación encubierta, algunos expertos sugieren invertir las reglas tradicionales de la prueba en tres sentidos: 1. Depositando en quien alega la discriminación, </w:t>
      </w:r>
      <w:r w:rsidR="0073108F" w:rsidRPr="009B3BD2">
        <w:rPr>
          <w:rFonts w:asciiTheme="majorHAnsi" w:hAnsiTheme="majorHAnsi"/>
          <w:sz w:val="20"/>
          <w:szCs w:val="20"/>
          <w:lang w:val="es-ES_tradnl"/>
        </w:rPr>
        <w:lastRenderedPageBreak/>
        <w:t>la presunción de que esa discriminación existió. Es decir que</w:t>
      </w:r>
      <w:r w:rsidR="00E914F2" w:rsidRPr="009B3BD2">
        <w:rPr>
          <w:rFonts w:asciiTheme="majorHAnsi" w:hAnsiTheme="majorHAnsi"/>
          <w:sz w:val="20"/>
          <w:szCs w:val="20"/>
          <w:lang w:val="es-ES_tradnl"/>
        </w:rPr>
        <w:t>,</w:t>
      </w:r>
      <w:r w:rsidR="0073108F" w:rsidRPr="009B3BD2">
        <w:rPr>
          <w:rFonts w:asciiTheme="majorHAnsi" w:hAnsiTheme="majorHAnsi"/>
          <w:sz w:val="20"/>
          <w:szCs w:val="20"/>
          <w:lang w:val="es-ES_tradnl"/>
        </w:rPr>
        <w:t xml:space="preserve"> en estos casos, no se </w:t>
      </w:r>
      <w:r w:rsidR="002C4B16" w:rsidRPr="009B3BD2">
        <w:rPr>
          <w:rFonts w:asciiTheme="majorHAnsi" w:hAnsiTheme="majorHAnsi"/>
          <w:sz w:val="20"/>
          <w:szCs w:val="20"/>
          <w:lang w:val="es-ES_tradnl"/>
        </w:rPr>
        <w:t xml:space="preserve">debería </w:t>
      </w:r>
      <w:r w:rsidR="0073108F" w:rsidRPr="009B3BD2">
        <w:rPr>
          <w:rFonts w:asciiTheme="majorHAnsi" w:hAnsiTheme="majorHAnsi"/>
          <w:sz w:val="20"/>
          <w:szCs w:val="20"/>
          <w:lang w:val="es-ES_tradnl"/>
        </w:rPr>
        <w:t xml:space="preserve">presumir la legalidad del acto administrativo; 2.  Imponiendo la carga probatoria en el demandado para que demuestre que no existió discriminación; 3. Permitiendo la ampliación de los medios probatorios </w:t>
      </w:r>
      <w:r w:rsidR="00EE661A" w:rsidRPr="009B3BD2">
        <w:rPr>
          <w:rFonts w:asciiTheme="majorHAnsi" w:hAnsiTheme="majorHAnsi"/>
          <w:sz w:val="20"/>
          <w:szCs w:val="20"/>
          <w:lang w:val="es-ES_tradnl"/>
        </w:rPr>
        <w:t>tales como indicios sobre la alegada discriminación</w:t>
      </w:r>
      <w:r w:rsidR="002C4B16" w:rsidRPr="009B3BD2">
        <w:rPr>
          <w:rFonts w:asciiTheme="majorHAnsi" w:hAnsiTheme="majorHAnsi"/>
          <w:sz w:val="20"/>
          <w:szCs w:val="20"/>
          <w:lang w:val="es-ES_tradnl"/>
        </w:rPr>
        <w:t xml:space="preserve"> tomando en cuenta que en este tipo de casos resulta sumamente difícil obtener prueba directa</w:t>
      </w:r>
      <w:r w:rsidR="00EE661A" w:rsidRPr="009B3BD2">
        <w:rPr>
          <w:rStyle w:val="FootnoteReference"/>
          <w:rFonts w:asciiTheme="majorHAnsi" w:hAnsiTheme="majorHAnsi"/>
          <w:sz w:val="20"/>
          <w:szCs w:val="20"/>
          <w:lang w:val="es-ES_tradnl"/>
        </w:rPr>
        <w:footnoteReference w:id="107"/>
      </w:r>
      <w:r w:rsidR="002C4B16" w:rsidRPr="009B3BD2">
        <w:rPr>
          <w:rFonts w:asciiTheme="majorHAnsi" w:hAnsiTheme="majorHAnsi"/>
          <w:sz w:val="20"/>
          <w:szCs w:val="20"/>
          <w:lang w:val="es-ES_tradnl"/>
        </w:rPr>
        <w:t>.</w:t>
      </w:r>
      <w:r w:rsidR="00EE661A" w:rsidRPr="009B3BD2">
        <w:rPr>
          <w:rFonts w:asciiTheme="majorHAnsi" w:hAnsiTheme="majorHAnsi"/>
          <w:sz w:val="20"/>
          <w:szCs w:val="20"/>
          <w:lang w:val="es-ES_tradnl"/>
        </w:rPr>
        <w:t xml:space="preserve"> </w:t>
      </w:r>
      <w:r w:rsidR="00835E4E" w:rsidRPr="009B3BD2">
        <w:rPr>
          <w:rFonts w:asciiTheme="majorHAnsi" w:hAnsiTheme="majorHAnsi"/>
          <w:sz w:val="20"/>
          <w:szCs w:val="20"/>
          <w:lang w:val="es-ES_tradnl"/>
        </w:rPr>
        <w:t xml:space="preserve">  </w:t>
      </w:r>
    </w:p>
    <w:p w14:paraId="02B0E725" w14:textId="77777777" w:rsidR="00E914F2" w:rsidRPr="009B3BD2" w:rsidRDefault="00E914F2" w:rsidP="00A2491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14:paraId="57A03887" w14:textId="7DD2D32B" w:rsidR="00043447" w:rsidRPr="009B3BD2" w:rsidRDefault="006B75B9" w:rsidP="0004344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9B3BD2">
        <w:rPr>
          <w:rFonts w:asciiTheme="majorHAnsi" w:hAnsiTheme="majorHAnsi"/>
          <w:sz w:val="20"/>
          <w:szCs w:val="20"/>
          <w:lang w:val="es-ES_tradnl"/>
        </w:rPr>
        <w:t xml:space="preserve">La Comisión recuerda que </w:t>
      </w:r>
      <w:r w:rsidR="00352394" w:rsidRPr="009B3BD2">
        <w:rPr>
          <w:rFonts w:asciiTheme="majorHAnsi" w:hAnsiTheme="majorHAnsi"/>
          <w:sz w:val="20"/>
          <w:szCs w:val="20"/>
          <w:lang w:val="es-ES_tradnl"/>
        </w:rPr>
        <w:t xml:space="preserve">la presunta víctima argumentó en los procesos a nivel interno que las acciones disciplinarias iniciadas </w:t>
      </w:r>
      <w:r w:rsidR="00BF5D7C" w:rsidRPr="009B3BD2">
        <w:rPr>
          <w:rFonts w:asciiTheme="majorHAnsi" w:hAnsiTheme="majorHAnsi"/>
          <w:sz w:val="20"/>
          <w:szCs w:val="20"/>
          <w:lang w:val="es-ES_tradnl"/>
        </w:rPr>
        <w:t>en su contra</w:t>
      </w:r>
      <w:r w:rsidR="003423C1" w:rsidRPr="009B3BD2">
        <w:rPr>
          <w:rFonts w:asciiTheme="majorHAnsi" w:hAnsiTheme="majorHAnsi"/>
          <w:sz w:val="20"/>
          <w:szCs w:val="20"/>
          <w:lang w:val="es-ES_tradnl"/>
        </w:rPr>
        <w:t xml:space="preserve"> por la Procuraduría</w:t>
      </w:r>
      <w:r w:rsidR="00BF5D7C" w:rsidRPr="009B3BD2">
        <w:rPr>
          <w:rFonts w:asciiTheme="majorHAnsi" w:hAnsiTheme="majorHAnsi"/>
          <w:sz w:val="20"/>
          <w:szCs w:val="20"/>
          <w:lang w:val="es-ES_tradnl"/>
        </w:rPr>
        <w:t xml:space="preserve"> tenían una motivación política y discriminatori</w:t>
      </w:r>
      <w:r w:rsidR="00195730" w:rsidRPr="009B3BD2">
        <w:rPr>
          <w:rFonts w:asciiTheme="majorHAnsi" w:hAnsiTheme="majorHAnsi"/>
          <w:sz w:val="20"/>
          <w:szCs w:val="20"/>
          <w:lang w:val="es-ES_tradnl"/>
        </w:rPr>
        <w:t>a, cuyo objetivo era castigarlo por su ideología pol</w:t>
      </w:r>
      <w:r w:rsidR="003423C1" w:rsidRPr="009B3BD2">
        <w:rPr>
          <w:rFonts w:asciiTheme="majorHAnsi" w:hAnsiTheme="majorHAnsi"/>
          <w:sz w:val="20"/>
          <w:szCs w:val="20"/>
          <w:lang w:val="es-ES_tradnl"/>
        </w:rPr>
        <w:t>ítica; es decir que los procesos disciplinarios tenían una finalidad encubierta. La Comisi</w:t>
      </w:r>
      <w:r w:rsidR="00AD562C" w:rsidRPr="009B3BD2">
        <w:rPr>
          <w:rFonts w:asciiTheme="majorHAnsi" w:hAnsiTheme="majorHAnsi"/>
          <w:sz w:val="20"/>
          <w:szCs w:val="20"/>
          <w:lang w:val="es-ES_tradnl"/>
        </w:rPr>
        <w:t xml:space="preserve">ón subraya adicionalmente que </w:t>
      </w:r>
      <w:r w:rsidR="00502893" w:rsidRPr="009B3BD2">
        <w:rPr>
          <w:rFonts w:asciiTheme="majorHAnsi" w:hAnsiTheme="majorHAnsi"/>
          <w:sz w:val="20"/>
          <w:szCs w:val="20"/>
          <w:lang w:val="es-ES_tradnl"/>
        </w:rPr>
        <w:t xml:space="preserve">con posterioridad a la decisión sancionatoria de 9 de diciembre de 2013, el 31 de diciembre de 2013, la presunta víctima solicitó la práctica de pruebas tendientes a demostrar la selectividad y finalidad encubierta de los procesos disciplinarios, </w:t>
      </w:r>
      <w:r w:rsidR="006928EC" w:rsidRPr="009B3BD2">
        <w:rPr>
          <w:rFonts w:asciiTheme="majorHAnsi" w:hAnsiTheme="majorHAnsi"/>
          <w:sz w:val="20"/>
          <w:szCs w:val="20"/>
          <w:lang w:val="es-ES_tradnl"/>
        </w:rPr>
        <w:t xml:space="preserve">tales </w:t>
      </w:r>
      <w:r w:rsidR="00502893" w:rsidRPr="009B3BD2">
        <w:rPr>
          <w:rFonts w:asciiTheme="majorHAnsi" w:hAnsiTheme="majorHAnsi"/>
          <w:sz w:val="20"/>
          <w:szCs w:val="20"/>
          <w:lang w:val="es-ES_tradnl"/>
        </w:rPr>
        <w:t>como el número de procesos disciplinarios adelantados por la expedición de decretos del tipo que emitió la presunta víctima, y el tipo de sanciones impuestas</w:t>
      </w:r>
      <w:r w:rsidR="006928EC" w:rsidRPr="009B3BD2">
        <w:rPr>
          <w:rFonts w:asciiTheme="majorHAnsi" w:hAnsiTheme="majorHAnsi"/>
          <w:sz w:val="20"/>
          <w:szCs w:val="20"/>
          <w:lang w:val="es-ES_tradnl"/>
        </w:rPr>
        <w:t>.</w:t>
      </w:r>
      <w:r w:rsidR="00502893" w:rsidRPr="009B3BD2">
        <w:rPr>
          <w:rFonts w:asciiTheme="majorHAnsi" w:hAnsiTheme="majorHAnsi"/>
          <w:sz w:val="20"/>
          <w:szCs w:val="20"/>
          <w:lang w:val="es-ES_tradnl"/>
        </w:rPr>
        <w:t xml:space="preserve"> </w:t>
      </w:r>
      <w:r w:rsidR="006928EC" w:rsidRPr="009B3BD2">
        <w:rPr>
          <w:rFonts w:asciiTheme="majorHAnsi" w:hAnsiTheme="majorHAnsi"/>
          <w:sz w:val="20"/>
          <w:szCs w:val="20"/>
          <w:lang w:val="es-ES_tradnl"/>
        </w:rPr>
        <w:t>S</w:t>
      </w:r>
      <w:r w:rsidR="00502893" w:rsidRPr="009B3BD2">
        <w:rPr>
          <w:rFonts w:asciiTheme="majorHAnsi" w:hAnsiTheme="majorHAnsi"/>
          <w:sz w:val="20"/>
          <w:szCs w:val="20"/>
          <w:lang w:val="es-ES_tradnl"/>
        </w:rPr>
        <w:t xml:space="preserve">in embargo </w:t>
      </w:r>
      <w:r w:rsidR="005D0933" w:rsidRPr="009B3BD2">
        <w:rPr>
          <w:rFonts w:asciiTheme="majorHAnsi" w:hAnsiTheme="majorHAnsi"/>
          <w:sz w:val="20"/>
          <w:szCs w:val="20"/>
          <w:lang w:val="es-ES_tradnl"/>
        </w:rPr>
        <w:t xml:space="preserve">dichas pruebas fueron rechazadas por su “extemporaneidad”. </w:t>
      </w:r>
    </w:p>
    <w:p w14:paraId="38A574D4" w14:textId="77777777" w:rsidR="00043447" w:rsidRPr="009B3BD2" w:rsidRDefault="00043447" w:rsidP="0004344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ES"/>
        </w:rPr>
      </w:pPr>
    </w:p>
    <w:p w14:paraId="3E7FB511" w14:textId="18518E26" w:rsidR="00502893" w:rsidRPr="009B3BD2" w:rsidRDefault="008F26BF" w:rsidP="00257DF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9B3BD2">
        <w:rPr>
          <w:rFonts w:asciiTheme="majorHAnsi" w:hAnsiTheme="majorHAnsi"/>
          <w:sz w:val="20"/>
          <w:szCs w:val="20"/>
          <w:lang w:val="es-ES"/>
        </w:rPr>
        <w:t xml:space="preserve">La Comisión observa que </w:t>
      </w:r>
      <w:r w:rsidR="00043447" w:rsidRPr="009B3BD2">
        <w:rPr>
          <w:rFonts w:asciiTheme="majorHAnsi" w:hAnsiTheme="majorHAnsi"/>
          <w:sz w:val="20"/>
          <w:szCs w:val="20"/>
          <w:lang w:val="es-ES"/>
        </w:rPr>
        <w:t xml:space="preserve">la alegada </w:t>
      </w:r>
      <w:r w:rsidR="00623FA8" w:rsidRPr="009B3BD2">
        <w:rPr>
          <w:rFonts w:asciiTheme="majorHAnsi" w:hAnsiTheme="majorHAnsi"/>
          <w:sz w:val="20"/>
          <w:szCs w:val="20"/>
          <w:lang w:val="es-ES"/>
        </w:rPr>
        <w:t xml:space="preserve">aplicación selectiva y discriminatoria de la potestad disciplinaria con base en la afiliación política del señor </w:t>
      </w:r>
      <w:proofErr w:type="spellStart"/>
      <w:r w:rsidR="00623FA8" w:rsidRPr="009B3BD2">
        <w:rPr>
          <w:rFonts w:asciiTheme="majorHAnsi" w:hAnsiTheme="majorHAnsi"/>
          <w:sz w:val="20"/>
          <w:szCs w:val="20"/>
          <w:lang w:val="es-ES"/>
        </w:rPr>
        <w:t>Petro</w:t>
      </w:r>
      <w:proofErr w:type="spellEnd"/>
      <w:r w:rsidR="00623FA8" w:rsidRPr="009B3BD2">
        <w:rPr>
          <w:rFonts w:asciiTheme="majorHAnsi" w:hAnsiTheme="majorHAnsi"/>
          <w:sz w:val="20"/>
          <w:szCs w:val="20"/>
          <w:lang w:val="es-ES"/>
        </w:rPr>
        <w:t xml:space="preserve"> Urrego, </w:t>
      </w:r>
      <w:r w:rsidR="00043447" w:rsidRPr="009B3BD2">
        <w:rPr>
          <w:rFonts w:asciiTheme="majorHAnsi" w:hAnsiTheme="majorHAnsi"/>
          <w:sz w:val="20"/>
          <w:szCs w:val="20"/>
          <w:lang w:val="es-ES"/>
        </w:rPr>
        <w:t xml:space="preserve">se habría materializado al imponer la sanción disciplinaria de 9 de diciembre de 2013, por lo </w:t>
      </w:r>
      <w:r w:rsidR="0096442B" w:rsidRPr="009B3BD2">
        <w:rPr>
          <w:rFonts w:asciiTheme="majorHAnsi" w:hAnsiTheme="majorHAnsi"/>
          <w:sz w:val="20"/>
          <w:szCs w:val="20"/>
          <w:lang w:val="es-ES"/>
        </w:rPr>
        <w:t>que la legislación deb</w:t>
      </w:r>
      <w:r w:rsidR="005D3D9A" w:rsidRPr="009B3BD2">
        <w:rPr>
          <w:rFonts w:asciiTheme="majorHAnsi" w:hAnsiTheme="majorHAnsi"/>
          <w:sz w:val="20"/>
          <w:szCs w:val="20"/>
          <w:lang w:val="es-ES"/>
        </w:rPr>
        <w:t>ía</w:t>
      </w:r>
      <w:r w:rsidR="0096442B" w:rsidRPr="009B3BD2">
        <w:rPr>
          <w:rFonts w:asciiTheme="majorHAnsi" w:hAnsiTheme="majorHAnsi"/>
          <w:sz w:val="20"/>
          <w:szCs w:val="20"/>
          <w:lang w:val="es-ES"/>
        </w:rPr>
        <w:t xml:space="preserve"> permitir presentar prueba sobre este extremo luego de la sanción</w:t>
      </w:r>
      <w:r w:rsidR="00E476E7" w:rsidRPr="009B3BD2">
        <w:rPr>
          <w:rFonts w:asciiTheme="majorHAnsi" w:hAnsiTheme="majorHAnsi"/>
          <w:sz w:val="20"/>
          <w:szCs w:val="20"/>
          <w:lang w:val="es-ES"/>
        </w:rPr>
        <w:t xml:space="preserve">, bien sea en la propia vía administrativa o a través de la demanda judicial. </w:t>
      </w:r>
      <w:r w:rsidR="0086100E" w:rsidRPr="009B3BD2">
        <w:rPr>
          <w:rFonts w:asciiTheme="majorHAnsi" w:hAnsiTheme="majorHAnsi"/>
          <w:sz w:val="20"/>
          <w:szCs w:val="20"/>
          <w:lang w:val="es-ES"/>
        </w:rPr>
        <w:t>L</w:t>
      </w:r>
      <w:r w:rsidR="002C4B16" w:rsidRPr="009B3BD2">
        <w:rPr>
          <w:rFonts w:asciiTheme="majorHAnsi" w:hAnsiTheme="majorHAnsi"/>
          <w:sz w:val="20"/>
          <w:szCs w:val="20"/>
          <w:lang w:val="es-ES"/>
        </w:rPr>
        <w:t>a CIDH no deja de notar que la información que permitiría probar dicho alegato, se encuentra esencialmente en poder del Estado</w:t>
      </w:r>
      <w:r w:rsidR="00321CBB" w:rsidRPr="009B3BD2">
        <w:rPr>
          <w:rFonts w:asciiTheme="majorHAnsi" w:hAnsiTheme="majorHAnsi"/>
          <w:sz w:val="20"/>
          <w:szCs w:val="20"/>
          <w:lang w:val="es-ES"/>
        </w:rPr>
        <w:t xml:space="preserve">. </w:t>
      </w:r>
    </w:p>
    <w:p w14:paraId="44424BDA" w14:textId="77777777" w:rsidR="00257DF3" w:rsidRPr="009B3BD2" w:rsidRDefault="00257DF3" w:rsidP="00257DF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14:paraId="2CC08471" w14:textId="0BC70806" w:rsidR="00257DF3" w:rsidRPr="009B3BD2" w:rsidRDefault="0086100E" w:rsidP="006D1D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B3BD2">
        <w:rPr>
          <w:rFonts w:asciiTheme="majorHAnsi" w:hAnsiTheme="majorHAnsi"/>
          <w:sz w:val="20"/>
          <w:szCs w:val="20"/>
          <w:lang w:val="es-ES"/>
        </w:rPr>
        <w:t xml:space="preserve">Así, en el presente caso el señor </w:t>
      </w:r>
      <w:proofErr w:type="spellStart"/>
      <w:r w:rsidRPr="009B3BD2">
        <w:rPr>
          <w:rFonts w:asciiTheme="majorHAnsi" w:hAnsiTheme="majorHAnsi"/>
          <w:sz w:val="20"/>
          <w:szCs w:val="20"/>
          <w:lang w:val="es-ES"/>
        </w:rPr>
        <w:t>Petro</w:t>
      </w:r>
      <w:proofErr w:type="spellEnd"/>
      <w:r w:rsidRPr="009B3BD2">
        <w:rPr>
          <w:rFonts w:asciiTheme="majorHAnsi" w:hAnsiTheme="majorHAnsi"/>
          <w:sz w:val="20"/>
          <w:szCs w:val="20"/>
          <w:lang w:val="es-ES"/>
        </w:rPr>
        <w:t xml:space="preserve"> Urrego no pudo contar con las pruebas que le hubiesen permitido desarrollar en la vía administrativa su alegato de discriminación; mientras que en la vía judicial, debido a la demora ya analizada anteriormente, tampoco ha contado con un pronunciamiento sobre el particular. </w:t>
      </w:r>
    </w:p>
    <w:p w14:paraId="63CC3956" w14:textId="77777777" w:rsidR="00257DF3" w:rsidRPr="009B3BD2" w:rsidRDefault="00257DF3" w:rsidP="006D1D28">
      <w:pPr>
        <w:rPr>
          <w:rFonts w:asciiTheme="majorHAnsi" w:hAnsiTheme="majorHAnsi"/>
          <w:sz w:val="20"/>
          <w:szCs w:val="20"/>
          <w:lang w:val="es-ES"/>
        </w:rPr>
      </w:pPr>
    </w:p>
    <w:p w14:paraId="20C91DF1" w14:textId="3265A68E" w:rsidR="00321CBB" w:rsidRPr="009B3BD2" w:rsidRDefault="00321CBB" w:rsidP="0004344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val="es-ES"/>
        </w:rPr>
      </w:pPr>
      <w:r w:rsidRPr="009B3BD2">
        <w:rPr>
          <w:rFonts w:asciiTheme="majorHAnsi" w:hAnsiTheme="majorHAnsi"/>
          <w:sz w:val="20"/>
          <w:szCs w:val="20"/>
          <w:lang w:val="es-ES"/>
        </w:rPr>
        <w:t xml:space="preserve">En virtud de lo anterior, la Comisión concluye que el Estado violó </w:t>
      </w:r>
      <w:r w:rsidR="00C22335" w:rsidRPr="009B3BD2">
        <w:rPr>
          <w:rFonts w:asciiTheme="majorHAnsi" w:hAnsiTheme="majorHAnsi"/>
          <w:sz w:val="20"/>
          <w:szCs w:val="20"/>
          <w:lang w:val="es-ES"/>
        </w:rPr>
        <w:t xml:space="preserve">el derecho establecido en el artículo </w:t>
      </w:r>
      <w:r w:rsidRPr="009B3BD2">
        <w:rPr>
          <w:rFonts w:asciiTheme="majorHAnsi" w:hAnsiTheme="majorHAnsi"/>
          <w:sz w:val="20"/>
          <w:szCs w:val="20"/>
          <w:lang w:val="es-ES"/>
        </w:rPr>
        <w:t xml:space="preserve">25.1 de la Convención Americana en relación con </w:t>
      </w:r>
      <w:r w:rsidR="00C22335" w:rsidRPr="009B3BD2">
        <w:rPr>
          <w:rFonts w:asciiTheme="majorHAnsi" w:hAnsiTheme="majorHAnsi"/>
          <w:sz w:val="20"/>
          <w:szCs w:val="20"/>
          <w:lang w:val="es-ES"/>
        </w:rPr>
        <w:t>los</w:t>
      </w:r>
      <w:r w:rsidRPr="009B3BD2">
        <w:rPr>
          <w:rFonts w:asciiTheme="majorHAnsi" w:hAnsiTheme="majorHAnsi"/>
          <w:sz w:val="20"/>
          <w:szCs w:val="20"/>
          <w:lang w:val="es-ES"/>
        </w:rPr>
        <w:t xml:space="preserve"> artículo</w:t>
      </w:r>
      <w:r w:rsidR="00C22335" w:rsidRPr="009B3BD2">
        <w:rPr>
          <w:rFonts w:asciiTheme="majorHAnsi" w:hAnsiTheme="majorHAnsi"/>
          <w:sz w:val="20"/>
          <w:szCs w:val="20"/>
          <w:lang w:val="es-ES"/>
        </w:rPr>
        <w:t>s 24 y</w:t>
      </w:r>
      <w:r w:rsidRPr="009B3BD2">
        <w:rPr>
          <w:rFonts w:asciiTheme="majorHAnsi" w:hAnsiTheme="majorHAnsi"/>
          <w:sz w:val="20"/>
          <w:szCs w:val="20"/>
          <w:lang w:val="es-ES"/>
        </w:rPr>
        <w:t xml:space="preserve"> 1.1 del mismo instrumento en perjuicio de Gustavo Francisco </w:t>
      </w:r>
      <w:proofErr w:type="spellStart"/>
      <w:r w:rsidRPr="009B3BD2">
        <w:rPr>
          <w:rFonts w:asciiTheme="majorHAnsi" w:hAnsiTheme="majorHAnsi"/>
          <w:sz w:val="20"/>
          <w:szCs w:val="20"/>
          <w:lang w:val="es-ES"/>
        </w:rPr>
        <w:t>Petro</w:t>
      </w:r>
      <w:proofErr w:type="spellEnd"/>
      <w:r w:rsidRPr="009B3BD2">
        <w:rPr>
          <w:rFonts w:asciiTheme="majorHAnsi" w:hAnsiTheme="majorHAnsi"/>
          <w:sz w:val="20"/>
          <w:szCs w:val="20"/>
          <w:lang w:val="es-ES"/>
        </w:rPr>
        <w:t xml:space="preserve"> Urrego. </w:t>
      </w:r>
    </w:p>
    <w:p w14:paraId="5E8E7C91" w14:textId="77777777" w:rsidR="00E914F2" w:rsidRPr="009B3BD2" w:rsidRDefault="00E914F2" w:rsidP="00A2491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14:paraId="1B4DB499" w14:textId="77777777" w:rsidR="008422C2" w:rsidRPr="009B3BD2" w:rsidRDefault="008422C2" w:rsidP="008422C2">
      <w:pPr>
        <w:pStyle w:val="Heading1"/>
        <w:numPr>
          <w:ilvl w:val="0"/>
          <w:numId w:val="54"/>
        </w:numPr>
        <w:rPr>
          <w:rFonts w:ascii="Cambria" w:hAnsi="Cambria"/>
        </w:rPr>
      </w:pPr>
      <w:bookmarkStart w:id="48" w:name="_Toc482785407"/>
      <w:bookmarkStart w:id="49" w:name="_Toc483500323"/>
      <w:bookmarkStart w:id="50" w:name="_Toc491441658"/>
      <w:bookmarkStart w:id="51" w:name="_Toc497398878"/>
      <w:r w:rsidRPr="009B3BD2">
        <w:rPr>
          <w:rFonts w:ascii="Cambria" w:hAnsi="Cambria"/>
        </w:rPr>
        <w:t>CONCLUSIONES</w:t>
      </w:r>
      <w:bookmarkEnd w:id="48"/>
      <w:bookmarkEnd w:id="49"/>
      <w:bookmarkEnd w:id="50"/>
      <w:bookmarkEnd w:id="51"/>
    </w:p>
    <w:p w14:paraId="0F1616F8" w14:textId="77777777" w:rsidR="008422C2" w:rsidRPr="009B3BD2" w:rsidRDefault="008422C2" w:rsidP="008422C2">
      <w:pPr>
        <w:rPr>
          <w:rFonts w:ascii="Cambria" w:hAnsi="Cambria"/>
          <w:sz w:val="20"/>
          <w:szCs w:val="20"/>
          <w:lang w:val="es-ES_tradnl"/>
        </w:rPr>
      </w:pPr>
    </w:p>
    <w:p w14:paraId="5D7BE336" w14:textId="00B35115" w:rsidR="00DF5410" w:rsidRPr="009B3BD2" w:rsidRDefault="008422C2" w:rsidP="00745B4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s="Courier New"/>
          <w:color w:val="212121"/>
          <w:sz w:val="20"/>
          <w:szCs w:val="20"/>
          <w:bdr w:val="none" w:sz="0" w:space="0" w:color="auto"/>
          <w:lang w:val="es-ES"/>
        </w:rPr>
      </w:pPr>
      <w:r w:rsidRPr="009B3BD2">
        <w:rPr>
          <w:rFonts w:ascii="Cambria" w:hAnsi="Cambria"/>
          <w:sz w:val="20"/>
          <w:szCs w:val="20"/>
          <w:lang w:val="es-MX"/>
        </w:rPr>
        <w:t>La Comisión concluye que el Estado de Colombia es responsable por la violación de los derechos a la</w:t>
      </w:r>
      <w:r w:rsidR="00DF5410" w:rsidRPr="009B3BD2">
        <w:rPr>
          <w:rFonts w:ascii="Cambria" w:hAnsi="Cambria"/>
          <w:sz w:val="20"/>
          <w:szCs w:val="20"/>
          <w:lang w:val="es-MX"/>
        </w:rPr>
        <w:t xml:space="preserve">s garantías judiciales, derechos políticos, igualdad ante la ley y protección judicial </w:t>
      </w:r>
      <w:r w:rsidRPr="009B3BD2">
        <w:rPr>
          <w:rFonts w:ascii="Cambria" w:hAnsi="Cambria"/>
          <w:sz w:val="20"/>
          <w:szCs w:val="20"/>
          <w:lang w:val="es-MX"/>
        </w:rPr>
        <w:t>establecidos en los artículos 8.1, 8.2</w:t>
      </w:r>
      <w:r w:rsidR="00DF5410" w:rsidRPr="009B3BD2">
        <w:rPr>
          <w:rFonts w:ascii="Cambria" w:hAnsi="Cambria"/>
          <w:sz w:val="20"/>
          <w:szCs w:val="20"/>
          <w:lang w:val="es-MX"/>
        </w:rPr>
        <w:t>, 8.2</w:t>
      </w:r>
      <w:r w:rsidR="00C22335" w:rsidRPr="009B3BD2">
        <w:rPr>
          <w:rFonts w:ascii="Cambria" w:hAnsi="Cambria"/>
          <w:sz w:val="20"/>
          <w:szCs w:val="20"/>
          <w:lang w:val="es-MX"/>
        </w:rPr>
        <w:t xml:space="preserve"> </w:t>
      </w:r>
      <w:r w:rsidR="00DF5410" w:rsidRPr="009B3BD2">
        <w:rPr>
          <w:rFonts w:ascii="Cambria" w:hAnsi="Cambria"/>
          <w:sz w:val="20"/>
          <w:szCs w:val="20"/>
          <w:lang w:val="es-MX"/>
        </w:rPr>
        <w:t>h</w:t>
      </w:r>
      <w:r w:rsidR="00C22335" w:rsidRPr="009B3BD2">
        <w:rPr>
          <w:rFonts w:ascii="Cambria" w:hAnsi="Cambria"/>
          <w:sz w:val="20"/>
          <w:szCs w:val="20"/>
          <w:lang w:val="es-MX"/>
        </w:rPr>
        <w:t>)</w:t>
      </w:r>
      <w:r w:rsidR="00DF5410" w:rsidRPr="009B3BD2">
        <w:rPr>
          <w:rFonts w:ascii="Cambria" w:hAnsi="Cambria"/>
          <w:sz w:val="20"/>
          <w:szCs w:val="20"/>
          <w:lang w:val="es-MX"/>
        </w:rPr>
        <w:t xml:space="preserve"> 23</w:t>
      </w:r>
      <w:r w:rsidR="006C036E" w:rsidRPr="009B3BD2">
        <w:rPr>
          <w:rFonts w:ascii="Cambria" w:hAnsi="Cambria"/>
          <w:sz w:val="20"/>
          <w:szCs w:val="20"/>
          <w:lang w:val="es-MX"/>
        </w:rPr>
        <w:t>.1 23</w:t>
      </w:r>
      <w:r w:rsidR="00DF5410" w:rsidRPr="009B3BD2">
        <w:rPr>
          <w:rFonts w:ascii="Cambria" w:hAnsi="Cambria"/>
          <w:sz w:val="20"/>
          <w:szCs w:val="20"/>
          <w:lang w:val="es-MX"/>
        </w:rPr>
        <w:t>.2 y</w:t>
      </w:r>
      <w:r w:rsidRPr="009B3BD2">
        <w:rPr>
          <w:rFonts w:ascii="Cambria" w:hAnsi="Cambria"/>
          <w:sz w:val="20"/>
          <w:szCs w:val="20"/>
          <w:lang w:val="es-MX"/>
        </w:rPr>
        <w:t xml:space="preserve"> 25.1 de la Convención Americana en relación con las obligaciones establecidas en los artículos </w:t>
      </w:r>
      <w:r w:rsidR="00C22335" w:rsidRPr="009B3BD2">
        <w:rPr>
          <w:rFonts w:ascii="Cambria" w:hAnsi="Cambria"/>
          <w:sz w:val="20"/>
          <w:szCs w:val="20"/>
          <w:lang w:val="es-MX"/>
        </w:rPr>
        <w:t xml:space="preserve">24, </w:t>
      </w:r>
      <w:r w:rsidRPr="009B3BD2">
        <w:rPr>
          <w:rFonts w:ascii="Cambria" w:hAnsi="Cambria"/>
          <w:sz w:val="20"/>
          <w:szCs w:val="20"/>
          <w:lang w:val="es-MX"/>
        </w:rPr>
        <w:t xml:space="preserve">1.1 y 2 del mismo instrumento, en perjuicio de Gustavo Francisco </w:t>
      </w:r>
      <w:proofErr w:type="spellStart"/>
      <w:r w:rsidRPr="009B3BD2">
        <w:rPr>
          <w:rFonts w:ascii="Cambria" w:hAnsi="Cambria"/>
          <w:sz w:val="20"/>
          <w:szCs w:val="20"/>
          <w:lang w:val="es-MX"/>
        </w:rPr>
        <w:t>Petro</w:t>
      </w:r>
      <w:proofErr w:type="spellEnd"/>
      <w:r w:rsidRPr="009B3BD2">
        <w:rPr>
          <w:rFonts w:ascii="Cambria" w:hAnsi="Cambria"/>
          <w:sz w:val="20"/>
          <w:szCs w:val="20"/>
          <w:lang w:val="es-MX"/>
        </w:rPr>
        <w:t xml:space="preserve"> Urrego. </w:t>
      </w:r>
    </w:p>
    <w:p w14:paraId="74C87484" w14:textId="77777777" w:rsidR="00745B4D" w:rsidRPr="009B3BD2" w:rsidRDefault="00745B4D" w:rsidP="00745B4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color w:val="212121"/>
          <w:sz w:val="20"/>
          <w:szCs w:val="20"/>
          <w:bdr w:val="none" w:sz="0" w:space="0" w:color="auto"/>
          <w:lang w:val="es-ES"/>
        </w:rPr>
      </w:pPr>
    </w:p>
    <w:p w14:paraId="6D692B37" w14:textId="77777777" w:rsidR="00B144FB" w:rsidRDefault="00B144FB">
      <w:pPr>
        <w:rPr>
          <w:rFonts w:asciiTheme="majorHAnsi" w:eastAsia="Times New Roman" w:hAnsiTheme="majorHAnsi"/>
          <w:b/>
          <w:sz w:val="20"/>
          <w:szCs w:val="20"/>
          <w:bdr w:val="none" w:sz="0" w:space="0" w:color="auto"/>
          <w:lang w:val="es-ES_tradnl"/>
        </w:rPr>
      </w:pPr>
      <w:bookmarkStart w:id="52" w:name="_Toc491441659"/>
      <w:r w:rsidRPr="002F74E6">
        <w:rPr>
          <w:lang w:val="es-VE"/>
        </w:rPr>
        <w:br w:type="page"/>
      </w:r>
    </w:p>
    <w:p w14:paraId="492AED5B" w14:textId="34D1BDBF" w:rsidR="008422C2" w:rsidRPr="009B3BD2" w:rsidRDefault="008422C2" w:rsidP="008422C2">
      <w:pPr>
        <w:pStyle w:val="Heading1"/>
        <w:numPr>
          <w:ilvl w:val="0"/>
          <w:numId w:val="54"/>
        </w:numPr>
      </w:pPr>
      <w:bookmarkStart w:id="53" w:name="_Toc497398879"/>
      <w:r w:rsidRPr="009B3BD2">
        <w:lastRenderedPageBreak/>
        <w:t>RECOMENDACIONES</w:t>
      </w:r>
      <w:bookmarkEnd w:id="52"/>
      <w:bookmarkEnd w:id="53"/>
      <w:r w:rsidRPr="009B3BD2">
        <w:t xml:space="preserve"> </w:t>
      </w:r>
    </w:p>
    <w:p w14:paraId="0EE08A36" w14:textId="77777777" w:rsidR="008422C2" w:rsidRPr="009B3BD2" w:rsidRDefault="008422C2" w:rsidP="008422C2">
      <w:pPr>
        <w:rPr>
          <w:lang w:val="es-ES_tradnl"/>
        </w:rPr>
      </w:pPr>
    </w:p>
    <w:p w14:paraId="5722FE66" w14:textId="77777777" w:rsidR="008422C2" w:rsidRPr="009B3BD2" w:rsidRDefault="008422C2" w:rsidP="006C036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MX"/>
        </w:rPr>
      </w:pPr>
      <w:r w:rsidRPr="009B3BD2">
        <w:rPr>
          <w:rFonts w:ascii="Cambria" w:hAnsi="Cambria"/>
          <w:sz w:val="20"/>
          <w:szCs w:val="20"/>
          <w:lang w:val="es-MX"/>
        </w:rPr>
        <w:t>Con fundamento en las anteriores conclusiones,</w:t>
      </w:r>
    </w:p>
    <w:p w14:paraId="2ADA82DA" w14:textId="77777777" w:rsidR="00301072" w:rsidRPr="009B3BD2" w:rsidRDefault="00301072" w:rsidP="006D1D2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lang w:val="es-MX"/>
        </w:rPr>
      </w:pPr>
    </w:p>
    <w:p w14:paraId="74868583" w14:textId="05BEA28F" w:rsidR="008422C2" w:rsidRPr="009B3BD2" w:rsidRDefault="008422C2" w:rsidP="008422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ind w:firstLine="720"/>
        <w:jc w:val="both"/>
        <w:rPr>
          <w:lang w:val="es-MX"/>
        </w:rPr>
      </w:pPr>
      <w:r w:rsidRPr="009B3BD2">
        <w:rPr>
          <w:rFonts w:ascii="Cambria" w:hAnsi="Cambria"/>
          <w:b/>
          <w:sz w:val="20"/>
          <w:szCs w:val="20"/>
          <w:lang w:val="es-ES"/>
        </w:rPr>
        <w:t>LA COMISIÓN INTERAMERICANA DE DERECHOS HUMANOS R</w:t>
      </w:r>
      <w:r w:rsidR="002F74E6">
        <w:rPr>
          <w:rFonts w:ascii="Cambria" w:hAnsi="Cambria"/>
          <w:b/>
          <w:sz w:val="20"/>
          <w:szCs w:val="20"/>
          <w:lang w:val="es-ES"/>
        </w:rPr>
        <w:t>ECOMIENDA AL ESTADO COLOMBIANO</w:t>
      </w:r>
      <w:r w:rsidRPr="009B3BD2">
        <w:rPr>
          <w:rFonts w:ascii="Cambria" w:hAnsi="Cambria"/>
          <w:b/>
          <w:sz w:val="20"/>
          <w:szCs w:val="20"/>
          <w:lang w:val="es-ES"/>
        </w:rPr>
        <w:t>,</w:t>
      </w:r>
    </w:p>
    <w:p w14:paraId="67BCF975" w14:textId="77777777" w:rsidR="00B61F31" w:rsidRPr="009B3BD2" w:rsidRDefault="00B61F31" w:rsidP="00B61F31">
      <w:pPr>
        <w:pStyle w:val="BodyText3"/>
        <w:tabs>
          <w:tab w:val="left" w:pos="720"/>
          <w:tab w:val="left" w:pos="1440"/>
          <w:tab w:val="left" w:pos="9360"/>
        </w:tabs>
        <w:spacing w:after="0"/>
        <w:jc w:val="both"/>
        <w:rPr>
          <w:rFonts w:ascii="Cambria" w:hAnsi="Cambria"/>
          <w:sz w:val="20"/>
          <w:szCs w:val="20"/>
          <w:lang w:val="es-VE"/>
        </w:rPr>
      </w:pPr>
    </w:p>
    <w:p w14:paraId="4E128536" w14:textId="0E4F400C" w:rsidR="00FD10D3" w:rsidRPr="009B3BD2" w:rsidRDefault="008422C2" w:rsidP="00FD10D3">
      <w:pPr>
        <w:pStyle w:val="BodyText3"/>
        <w:numPr>
          <w:ilvl w:val="0"/>
          <w:numId w:val="67"/>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9B3BD2">
        <w:rPr>
          <w:rFonts w:ascii="Cambria" w:hAnsi="Cambria"/>
          <w:sz w:val="20"/>
          <w:szCs w:val="20"/>
          <w:lang w:val="es-VE"/>
        </w:rPr>
        <w:t>Dejar si</w:t>
      </w:r>
      <w:r w:rsidR="00047DE1" w:rsidRPr="009B3BD2">
        <w:rPr>
          <w:rFonts w:ascii="Cambria" w:hAnsi="Cambria"/>
          <w:sz w:val="20"/>
          <w:szCs w:val="20"/>
          <w:lang w:val="es-VE"/>
        </w:rPr>
        <w:t>n efecto l</w:t>
      </w:r>
      <w:r w:rsidR="00301072" w:rsidRPr="009B3BD2">
        <w:rPr>
          <w:rFonts w:ascii="Cambria" w:hAnsi="Cambria"/>
          <w:sz w:val="20"/>
          <w:szCs w:val="20"/>
          <w:lang w:val="es-VE"/>
        </w:rPr>
        <w:t xml:space="preserve">os actos administrativos sancionatorios que impusieron sanciones de inhabilitación al señor </w:t>
      </w:r>
      <w:r w:rsidR="00847118" w:rsidRPr="009B3BD2">
        <w:rPr>
          <w:rFonts w:ascii="Cambria" w:hAnsi="Cambria"/>
          <w:sz w:val="20"/>
          <w:szCs w:val="20"/>
          <w:lang w:val="es-VE"/>
        </w:rPr>
        <w:t xml:space="preserve">Gustavo Francisco </w:t>
      </w:r>
      <w:proofErr w:type="spellStart"/>
      <w:r w:rsidR="00847118" w:rsidRPr="009B3BD2">
        <w:rPr>
          <w:rFonts w:ascii="Cambria" w:hAnsi="Cambria"/>
          <w:sz w:val="20"/>
          <w:szCs w:val="20"/>
          <w:lang w:val="es-VE"/>
        </w:rPr>
        <w:t>Petro</w:t>
      </w:r>
      <w:proofErr w:type="spellEnd"/>
      <w:r w:rsidR="00847118" w:rsidRPr="009B3BD2">
        <w:rPr>
          <w:rFonts w:ascii="Cambria" w:hAnsi="Cambria"/>
          <w:sz w:val="20"/>
          <w:szCs w:val="20"/>
          <w:lang w:val="es-VE"/>
        </w:rPr>
        <w:t xml:space="preserve"> Urrego</w:t>
      </w:r>
      <w:r w:rsidR="006805D1" w:rsidRPr="009B3BD2">
        <w:rPr>
          <w:rFonts w:ascii="Cambria" w:hAnsi="Cambria"/>
          <w:sz w:val="20"/>
          <w:szCs w:val="20"/>
          <w:lang w:val="es-VE"/>
        </w:rPr>
        <w:t>, de forma tal que pueda ejercer libremente sus derechos políticos, incluyendo su derecho al sufragio pasivo.</w:t>
      </w:r>
      <w:r w:rsidR="00D63DC3">
        <w:rPr>
          <w:rFonts w:ascii="Cambria" w:hAnsi="Cambria"/>
          <w:sz w:val="20"/>
          <w:szCs w:val="20"/>
          <w:lang w:val="es-VE"/>
        </w:rPr>
        <w:t xml:space="preserve"> </w:t>
      </w:r>
    </w:p>
    <w:p w14:paraId="3B5EDD88" w14:textId="77777777" w:rsidR="006C6B91" w:rsidRPr="009B3BD2" w:rsidRDefault="006C6B91" w:rsidP="006C6B91">
      <w:pPr>
        <w:pStyle w:val="BodyText3"/>
        <w:tabs>
          <w:tab w:val="left" w:pos="720"/>
          <w:tab w:val="left" w:pos="1440"/>
          <w:tab w:val="left" w:pos="9360"/>
        </w:tabs>
        <w:spacing w:after="0"/>
        <w:ind w:left="720"/>
        <w:jc w:val="both"/>
        <w:rPr>
          <w:rFonts w:ascii="Cambria" w:hAnsi="Cambria"/>
          <w:sz w:val="20"/>
          <w:szCs w:val="20"/>
          <w:lang w:val="es-VE"/>
        </w:rPr>
      </w:pPr>
    </w:p>
    <w:p w14:paraId="04DD4B85" w14:textId="6E1B8825" w:rsidR="00FD10D3" w:rsidRPr="009B3BD2" w:rsidRDefault="00FD10D3" w:rsidP="008F0E82">
      <w:pPr>
        <w:pStyle w:val="BodyText3"/>
        <w:numPr>
          <w:ilvl w:val="0"/>
          <w:numId w:val="67"/>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9B3BD2">
        <w:rPr>
          <w:rFonts w:ascii="Cambria" w:hAnsi="Cambria"/>
          <w:sz w:val="20"/>
          <w:szCs w:val="20"/>
          <w:lang w:val="es-VE"/>
        </w:rPr>
        <w:t xml:space="preserve">Reparar integralmente las violaciones de </w:t>
      </w:r>
      <w:r w:rsidR="000004EA" w:rsidRPr="009B3BD2">
        <w:rPr>
          <w:rFonts w:ascii="Cambria" w:hAnsi="Cambria"/>
          <w:sz w:val="20"/>
          <w:szCs w:val="20"/>
          <w:lang w:val="es-VE"/>
        </w:rPr>
        <w:t xml:space="preserve">derechos </w:t>
      </w:r>
      <w:r w:rsidRPr="009B3BD2">
        <w:rPr>
          <w:rFonts w:ascii="Cambria" w:hAnsi="Cambria"/>
          <w:sz w:val="20"/>
          <w:szCs w:val="20"/>
          <w:lang w:val="es-VE"/>
        </w:rPr>
        <w:t xml:space="preserve">declaradas en </w:t>
      </w:r>
      <w:r w:rsidR="000004EA" w:rsidRPr="009B3BD2">
        <w:rPr>
          <w:rFonts w:ascii="Cambria" w:hAnsi="Cambria"/>
          <w:sz w:val="20"/>
          <w:szCs w:val="20"/>
          <w:lang w:val="es-VE"/>
        </w:rPr>
        <w:t xml:space="preserve">el presente informe incluyendo </w:t>
      </w:r>
      <w:r w:rsidRPr="009B3BD2">
        <w:rPr>
          <w:rFonts w:ascii="Cambria" w:hAnsi="Cambria"/>
          <w:sz w:val="20"/>
          <w:szCs w:val="20"/>
          <w:lang w:val="es-VE"/>
        </w:rPr>
        <w:t xml:space="preserve">el aspecto material e inmaterial. </w:t>
      </w:r>
    </w:p>
    <w:p w14:paraId="73726FC8" w14:textId="77777777" w:rsidR="00FD10D3" w:rsidRPr="009B3BD2" w:rsidRDefault="00FD10D3" w:rsidP="006D1D28">
      <w:pPr>
        <w:pStyle w:val="BodyText3"/>
        <w:tabs>
          <w:tab w:val="left" w:pos="720"/>
          <w:tab w:val="left" w:pos="1440"/>
          <w:tab w:val="left" w:pos="9360"/>
        </w:tabs>
        <w:spacing w:after="0"/>
        <w:ind w:left="720"/>
        <w:jc w:val="both"/>
        <w:rPr>
          <w:rFonts w:ascii="Cambria" w:hAnsi="Cambria"/>
          <w:sz w:val="20"/>
          <w:szCs w:val="20"/>
          <w:lang w:val="es-VE"/>
        </w:rPr>
      </w:pPr>
    </w:p>
    <w:p w14:paraId="12EFBB7F" w14:textId="59F1F4CC" w:rsidR="00770796" w:rsidRPr="002F74E6" w:rsidRDefault="00FD10D3" w:rsidP="002F74E6">
      <w:pPr>
        <w:pStyle w:val="BodyText3"/>
        <w:numPr>
          <w:ilvl w:val="0"/>
          <w:numId w:val="67"/>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2F74E6">
        <w:rPr>
          <w:rFonts w:ascii="Cambria" w:hAnsi="Cambria"/>
          <w:sz w:val="20"/>
          <w:szCs w:val="20"/>
          <w:lang w:val="es-VE"/>
        </w:rPr>
        <w:t xml:space="preserve">Adecuar la legislación interna, en particular, </w:t>
      </w:r>
      <w:r w:rsidR="00B43EA2" w:rsidRPr="002F74E6">
        <w:rPr>
          <w:rFonts w:ascii="Cambria" w:hAnsi="Cambria"/>
          <w:sz w:val="20"/>
          <w:szCs w:val="20"/>
          <w:lang w:val="es-VE"/>
        </w:rPr>
        <w:t>las disposiciones de la Constitución Política y d</w:t>
      </w:r>
      <w:r w:rsidRPr="002F74E6">
        <w:rPr>
          <w:rFonts w:ascii="Cambria" w:hAnsi="Cambria"/>
          <w:sz w:val="20"/>
          <w:szCs w:val="20"/>
          <w:lang w:val="es-VE"/>
        </w:rPr>
        <w:t xml:space="preserve">el Código Disciplinario Único, </w:t>
      </w:r>
      <w:r w:rsidR="00B43EA2" w:rsidRPr="002F74E6">
        <w:rPr>
          <w:rFonts w:ascii="Cambria" w:hAnsi="Cambria"/>
          <w:sz w:val="20"/>
          <w:szCs w:val="20"/>
          <w:lang w:val="es-VE"/>
        </w:rPr>
        <w:t>que contemplan respectivamente la facultad de destituir e inhabilitar</w:t>
      </w:r>
      <w:r w:rsidR="00A870AE" w:rsidRPr="002F74E6">
        <w:rPr>
          <w:rFonts w:ascii="Cambria" w:hAnsi="Cambria"/>
          <w:sz w:val="20"/>
          <w:szCs w:val="20"/>
          <w:lang w:val="es-VE"/>
        </w:rPr>
        <w:t xml:space="preserve"> a funcionarios de elección popular por parte de la </w:t>
      </w:r>
      <w:r w:rsidRPr="002F74E6">
        <w:rPr>
          <w:rFonts w:ascii="Cambria" w:hAnsi="Cambria"/>
          <w:sz w:val="20"/>
          <w:szCs w:val="20"/>
          <w:lang w:val="es-VE"/>
        </w:rPr>
        <w:t>Procuraduría General de la Nació</w:t>
      </w:r>
      <w:r w:rsidR="00EF1C4D" w:rsidRPr="002F74E6">
        <w:rPr>
          <w:rFonts w:ascii="Cambria" w:hAnsi="Cambria"/>
          <w:sz w:val="20"/>
          <w:szCs w:val="20"/>
          <w:lang w:val="es-VE"/>
        </w:rPr>
        <w:t xml:space="preserve">n en el ejercicio de su potestad disciplinaria. </w:t>
      </w:r>
    </w:p>
    <w:p w14:paraId="324912F2" w14:textId="77777777" w:rsidR="00770796" w:rsidRPr="002F74E6" w:rsidRDefault="00770796" w:rsidP="00770796">
      <w:pPr>
        <w:pStyle w:val="BodyText3"/>
        <w:tabs>
          <w:tab w:val="left" w:pos="720"/>
          <w:tab w:val="left" w:pos="1440"/>
          <w:tab w:val="left" w:pos="9360"/>
        </w:tabs>
        <w:spacing w:after="0"/>
        <w:jc w:val="both"/>
        <w:rPr>
          <w:rFonts w:ascii="Cambria" w:hAnsi="Cambria"/>
          <w:sz w:val="20"/>
          <w:szCs w:val="20"/>
          <w:lang w:val="es-VE"/>
        </w:rPr>
      </w:pPr>
    </w:p>
    <w:p w14:paraId="1158B3A0" w14:textId="71CF1994" w:rsidR="00770796" w:rsidRPr="002F74E6" w:rsidRDefault="00770796" w:rsidP="00770796">
      <w:pPr>
        <w:pStyle w:val="BodyText3"/>
        <w:numPr>
          <w:ilvl w:val="0"/>
          <w:numId w:val="67"/>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2F74E6">
        <w:rPr>
          <w:rFonts w:ascii="Cambria" w:hAnsi="Cambria"/>
          <w:sz w:val="20"/>
          <w:szCs w:val="20"/>
          <w:lang w:val="es-VE"/>
        </w:rPr>
        <w:t xml:space="preserve">Adecuar la normativa penal para asegurar que no se incluyan las referencias a la vía disciplinaria o fiscal en los tipos penales relacionados con la elección de personas inhabilitadas. En todo caso, el Estado deberá abstenerse de aplicar el tipo penal previsto en el artículo 5 de la Ley 1834 de 2017, tomando en cuenta las determinaciones sobre la </w:t>
      </w:r>
      <w:proofErr w:type="spellStart"/>
      <w:r w:rsidRPr="002F74E6">
        <w:rPr>
          <w:rFonts w:ascii="Cambria" w:hAnsi="Cambria"/>
          <w:sz w:val="20"/>
          <w:szCs w:val="20"/>
          <w:lang w:val="es-VE"/>
        </w:rPr>
        <w:t>inconvencionalidad</w:t>
      </w:r>
      <w:proofErr w:type="spellEnd"/>
      <w:r w:rsidRPr="002F74E6">
        <w:rPr>
          <w:rFonts w:ascii="Cambria" w:hAnsi="Cambria"/>
          <w:sz w:val="20"/>
          <w:szCs w:val="20"/>
          <w:lang w:val="es-VE"/>
        </w:rPr>
        <w:t xml:space="preserve"> de la destitución </w:t>
      </w:r>
      <w:r w:rsidR="002F74E6" w:rsidRPr="002F74E6">
        <w:rPr>
          <w:rFonts w:ascii="Cambria" w:hAnsi="Cambria"/>
          <w:sz w:val="20"/>
          <w:szCs w:val="20"/>
          <w:lang w:val="es-VE"/>
        </w:rPr>
        <w:t>disciplinaria</w:t>
      </w:r>
      <w:r w:rsidRPr="002F74E6">
        <w:rPr>
          <w:rFonts w:ascii="Cambria" w:hAnsi="Cambria"/>
          <w:sz w:val="20"/>
          <w:szCs w:val="20"/>
          <w:lang w:val="es-VE"/>
        </w:rPr>
        <w:t xml:space="preserve"> o fiscal, sin condena penal en firme.</w:t>
      </w:r>
    </w:p>
    <w:p w14:paraId="6C111344" w14:textId="77777777" w:rsidR="006C036E" w:rsidRPr="009B3BD2" w:rsidRDefault="006C036E" w:rsidP="00D05314">
      <w:pPr>
        <w:pStyle w:val="BodyText3"/>
        <w:tabs>
          <w:tab w:val="left" w:pos="720"/>
          <w:tab w:val="left" w:pos="1440"/>
          <w:tab w:val="left" w:pos="9360"/>
        </w:tabs>
        <w:spacing w:after="0"/>
        <w:jc w:val="both"/>
        <w:rPr>
          <w:rFonts w:ascii="Cambria" w:hAnsi="Cambria"/>
          <w:sz w:val="20"/>
          <w:szCs w:val="20"/>
          <w:lang w:val="es-VE"/>
        </w:rPr>
      </w:pPr>
    </w:p>
    <w:p w14:paraId="7E6A4DB2" w14:textId="6A6A865E" w:rsidR="00BF77C1" w:rsidRPr="009B3BD2" w:rsidRDefault="00EF1C4D" w:rsidP="008F0E82">
      <w:pPr>
        <w:pStyle w:val="BodyText3"/>
        <w:numPr>
          <w:ilvl w:val="0"/>
          <w:numId w:val="67"/>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9B3BD2">
        <w:rPr>
          <w:rFonts w:ascii="Cambria" w:hAnsi="Cambria"/>
          <w:sz w:val="20"/>
          <w:szCs w:val="20"/>
          <w:lang w:val="es-VE"/>
        </w:rPr>
        <w:t xml:space="preserve">Adoptar las medidas </w:t>
      </w:r>
      <w:r w:rsidR="007A6960" w:rsidRPr="009B3BD2">
        <w:rPr>
          <w:rFonts w:ascii="Cambria" w:hAnsi="Cambria"/>
          <w:sz w:val="20"/>
          <w:szCs w:val="20"/>
          <w:lang w:val="es-VE"/>
        </w:rPr>
        <w:t>legislativas o de otra índole que sean necesarias</w:t>
      </w:r>
      <w:r w:rsidRPr="009B3BD2">
        <w:rPr>
          <w:rFonts w:ascii="Cambria" w:hAnsi="Cambria"/>
          <w:sz w:val="20"/>
          <w:szCs w:val="20"/>
          <w:lang w:val="es-VE"/>
        </w:rPr>
        <w:t xml:space="preserve"> para asegurar la imparcialidad de la autoridad disciplinaria, de forma tal que la autoridad que </w:t>
      </w:r>
      <w:r w:rsidR="007A6960" w:rsidRPr="009B3BD2">
        <w:rPr>
          <w:rFonts w:ascii="Cambria" w:hAnsi="Cambria"/>
          <w:sz w:val="20"/>
          <w:szCs w:val="20"/>
          <w:lang w:val="es-VE"/>
        </w:rPr>
        <w:t xml:space="preserve">establece los cargos, no sea la misma llamada a determinar la responsabilidad disciplinaria. </w:t>
      </w:r>
    </w:p>
    <w:p w14:paraId="091EE20A" w14:textId="77777777" w:rsidR="00BF77C1" w:rsidRPr="009B3BD2" w:rsidRDefault="00BF77C1" w:rsidP="006D1D28">
      <w:pPr>
        <w:pStyle w:val="BodyText3"/>
        <w:tabs>
          <w:tab w:val="left" w:pos="720"/>
          <w:tab w:val="left" w:pos="1440"/>
          <w:tab w:val="left" w:pos="9360"/>
        </w:tabs>
        <w:spacing w:after="0"/>
        <w:jc w:val="both"/>
        <w:rPr>
          <w:rFonts w:ascii="Cambria" w:hAnsi="Cambria"/>
          <w:sz w:val="20"/>
          <w:szCs w:val="20"/>
          <w:lang w:val="es-VE"/>
        </w:rPr>
      </w:pPr>
    </w:p>
    <w:p w14:paraId="661D119C" w14:textId="13B1BC30" w:rsidR="00B61F31" w:rsidRPr="009B3BD2" w:rsidRDefault="007F459C" w:rsidP="008F0E82">
      <w:pPr>
        <w:pStyle w:val="BodyText3"/>
        <w:numPr>
          <w:ilvl w:val="0"/>
          <w:numId w:val="67"/>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9B3BD2">
        <w:rPr>
          <w:rFonts w:ascii="Cambria" w:hAnsi="Cambria"/>
          <w:sz w:val="20"/>
          <w:szCs w:val="20"/>
          <w:lang w:val="es-VE"/>
        </w:rPr>
        <w:t>Adoptar las medidas legislativas o de otra índole que sean necesarias para g</w:t>
      </w:r>
      <w:r w:rsidR="00B61F31" w:rsidRPr="009B3BD2">
        <w:rPr>
          <w:rFonts w:ascii="Cambria" w:hAnsi="Cambria"/>
          <w:sz w:val="20"/>
          <w:szCs w:val="20"/>
          <w:lang w:val="es-VE"/>
        </w:rPr>
        <w:t xml:space="preserve">arantizar la posibilidad efectiva de recurrir fallos </w:t>
      </w:r>
      <w:r w:rsidR="001558EB" w:rsidRPr="009B3BD2">
        <w:rPr>
          <w:rFonts w:ascii="Cambria" w:hAnsi="Cambria"/>
          <w:sz w:val="20"/>
          <w:szCs w:val="20"/>
          <w:lang w:val="es-VE"/>
        </w:rPr>
        <w:t xml:space="preserve">disciplinarios </w:t>
      </w:r>
      <w:r w:rsidR="00B61F31" w:rsidRPr="009B3BD2">
        <w:rPr>
          <w:rFonts w:ascii="Cambria" w:hAnsi="Cambria"/>
          <w:sz w:val="20"/>
          <w:szCs w:val="20"/>
          <w:lang w:val="es-VE"/>
        </w:rPr>
        <w:t>ante autoridad distinta de la que</w:t>
      </w:r>
      <w:r w:rsidR="001558EB" w:rsidRPr="009B3BD2">
        <w:rPr>
          <w:rFonts w:ascii="Cambria" w:hAnsi="Cambria"/>
          <w:sz w:val="20"/>
          <w:szCs w:val="20"/>
          <w:lang w:val="es-VE"/>
        </w:rPr>
        <w:t xml:space="preserve"> determinó la responsabilidad disciplinaria, asegurando que se permita una </w:t>
      </w:r>
      <w:r w:rsidR="00B61F31" w:rsidRPr="009B3BD2">
        <w:rPr>
          <w:rFonts w:ascii="Cambria" w:hAnsi="Cambria"/>
          <w:sz w:val="20"/>
          <w:szCs w:val="20"/>
          <w:lang w:val="es-VE"/>
        </w:rPr>
        <w:t xml:space="preserve">revisión integral de los fallos sancionatorios. </w:t>
      </w:r>
    </w:p>
    <w:p w14:paraId="34A79F43" w14:textId="77777777" w:rsidR="001558EB" w:rsidRPr="009B3BD2" w:rsidRDefault="001558EB" w:rsidP="006D1D28">
      <w:pPr>
        <w:pStyle w:val="BodyText3"/>
        <w:tabs>
          <w:tab w:val="left" w:pos="720"/>
          <w:tab w:val="left" w:pos="1440"/>
          <w:tab w:val="left" w:pos="9360"/>
        </w:tabs>
        <w:spacing w:after="0"/>
        <w:jc w:val="both"/>
        <w:rPr>
          <w:rFonts w:ascii="Cambria" w:hAnsi="Cambria"/>
          <w:sz w:val="20"/>
          <w:szCs w:val="20"/>
          <w:lang w:val="es-VE"/>
        </w:rPr>
      </w:pPr>
    </w:p>
    <w:p w14:paraId="34EE4A5D" w14:textId="2A789C7E" w:rsidR="001558EB" w:rsidRPr="009B3BD2" w:rsidRDefault="001558EB" w:rsidP="008F0E82">
      <w:pPr>
        <w:pStyle w:val="BodyText3"/>
        <w:numPr>
          <w:ilvl w:val="0"/>
          <w:numId w:val="67"/>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9B3BD2">
        <w:rPr>
          <w:rFonts w:ascii="Cambria" w:hAnsi="Cambria"/>
          <w:sz w:val="20"/>
          <w:szCs w:val="20"/>
          <w:lang w:val="es-VE"/>
        </w:rPr>
        <w:t>Adoptar las medidas necesarias para asegurar que las acciones judiciales de nulidad y restablecimiento del derecho sean resueltas en un plazo razonable, incluyendo aquellas de competencia directa del Consejo de Estado.</w:t>
      </w:r>
    </w:p>
    <w:p w14:paraId="7DAD63CE" w14:textId="797ED50E" w:rsidR="001B7F04" w:rsidRDefault="001B7F0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ES"/>
        </w:rPr>
      </w:pPr>
    </w:p>
    <w:p w14:paraId="219A954D" w14:textId="77777777" w:rsidR="001B7F04" w:rsidRPr="001B7F04" w:rsidRDefault="001B7F04">
      <w:pPr>
        <w:tabs>
          <w:tab w:val="left" w:pos="2868"/>
        </w:tabs>
        <w:rPr>
          <w:rFonts w:asciiTheme="majorHAnsi" w:hAnsiTheme="majorHAnsi"/>
          <w:sz w:val="20"/>
          <w:szCs w:val="20"/>
          <w:lang w:val="es-ES"/>
        </w:rPr>
      </w:pPr>
      <w:bookmarkStart w:id="54" w:name="_GoBack"/>
      <w:bookmarkEnd w:id="54"/>
    </w:p>
    <w:sectPr w:rsidR="001B7F04" w:rsidRPr="001B7F04" w:rsidSect="002F74E6">
      <w:type w:val="oddPage"/>
      <w:pgSz w:w="12240" w:h="15840"/>
      <w:pgMar w:top="1440" w:right="135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8ED1E" w14:textId="77777777" w:rsidR="00B63908" w:rsidRDefault="00B63908">
      <w:r>
        <w:separator/>
      </w:r>
    </w:p>
  </w:endnote>
  <w:endnote w:type="continuationSeparator" w:id="0">
    <w:p w14:paraId="62BE55B6" w14:textId="77777777" w:rsidR="00B63908" w:rsidRDefault="00B6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Universal">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04963927"/>
      <w:docPartObj>
        <w:docPartGallery w:val="Page Numbers (Bottom of Page)"/>
        <w:docPartUnique/>
      </w:docPartObj>
    </w:sdtPr>
    <w:sdtEndPr>
      <w:rPr>
        <w:noProof/>
      </w:rPr>
    </w:sdtEndPr>
    <w:sdtContent>
      <w:p w14:paraId="15B0933C" w14:textId="77777777" w:rsidR="00B63908" w:rsidRPr="002F5E67" w:rsidRDefault="00B63908">
        <w:pPr>
          <w:pStyle w:val="Footer"/>
          <w:jc w:val="center"/>
          <w:rPr>
            <w:sz w:val="16"/>
            <w:szCs w:val="16"/>
          </w:rPr>
        </w:pPr>
        <w:r w:rsidRPr="002F5E67">
          <w:rPr>
            <w:sz w:val="16"/>
            <w:szCs w:val="16"/>
          </w:rPr>
          <w:fldChar w:fldCharType="begin"/>
        </w:r>
        <w:r w:rsidRPr="002F5E67">
          <w:rPr>
            <w:sz w:val="16"/>
            <w:szCs w:val="16"/>
          </w:rPr>
          <w:instrText xml:space="preserve"> PAGE   \* MERGEFORMAT </w:instrText>
        </w:r>
        <w:r w:rsidRPr="002F5E67">
          <w:rPr>
            <w:sz w:val="16"/>
            <w:szCs w:val="16"/>
          </w:rPr>
          <w:fldChar w:fldCharType="separate"/>
        </w:r>
        <w:r w:rsidR="001B7F04">
          <w:rPr>
            <w:noProof/>
            <w:sz w:val="16"/>
            <w:szCs w:val="16"/>
          </w:rPr>
          <w:t>32</w:t>
        </w:r>
        <w:r w:rsidRPr="002F5E67">
          <w:rPr>
            <w:noProof/>
            <w:sz w:val="16"/>
            <w:szCs w:val="16"/>
          </w:rPr>
          <w:fldChar w:fldCharType="end"/>
        </w:r>
      </w:p>
    </w:sdtContent>
  </w:sdt>
  <w:p w14:paraId="320D1AD2" w14:textId="77777777" w:rsidR="00B63908" w:rsidRDefault="00B63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C5A1D" w14:textId="77777777" w:rsidR="00B63908" w:rsidRPr="00934A2C" w:rsidRDefault="00B63908">
    <w:pPr>
      <w:pStyle w:val="Footer"/>
      <w:jc w:val="center"/>
      <w:rPr>
        <w:sz w:val="16"/>
        <w:szCs w:val="22"/>
      </w:rPr>
    </w:pPr>
  </w:p>
  <w:p w14:paraId="453A0BDD" w14:textId="77777777" w:rsidR="00B63908" w:rsidRDefault="00B63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BEAD9" w14:textId="77777777" w:rsidR="00B63908" w:rsidRDefault="00B63908">
      <w:r>
        <w:separator/>
      </w:r>
    </w:p>
  </w:footnote>
  <w:footnote w:type="continuationSeparator" w:id="0">
    <w:p w14:paraId="1FDC3C0A" w14:textId="77777777" w:rsidR="00B63908" w:rsidRDefault="00B63908">
      <w:r>
        <w:continuationSeparator/>
      </w:r>
    </w:p>
  </w:footnote>
  <w:footnote w:type="continuationNotice" w:id="1">
    <w:p w14:paraId="6C3918E0" w14:textId="77777777" w:rsidR="00B63908" w:rsidRDefault="00B63908"/>
  </w:footnote>
  <w:footnote w:id="2">
    <w:p w14:paraId="722197C7" w14:textId="15761CF9" w:rsidR="00B63908" w:rsidRPr="009B3BD2" w:rsidRDefault="00B63908" w:rsidP="00A14B6C">
      <w:pPr>
        <w:pStyle w:val="FootnoteText"/>
        <w:ind w:firstLine="720"/>
        <w:rPr>
          <w:lang w:val="es-VE"/>
        </w:rPr>
      </w:pPr>
      <w:r w:rsidRPr="009B3BD2">
        <w:rPr>
          <w:rStyle w:val="FootnoteReference"/>
          <w:sz w:val="16"/>
          <w:szCs w:val="16"/>
        </w:rPr>
        <w:footnoteRef/>
      </w:r>
      <w:r w:rsidRPr="009B3BD2">
        <w:rPr>
          <w:rFonts w:asciiTheme="majorHAnsi" w:hAnsiTheme="majorHAnsi"/>
          <w:sz w:val="16"/>
          <w:szCs w:val="16"/>
          <w:lang w:val="es-US"/>
        </w:rPr>
        <w:t xml:space="preserve"> </w:t>
      </w:r>
      <w:r w:rsidRPr="009B3BD2">
        <w:rPr>
          <w:rFonts w:asciiTheme="majorHAnsi" w:hAnsiTheme="majorHAnsi"/>
          <w:sz w:val="16"/>
          <w:szCs w:val="16"/>
          <w:lang w:val="es-CO"/>
        </w:rPr>
        <w:t>Conforme a lo dispuesto en el artículo 17.2 del Reglamento de la Comisión, el Comisionado Luis Ernesto Vargas Silva, de nacionalidad colombiana, no participó en el debate ni en la decisión del presente cas</w:t>
      </w:r>
      <w:r w:rsidRPr="009B3BD2">
        <w:rPr>
          <w:rFonts w:asciiTheme="majorHAnsi" w:hAnsiTheme="majorHAnsi"/>
          <w:color w:val="auto"/>
          <w:sz w:val="16"/>
          <w:szCs w:val="16"/>
          <w:lang w:val="es-CO"/>
        </w:rPr>
        <w:t>o.</w:t>
      </w:r>
    </w:p>
  </w:footnote>
  <w:footnote w:id="3">
    <w:p w14:paraId="70980410" w14:textId="77777777" w:rsidR="00B63908" w:rsidRPr="009B3BD2" w:rsidRDefault="00B63908" w:rsidP="00A14B6C">
      <w:pPr>
        <w:pStyle w:val="FootnoteText"/>
        <w:spacing w:after="120"/>
        <w:ind w:left="270" w:firstLine="45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Plaza Capital, Portal Informativo del Programa de Periodismo y Opinión Pública, Universidad del Rosario,</w:t>
      </w:r>
      <w:r w:rsidR="001B7F04">
        <w:fldChar w:fldCharType="begin"/>
      </w:r>
      <w:r w:rsidR="001B7F04" w:rsidRPr="001B7F04">
        <w:rPr>
          <w:lang w:val="es-VE"/>
        </w:rPr>
        <w:instrText xml:space="preserve"> HYPERLINK "http://www.urosario.edu.co/Plaza-Capital/POLITICA/Perfil-del-n</w:instrText>
      </w:r>
      <w:r w:rsidR="001B7F04" w:rsidRPr="001B7F04">
        <w:rPr>
          <w:lang w:val="es-VE"/>
        </w:rPr>
        <w:instrText xml:space="preserve">uevo-alcalde-de-Bogota/" </w:instrText>
      </w:r>
      <w:r w:rsidR="001B7F04">
        <w:fldChar w:fldCharType="separate"/>
      </w:r>
      <w:r w:rsidRPr="009B3BD2">
        <w:rPr>
          <w:rStyle w:val="Hyperlink"/>
          <w:rFonts w:asciiTheme="majorHAnsi" w:hAnsiTheme="majorHAnsi"/>
          <w:sz w:val="16"/>
          <w:szCs w:val="16"/>
          <w:lang w:val="es-VE"/>
        </w:rPr>
        <w:t xml:space="preserve"> Perfil de nuevo alcalde de Bogotá.</w:t>
      </w:r>
      <w:r w:rsidR="001B7F04">
        <w:rPr>
          <w:rStyle w:val="Hyperlink"/>
          <w:rFonts w:asciiTheme="majorHAnsi" w:hAnsiTheme="majorHAnsi"/>
          <w:sz w:val="16"/>
          <w:szCs w:val="16"/>
          <w:lang w:val="es-VE"/>
        </w:rPr>
        <w:fldChar w:fldCharType="end"/>
      </w:r>
      <w:r w:rsidRPr="009B3BD2">
        <w:rPr>
          <w:rFonts w:asciiTheme="majorHAnsi" w:hAnsiTheme="majorHAnsi"/>
          <w:sz w:val="16"/>
          <w:szCs w:val="16"/>
          <w:lang w:val="es-VE"/>
        </w:rPr>
        <w:t xml:space="preserve"> </w:t>
      </w:r>
    </w:p>
  </w:footnote>
  <w:footnote w:id="4">
    <w:p w14:paraId="12E0CE1B" w14:textId="77777777" w:rsidR="00B63908" w:rsidRPr="009B3BD2" w:rsidRDefault="00B63908" w:rsidP="00A14B6C">
      <w:pPr>
        <w:pStyle w:val="FootnoteText"/>
        <w:spacing w:after="120"/>
        <w:ind w:left="270" w:firstLine="45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CIDH, Informe No. 60/16. Petición 1742-13. Admisibilidad. Gustavo Francisco </w:t>
      </w:r>
      <w:proofErr w:type="spellStart"/>
      <w:r w:rsidRPr="009B3BD2">
        <w:rPr>
          <w:rFonts w:asciiTheme="majorHAnsi" w:hAnsiTheme="majorHAnsi"/>
          <w:sz w:val="16"/>
          <w:szCs w:val="16"/>
          <w:lang w:val="es-VE"/>
        </w:rPr>
        <w:t>Petro</w:t>
      </w:r>
      <w:proofErr w:type="spellEnd"/>
      <w:r w:rsidRPr="009B3BD2">
        <w:rPr>
          <w:rFonts w:asciiTheme="majorHAnsi" w:hAnsiTheme="majorHAnsi"/>
          <w:sz w:val="16"/>
          <w:szCs w:val="16"/>
          <w:lang w:val="es-VE"/>
        </w:rPr>
        <w:t xml:space="preserve"> Urrego. Colombia. 6 de diciembre de 2016, párr.8.</w:t>
      </w:r>
    </w:p>
  </w:footnote>
  <w:footnote w:id="5">
    <w:p w14:paraId="554F91B0"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w:t>
      </w:r>
      <w:r w:rsidR="001B7F04">
        <w:fldChar w:fldCharType="begin"/>
      </w:r>
      <w:r w:rsidR="001B7F04" w:rsidRPr="001B7F04">
        <w:rPr>
          <w:lang w:val="es-VE"/>
        </w:rPr>
        <w:instrText xml:space="preserve"> HYPERLINK "http://www.corteconstitucional.gov.co/inicio/Constitucion%20politica%20de%20Colombia%20-%202015.pdf" </w:instrText>
      </w:r>
      <w:r w:rsidR="001B7F04">
        <w:fldChar w:fldCharType="separate"/>
      </w:r>
      <w:r w:rsidRPr="009B3BD2">
        <w:rPr>
          <w:rStyle w:val="Hyperlink"/>
          <w:rFonts w:asciiTheme="majorHAnsi" w:hAnsiTheme="majorHAnsi"/>
          <w:sz w:val="16"/>
          <w:szCs w:val="16"/>
          <w:lang w:val="es-VE"/>
        </w:rPr>
        <w:t>Constitución Política de Colombia</w:t>
      </w:r>
      <w:r w:rsidR="001B7F04">
        <w:rPr>
          <w:rStyle w:val="Hyperlink"/>
          <w:rFonts w:asciiTheme="majorHAnsi" w:hAnsiTheme="majorHAnsi"/>
          <w:sz w:val="16"/>
          <w:szCs w:val="16"/>
          <w:lang w:val="es-VE"/>
        </w:rPr>
        <w:fldChar w:fldCharType="end"/>
      </w:r>
      <w:r w:rsidRPr="009B3BD2">
        <w:rPr>
          <w:rStyle w:val="Hyperlink"/>
          <w:rFonts w:asciiTheme="majorHAnsi" w:hAnsiTheme="majorHAnsi"/>
          <w:sz w:val="16"/>
          <w:szCs w:val="16"/>
          <w:lang w:val="es-VE"/>
        </w:rPr>
        <w:t>.</w:t>
      </w:r>
      <w:r w:rsidRPr="009B3BD2">
        <w:rPr>
          <w:rFonts w:asciiTheme="majorHAnsi" w:hAnsiTheme="majorHAnsi"/>
          <w:sz w:val="16"/>
          <w:szCs w:val="16"/>
          <w:lang w:val="es-VE"/>
        </w:rPr>
        <w:t xml:space="preserve"> </w:t>
      </w:r>
    </w:p>
  </w:footnote>
  <w:footnote w:id="6">
    <w:p w14:paraId="6894E966"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w:t>
      </w:r>
      <w:r w:rsidR="001B7F04">
        <w:fldChar w:fldCharType="begin"/>
      </w:r>
      <w:r w:rsidR="001B7F04" w:rsidRPr="001B7F04">
        <w:rPr>
          <w:lang w:val="es-VE"/>
        </w:rPr>
        <w:instrText xml:space="preserve"> HYPERLINK "http://www.corteconstitucional.gov.co/inicio/Constitucion%20politica%20de%20Colombia%20-%2</w:instrText>
      </w:r>
      <w:r w:rsidR="001B7F04" w:rsidRPr="001B7F04">
        <w:rPr>
          <w:lang w:val="es-VE"/>
        </w:rPr>
        <w:instrText xml:space="preserve">02015.pdf" </w:instrText>
      </w:r>
      <w:r w:rsidR="001B7F04">
        <w:fldChar w:fldCharType="separate"/>
      </w:r>
      <w:r w:rsidRPr="009B3BD2">
        <w:rPr>
          <w:rStyle w:val="Hyperlink"/>
          <w:rFonts w:asciiTheme="majorHAnsi" w:hAnsiTheme="majorHAnsi"/>
          <w:sz w:val="16"/>
          <w:szCs w:val="16"/>
          <w:lang w:val="es-VE"/>
        </w:rPr>
        <w:t>Constitución Política de Colombia</w:t>
      </w:r>
      <w:r w:rsidR="001B7F04">
        <w:rPr>
          <w:rStyle w:val="Hyperlink"/>
          <w:rFonts w:asciiTheme="majorHAnsi" w:hAnsiTheme="majorHAnsi"/>
          <w:sz w:val="16"/>
          <w:szCs w:val="16"/>
          <w:lang w:val="es-VE"/>
        </w:rPr>
        <w:fldChar w:fldCharType="end"/>
      </w:r>
      <w:r w:rsidRPr="009B3BD2">
        <w:rPr>
          <w:rStyle w:val="Hyperlink"/>
          <w:rFonts w:asciiTheme="majorHAnsi" w:hAnsiTheme="majorHAnsi"/>
          <w:sz w:val="16"/>
          <w:szCs w:val="16"/>
          <w:lang w:val="es-VE"/>
        </w:rPr>
        <w:t>.</w:t>
      </w:r>
      <w:r w:rsidRPr="009B3BD2">
        <w:rPr>
          <w:rFonts w:asciiTheme="majorHAnsi" w:hAnsiTheme="majorHAnsi"/>
          <w:sz w:val="16"/>
          <w:szCs w:val="16"/>
          <w:lang w:val="es-VE"/>
        </w:rPr>
        <w:t xml:space="preserve"> </w:t>
      </w:r>
    </w:p>
  </w:footnote>
  <w:footnote w:id="7">
    <w:p w14:paraId="0638244C"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w:t>
      </w:r>
      <w:r w:rsidR="001B7F04">
        <w:fldChar w:fldCharType="begin"/>
      </w:r>
      <w:r w:rsidR="001B7F04" w:rsidRPr="001B7F04">
        <w:rPr>
          <w:lang w:val="es-VE"/>
        </w:rPr>
        <w:instrText xml:space="preserve"> HYPERLINK "http://www.corteconstitucional.gov.co/relatoria/2003/T-724-03.htm" </w:instrText>
      </w:r>
      <w:r w:rsidR="001B7F04">
        <w:fldChar w:fldCharType="separate"/>
      </w:r>
      <w:r w:rsidRPr="009B3BD2">
        <w:rPr>
          <w:rStyle w:val="Hyperlink"/>
          <w:rFonts w:asciiTheme="majorHAnsi" w:hAnsiTheme="majorHAnsi"/>
          <w:sz w:val="16"/>
          <w:szCs w:val="16"/>
          <w:lang w:val="es-VE"/>
        </w:rPr>
        <w:t>Sentencia T-724/03 de la Corte Constitucional de Colombia, 20 de agosto de 2003</w:t>
      </w:r>
      <w:r w:rsidR="001B7F04">
        <w:rPr>
          <w:rStyle w:val="Hyperlink"/>
          <w:rFonts w:asciiTheme="majorHAnsi" w:hAnsiTheme="majorHAnsi"/>
          <w:sz w:val="16"/>
          <w:szCs w:val="16"/>
          <w:lang w:val="es-VE"/>
        </w:rPr>
        <w:fldChar w:fldCharType="end"/>
      </w:r>
      <w:r w:rsidRPr="009B3BD2">
        <w:rPr>
          <w:rFonts w:asciiTheme="majorHAnsi" w:hAnsiTheme="majorHAnsi"/>
          <w:sz w:val="16"/>
          <w:szCs w:val="16"/>
          <w:lang w:val="es-VE"/>
        </w:rPr>
        <w:t xml:space="preserve">. </w:t>
      </w:r>
    </w:p>
  </w:footnote>
  <w:footnote w:id="8">
    <w:p w14:paraId="32D52C96" w14:textId="0DE4149A"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Ver </w:t>
      </w:r>
      <w:r w:rsidR="001B7F04">
        <w:fldChar w:fldCharType="begin"/>
      </w:r>
      <w:r w:rsidR="001B7F04" w:rsidRPr="001B7F04">
        <w:rPr>
          <w:lang w:val="es-VE"/>
        </w:rPr>
        <w:instrText xml:space="preserve"> HYPERLINK "http://www.corteconstitucional.gov.co/relatoria/autos/2010/a268-10.htm" </w:instrText>
      </w:r>
      <w:r w:rsidR="001B7F04">
        <w:fldChar w:fldCharType="separate"/>
      </w:r>
      <w:r w:rsidRPr="009B3BD2">
        <w:rPr>
          <w:rStyle w:val="Hyperlink"/>
          <w:rFonts w:asciiTheme="majorHAnsi" w:hAnsiTheme="majorHAnsi"/>
          <w:sz w:val="16"/>
          <w:szCs w:val="16"/>
          <w:lang w:val="es-VE"/>
        </w:rPr>
        <w:t>Auto 268 de la Corte Constitucional de Colombia, 30 de julio de 2010</w:t>
      </w:r>
      <w:r w:rsidR="001B7F04">
        <w:rPr>
          <w:rStyle w:val="Hyperlink"/>
          <w:rFonts w:asciiTheme="majorHAnsi" w:hAnsiTheme="majorHAnsi"/>
          <w:sz w:val="16"/>
          <w:szCs w:val="16"/>
          <w:lang w:val="es-VE"/>
        </w:rPr>
        <w:fldChar w:fldCharType="end"/>
      </w:r>
      <w:r w:rsidRPr="009B3BD2">
        <w:rPr>
          <w:rFonts w:asciiTheme="majorHAnsi" w:hAnsiTheme="majorHAnsi"/>
          <w:sz w:val="16"/>
          <w:szCs w:val="16"/>
          <w:lang w:val="es-VE"/>
        </w:rPr>
        <w:t>.</w:t>
      </w:r>
    </w:p>
  </w:footnote>
  <w:footnote w:id="9">
    <w:p w14:paraId="371C3A14"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w:t>
      </w:r>
      <w:r w:rsidR="001B7F04">
        <w:fldChar w:fldCharType="begin"/>
      </w:r>
      <w:r w:rsidR="001B7F04" w:rsidRPr="001B7F04">
        <w:rPr>
          <w:lang w:val="es-VE"/>
        </w:rPr>
        <w:instrText xml:space="preserve"> HYPERLINK "http://www.corteconstitucional.gov.co/relatoria/autos/2011/a275-11.htm" </w:instrText>
      </w:r>
      <w:r w:rsidR="001B7F04">
        <w:fldChar w:fldCharType="separate"/>
      </w:r>
      <w:r w:rsidRPr="009B3BD2">
        <w:rPr>
          <w:rStyle w:val="Hyperlink"/>
          <w:rFonts w:asciiTheme="majorHAnsi" w:hAnsiTheme="majorHAnsi"/>
          <w:sz w:val="16"/>
          <w:szCs w:val="16"/>
          <w:lang w:val="es-VE"/>
        </w:rPr>
        <w:t>Auto 275/11 de la Corte Constitucional de Colombia, 11 de octubre de 2012.</w:t>
      </w:r>
      <w:r w:rsidR="001B7F04">
        <w:rPr>
          <w:rStyle w:val="Hyperlink"/>
          <w:rFonts w:asciiTheme="majorHAnsi" w:hAnsiTheme="majorHAnsi"/>
          <w:sz w:val="16"/>
          <w:szCs w:val="16"/>
          <w:lang w:val="es-VE"/>
        </w:rPr>
        <w:fldChar w:fldCharType="end"/>
      </w:r>
    </w:p>
  </w:footnote>
  <w:footnote w:id="10">
    <w:p w14:paraId="50ECE4F6"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w:t>
      </w:r>
      <w:r w:rsidR="001B7F04">
        <w:fldChar w:fldCharType="begin"/>
      </w:r>
      <w:r w:rsidR="001B7F04" w:rsidRPr="001B7F04">
        <w:rPr>
          <w:lang w:val="es-VE"/>
        </w:rPr>
        <w:instrText xml:space="preserve"> HYPERLINK "https://www.contratos.gov.co/consultas/detalleProceso.do?numConstancia=12-12-1234788" </w:instrText>
      </w:r>
      <w:r w:rsidR="001B7F04">
        <w:fldChar w:fldCharType="separate"/>
      </w:r>
      <w:r w:rsidRPr="009B3BD2">
        <w:rPr>
          <w:rStyle w:val="Hyperlink"/>
          <w:rFonts w:asciiTheme="majorHAnsi" w:hAnsiTheme="majorHAnsi"/>
          <w:sz w:val="16"/>
          <w:szCs w:val="16"/>
          <w:lang w:val="es-VE"/>
        </w:rPr>
        <w:t>Contrato Interadministrativo Número 017 de 2012 suscrito entre la UAESP y la Empresa de Acueducto y Alcantarillado de Bogotá  E.S.P, 11 de octubre de 2012.</w:t>
      </w:r>
      <w:r w:rsidR="001B7F04">
        <w:rPr>
          <w:rStyle w:val="Hyperlink"/>
          <w:rFonts w:asciiTheme="majorHAnsi" w:hAnsiTheme="majorHAnsi"/>
          <w:sz w:val="16"/>
          <w:szCs w:val="16"/>
          <w:lang w:val="es-VE"/>
        </w:rPr>
        <w:fldChar w:fldCharType="end"/>
      </w:r>
      <w:r w:rsidRPr="009B3BD2">
        <w:rPr>
          <w:rFonts w:asciiTheme="majorHAnsi" w:hAnsiTheme="majorHAnsi"/>
          <w:sz w:val="16"/>
          <w:szCs w:val="16"/>
          <w:lang w:val="es-VE"/>
        </w:rPr>
        <w:t xml:space="preserve"> </w:t>
      </w:r>
    </w:p>
  </w:footnote>
  <w:footnote w:id="11">
    <w:p w14:paraId="2B188716" w14:textId="50E24B4A"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Sentencia de única instancia de la Sala Disciplinaria de la Procuraduría General de la Nación de 9 de diciembre de 2013, pág. 453. Anexo 1 al escrito de observaciones adicionales sobre el fondo de los peticionarios de 9 de marzo de 2017.</w:t>
      </w:r>
    </w:p>
  </w:footnote>
  <w:footnote w:id="12">
    <w:p w14:paraId="67032909"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Decreto 564 de 10 de diciembre de 2012 emitido por el Alcalde Mayor de Bogotá, Distrito Capital.</w:t>
      </w:r>
    </w:p>
  </w:footnote>
  <w:footnote w:id="13">
    <w:p w14:paraId="7F4A3A7F" w14:textId="77777777" w:rsidR="00B63908" w:rsidRPr="009B3BD2" w:rsidRDefault="00B63908" w:rsidP="00A14B6C">
      <w:pPr>
        <w:pStyle w:val="FootnoteText"/>
        <w:spacing w:after="120"/>
        <w:ind w:left="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w:t>
      </w:r>
      <w:r w:rsidR="001B7F04">
        <w:fldChar w:fldCharType="begin"/>
      </w:r>
      <w:r w:rsidR="001B7F04" w:rsidRPr="001B7F04">
        <w:rPr>
          <w:lang w:val="es-VE"/>
        </w:rPr>
        <w:instrText xml:space="preserve"> HYPERLINK "http://www.alcaldiabogota.gov.co/sisjur/normas/Norma1.jsp?i=50876" </w:instrText>
      </w:r>
      <w:r w:rsidR="001B7F04">
        <w:fldChar w:fldCharType="separate"/>
      </w:r>
      <w:r w:rsidRPr="009B3BD2">
        <w:rPr>
          <w:rStyle w:val="Hyperlink"/>
          <w:rFonts w:asciiTheme="majorHAnsi" w:hAnsiTheme="majorHAnsi"/>
          <w:sz w:val="16"/>
          <w:szCs w:val="16"/>
          <w:lang w:val="es-VE"/>
        </w:rPr>
        <w:t>Decreto 570 de 14 de diciembre de 2012 emitido por el Alcalde Mayor de Bogotá, Distrito Capital.</w:t>
      </w:r>
      <w:r w:rsidR="001B7F04">
        <w:rPr>
          <w:rStyle w:val="Hyperlink"/>
          <w:rFonts w:asciiTheme="majorHAnsi" w:hAnsiTheme="majorHAnsi"/>
          <w:sz w:val="16"/>
          <w:szCs w:val="16"/>
          <w:lang w:val="es-VE"/>
        </w:rPr>
        <w:fldChar w:fldCharType="end"/>
      </w:r>
    </w:p>
  </w:footnote>
  <w:footnote w:id="14">
    <w:p w14:paraId="5DB3207B"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Denuncia de la parte peticionaria de 28 de octubre de 2013. </w:t>
      </w:r>
    </w:p>
  </w:footnote>
  <w:footnote w:id="15">
    <w:p w14:paraId="3BF202C0" w14:textId="013CF59D"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xml:space="preserve"> Sentencia de única instancia de la Sala Disciplinaria de la Procuraduría General de la Nación de 9 de diciembre de 2013. Anexo 1 al escrito de observaciones adicionales sobre el fondo de los peticionarios de 9 de marzo de 2017.</w:t>
      </w:r>
    </w:p>
  </w:footnote>
  <w:footnote w:id="16">
    <w:p w14:paraId="4E604116" w14:textId="75CCCAD6"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9B3BD2">
        <w:rPr>
          <w:rFonts w:asciiTheme="majorHAnsi" w:hAnsiTheme="majorHAnsi"/>
          <w:sz w:val="16"/>
          <w:szCs w:val="16"/>
          <w:lang w:val="es-VE"/>
        </w:rPr>
        <w:t>. Decisión del recurso de reposición de la Sala Disciplinaria de la Procuraduría General de la Nación de 13 de enero de 2014, pág.158. Anexo 2 al escrito de observaciones adicionales sobre el fondo de los peticionarios de 9 de marzo de 2017.</w:t>
      </w:r>
    </w:p>
  </w:footnote>
  <w:footnote w:id="17">
    <w:p w14:paraId="5DADD1D1" w14:textId="5D3B4940"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9B3BD2">
        <w:rPr>
          <w:rFonts w:asciiTheme="majorHAnsi" w:hAnsiTheme="majorHAnsi"/>
          <w:sz w:val="16"/>
          <w:szCs w:val="16"/>
          <w:lang w:val="es-VE"/>
        </w:rPr>
        <w:t>. Decisión del recurso de reposición de la Sala Disciplinaria de la Procuraduría General de la Nación de 13 de enero de 2014, pág.161. Anexo 2 al escrito de observaciones adicionales sobre el fondo de los peticionarios de 9 de marzo de 2017. Asimismo refirió que “1. no hubo generación de vectores: no se detectaron la generación de vectores como moscas, las que en una ciudad con las condiciones de Bogotá, con temperaturas usualmente debajo de 18C, requieren de alrededor 23 a 41 días de procesos de basuras y procesos de descomposición para que se pueda generar desde el huevo, etapas larvales hasta la mosca, y no hubo basura en la calle durante tanto tiempo, pues las ventanas de tiempo fueron menores  y no se dieron condiciones de tiempo para que se desarrollaran en 3 días. Que tampoco se detectó evidencia de otro tipo de vectores que fueran generadores de enfermedades ni hay evidencia concreta de enfermedades ocurridas en ese periodo consecuencia de la basura en las calles.  2. No hubo mala calidad en el aire: se hizo el monitoreo permanente a la calidad del aire y se hizo control del material de arrastre y polvo, especialmente, el generado por el barrido de vías públicas, y se encontró, incluso, que la calidad del aire de ese periodo de tiempo del 2012, comparado con los mismos días de 2011, fue mucho mejor. 3. No hubo contaminación por lixiviados: estos son un producto de la putrefacción y descomposición de la basura y requieren de unas condiciones par</w:t>
      </w:r>
      <w:r>
        <w:rPr>
          <w:rFonts w:asciiTheme="majorHAnsi" w:hAnsiTheme="majorHAnsi"/>
          <w:sz w:val="16"/>
          <w:szCs w:val="16"/>
          <w:lang w:val="es-VE"/>
        </w:rPr>
        <w:t>a</w:t>
      </w:r>
      <w:r w:rsidRPr="009B3BD2">
        <w:rPr>
          <w:rFonts w:asciiTheme="majorHAnsi" w:hAnsiTheme="majorHAnsi"/>
          <w:sz w:val="16"/>
          <w:szCs w:val="16"/>
          <w:lang w:val="es-VE"/>
        </w:rPr>
        <w:t xml:space="preserve"> que se genere ese lixiviado, pues es necesaria la percolación de agua y presión sobre la masa orgánica y  unos procesos de descomposición propios de los mismos que por arrastre generan ese líquido den</w:t>
      </w:r>
      <w:r>
        <w:rPr>
          <w:rFonts w:asciiTheme="majorHAnsi" w:hAnsiTheme="majorHAnsi"/>
          <w:sz w:val="16"/>
          <w:szCs w:val="16"/>
          <w:lang w:val="es-VE"/>
        </w:rPr>
        <w:t>ominado lixiviado. Ver  Anexo 2</w:t>
      </w:r>
      <w:r w:rsidRPr="009B3BD2">
        <w:rPr>
          <w:rFonts w:asciiTheme="majorHAnsi" w:hAnsiTheme="majorHAnsi"/>
          <w:sz w:val="16"/>
          <w:szCs w:val="16"/>
          <w:lang w:val="es-VE"/>
        </w:rPr>
        <w:t>. Decisión del recurso de reposición de la Sala Disciplinaria de la Procuraduría General de la Nación de 13 de enero de 2014, pág.300. Anexo 2 al escrito de observaciones adicionales sobre el fondo de los peticionarios de 9 de marzo de 2017.</w:t>
      </w:r>
    </w:p>
  </w:footnote>
  <w:footnote w:id="18">
    <w:p w14:paraId="70571D2F" w14:textId="1F235F8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Sentencia de única instancia de la Sala Disciplinaria de la Procuraduría General de la Nación de 9 de diciembre de 2013, pág. 27,30, 70. Anexo 1 al escrito de observaciones adicionales sobre el fondo de los peticionarios de 9 de marzo de 2017.</w:t>
      </w:r>
    </w:p>
  </w:footnote>
  <w:footnote w:id="19">
    <w:p w14:paraId="5907813E"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Según consta la decisión fue emitida por el Procurador Primero Delegado Juan Carlos Novoa Buendía y el Procurador Segundo Delegado ad hoc Carlos Arturo Ramírez Vásquez. </w:t>
      </w:r>
    </w:p>
  </w:footnote>
  <w:footnote w:id="20">
    <w:p w14:paraId="0FF61A64" w14:textId="6EC68750"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Sentencia de única instancia de la Sala Disciplinaria de la Procuraduría General de la Nación de 9 de diciembre de 2013, pág. 484. Anexo 1 al escrito de observaciones adicionales sobre el fondo de los peticionarios de 9 de marzo de 2017.</w:t>
      </w:r>
    </w:p>
  </w:footnote>
  <w:footnote w:id="21">
    <w:p w14:paraId="6F5F3342" w14:textId="6E2CA28A"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Sentencia de única instancia de la Sala Disciplinaria de la Procuraduría General de la Nación de 9 de diciembre de 2013, pág. 480. Anexo 1 al escrito de observaciones adicionales sobre el fondo de los peticionarios de 9 de marzo de 2017.</w:t>
      </w:r>
    </w:p>
  </w:footnote>
  <w:footnote w:id="22">
    <w:p w14:paraId="323E6F60" w14:textId="5D1055C3"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Sentencia de única instancia de la Sala Disciplinaria de la Procuraduría General de la Nación de 9 de diciembre de 2013, pág. 447. Anexo 1 al escrito de observaciones adicionales sobre el fondo de los peticionarios de 9 de marzo de 2017.</w:t>
      </w:r>
    </w:p>
  </w:footnote>
  <w:footnote w:id="23">
    <w:p w14:paraId="20438E38" w14:textId="24ED0D28"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Sentencia de única instancia de la Sala Disciplinaria de la Procuraduría General de la Nación de 9 de diciembre de 2013, pág. 447. Anexo 1 al escrito de observaciones adicionales sobre el fondo de los peticionarios de 9 de marzo de 2017.</w:t>
      </w:r>
    </w:p>
  </w:footnote>
  <w:footnote w:id="24">
    <w:p w14:paraId="5AB3B3BD" w14:textId="3EEEB3F4"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Sentencia de única instancia de la Sala Disciplinaria de la Procuraduría General de la Nación de 9 de diciembre de 2013, pág. 454. Anexo 1 al escrito de observaciones adicionales sobre el fondo de los peticionarios de 9 de marzo de 2017.</w:t>
      </w:r>
    </w:p>
  </w:footnote>
  <w:footnote w:id="25">
    <w:p w14:paraId="3B0338BF" w14:textId="510B32E0"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Sentencia de única instancia de la Sala Disciplinaria de la Procuraduría General de la Nación de 9 de diciembre de 2013, pág. 459. Anexo 1 al escrito de observaciones adicionales sobre el fondo de los peticionarios de 9 de marzo de 2017.</w:t>
      </w:r>
    </w:p>
  </w:footnote>
  <w:footnote w:id="26">
    <w:p w14:paraId="05A4BE1F" w14:textId="273EA063"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Sentencia de única instancia de la Sala Disciplinaria de la Procuraduría General de la Nación de 9 de diciembre de 2013, pág. 459. Anexo 1 al escrito de observaciones adicionales sobre el fondo de los peticionarios de 9 de marzo de 2017.</w:t>
      </w:r>
    </w:p>
  </w:footnote>
  <w:footnote w:id="27">
    <w:p w14:paraId="1C1E70B9" w14:textId="4C65E718"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Sentencia de única instancia de la Sala Disciplinaria de la Procuraduría General de la Nación de 9 de diciembre de 2013, pág. 463. Anexo 1 al escrito de observaciones adicionales sobre el fondo de los peticionarios de 9 de marzo de 2017.</w:t>
      </w:r>
    </w:p>
  </w:footnote>
  <w:footnote w:id="28">
    <w:p w14:paraId="56D72B4B" w14:textId="0D6B523A"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Sentencia de única instancia de la Sala Disciplinaria de la Procuraduría General de la Nación de 9 de diciembre de 2013, pág. 466. Anexo 1 al escrito de observaciones adicionales sobre el fondo de los peticionarios de 9 de marzo de 2017.</w:t>
      </w:r>
    </w:p>
  </w:footnote>
  <w:footnote w:id="29">
    <w:p w14:paraId="17A4BE08" w14:textId="5D16BFE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Sentencia de única instancia de la Sala Disciplinaria de la Procuraduría General de la Nación de 9 de diciembre de 2013, pág. 469. Anexo 1 al escrito de observaciones adicionales sobre el fondo de los peticionarios de 9 de marzo de 2017.</w:t>
      </w:r>
    </w:p>
  </w:footnote>
  <w:footnote w:id="30">
    <w:p w14:paraId="261AEDF5" w14:textId="4A92CA38"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Sentencia de única instancia de la Sala Disciplinaria de la Procuraduría General de la Nación de 9 de diciembre de 2013, pág. 471. Anexo 1 al escrito de observaciones adicionales sobre el fondo de los peticionarios de 9 de marzo de 2017.</w:t>
      </w:r>
    </w:p>
  </w:footnote>
  <w:footnote w:id="31">
    <w:p w14:paraId="72279A8E" w14:textId="6CE50A30"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Sentencia de única instancia de la Sala Disciplinaria de la Procuraduría General de la Nación de 9 de diciembre de 2013, pág. 475. Anexo 1 al escrito de observaciones adicionales sobre el fondo de los peticionarios de 9 de marzo de 2017.</w:t>
      </w:r>
    </w:p>
  </w:footnote>
  <w:footnote w:id="32">
    <w:p w14:paraId="74612F85" w14:textId="2092BAA8"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Sentencia de única instancia de la Sala Disciplinaria de la Procuraduría General de la Nación de 9 de diciembre de 2013, pág. 475. Anexo 1 al escrito de observaciones adicionales sobre el fondo de los peticionarios de 9 de marzo de 2017.</w:t>
      </w:r>
    </w:p>
  </w:footnote>
  <w:footnote w:id="33">
    <w:p w14:paraId="4F68FDEC" w14:textId="3CB3A468"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Sentencia de única instancia de la Sala Disciplinaria de la Procuraduría General de la Nación de 9 de diciembre de 2013, pág. 479. Anexo 1 al escrito de observaciones adicionales sobre el fondo de los peticionarios de 9 de marzo de 2017.</w:t>
      </w:r>
    </w:p>
  </w:footnote>
  <w:footnote w:id="34">
    <w:p w14:paraId="09E22346" w14:textId="2D8B9254"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1</w:t>
      </w:r>
      <w:r w:rsidRPr="009B3BD2">
        <w:rPr>
          <w:rFonts w:asciiTheme="majorHAnsi" w:hAnsiTheme="majorHAnsi"/>
          <w:sz w:val="16"/>
          <w:szCs w:val="16"/>
          <w:lang w:val="es-VE"/>
        </w:rPr>
        <w:t>. Sentencia de única instancia de la Sala Disciplinaria de la Procuraduría General de la Nación de 9 de diciembre de 2013, pág. 481. Anexo 1 al escrito de observaciones adicionales sobre el fondo de los peticionarios de 9 de marzo de 2017.</w:t>
      </w:r>
    </w:p>
  </w:footnote>
  <w:footnote w:id="35">
    <w:p w14:paraId="436FF46B" w14:textId="60101E0C"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9B3BD2">
        <w:rPr>
          <w:rFonts w:asciiTheme="majorHAnsi" w:hAnsiTheme="majorHAnsi"/>
          <w:sz w:val="16"/>
          <w:szCs w:val="16"/>
          <w:lang w:val="es-VE"/>
        </w:rPr>
        <w:t xml:space="preserve"> Decisión del recurso de reposición de la Sala Disciplinaria de la Procuraduría General de la Nación de 13 de enero de 2014, pág.71. Anexo 2 al escrito de observaciones adicionales sobre el fondo de los peticionarios de 9 de marzo de 2017.</w:t>
      </w:r>
    </w:p>
  </w:footnote>
  <w:footnote w:id="36">
    <w:p w14:paraId="39008B5B" w14:textId="5E8C2D69"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9B3BD2">
        <w:rPr>
          <w:rFonts w:asciiTheme="majorHAnsi" w:hAnsiTheme="majorHAnsi"/>
          <w:sz w:val="16"/>
          <w:szCs w:val="16"/>
          <w:lang w:val="es-VE"/>
        </w:rPr>
        <w:t>. Decisión del recurso de reposición de la Sala Disciplinaria de la Procuraduría General de la Nación de 13 de enero de 2014, pág. 50. Anexo 2 al escrito de observaciones adicionales sobre el fondo de los peticionarios de 9 de marzo de 2017.</w:t>
      </w:r>
    </w:p>
  </w:footnote>
  <w:footnote w:id="37">
    <w:p w14:paraId="64EEFDC5" w14:textId="60AC5B31"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9B3BD2">
        <w:rPr>
          <w:rFonts w:asciiTheme="majorHAnsi" w:hAnsiTheme="majorHAnsi"/>
          <w:sz w:val="16"/>
          <w:szCs w:val="16"/>
          <w:lang w:val="es-VE"/>
        </w:rPr>
        <w:t>. Decisión del recurso de reposición de la Sala Disciplinaria de la Procuraduría General de la Nación de 13 de enero de 2014, pág. 50. Anexo 2 al escrito de observaciones adicionales sobre el fondo de los peticionarios de 9 de marzo de 2017.</w:t>
      </w:r>
    </w:p>
  </w:footnote>
  <w:footnote w:id="38">
    <w:p w14:paraId="3F8A54FE" w14:textId="5B27F2DB"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9B3BD2">
        <w:rPr>
          <w:rFonts w:asciiTheme="majorHAnsi" w:hAnsiTheme="majorHAnsi"/>
          <w:sz w:val="16"/>
          <w:szCs w:val="16"/>
          <w:lang w:val="es-VE"/>
        </w:rPr>
        <w:t>. Decisión del recurso de reposición de la Sala Disciplinaria de la Procuraduría General de la Nación de 13 de enero de 2014, pág. 50. Anexo 2 al escrito de observaciones adicionales sobre el fondo de los peticionarios de 9 de marzo de 2017.</w:t>
      </w:r>
    </w:p>
  </w:footnote>
  <w:footnote w:id="39">
    <w:p w14:paraId="38EB79BA"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Según consta la decisión fue emitida por el Procurador Primero Delegado Juan Carlos Novoa Buendía y el Procurador Segundo Delegado ad hoc Carlos Arturo Ramírez Vásquez. </w:t>
      </w:r>
    </w:p>
  </w:footnote>
  <w:footnote w:id="40">
    <w:p w14:paraId="3CA9AC29" w14:textId="0457C3E1"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9B3BD2">
        <w:rPr>
          <w:rFonts w:asciiTheme="majorHAnsi" w:hAnsiTheme="majorHAnsi"/>
          <w:sz w:val="16"/>
          <w:szCs w:val="16"/>
          <w:lang w:val="es-VE"/>
        </w:rPr>
        <w:t>. Decisión del recurso de reposición de la Sala Disciplinaria de la Procuraduría General de la Nación de 13 de enero de 2014, pág. Anexo 2 al escrito de observaciones adicionales sobre el fondo de los peticionarios de 9 de marzo de 2017.</w:t>
      </w:r>
    </w:p>
  </w:footnote>
  <w:footnote w:id="41">
    <w:p w14:paraId="543E87B2" w14:textId="629413EC"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9B3BD2">
        <w:rPr>
          <w:rFonts w:asciiTheme="majorHAnsi" w:hAnsiTheme="majorHAnsi"/>
          <w:sz w:val="16"/>
          <w:szCs w:val="16"/>
          <w:lang w:val="es-VE"/>
        </w:rPr>
        <w:t>. Decisión del recurso de reposición de la Sala Disciplinaria de la Procuraduría General de la Nación de 13 de enero de 2014, pág.145. Anexo 2 al escrito de observaciones adicionales sobre el fondo de los peticionarios de 9 de marzo de 2017.</w:t>
      </w:r>
    </w:p>
  </w:footnote>
  <w:footnote w:id="42">
    <w:p w14:paraId="7DE89998" w14:textId="78D3E45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9B3BD2">
        <w:rPr>
          <w:rFonts w:asciiTheme="majorHAnsi" w:hAnsiTheme="majorHAnsi"/>
          <w:sz w:val="16"/>
          <w:szCs w:val="16"/>
          <w:lang w:val="es-VE"/>
        </w:rPr>
        <w:t xml:space="preserve">. Decisión del recurso de reposición de la Sala Disciplinaria de la Procuraduría General de la Nación de 13 de enero de 2014, </w:t>
      </w:r>
      <w:proofErr w:type="spellStart"/>
      <w:r w:rsidRPr="009B3BD2">
        <w:rPr>
          <w:rFonts w:asciiTheme="majorHAnsi" w:hAnsiTheme="majorHAnsi"/>
          <w:sz w:val="16"/>
          <w:szCs w:val="16"/>
          <w:lang w:val="es-VE"/>
        </w:rPr>
        <w:t>pág</w:t>
      </w:r>
      <w:proofErr w:type="spellEnd"/>
      <w:r w:rsidRPr="009B3BD2">
        <w:rPr>
          <w:rFonts w:asciiTheme="majorHAnsi" w:hAnsiTheme="majorHAnsi"/>
          <w:sz w:val="16"/>
          <w:szCs w:val="16"/>
          <w:lang w:val="es-VE"/>
        </w:rPr>
        <w:t xml:space="preserve"> 64. Anexo 2 al escrito de observaciones adicionales sobre el fondo de los peticionarios de 9 de marzo de 2017.</w:t>
      </w:r>
    </w:p>
  </w:footnote>
  <w:footnote w:id="43">
    <w:p w14:paraId="5F594591" w14:textId="5E0ED029"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9B3BD2">
        <w:rPr>
          <w:rFonts w:asciiTheme="majorHAnsi" w:hAnsiTheme="majorHAnsi"/>
          <w:sz w:val="16"/>
          <w:szCs w:val="16"/>
          <w:lang w:val="es-VE"/>
        </w:rPr>
        <w:t>. Decisión del recurso de reposición de la Sala Disciplinaria de la Procuraduría General de la Nación de 13 de enero de 2014, pág.203. Anexo 2 al escrito de observaciones adicionales sobre el fondo de los peticionarios de 9 de marzo de 2017.</w:t>
      </w:r>
    </w:p>
  </w:footnote>
  <w:footnote w:id="44">
    <w:p w14:paraId="7ECEB47F" w14:textId="7BD4E111"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9B3BD2">
        <w:rPr>
          <w:rFonts w:asciiTheme="majorHAnsi" w:hAnsiTheme="majorHAnsi"/>
          <w:sz w:val="16"/>
          <w:szCs w:val="16"/>
          <w:lang w:val="es-VE"/>
        </w:rPr>
        <w:t>. Decisión del recurso de reposición de la Sala Disciplinaria de la Procuraduría General de la Nación de 13 de enero de 2014, pág.373. Anexo 2 al escrito de observaciones adicionales sobre el fondo de los peticionarios de 9 de marzo de 2017.</w:t>
      </w:r>
    </w:p>
  </w:footnote>
  <w:footnote w:id="45">
    <w:p w14:paraId="5AEF70C2" w14:textId="73917FA3"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9B3BD2">
        <w:rPr>
          <w:rFonts w:asciiTheme="majorHAnsi" w:hAnsiTheme="majorHAnsi"/>
          <w:sz w:val="16"/>
          <w:szCs w:val="16"/>
          <w:lang w:val="es-VE"/>
        </w:rPr>
        <w:t>. Decisión del recurso de reposición de la Sala Disciplinaria de la Procuraduría General de la Nación de 13 de enero de 2014, pág.363. Anexo 2 al escrito de observaciones adicionales sobre el fondo de los peticionarios de 9 de marzo de 2017.</w:t>
      </w:r>
    </w:p>
  </w:footnote>
  <w:footnote w:id="46">
    <w:p w14:paraId="2EC5AFCC" w14:textId="1D32B368"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2</w:t>
      </w:r>
      <w:r w:rsidRPr="009B3BD2">
        <w:rPr>
          <w:rFonts w:asciiTheme="majorHAnsi" w:hAnsiTheme="majorHAnsi"/>
          <w:sz w:val="16"/>
          <w:szCs w:val="16"/>
          <w:lang w:val="es-VE"/>
        </w:rPr>
        <w:t>. Decisión del recurso de reposición de la Sala Disciplinaria de la Procuraduría General de la Nación de 13 de enero de 2014, pág.15. Anexo 2 al escrito de observaciones adicionales sobre el fondo de los peticionarios de 9 de marzo de 2017.</w:t>
      </w:r>
    </w:p>
  </w:footnote>
  <w:footnote w:id="47">
    <w:p w14:paraId="70F5FF78"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Artículo de prensa publicado en eltiempo.com el 15 de enero de 2014, </w:t>
      </w:r>
      <w:r w:rsidR="001B7F04">
        <w:fldChar w:fldCharType="begin"/>
      </w:r>
      <w:r w:rsidR="001B7F04" w:rsidRPr="001B7F04">
        <w:rPr>
          <w:lang w:val="es-VE"/>
        </w:rPr>
        <w:instrText xml:space="preserve"> HYPERLINK "http://www.eltiempo.com/archivo/documento/CMS-13360177" </w:instrText>
      </w:r>
      <w:r w:rsidR="001B7F04">
        <w:fldChar w:fldCharType="separate"/>
      </w:r>
      <w:proofErr w:type="spellStart"/>
      <w:r w:rsidRPr="009B3BD2">
        <w:rPr>
          <w:rStyle w:val="Hyperlink"/>
          <w:rFonts w:asciiTheme="majorHAnsi" w:hAnsiTheme="majorHAnsi"/>
          <w:sz w:val="16"/>
          <w:szCs w:val="16"/>
          <w:lang w:val="es-VE"/>
        </w:rPr>
        <w:t>Petro</w:t>
      </w:r>
      <w:proofErr w:type="spellEnd"/>
      <w:r w:rsidRPr="009B3BD2">
        <w:rPr>
          <w:rStyle w:val="Hyperlink"/>
          <w:rFonts w:asciiTheme="majorHAnsi" w:hAnsiTheme="majorHAnsi"/>
          <w:sz w:val="16"/>
          <w:szCs w:val="16"/>
          <w:lang w:val="es-VE"/>
        </w:rPr>
        <w:t xml:space="preserve"> se va por mal alcalde: Ordóñez.</w:t>
      </w:r>
      <w:r w:rsidR="001B7F04">
        <w:rPr>
          <w:rStyle w:val="Hyperlink"/>
          <w:rFonts w:asciiTheme="majorHAnsi" w:hAnsiTheme="majorHAnsi"/>
          <w:sz w:val="16"/>
          <w:szCs w:val="16"/>
          <w:lang w:val="es-VE"/>
        </w:rPr>
        <w:fldChar w:fldCharType="end"/>
      </w:r>
      <w:r w:rsidRPr="009B3BD2">
        <w:rPr>
          <w:rFonts w:asciiTheme="majorHAnsi" w:hAnsiTheme="majorHAnsi"/>
          <w:sz w:val="16"/>
          <w:szCs w:val="16"/>
          <w:lang w:val="es-VE"/>
        </w:rPr>
        <w:t xml:space="preserve"> </w:t>
      </w:r>
    </w:p>
  </w:footnote>
  <w:footnote w:id="48">
    <w:p w14:paraId="2856A10C"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Comisión Interamericana de Derechos Humanos, Resolución 5/2014, Gustavo Francisco </w:t>
      </w:r>
      <w:proofErr w:type="spellStart"/>
      <w:r w:rsidRPr="009B3BD2">
        <w:rPr>
          <w:rFonts w:asciiTheme="majorHAnsi" w:hAnsiTheme="majorHAnsi"/>
          <w:sz w:val="16"/>
          <w:szCs w:val="16"/>
          <w:lang w:val="es-VE"/>
        </w:rPr>
        <w:t>Petro</w:t>
      </w:r>
      <w:proofErr w:type="spellEnd"/>
      <w:r w:rsidRPr="009B3BD2">
        <w:rPr>
          <w:rFonts w:asciiTheme="majorHAnsi" w:hAnsiTheme="majorHAnsi"/>
          <w:sz w:val="16"/>
          <w:szCs w:val="16"/>
          <w:lang w:val="es-VE"/>
        </w:rPr>
        <w:t xml:space="preserve"> Urrego respecto de la República de Colombia, Medida Cautelar No. 374-13, 18 de marzo de 2014.</w:t>
      </w:r>
    </w:p>
  </w:footnote>
  <w:footnote w:id="49">
    <w:p w14:paraId="1E6D05FB"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w:t>
      </w:r>
      <w:r w:rsidR="001B7F04">
        <w:fldChar w:fldCharType="begin"/>
      </w:r>
      <w:r w:rsidR="001B7F04" w:rsidRPr="001B7F04">
        <w:rPr>
          <w:lang w:val="es-VE"/>
        </w:rPr>
        <w:instrText xml:space="preserve"> HYPERLINK "http://wsp.presidencia.gov.co/Normativa/Decretos/2014/Documents/MARZO/20/DECRETO%20570%20DEL%2020%20DE%20MARZO%20DE%202014.pdf" </w:instrText>
      </w:r>
      <w:r w:rsidR="001B7F04">
        <w:fldChar w:fldCharType="separate"/>
      </w:r>
      <w:r w:rsidRPr="009B3BD2">
        <w:rPr>
          <w:rStyle w:val="Hyperlink"/>
          <w:rFonts w:asciiTheme="majorHAnsi" w:hAnsiTheme="majorHAnsi"/>
          <w:sz w:val="16"/>
          <w:szCs w:val="16"/>
          <w:lang w:val="es-VE"/>
        </w:rPr>
        <w:t>Decreto 570 del Presidente de la República de Colombia de 20 de marzo de 2014</w:t>
      </w:r>
      <w:r w:rsidR="001B7F04">
        <w:rPr>
          <w:rStyle w:val="Hyperlink"/>
          <w:rFonts w:asciiTheme="majorHAnsi" w:hAnsiTheme="majorHAnsi"/>
          <w:sz w:val="16"/>
          <w:szCs w:val="16"/>
          <w:lang w:val="es-VE"/>
        </w:rPr>
        <w:fldChar w:fldCharType="end"/>
      </w:r>
      <w:r w:rsidRPr="009B3BD2">
        <w:rPr>
          <w:rFonts w:asciiTheme="majorHAnsi" w:hAnsiTheme="majorHAnsi"/>
          <w:sz w:val="16"/>
          <w:szCs w:val="16"/>
          <w:lang w:val="es-VE"/>
        </w:rPr>
        <w:t xml:space="preserve">. </w:t>
      </w:r>
    </w:p>
  </w:footnote>
  <w:footnote w:id="50">
    <w:p w14:paraId="578B1FA3"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Decisión de 13 de mayo de 2014 de la Sala de lo Contencioso Administrativo, Subsección B, del Consejo de Estado.</w:t>
      </w:r>
    </w:p>
  </w:footnote>
  <w:footnote w:id="51">
    <w:p w14:paraId="0F498590"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w:t>
      </w:r>
      <w:r w:rsidR="001B7F04">
        <w:fldChar w:fldCharType="begin"/>
      </w:r>
      <w:r w:rsidR="001B7F04" w:rsidRPr="001B7F04">
        <w:rPr>
          <w:lang w:val="es-VE"/>
        </w:rPr>
        <w:instrText xml:space="preserve"> HYPERLINK "http://wsp.presidencia.gov.co/Normativa/Decretos/2014/Documents/ABRIL/23/DECRET</w:instrText>
      </w:r>
      <w:r w:rsidR="001B7F04" w:rsidRPr="001B7F04">
        <w:rPr>
          <w:lang w:val="es-VE"/>
        </w:rPr>
        <w:instrText xml:space="preserve">O%20797%20DEL%2023%20DE%20ABRIL%20DE%202014.pdf" </w:instrText>
      </w:r>
      <w:r w:rsidR="001B7F04">
        <w:fldChar w:fldCharType="separate"/>
      </w:r>
      <w:r w:rsidRPr="009B3BD2">
        <w:rPr>
          <w:rStyle w:val="Hyperlink"/>
          <w:rFonts w:asciiTheme="majorHAnsi" w:hAnsiTheme="majorHAnsi"/>
          <w:sz w:val="16"/>
          <w:szCs w:val="16"/>
          <w:lang w:val="es-VE"/>
        </w:rPr>
        <w:t>Decreto 797 del Presidente de la República de Colombia de 23 de abril de 2014</w:t>
      </w:r>
      <w:r w:rsidR="001B7F04">
        <w:rPr>
          <w:rStyle w:val="Hyperlink"/>
          <w:rFonts w:asciiTheme="majorHAnsi" w:hAnsiTheme="majorHAnsi"/>
          <w:sz w:val="16"/>
          <w:szCs w:val="16"/>
          <w:lang w:val="es-VE"/>
        </w:rPr>
        <w:fldChar w:fldCharType="end"/>
      </w:r>
      <w:r w:rsidRPr="009B3BD2">
        <w:rPr>
          <w:rFonts w:asciiTheme="majorHAnsi" w:hAnsiTheme="majorHAnsi"/>
          <w:sz w:val="16"/>
          <w:szCs w:val="16"/>
          <w:lang w:val="es-VE"/>
        </w:rPr>
        <w:t xml:space="preserve">. </w:t>
      </w:r>
    </w:p>
  </w:footnote>
  <w:footnote w:id="52">
    <w:p w14:paraId="12959485"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Decisión de 13 de mayo de 2014 de la Sala de lo Contencioso Administrativo, Subsección B, del Consejo de Estado.</w:t>
      </w:r>
    </w:p>
  </w:footnote>
  <w:footnote w:id="53">
    <w:p w14:paraId="0F6F766E"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Decisión de 13 de mayo de 2014 de la Sala de lo Contencioso Administrativo, Subsección B, del Consejo de Estado.</w:t>
      </w:r>
    </w:p>
  </w:footnote>
  <w:footnote w:id="54">
    <w:p w14:paraId="421F11B5"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Decisión de 17 de marzo de 2015 de la Sala Plena de lo Contencioso Administrativo del Consejo de Estado. </w:t>
      </w:r>
    </w:p>
  </w:footnote>
  <w:footnote w:id="55">
    <w:p w14:paraId="3CF72BFD"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w:t>
      </w:r>
      <w:r w:rsidR="001B7F04">
        <w:fldChar w:fldCharType="begin"/>
      </w:r>
      <w:r w:rsidR="001B7F04" w:rsidRPr="001B7F04">
        <w:rPr>
          <w:lang w:val="es-VE"/>
        </w:rPr>
        <w:instrText xml:space="preserve"> HYPERLINK "http://www.alcaldiabogota.gov.co/sisjur/normas/Norma1.jsp?i=55073" </w:instrText>
      </w:r>
      <w:r w:rsidR="001B7F04">
        <w:fldChar w:fldCharType="separate"/>
      </w:r>
      <w:r w:rsidRPr="009B3BD2">
        <w:rPr>
          <w:rStyle w:val="Hyperlink"/>
          <w:rFonts w:asciiTheme="majorHAnsi" w:hAnsiTheme="majorHAnsi"/>
          <w:sz w:val="16"/>
          <w:szCs w:val="16"/>
          <w:lang w:val="es-VE"/>
        </w:rPr>
        <w:t>Decreto 364 del Alcalde Mayor de Bogotá de 26 de agosto de 2013.</w:t>
      </w:r>
      <w:r w:rsidR="001B7F04">
        <w:rPr>
          <w:rStyle w:val="Hyperlink"/>
          <w:rFonts w:asciiTheme="majorHAnsi" w:hAnsiTheme="majorHAnsi"/>
          <w:sz w:val="16"/>
          <w:szCs w:val="16"/>
          <w:lang w:val="es-VE"/>
        </w:rPr>
        <w:fldChar w:fldCharType="end"/>
      </w:r>
      <w:r w:rsidRPr="009B3BD2">
        <w:rPr>
          <w:rFonts w:asciiTheme="majorHAnsi" w:hAnsiTheme="majorHAnsi"/>
          <w:sz w:val="16"/>
          <w:szCs w:val="16"/>
          <w:lang w:val="es-VE"/>
        </w:rPr>
        <w:t xml:space="preserve"> </w:t>
      </w:r>
    </w:p>
  </w:footnote>
  <w:footnote w:id="56">
    <w:p w14:paraId="715F5D94"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w:t>
      </w:r>
      <w:r w:rsidR="001B7F04">
        <w:fldChar w:fldCharType="begin"/>
      </w:r>
      <w:r w:rsidR="001B7F04" w:rsidRPr="001B7F04">
        <w:rPr>
          <w:lang w:val="es-VE"/>
        </w:rPr>
        <w:instrText xml:space="preserve"> HYPERLINK "http://www.alcaldiabogota.gov.co/sisjur/normas/Norma1.jsp?i=55073" </w:instrText>
      </w:r>
      <w:r w:rsidR="001B7F04">
        <w:fldChar w:fldCharType="separate"/>
      </w:r>
      <w:r w:rsidRPr="009B3BD2">
        <w:rPr>
          <w:rStyle w:val="Hyperlink"/>
          <w:rFonts w:asciiTheme="majorHAnsi" w:hAnsiTheme="majorHAnsi"/>
          <w:sz w:val="16"/>
          <w:szCs w:val="16"/>
          <w:lang w:val="es-VE"/>
        </w:rPr>
        <w:t>Decreto 364 del Alcalde Mayor de Bogotá de 26 de agosto de 2013.</w:t>
      </w:r>
      <w:r w:rsidR="001B7F04">
        <w:rPr>
          <w:rStyle w:val="Hyperlink"/>
          <w:rFonts w:asciiTheme="majorHAnsi" w:hAnsiTheme="majorHAnsi"/>
          <w:sz w:val="16"/>
          <w:szCs w:val="16"/>
          <w:lang w:val="es-VE"/>
        </w:rPr>
        <w:fldChar w:fldCharType="end"/>
      </w:r>
      <w:r w:rsidRPr="009B3BD2">
        <w:rPr>
          <w:rFonts w:asciiTheme="majorHAnsi" w:hAnsiTheme="majorHAnsi"/>
          <w:sz w:val="16"/>
          <w:szCs w:val="16"/>
          <w:lang w:val="es-VE"/>
        </w:rPr>
        <w:t xml:space="preserve"> </w:t>
      </w:r>
    </w:p>
  </w:footnote>
  <w:footnote w:id="57">
    <w:p w14:paraId="7295DA58" w14:textId="0448862C"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3</w:t>
      </w:r>
      <w:r w:rsidRPr="009B3BD2">
        <w:rPr>
          <w:rFonts w:asciiTheme="majorHAnsi" w:hAnsiTheme="majorHAnsi"/>
          <w:sz w:val="16"/>
          <w:szCs w:val="16"/>
          <w:lang w:val="es-VE"/>
        </w:rPr>
        <w:t>. Sentencia de única instancia proferida por la Procuraduría General de la Nación  el 27 de junio de 2016. Anexo 3 al escrito de observaciones adicionales sobre el fondo de los peticionarios de 9 de marzo de 2017.</w:t>
      </w:r>
    </w:p>
  </w:footnote>
  <w:footnote w:id="58">
    <w:p w14:paraId="79E64B3D" w14:textId="2592B442"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3</w:t>
      </w:r>
      <w:r w:rsidRPr="009B3BD2">
        <w:rPr>
          <w:rFonts w:asciiTheme="majorHAnsi" w:hAnsiTheme="majorHAnsi"/>
          <w:sz w:val="16"/>
          <w:szCs w:val="16"/>
          <w:lang w:val="es-VE"/>
        </w:rPr>
        <w:t>. Sentencia de única instancia proferida por la Procuraduría General de la Nación  el 27 de junio de 2016. Anexo 3 al escrito de observaciones adicionales sobre el fondo de los peticionarios de 9 de marzo de 2017.</w:t>
      </w:r>
    </w:p>
  </w:footnote>
  <w:footnote w:id="59">
    <w:p w14:paraId="12E16B4F" w14:textId="60CCE381"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3</w:t>
      </w:r>
      <w:r w:rsidRPr="009B3BD2">
        <w:rPr>
          <w:rFonts w:asciiTheme="majorHAnsi" w:hAnsiTheme="majorHAnsi"/>
          <w:sz w:val="16"/>
          <w:szCs w:val="16"/>
          <w:lang w:val="es-VE"/>
        </w:rPr>
        <w:t>. Sentencia de única instancia proferida por la Procuraduría General de la Nación  el 27 de junio de 2016. Anexo 3 al escrito de observaciones adicionales sobre el fondo de los peticionarios de 9 de marzo de 2017. En particular citó cinco normas violadas: el artículo 313 de la Constitución de Colombia, el artículo 12.5 del Decreto Ley 1421 de 1993, el artículo 26 de la Ley 388 de 1997, el artículo 12 de la Ley 810 de 2003 y el artículo 1 del Decreto 2079 de 2003.</w:t>
      </w:r>
    </w:p>
  </w:footnote>
  <w:footnote w:id="60">
    <w:p w14:paraId="6CDE6AD2" w14:textId="518CDE41"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3</w:t>
      </w:r>
      <w:r w:rsidRPr="009B3BD2">
        <w:rPr>
          <w:rFonts w:asciiTheme="majorHAnsi" w:hAnsiTheme="majorHAnsi"/>
          <w:sz w:val="16"/>
          <w:szCs w:val="16"/>
          <w:lang w:val="es-VE"/>
        </w:rPr>
        <w:t>. Sentencia de única instancia proferida por la Procuraduría General de la Nación  el 27 de junio de 2016. Anexo 3 al escrito de observaciones adicionales sobre el fondo de los peticionarios de 9 de marzo de 2017.</w:t>
      </w:r>
    </w:p>
  </w:footnote>
  <w:footnote w:id="61">
    <w:p w14:paraId="2BB4F22D" w14:textId="6A73EED4"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3</w:t>
      </w:r>
      <w:r w:rsidRPr="009B3BD2">
        <w:rPr>
          <w:rFonts w:asciiTheme="majorHAnsi" w:hAnsiTheme="majorHAnsi"/>
          <w:sz w:val="16"/>
          <w:szCs w:val="16"/>
          <w:lang w:val="es-VE"/>
        </w:rPr>
        <w:t>. Sentencia de única instancia proferida por la Procuraduría General de la Nación  el 27 de junio de 2016. Anexo 3 al escrito de observaciones adicionales sobre el fondo de los peticionarios de 9 de marzo de 2017.</w:t>
      </w:r>
    </w:p>
  </w:footnote>
  <w:footnote w:id="62">
    <w:p w14:paraId="57BB73CD" w14:textId="2E417C5A"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3</w:t>
      </w:r>
      <w:r w:rsidRPr="009B3BD2">
        <w:rPr>
          <w:rFonts w:asciiTheme="majorHAnsi" w:hAnsiTheme="majorHAnsi"/>
          <w:sz w:val="16"/>
          <w:szCs w:val="16"/>
          <w:lang w:val="es-VE"/>
        </w:rPr>
        <w:t>. Sentencia de única instancia proferida por la Procuraduría General de la Nación  el 27 de junio de 2016. Anexo 3 al escrito de observaciones adicionales sobre el fondo de los peticionarios de 9 de marzo de 2017.</w:t>
      </w:r>
    </w:p>
  </w:footnote>
  <w:footnote w:id="63">
    <w:p w14:paraId="4D5655F0" w14:textId="5C146E16"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3</w:t>
      </w:r>
      <w:r w:rsidRPr="009B3BD2">
        <w:rPr>
          <w:rFonts w:asciiTheme="majorHAnsi" w:hAnsiTheme="majorHAnsi"/>
          <w:sz w:val="16"/>
          <w:szCs w:val="16"/>
          <w:lang w:val="es-VE"/>
        </w:rPr>
        <w:t>. Sentencia de única instancia proferida por la Procuraduría General de la Nación  el 27 de junio de 2016. Anexo 3 al escrito de observaciones adicionales sobre el fondo de los peticionarios de 9 de marzo de 2017.</w:t>
      </w:r>
    </w:p>
  </w:footnote>
  <w:footnote w:id="64">
    <w:p w14:paraId="042BC98F"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w:t>
      </w:r>
      <w:r w:rsidR="001B7F04">
        <w:fldChar w:fldCharType="begin"/>
      </w:r>
      <w:r w:rsidR="001B7F04" w:rsidRPr="001B7F04">
        <w:rPr>
          <w:lang w:val="es-VE"/>
        </w:rPr>
        <w:instrText xml:space="preserve"> HYPERLINK "http://www.alcaldiabogota.gov.co/sisjur/normas/Norma1.jsp?i=57074" </w:instrText>
      </w:r>
      <w:r w:rsidR="001B7F04">
        <w:fldChar w:fldCharType="separate"/>
      </w:r>
      <w:r w:rsidRPr="009B3BD2">
        <w:rPr>
          <w:rStyle w:val="Hyperlink"/>
          <w:rFonts w:asciiTheme="majorHAnsi" w:hAnsiTheme="majorHAnsi"/>
          <w:sz w:val="16"/>
          <w:szCs w:val="16"/>
          <w:lang w:val="es-VE"/>
        </w:rPr>
        <w:t>Sala de lo Contencioso Administrativo del Consejo de Estado, decisión de 27 de marzo de 2014.</w:t>
      </w:r>
      <w:r w:rsidR="001B7F04">
        <w:rPr>
          <w:rStyle w:val="Hyperlink"/>
          <w:rFonts w:asciiTheme="majorHAnsi" w:hAnsiTheme="majorHAnsi"/>
          <w:sz w:val="16"/>
          <w:szCs w:val="16"/>
          <w:lang w:val="es-VE"/>
        </w:rPr>
        <w:fldChar w:fldCharType="end"/>
      </w:r>
      <w:r w:rsidRPr="009B3BD2">
        <w:rPr>
          <w:rFonts w:asciiTheme="majorHAnsi" w:hAnsiTheme="majorHAnsi"/>
          <w:sz w:val="16"/>
          <w:szCs w:val="16"/>
          <w:lang w:val="es-VE"/>
        </w:rPr>
        <w:t xml:space="preserve"> </w:t>
      </w:r>
    </w:p>
  </w:footnote>
  <w:footnote w:id="65">
    <w:p w14:paraId="1EE01F9C" w14:textId="22AC0CEB"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3</w:t>
      </w:r>
      <w:r w:rsidRPr="009B3BD2">
        <w:rPr>
          <w:rFonts w:asciiTheme="majorHAnsi" w:hAnsiTheme="majorHAnsi"/>
          <w:sz w:val="16"/>
          <w:szCs w:val="16"/>
          <w:lang w:val="es-VE"/>
        </w:rPr>
        <w:t>. Sentencia de única instancia proferida por la Procuraduría General de la Nación  el 27 de junio de 2016. Anexo 3 al escrito de observaciones adicionales sobre el fondo de los peticionarios de 9 de marzo de 2017.</w:t>
      </w:r>
    </w:p>
  </w:footnote>
  <w:footnote w:id="66">
    <w:p w14:paraId="1729610A" w14:textId="3E25B62A"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3</w:t>
      </w:r>
      <w:r w:rsidRPr="009B3BD2">
        <w:rPr>
          <w:rFonts w:asciiTheme="majorHAnsi" w:hAnsiTheme="majorHAnsi"/>
          <w:sz w:val="16"/>
          <w:szCs w:val="16"/>
          <w:lang w:val="es-VE"/>
        </w:rPr>
        <w:t>. Sentencia de única instancia proferida por la Procuraduría General de la Nación  el 27 de junio de 2016. Anexo 3 al escrito de observaciones adicionales sobre el fondo de los peticionarios de 9 de marzo de 2017, pág.78.</w:t>
      </w:r>
    </w:p>
  </w:footnote>
  <w:footnote w:id="67">
    <w:p w14:paraId="297C8D68" w14:textId="7885DFCF"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3</w:t>
      </w:r>
      <w:r w:rsidRPr="009B3BD2">
        <w:rPr>
          <w:rFonts w:asciiTheme="majorHAnsi" w:hAnsiTheme="majorHAnsi"/>
          <w:sz w:val="16"/>
          <w:szCs w:val="16"/>
          <w:lang w:val="es-VE"/>
        </w:rPr>
        <w:t>. Sentencia de única instancia proferida por la Procuraduría General de la Nación  el 27 de junio de 2016. Anexo 3 al escrito de observaciones adicionales sobre el fondo de los peticionarios de 9 de marzo de 2017, pág.79.</w:t>
      </w:r>
    </w:p>
  </w:footnote>
  <w:footnote w:id="68">
    <w:p w14:paraId="2A49A147"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w:t>
      </w:r>
      <w:r w:rsidR="001B7F04">
        <w:fldChar w:fldCharType="begin"/>
      </w:r>
      <w:r w:rsidR="001B7F04" w:rsidRPr="001B7F04">
        <w:rPr>
          <w:lang w:val="es-VE"/>
        </w:rPr>
        <w:instrText xml:space="preserve"> HYPERLINK "http://es.presidencia.gov.co/normativa/normativa/LEY%201864%20DEL%2017%20DE%20</w:instrText>
      </w:r>
      <w:r w:rsidR="001B7F04" w:rsidRPr="001B7F04">
        <w:rPr>
          <w:lang w:val="es-VE"/>
        </w:rPr>
        <w:instrText xml:space="preserve">AGOSTO%20DE%202017.pdf" </w:instrText>
      </w:r>
      <w:r w:rsidR="001B7F04">
        <w:fldChar w:fldCharType="separate"/>
      </w:r>
      <w:r w:rsidRPr="009B3BD2">
        <w:rPr>
          <w:rStyle w:val="Hyperlink"/>
          <w:rFonts w:asciiTheme="majorHAnsi" w:hAnsiTheme="majorHAnsi"/>
          <w:sz w:val="16"/>
          <w:szCs w:val="16"/>
          <w:lang w:val="es-VE"/>
        </w:rPr>
        <w:t>Ley 1864 del Congreso de Colombia de 17 de agosto de 2017</w:t>
      </w:r>
      <w:r w:rsidR="001B7F04">
        <w:rPr>
          <w:rStyle w:val="Hyperlink"/>
          <w:rFonts w:asciiTheme="majorHAnsi" w:hAnsiTheme="majorHAnsi"/>
          <w:sz w:val="16"/>
          <w:szCs w:val="16"/>
          <w:lang w:val="es-VE"/>
        </w:rPr>
        <w:fldChar w:fldCharType="end"/>
      </w:r>
      <w:r w:rsidRPr="009B3BD2">
        <w:rPr>
          <w:rFonts w:asciiTheme="majorHAnsi" w:hAnsiTheme="majorHAnsi"/>
          <w:sz w:val="16"/>
          <w:szCs w:val="16"/>
          <w:lang w:val="es-VE"/>
        </w:rPr>
        <w:t xml:space="preserve">. </w:t>
      </w:r>
    </w:p>
  </w:footnote>
  <w:footnote w:id="69">
    <w:p w14:paraId="65BCFA1B"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w:t>
      </w:r>
      <w:r w:rsidR="001B7F04">
        <w:fldChar w:fldCharType="begin"/>
      </w:r>
      <w:r w:rsidR="001B7F04" w:rsidRPr="001B7F04">
        <w:rPr>
          <w:lang w:val="es-VE"/>
        </w:rPr>
        <w:instrText xml:space="preserve"> HYPERLINK "http://www.alcaldiabogota.gov.co/sisjur/normas/Norma1.jsp?i=48509" </w:instrText>
      </w:r>
      <w:r w:rsidR="001B7F04">
        <w:fldChar w:fldCharType="separate"/>
      </w:r>
      <w:r w:rsidRPr="009B3BD2">
        <w:rPr>
          <w:rStyle w:val="Hyperlink"/>
          <w:rFonts w:asciiTheme="majorHAnsi" w:hAnsiTheme="majorHAnsi"/>
          <w:sz w:val="16"/>
          <w:szCs w:val="16"/>
          <w:lang w:val="es-VE"/>
        </w:rPr>
        <w:t>Decreto 356 de 2012 del Alcalde Mayor de Bogotá, D.C.</w:t>
      </w:r>
      <w:r w:rsidR="001B7F04">
        <w:rPr>
          <w:rStyle w:val="Hyperlink"/>
          <w:rFonts w:asciiTheme="majorHAnsi" w:hAnsiTheme="majorHAnsi"/>
          <w:sz w:val="16"/>
          <w:szCs w:val="16"/>
          <w:lang w:val="es-VE"/>
        </w:rPr>
        <w:fldChar w:fldCharType="end"/>
      </w:r>
    </w:p>
  </w:footnote>
  <w:footnote w:id="70">
    <w:p w14:paraId="1DD3CB6E"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w:t>
      </w:r>
      <w:r w:rsidR="001B7F04">
        <w:fldChar w:fldCharType="begin"/>
      </w:r>
      <w:r w:rsidR="001B7F04" w:rsidRPr="001B7F04">
        <w:rPr>
          <w:lang w:val="es-VE"/>
        </w:rPr>
        <w:instrText xml:space="preserve"> HYPERLINK "http://www.alcald</w:instrText>
      </w:r>
      <w:r w:rsidR="001B7F04" w:rsidRPr="001B7F04">
        <w:rPr>
          <w:lang w:val="es-VE"/>
        </w:rPr>
        <w:instrText xml:space="preserve">iabogota.gov.co/sisjur/normas/Norma1.jsp?i=48509" </w:instrText>
      </w:r>
      <w:r w:rsidR="001B7F04">
        <w:fldChar w:fldCharType="separate"/>
      </w:r>
      <w:r w:rsidRPr="009B3BD2">
        <w:rPr>
          <w:rStyle w:val="Hyperlink"/>
          <w:rFonts w:asciiTheme="majorHAnsi" w:hAnsiTheme="majorHAnsi"/>
          <w:sz w:val="16"/>
          <w:szCs w:val="16"/>
          <w:lang w:val="es-VE"/>
        </w:rPr>
        <w:t>Decreto 356 de 2012 del Alcalde Mayor de Bogotá, D.C.</w:t>
      </w:r>
      <w:r w:rsidR="001B7F04">
        <w:rPr>
          <w:rStyle w:val="Hyperlink"/>
          <w:rFonts w:asciiTheme="majorHAnsi" w:hAnsiTheme="majorHAnsi"/>
          <w:sz w:val="16"/>
          <w:szCs w:val="16"/>
          <w:lang w:val="es-VE"/>
        </w:rPr>
        <w:fldChar w:fldCharType="end"/>
      </w:r>
    </w:p>
  </w:footnote>
  <w:footnote w:id="71">
    <w:p w14:paraId="61300AD5" w14:textId="4C9CCD6F"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4</w:t>
      </w:r>
      <w:r w:rsidRPr="009B3BD2">
        <w:rPr>
          <w:rFonts w:asciiTheme="majorHAnsi" w:hAnsiTheme="majorHAnsi"/>
          <w:sz w:val="16"/>
          <w:szCs w:val="16"/>
          <w:lang w:val="es-VE"/>
        </w:rPr>
        <w:t>. Resolución No. 4501 de 29 de noviembre de 2016</w:t>
      </w:r>
      <w:r>
        <w:rPr>
          <w:rFonts w:asciiTheme="majorHAnsi" w:hAnsiTheme="majorHAnsi"/>
          <w:sz w:val="16"/>
          <w:szCs w:val="16"/>
          <w:lang w:val="es-VE"/>
        </w:rPr>
        <w:t>, pág.1</w:t>
      </w:r>
      <w:r w:rsidRPr="009B3BD2">
        <w:rPr>
          <w:rFonts w:asciiTheme="majorHAnsi" w:hAnsiTheme="majorHAnsi"/>
          <w:sz w:val="16"/>
          <w:szCs w:val="16"/>
          <w:lang w:val="es-VE"/>
        </w:rPr>
        <w:t>. Anexo a la comunicación de la parte peticionaria de 13 de marzo de 2017.</w:t>
      </w:r>
    </w:p>
  </w:footnote>
  <w:footnote w:id="72">
    <w:p w14:paraId="0B1C7F59" w14:textId="652DD6C5"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4</w:t>
      </w:r>
      <w:r w:rsidRPr="009B3BD2">
        <w:rPr>
          <w:rFonts w:asciiTheme="majorHAnsi" w:hAnsiTheme="majorHAnsi"/>
          <w:sz w:val="16"/>
          <w:szCs w:val="16"/>
          <w:lang w:val="es-VE"/>
        </w:rPr>
        <w:t>. Resolución No. 4501 de 29 de noviembre de 2016. Anexo a la comunicación de la parte peticionaria de 13 de marzo de 2017.</w:t>
      </w:r>
    </w:p>
  </w:footnote>
  <w:footnote w:id="73">
    <w:p w14:paraId="5F4E375F" w14:textId="55F1106C"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4</w:t>
      </w:r>
      <w:r w:rsidRPr="009B3BD2">
        <w:rPr>
          <w:rFonts w:asciiTheme="majorHAnsi" w:hAnsiTheme="majorHAnsi"/>
          <w:sz w:val="16"/>
          <w:szCs w:val="16"/>
          <w:lang w:val="es-VE"/>
        </w:rPr>
        <w:t>. Resolución No. 4501 de 29 de noviembre de 2016. Anexo a la comunicación de la parte peticionaria de 13 de marzo de 2017.</w:t>
      </w:r>
    </w:p>
  </w:footnote>
  <w:footnote w:id="74">
    <w:p w14:paraId="56AF20A3"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Escrito de observaciones de la parte peticionaria de 12 de abril de 2017.</w:t>
      </w:r>
    </w:p>
  </w:footnote>
  <w:footnote w:id="75">
    <w:p w14:paraId="77AEC18E" w14:textId="77777777" w:rsidR="00B63908" w:rsidRPr="009B3BD2" w:rsidRDefault="00B63908" w:rsidP="001F797F">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w:t>
      </w:r>
      <w:r w:rsidR="001B7F04">
        <w:fldChar w:fldCharType="begin"/>
      </w:r>
      <w:r w:rsidR="001B7F04" w:rsidRPr="001B7F04">
        <w:rPr>
          <w:lang w:val="es-VE"/>
        </w:rPr>
        <w:instrText xml:space="preserve"> HYPERLINK "http://www.alcaldiabogota.gov.co/sisjur/normas/Norma1.jsp?i=5725" </w:instrText>
      </w:r>
      <w:r w:rsidR="001B7F04">
        <w:fldChar w:fldCharType="separate"/>
      </w:r>
      <w:r w:rsidRPr="009B3BD2">
        <w:rPr>
          <w:rStyle w:val="Hyperlink"/>
          <w:rFonts w:asciiTheme="majorHAnsi" w:hAnsiTheme="majorHAnsi"/>
          <w:sz w:val="16"/>
          <w:szCs w:val="16"/>
          <w:lang w:val="es-VE"/>
        </w:rPr>
        <w:t>Ley 610 del Congreso de Colombia de 18 de agosto de 2000</w:t>
      </w:r>
      <w:r w:rsidR="001B7F04">
        <w:rPr>
          <w:rStyle w:val="Hyperlink"/>
          <w:rFonts w:asciiTheme="majorHAnsi" w:hAnsiTheme="majorHAnsi"/>
          <w:sz w:val="16"/>
          <w:szCs w:val="16"/>
          <w:lang w:val="es-VE"/>
        </w:rPr>
        <w:fldChar w:fldCharType="end"/>
      </w:r>
      <w:r w:rsidRPr="009B3BD2">
        <w:rPr>
          <w:rFonts w:asciiTheme="majorHAnsi" w:hAnsiTheme="majorHAnsi"/>
          <w:sz w:val="16"/>
          <w:szCs w:val="16"/>
          <w:lang w:val="es-VE"/>
        </w:rPr>
        <w:t>.</w:t>
      </w:r>
    </w:p>
  </w:footnote>
  <w:footnote w:id="76">
    <w:p w14:paraId="1783E0FD" w14:textId="71D95F0B"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Pr>
          <w:rFonts w:asciiTheme="majorHAnsi" w:hAnsiTheme="majorHAnsi"/>
          <w:sz w:val="16"/>
          <w:szCs w:val="16"/>
          <w:lang w:val="es-VE"/>
        </w:rPr>
        <w:t xml:space="preserve"> Anexo 5</w:t>
      </w:r>
      <w:r w:rsidRPr="009B3BD2">
        <w:rPr>
          <w:rFonts w:asciiTheme="majorHAnsi" w:hAnsiTheme="majorHAnsi"/>
          <w:sz w:val="16"/>
          <w:szCs w:val="16"/>
          <w:lang w:val="es-VE"/>
        </w:rPr>
        <w:t>. Resolución 53.788 de la Superintendencia de Industria y Comercio de 3 de septiembre de 2014. Anexo 2 a la comunicación de la parte peticionaria de 13 de marzo de 2017.</w:t>
      </w:r>
    </w:p>
  </w:footnote>
  <w:footnote w:id="77">
    <w:p w14:paraId="7324CBB8"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w:t>
      </w:r>
      <w:r w:rsidRPr="009B3BD2">
        <w:rPr>
          <w:rFonts w:asciiTheme="majorHAnsi" w:hAnsiTheme="majorHAnsi" w:cs="Tahoma"/>
          <w:sz w:val="16"/>
          <w:szCs w:val="16"/>
          <w:lang w:val="es-VE"/>
        </w:rPr>
        <w:t xml:space="preserve">El artículo 23 de la Convención Americana establece que: 1. Todos los ciudadanos deben gozar de los siguientes derechos y oportunidades: a) de participar en la dirección de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 en condiciones generales de igualdad, a las funciones públicas de su país. 2. La ley puede reglamentar el ejercicio de los derechos y oportunidades a que se refiere el inciso anterior, exclusivamente por razones de edad, nacionalidad, residencia, idioma, instrucción, capacidad civil o mental, o condena, por juez competente, en proceso penal. </w:t>
      </w:r>
      <w:r w:rsidRPr="009B3BD2">
        <w:rPr>
          <w:rStyle w:val="FootnoteReference"/>
          <w:rFonts w:asciiTheme="majorHAnsi" w:hAnsiTheme="majorHAnsi"/>
          <w:sz w:val="16"/>
          <w:szCs w:val="16"/>
          <w:lang w:val="es-CO"/>
        </w:rPr>
        <w:t xml:space="preserve"> </w:t>
      </w:r>
      <w:r w:rsidRPr="009B3BD2">
        <w:rPr>
          <w:rFonts w:asciiTheme="majorHAnsi" w:hAnsiTheme="majorHAnsi"/>
          <w:sz w:val="16"/>
          <w:szCs w:val="16"/>
          <w:lang w:val="es-CO"/>
        </w:rPr>
        <w:t xml:space="preserve"> </w:t>
      </w:r>
    </w:p>
  </w:footnote>
  <w:footnote w:id="78">
    <w:p w14:paraId="65A84E73"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El artículo 1.1  de la Convención Americana establece  que: </w:t>
      </w:r>
      <w:r w:rsidRPr="009B3BD2">
        <w:rPr>
          <w:rFonts w:asciiTheme="majorHAnsi" w:hAnsiTheme="majorHAnsi" w:cs="Tahoma"/>
          <w:sz w:val="16"/>
          <w:szCs w:val="16"/>
          <w:lang w:val="es-VE"/>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79">
    <w:p w14:paraId="04D66E51"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El artículo 2 de la Convención Americana establece:</w:t>
      </w:r>
      <w:r w:rsidRPr="009B3BD2">
        <w:rPr>
          <w:rFonts w:asciiTheme="majorHAnsi" w:hAnsiTheme="majorHAnsi" w:cs="Tahoma"/>
          <w:sz w:val="16"/>
          <w:szCs w:val="16"/>
          <w:lang w:val="es-VE"/>
        </w:rPr>
        <w:t xml:space="preserv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80">
    <w:p w14:paraId="0E5D469F" w14:textId="77777777" w:rsidR="00B63908" w:rsidRPr="009B3BD2" w:rsidRDefault="00B63908" w:rsidP="006C2EBA">
      <w:pPr>
        <w:pStyle w:val="FootnoteText"/>
        <w:spacing w:after="120"/>
        <w:ind w:firstLine="720"/>
        <w:jc w:val="both"/>
        <w:rPr>
          <w:rFonts w:ascii="Cambria" w:hAnsi="Cambria"/>
          <w:sz w:val="16"/>
          <w:szCs w:val="16"/>
          <w:lang w:val="es-VE"/>
        </w:rPr>
      </w:pPr>
      <w:r w:rsidRPr="009B3BD2">
        <w:rPr>
          <w:rStyle w:val="FootnoteReference"/>
          <w:rFonts w:ascii="Cambria" w:hAnsi="Cambria"/>
          <w:sz w:val="16"/>
          <w:szCs w:val="16"/>
        </w:rPr>
        <w:footnoteRef/>
      </w:r>
      <w:r w:rsidRPr="009B3BD2">
        <w:rPr>
          <w:rFonts w:ascii="Cambria" w:hAnsi="Cambria"/>
          <w:sz w:val="16"/>
          <w:szCs w:val="16"/>
          <w:lang w:val="es-VE"/>
        </w:rPr>
        <w:t xml:space="preserve"> CIDH, Informe no. 92/09, Caso 12.668, Fondo, Leopoldo López Mendoza, Venezuela, 8 de agosto de 2009,  párr.64.</w:t>
      </w:r>
    </w:p>
  </w:footnote>
  <w:footnote w:id="81">
    <w:p w14:paraId="088733DB" w14:textId="77777777" w:rsidR="00B63908" w:rsidRPr="009B3BD2" w:rsidRDefault="00B63908" w:rsidP="001B7135">
      <w:pPr>
        <w:pStyle w:val="FootnoteText"/>
        <w:spacing w:after="120"/>
        <w:ind w:firstLine="720"/>
        <w:jc w:val="both"/>
        <w:rPr>
          <w:rFonts w:ascii="Cambria" w:hAnsi="Cambria"/>
          <w:sz w:val="16"/>
          <w:szCs w:val="16"/>
          <w:lang w:val="es-VE"/>
        </w:rPr>
      </w:pPr>
      <w:r w:rsidRPr="009B3BD2">
        <w:rPr>
          <w:rStyle w:val="FootnoteReference"/>
          <w:rFonts w:ascii="Cambria" w:hAnsi="Cambria"/>
          <w:sz w:val="16"/>
          <w:szCs w:val="16"/>
        </w:rPr>
        <w:footnoteRef/>
      </w:r>
      <w:r w:rsidRPr="009B3BD2">
        <w:rPr>
          <w:rFonts w:ascii="Cambria" w:hAnsi="Cambria"/>
          <w:sz w:val="16"/>
          <w:szCs w:val="16"/>
          <w:lang w:val="es-VE"/>
        </w:rPr>
        <w:t xml:space="preserve">TEDH, Case of </w:t>
      </w:r>
      <w:proofErr w:type="spellStart"/>
      <w:r w:rsidRPr="009B3BD2">
        <w:rPr>
          <w:rFonts w:ascii="Cambria" w:hAnsi="Cambria"/>
          <w:sz w:val="16"/>
          <w:szCs w:val="16"/>
          <w:lang w:val="es-VE"/>
        </w:rPr>
        <w:t>Hirst</w:t>
      </w:r>
      <w:proofErr w:type="spellEnd"/>
      <w:r w:rsidRPr="009B3BD2">
        <w:rPr>
          <w:rFonts w:ascii="Cambria" w:hAnsi="Cambria"/>
          <w:sz w:val="16"/>
          <w:szCs w:val="16"/>
          <w:lang w:val="es-VE"/>
        </w:rPr>
        <w:t xml:space="preserve"> v. </w:t>
      </w:r>
      <w:proofErr w:type="spellStart"/>
      <w:r w:rsidRPr="009B3BD2">
        <w:rPr>
          <w:rFonts w:ascii="Cambria" w:hAnsi="Cambria"/>
          <w:sz w:val="16"/>
          <w:szCs w:val="16"/>
          <w:lang w:val="es-VE"/>
        </w:rPr>
        <w:t>The</w:t>
      </w:r>
      <w:proofErr w:type="spellEnd"/>
      <w:r w:rsidRPr="009B3BD2">
        <w:rPr>
          <w:rFonts w:ascii="Cambria" w:hAnsi="Cambria"/>
          <w:sz w:val="16"/>
          <w:szCs w:val="16"/>
          <w:lang w:val="es-VE"/>
        </w:rPr>
        <w:t xml:space="preserve"> </w:t>
      </w:r>
      <w:proofErr w:type="spellStart"/>
      <w:r w:rsidRPr="009B3BD2">
        <w:rPr>
          <w:rFonts w:ascii="Cambria" w:hAnsi="Cambria"/>
          <w:sz w:val="16"/>
          <w:szCs w:val="16"/>
          <w:lang w:val="es-VE"/>
        </w:rPr>
        <w:t>United</w:t>
      </w:r>
      <w:proofErr w:type="spellEnd"/>
      <w:r w:rsidRPr="009B3BD2">
        <w:rPr>
          <w:rFonts w:ascii="Cambria" w:hAnsi="Cambria"/>
          <w:sz w:val="16"/>
          <w:szCs w:val="16"/>
          <w:lang w:val="es-VE"/>
        </w:rPr>
        <w:t xml:space="preserve"> </w:t>
      </w:r>
      <w:proofErr w:type="spellStart"/>
      <w:r w:rsidRPr="009B3BD2">
        <w:rPr>
          <w:rFonts w:ascii="Cambria" w:hAnsi="Cambria"/>
          <w:sz w:val="16"/>
          <w:szCs w:val="16"/>
          <w:lang w:val="es-VE"/>
        </w:rPr>
        <w:t>Kingdom</w:t>
      </w:r>
      <w:proofErr w:type="spellEnd"/>
      <w:r w:rsidRPr="009B3BD2">
        <w:rPr>
          <w:rFonts w:ascii="Cambria" w:hAnsi="Cambria"/>
          <w:sz w:val="16"/>
          <w:szCs w:val="16"/>
          <w:lang w:val="es-VE"/>
        </w:rPr>
        <w:t xml:space="preserve">, Grand </w:t>
      </w:r>
      <w:proofErr w:type="spellStart"/>
      <w:r w:rsidRPr="009B3BD2">
        <w:rPr>
          <w:rFonts w:ascii="Cambria" w:hAnsi="Cambria"/>
          <w:sz w:val="16"/>
          <w:szCs w:val="16"/>
          <w:lang w:val="es-VE"/>
        </w:rPr>
        <w:t>Chamber</w:t>
      </w:r>
      <w:proofErr w:type="spellEnd"/>
      <w:r w:rsidRPr="009B3BD2">
        <w:rPr>
          <w:rFonts w:ascii="Cambria" w:hAnsi="Cambria"/>
          <w:sz w:val="16"/>
          <w:szCs w:val="16"/>
          <w:lang w:val="es-VE"/>
        </w:rPr>
        <w:t xml:space="preserve">, </w:t>
      </w:r>
      <w:proofErr w:type="spellStart"/>
      <w:r w:rsidRPr="009B3BD2">
        <w:rPr>
          <w:rFonts w:ascii="Cambria" w:hAnsi="Cambria"/>
          <w:sz w:val="16"/>
          <w:szCs w:val="16"/>
          <w:lang w:val="es-VE"/>
        </w:rPr>
        <w:t>October</w:t>
      </w:r>
      <w:proofErr w:type="spellEnd"/>
      <w:r w:rsidRPr="009B3BD2">
        <w:rPr>
          <w:rFonts w:ascii="Cambria" w:hAnsi="Cambria"/>
          <w:sz w:val="16"/>
          <w:szCs w:val="16"/>
          <w:lang w:val="es-VE"/>
        </w:rPr>
        <w:t xml:space="preserve"> 6, 2005, párr.62; Ver también artículo 3 de la Carta Democrática Interamericana.</w:t>
      </w:r>
    </w:p>
  </w:footnote>
  <w:footnote w:id="82">
    <w:p w14:paraId="45DD1686" w14:textId="77777777" w:rsidR="00B63908" w:rsidRPr="009B3BD2" w:rsidRDefault="00B63908" w:rsidP="001B7135">
      <w:pPr>
        <w:pStyle w:val="FootnoteText"/>
        <w:spacing w:after="120"/>
        <w:ind w:firstLine="720"/>
        <w:jc w:val="both"/>
        <w:rPr>
          <w:rFonts w:ascii="Cambria" w:hAnsi="Cambria"/>
          <w:sz w:val="16"/>
          <w:szCs w:val="16"/>
          <w:lang w:val="es-VE"/>
        </w:rPr>
      </w:pPr>
      <w:r w:rsidRPr="009B3BD2">
        <w:rPr>
          <w:rStyle w:val="FootnoteReference"/>
          <w:rFonts w:ascii="Cambria" w:hAnsi="Cambria"/>
          <w:sz w:val="16"/>
          <w:szCs w:val="16"/>
        </w:rPr>
        <w:footnoteRef/>
      </w:r>
      <w:r w:rsidRPr="009B3BD2">
        <w:rPr>
          <w:rFonts w:ascii="Cambria" w:hAnsi="Cambria"/>
          <w:sz w:val="16"/>
          <w:szCs w:val="16"/>
        </w:rPr>
        <w:t xml:space="preserve"> TEDH Case of </w:t>
      </w:r>
      <w:proofErr w:type="spellStart"/>
      <w:r w:rsidRPr="009B3BD2">
        <w:rPr>
          <w:rFonts w:ascii="Cambria" w:hAnsi="Cambria"/>
          <w:sz w:val="16"/>
          <w:szCs w:val="16"/>
        </w:rPr>
        <w:t>Paksas</w:t>
      </w:r>
      <w:proofErr w:type="spellEnd"/>
      <w:r w:rsidRPr="009B3BD2">
        <w:rPr>
          <w:rFonts w:ascii="Cambria" w:hAnsi="Cambria"/>
          <w:sz w:val="16"/>
          <w:szCs w:val="16"/>
        </w:rPr>
        <w:t xml:space="preserve"> v. Lithuania, Grand Chamber, Judgment of January 6, 2011, </w:t>
      </w:r>
      <w:proofErr w:type="spellStart"/>
      <w:r w:rsidRPr="009B3BD2">
        <w:rPr>
          <w:rFonts w:ascii="Cambria" w:hAnsi="Cambria"/>
          <w:sz w:val="16"/>
          <w:szCs w:val="16"/>
        </w:rPr>
        <w:t>párrs</w:t>
      </w:r>
      <w:proofErr w:type="spellEnd"/>
      <w:r w:rsidRPr="009B3BD2">
        <w:rPr>
          <w:rFonts w:ascii="Cambria" w:hAnsi="Cambria"/>
          <w:sz w:val="16"/>
          <w:szCs w:val="16"/>
        </w:rPr>
        <w:t xml:space="preserve">. </w:t>
      </w:r>
      <w:r w:rsidRPr="009B3BD2">
        <w:rPr>
          <w:rFonts w:ascii="Cambria" w:hAnsi="Cambria"/>
          <w:sz w:val="16"/>
          <w:szCs w:val="16"/>
          <w:lang w:val="es-VE"/>
        </w:rPr>
        <w:t>104-105.</w:t>
      </w:r>
    </w:p>
  </w:footnote>
  <w:footnote w:id="83">
    <w:p w14:paraId="4DB5F4D6" w14:textId="77777777" w:rsidR="00B63908" w:rsidRPr="009B3BD2" w:rsidRDefault="00B63908" w:rsidP="001B7135">
      <w:pPr>
        <w:spacing w:after="120"/>
        <w:ind w:firstLine="720"/>
        <w:jc w:val="both"/>
        <w:rPr>
          <w:rFonts w:ascii="Cambria" w:eastAsia="Times New Roman" w:hAnsi="Cambria"/>
          <w:sz w:val="16"/>
          <w:szCs w:val="16"/>
          <w:lang w:val="es-ES"/>
        </w:rPr>
      </w:pPr>
      <w:r w:rsidRPr="009B3BD2">
        <w:rPr>
          <w:rStyle w:val="FootnoteReference"/>
          <w:rFonts w:ascii="Cambria" w:hAnsi="Cambria"/>
          <w:sz w:val="16"/>
          <w:szCs w:val="16"/>
        </w:rPr>
        <w:footnoteRef/>
      </w:r>
      <w:r w:rsidRPr="009B3BD2">
        <w:rPr>
          <w:rFonts w:ascii="Cambria" w:hAnsi="Cambria"/>
          <w:sz w:val="16"/>
          <w:szCs w:val="16"/>
          <w:lang w:val="es-VE"/>
        </w:rPr>
        <w:t xml:space="preserve"> </w:t>
      </w:r>
      <w:r w:rsidRPr="009B3BD2">
        <w:rPr>
          <w:rFonts w:ascii="Cambria" w:eastAsia="Times New Roman" w:hAnsi="Cambria"/>
          <w:bCs/>
          <w:color w:val="000000"/>
          <w:sz w:val="16"/>
          <w:szCs w:val="16"/>
          <w:lang w:val="es-VE"/>
        </w:rPr>
        <w:t xml:space="preserve">Corte IDH. Caso López Mendoza Vs. Venezuela. </w:t>
      </w:r>
      <w:r w:rsidRPr="009B3BD2">
        <w:rPr>
          <w:rFonts w:ascii="Cambria" w:eastAsia="Times New Roman" w:hAnsi="Cambria"/>
          <w:bCs/>
          <w:color w:val="000000"/>
          <w:sz w:val="16"/>
          <w:szCs w:val="16"/>
          <w:lang w:val="es-ES"/>
        </w:rPr>
        <w:t xml:space="preserve">Fondo Reparaciones y Costas. Sentencia de 1 de septiembre de 2011. Serie C No. 233. </w:t>
      </w:r>
      <w:proofErr w:type="spellStart"/>
      <w:r w:rsidRPr="009B3BD2">
        <w:rPr>
          <w:rFonts w:ascii="Cambria" w:eastAsia="Times New Roman" w:hAnsi="Cambria"/>
          <w:bCs/>
          <w:color w:val="000000"/>
          <w:sz w:val="16"/>
          <w:szCs w:val="16"/>
          <w:lang w:val="es-ES"/>
        </w:rPr>
        <w:t>Párrs</w:t>
      </w:r>
      <w:proofErr w:type="spellEnd"/>
      <w:r w:rsidRPr="009B3BD2">
        <w:rPr>
          <w:rFonts w:ascii="Cambria" w:eastAsia="Times New Roman" w:hAnsi="Cambria"/>
          <w:bCs/>
          <w:color w:val="000000"/>
          <w:sz w:val="16"/>
          <w:szCs w:val="16"/>
          <w:lang w:val="es-ES"/>
        </w:rPr>
        <w:t xml:space="preserve">. 105 y ss. </w:t>
      </w:r>
    </w:p>
  </w:footnote>
  <w:footnote w:id="84">
    <w:p w14:paraId="587E8DA2" w14:textId="77777777" w:rsidR="00B63908" w:rsidRPr="009B3BD2" w:rsidRDefault="00B63908" w:rsidP="001B7135">
      <w:pPr>
        <w:pStyle w:val="FootnoteText"/>
        <w:spacing w:after="120"/>
        <w:ind w:firstLine="720"/>
        <w:jc w:val="both"/>
        <w:rPr>
          <w:rFonts w:ascii="Cambria" w:hAnsi="Cambria"/>
          <w:sz w:val="16"/>
          <w:szCs w:val="16"/>
          <w:lang w:val="es-VE"/>
        </w:rPr>
      </w:pPr>
      <w:r w:rsidRPr="009B3BD2">
        <w:rPr>
          <w:rStyle w:val="FootnoteReference"/>
          <w:rFonts w:ascii="Cambria" w:hAnsi="Cambria"/>
          <w:sz w:val="16"/>
          <w:szCs w:val="16"/>
        </w:rPr>
        <w:footnoteRef/>
      </w:r>
      <w:r w:rsidRPr="009B3BD2">
        <w:rPr>
          <w:rFonts w:ascii="Cambria" w:hAnsi="Cambria"/>
          <w:sz w:val="16"/>
          <w:szCs w:val="16"/>
          <w:lang w:val="es-VE"/>
        </w:rPr>
        <w:t xml:space="preserve"> CIDH, Informe no. 92/09, Caso 12.668, Fondo, Leopoldo López Mendoza, Venezuela, 8 de agosto de 2009,  párr.91.</w:t>
      </w:r>
    </w:p>
  </w:footnote>
  <w:footnote w:id="85">
    <w:p w14:paraId="0A0C5C2B" w14:textId="77777777" w:rsidR="00B63908" w:rsidRPr="009B3BD2" w:rsidRDefault="00B63908" w:rsidP="001B7135">
      <w:pPr>
        <w:pStyle w:val="FootnoteText"/>
        <w:spacing w:after="120"/>
        <w:ind w:firstLine="720"/>
        <w:jc w:val="both"/>
        <w:rPr>
          <w:rFonts w:ascii="Cambria" w:hAnsi="Cambria"/>
          <w:sz w:val="16"/>
          <w:szCs w:val="16"/>
          <w:lang w:val="es-VE"/>
        </w:rPr>
      </w:pPr>
      <w:r w:rsidRPr="009B3BD2">
        <w:rPr>
          <w:rStyle w:val="FootnoteReference"/>
          <w:rFonts w:ascii="Cambria" w:hAnsi="Cambria"/>
          <w:sz w:val="16"/>
          <w:szCs w:val="16"/>
        </w:rPr>
        <w:footnoteRef/>
      </w:r>
      <w:r w:rsidRPr="009B3BD2">
        <w:rPr>
          <w:rFonts w:ascii="Cambria" w:hAnsi="Cambria"/>
          <w:sz w:val="16"/>
          <w:szCs w:val="16"/>
          <w:lang w:val="es-VE"/>
        </w:rPr>
        <w:t xml:space="preserve"> En similar sentido ver el informe pericial de Humberto Nogueira Alcalá en el caso López Mendoza vs. Venezuela, pág. 21. </w:t>
      </w:r>
    </w:p>
  </w:footnote>
  <w:footnote w:id="86">
    <w:p w14:paraId="69E971F0" w14:textId="34FEBD01" w:rsidR="00B63908" w:rsidRPr="009B3BD2" w:rsidRDefault="00B63908" w:rsidP="00A14B6C">
      <w:pPr>
        <w:pStyle w:val="FootnoteText"/>
        <w:spacing w:after="120"/>
        <w:ind w:firstLine="720"/>
        <w:jc w:val="both"/>
        <w:rPr>
          <w:rFonts w:asciiTheme="majorHAnsi" w:hAnsiTheme="majorHAnsi"/>
          <w:sz w:val="16"/>
          <w:szCs w:val="16"/>
          <w:lang w:val="es-CO"/>
        </w:rPr>
      </w:pPr>
      <w:r w:rsidRPr="009B3BD2">
        <w:rPr>
          <w:rStyle w:val="FootnoteReference"/>
          <w:rFonts w:asciiTheme="majorHAnsi" w:hAnsiTheme="majorHAnsi"/>
          <w:sz w:val="16"/>
          <w:szCs w:val="16"/>
        </w:rPr>
        <w:footnoteRef/>
      </w:r>
      <w:r w:rsidRPr="009B3BD2">
        <w:rPr>
          <w:rFonts w:asciiTheme="majorHAnsi" w:hAnsiTheme="majorHAnsi"/>
          <w:sz w:val="16"/>
          <w:szCs w:val="16"/>
          <w:lang w:val="es-CO"/>
        </w:rPr>
        <w:t xml:space="preserve"> El artículo 8 dispone en lo pertinente que: “</w:t>
      </w:r>
      <w:r w:rsidRPr="009B3BD2">
        <w:rPr>
          <w:rFonts w:asciiTheme="majorHAnsi" w:hAnsiTheme="majorHAnsi" w:cs="Tahoma"/>
          <w:sz w:val="16"/>
          <w:szCs w:val="16"/>
          <w:lang w:val="es-CO"/>
        </w:rPr>
        <w:t xml:space="preserve">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2. Toda persona inculpada de delito tiene derecho a que se presuma su inocencia mientras no se establezca legalmente su culpabilidad. Durante el proceso, toda persona tiene derecho, en plena igualdad, a las siguientes garantías mínimas: h) derecho de recurrir del fallo ante juez o tribunal superior. </w:t>
      </w:r>
    </w:p>
  </w:footnote>
  <w:footnote w:id="87">
    <w:p w14:paraId="3BC4ECDD" w14:textId="77777777" w:rsidR="00B63908" w:rsidRPr="009B3BD2" w:rsidRDefault="00B63908" w:rsidP="00A14B6C">
      <w:pPr>
        <w:pStyle w:val="FootnoteText"/>
        <w:spacing w:after="120"/>
        <w:ind w:firstLine="720"/>
        <w:jc w:val="both"/>
        <w:rPr>
          <w:rFonts w:asciiTheme="majorHAnsi" w:hAnsiTheme="majorHAnsi"/>
          <w:sz w:val="16"/>
          <w:szCs w:val="16"/>
          <w:lang w:val="es-CO"/>
        </w:rPr>
      </w:pPr>
      <w:r w:rsidRPr="009B3BD2">
        <w:rPr>
          <w:rStyle w:val="FootnoteReference"/>
          <w:rFonts w:asciiTheme="majorHAnsi" w:hAnsiTheme="majorHAnsi"/>
          <w:sz w:val="16"/>
          <w:szCs w:val="16"/>
        </w:rPr>
        <w:footnoteRef/>
      </w:r>
      <w:r w:rsidRPr="009B3BD2">
        <w:rPr>
          <w:rFonts w:asciiTheme="majorHAnsi" w:hAnsiTheme="majorHAnsi"/>
          <w:sz w:val="16"/>
          <w:szCs w:val="16"/>
          <w:lang w:val="es-CO"/>
        </w:rPr>
        <w:t xml:space="preserve"> El artículo 25 de la Convención Americana establece en lo pertinente: </w:t>
      </w:r>
      <w:r w:rsidRPr="009B3BD2">
        <w:rPr>
          <w:rFonts w:asciiTheme="majorHAnsi" w:hAnsiTheme="majorHAnsi" w:cs="Tahoma"/>
          <w:sz w:val="16"/>
          <w:szCs w:val="16"/>
          <w:lang w:val="es-VE"/>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r w:rsidRPr="009B3BD2">
        <w:rPr>
          <w:rFonts w:asciiTheme="majorHAnsi" w:hAnsiTheme="majorHAnsi"/>
          <w:sz w:val="16"/>
          <w:szCs w:val="16"/>
          <w:lang w:val="es-CO"/>
        </w:rPr>
        <w:t xml:space="preserve"> </w:t>
      </w:r>
    </w:p>
  </w:footnote>
  <w:footnote w:id="88">
    <w:p w14:paraId="0CBFAA9D" w14:textId="77777777" w:rsidR="00B63908" w:rsidRPr="009B3BD2" w:rsidRDefault="00B63908" w:rsidP="00A14B6C">
      <w:pPr>
        <w:pStyle w:val="FootnoteText"/>
        <w:spacing w:after="120"/>
        <w:ind w:firstLine="720"/>
        <w:jc w:val="both"/>
        <w:rPr>
          <w:rFonts w:asciiTheme="majorHAnsi" w:hAnsiTheme="majorHAnsi"/>
          <w:sz w:val="16"/>
          <w:szCs w:val="16"/>
          <w:lang w:val="es-ES"/>
        </w:rPr>
      </w:pPr>
      <w:r w:rsidRPr="009B3BD2">
        <w:rPr>
          <w:rStyle w:val="FootnoteReference"/>
          <w:rFonts w:asciiTheme="majorHAnsi" w:hAnsiTheme="majorHAnsi"/>
          <w:sz w:val="16"/>
          <w:szCs w:val="16"/>
        </w:rPr>
        <w:footnoteRef/>
      </w:r>
      <w:r w:rsidRPr="009B3BD2">
        <w:rPr>
          <w:rFonts w:asciiTheme="majorHAnsi" w:hAnsiTheme="majorHAnsi"/>
          <w:sz w:val="16"/>
          <w:szCs w:val="16"/>
          <w:lang w:val="es-ES"/>
        </w:rPr>
        <w:t xml:space="preserve"> CIDH, Informe No. 65/11, Caso 12.600, Fondo, Hugo Quintana Coello y otros “Magistrados de la Corte Suprema de Justicia”, Ecuador, 31 de marzo de 2011, párr. 102; Corte IDH. </w:t>
      </w:r>
      <w:r w:rsidR="001B7F04">
        <w:fldChar w:fldCharType="begin"/>
      </w:r>
      <w:r w:rsidR="001B7F04" w:rsidRPr="001B7F04">
        <w:rPr>
          <w:lang w:val="es-VE"/>
        </w:rPr>
        <w:instrText xml:space="preserve"> HYPERLINK "http://joomla.corteidh.or.cr:8080/joomla/es/casos-contenciosos/38-ju</w:instrText>
      </w:r>
      <w:r w:rsidR="001B7F04" w:rsidRPr="001B7F04">
        <w:rPr>
          <w:lang w:val="es-VE"/>
        </w:rPr>
        <w:instrText xml:space="preserve">risprudencia/476-corte-idh-caso-baena-ricardo-y-otros-vs-panama-fondo-reparaciones-y-costas-sentencia-de-2-de-febrero-de-2001-serie-c-no-72" </w:instrText>
      </w:r>
      <w:r w:rsidR="001B7F04">
        <w:fldChar w:fldCharType="separate"/>
      </w:r>
      <w:r w:rsidRPr="009B3BD2">
        <w:rPr>
          <w:rStyle w:val="Hyperlink"/>
          <w:rFonts w:asciiTheme="majorHAnsi" w:hAnsiTheme="majorHAnsi" w:cs="Arial"/>
          <w:color w:val="auto"/>
          <w:sz w:val="16"/>
          <w:szCs w:val="16"/>
          <w:u w:val="none"/>
          <w:shd w:val="clear" w:color="auto" w:fill="FFFFFF"/>
          <w:lang w:val="es-ES"/>
        </w:rPr>
        <w:t>Caso Baena Ricardo y otros Vs. Panamá. Fondo, Reparaciones y Costas. Sentencia de 2 de febrero de 2001. Serie C No. 72</w:t>
      </w:r>
      <w:r w:rsidR="001B7F04">
        <w:rPr>
          <w:rStyle w:val="Hyperlink"/>
          <w:rFonts w:asciiTheme="majorHAnsi" w:hAnsiTheme="majorHAnsi" w:cs="Arial"/>
          <w:color w:val="auto"/>
          <w:sz w:val="16"/>
          <w:szCs w:val="16"/>
          <w:u w:val="none"/>
          <w:shd w:val="clear" w:color="auto" w:fill="FFFFFF"/>
          <w:lang w:val="es-ES"/>
        </w:rPr>
        <w:fldChar w:fldCharType="end"/>
      </w:r>
      <w:r w:rsidRPr="009B3BD2">
        <w:rPr>
          <w:rFonts w:asciiTheme="majorHAnsi" w:hAnsiTheme="majorHAnsi"/>
          <w:sz w:val="16"/>
          <w:szCs w:val="16"/>
          <w:lang w:val="es-ES"/>
        </w:rPr>
        <w:t xml:space="preserve">, </w:t>
      </w:r>
      <w:proofErr w:type="spellStart"/>
      <w:r w:rsidRPr="009B3BD2">
        <w:rPr>
          <w:rFonts w:asciiTheme="majorHAnsi" w:hAnsiTheme="majorHAnsi"/>
          <w:sz w:val="16"/>
          <w:szCs w:val="16"/>
          <w:lang w:val="es-ES"/>
        </w:rPr>
        <w:t>párrs</w:t>
      </w:r>
      <w:proofErr w:type="spellEnd"/>
      <w:r w:rsidRPr="009B3BD2">
        <w:rPr>
          <w:rFonts w:asciiTheme="majorHAnsi" w:hAnsiTheme="majorHAnsi"/>
          <w:sz w:val="16"/>
          <w:szCs w:val="16"/>
          <w:lang w:val="es-ES"/>
        </w:rPr>
        <w:t xml:space="preserve">. 126-127; </w:t>
      </w:r>
      <w:r w:rsidR="001B7F04">
        <w:fldChar w:fldCharType="begin"/>
      </w:r>
      <w:r w:rsidR="001B7F04" w:rsidRPr="001B7F04">
        <w:rPr>
          <w:lang w:val="es-VE"/>
        </w:rPr>
        <w:instrText xml:space="preserve"> HYPERLINK "http://joomla.corteidh.or.cr:8080/joomla/es/casos-contenciosos/38-jurisprudencia/475-corte-idh-caso-del-tribunal-constitucional-vs-peru-fondo-reparaciones-y-costas-sentencia-de-31-de-enero-de-2001-serie-c-no-71" </w:instrText>
      </w:r>
      <w:r w:rsidR="001B7F04">
        <w:fldChar w:fldCharType="separate"/>
      </w:r>
      <w:r w:rsidRPr="009B3BD2">
        <w:rPr>
          <w:rStyle w:val="Hyperlink"/>
          <w:rFonts w:asciiTheme="majorHAnsi" w:hAnsiTheme="majorHAnsi" w:cs="Arial"/>
          <w:color w:val="auto"/>
          <w:sz w:val="16"/>
          <w:szCs w:val="16"/>
          <w:u w:val="none"/>
          <w:shd w:val="clear" w:color="auto" w:fill="FFFFFF"/>
          <w:lang w:val="es-ES"/>
        </w:rPr>
        <w:t>Caso del Tribunal Constitucional Vs. Perú. Fondo, Reparaciones y Costas. Sentencia de 31 de enero de 2001. Serie C No. 71</w:t>
      </w:r>
      <w:r w:rsidR="001B7F04">
        <w:rPr>
          <w:rStyle w:val="Hyperlink"/>
          <w:rFonts w:asciiTheme="majorHAnsi" w:hAnsiTheme="majorHAnsi" w:cs="Arial"/>
          <w:color w:val="auto"/>
          <w:sz w:val="16"/>
          <w:szCs w:val="16"/>
          <w:u w:val="none"/>
          <w:shd w:val="clear" w:color="auto" w:fill="FFFFFF"/>
          <w:lang w:val="es-ES"/>
        </w:rPr>
        <w:fldChar w:fldCharType="end"/>
      </w:r>
      <w:r w:rsidRPr="009B3BD2">
        <w:rPr>
          <w:rFonts w:asciiTheme="majorHAnsi" w:hAnsiTheme="majorHAnsi"/>
          <w:sz w:val="16"/>
          <w:szCs w:val="16"/>
          <w:lang w:val="es-ES"/>
        </w:rPr>
        <w:t xml:space="preserve">, </w:t>
      </w:r>
      <w:proofErr w:type="spellStart"/>
      <w:r w:rsidRPr="009B3BD2">
        <w:rPr>
          <w:rFonts w:asciiTheme="majorHAnsi" w:hAnsiTheme="majorHAnsi"/>
          <w:sz w:val="16"/>
          <w:szCs w:val="16"/>
          <w:lang w:val="es-ES"/>
        </w:rPr>
        <w:t>párrs</w:t>
      </w:r>
      <w:proofErr w:type="spellEnd"/>
      <w:r w:rsidRPr="009B3BD2">
        <w:rPr>
          <w:rFonts w:asciiTheme="majorHAnsi" w:hAnsiTheme="majorHAnsi"/>
          <w:sz w:val="16"/>
          <w:szCs w:val="16"/>
          <w:lang w:val="es-ES"/>
        </w:rPr>
        <w:t xml:space="preserve">. 69-70; y </w:t>
      </w:r>
      <w:r w:rsidR="001B7F04">
        <w:fldChar w:fldCharType="begin"/>
      </w:r>
      <w:r w:rsidR="001B7F04" w:rsidRPr="001B7F04">
        <w:rPr>
          <w:lang w:val="es-VE"/>
        </w:rPr>
        <w:instrText xml:space="preserve"> HYPERLINK "http://joomla.corteidh.or.cr:8080/joomla/es/casos-contenciosos/38-jurisprudencia/1450-corte-idh-caso-lopez-men</w:instrText>
      </w:r>
      <w:r w:rsidR="001B7F04" w:rsidRPr="001B7F04">
        <w:rPr>
          <w:lang w:val="es-VE"/>
        </w:rPr>
        <w:instrText xml:space="preserve">doza-vs-venezuela-fondo-reparaciones-y-costas-sentencia-de-1-de-septiembre-de-2011-serie-c-no-233" </w:instrText>
      </w:r>
      <w:r w:rsidR="001B7F04">
        <w:fldChar w:fldCharType="separate"/>
      </w:r>
      <w:r w:rsidRPr="009B3BD2">
        <w:rPr>
          <w:rStyle w:val="Hyperlink"/>
          <w:rFonts w:asciiTheme="majorHAnsi" w:hAnsiTheme="majorHAnsi" w:cs="Arial"/>
          <w:color w:val="auto"/>
          <w:sz w:val="16"/>
          <w:szCs w:val="16"/>
          <w:u w:val="none"/>
          <w:shd w:val="clear" w:color="auto" w:fill="FFFFFF"/>
          <w:lang w:val="es-ES"/>
        </w:rPr>
        <w:t>Caso López Mendoza Vs. Venezuela. Fondo Reparaciones y Costas. Sentencia de 1 de septiembre de 2011 Serie C No. 233</w:t>
      </w:r>
      <w:r w:rsidR="001B7F04">
        <w:rPr>
          <w:rStyle w:val="Hyperlink"/>
          <w:rFonts w:asciiTheme="majorHAnsi" w:hAnsiTheme="majorHAnsi" w:cs="Arial"/>
          <w:color w:val="auto"/>
          <w:sz w:val="16"/>
          <w:szCs w:val="16"/>
          <w:u w:val="none"/>
          <w:shd w:val="clear" w:color="auto" w:fill="FFFFFF"/>
          <w:lang w:val="es-ES"/>
        </w:rPr>
        <w:fldChar w:fldCharType="end"/>
      </w:r>
      <w:r w:rsidRPr="009B3BD2">
        <w:rPr>
          <w:rFonts w:asciiTheme="majorHAnsi" w:hAnsiTheme="majorHAnsi"/>
          <w:sz w:val="16"/>
          <w:szCs w:val="16"/>
          <w:lang w:val="es-ES"/>
        </w:rPr>
        <w:t xml:space="preserve">, párr. 111. </w:t>
      </w:r>
    </w:p>
  </w:footnote>
  <w:footnote w:id="89">
    <w:p w14:paraId="3000F1B9" w14:textId="75538033" w:rsidR="00B63908" w:rsidRPr="009B3BD2" w:rsidRDefault="00B63908" w:rsidP="00A14B6C">
      <w:pPr>
        <w:pStyle w:val="FootnoteText"/>
        <w:spacing w:after="120"/>
        <w:ind w:firstLine="720"/>
        <w:jc w:val="both"/>
        <w:rPr>
          <w:rFonts w:asciiTheme="majorHAnsi" w:hAnsiTheme="majorHAnsi"/>
          <w:sz w:val="16"/>
          <w:szCs w:val="16"/>
          <w:lang w:val="es-ES"/>
        </w:rPr>
      </w:pPr>
      <w:r w:rsidRPr="009B3BD2">
        <w:rPr>
          <w:rStyle w:val="FootnoteReference"/>
          <w:rFonts w:asciiTheme="majorHAnsi" w:hAnsiTheme="majorHAnsi"/>
          <w:sz w:val="16"/>
          <w:szCs w:val="16"/>
        </w:rPr>
        <w:footnoteRef/>
      </w:r>
      <w:r w:rsidRPr="009B3BD2">
        <w:rPr>
          <w:rFonts w:asciiTheme="majorHAnsi" w:hAnsiTheme="majorHAnsi"/>
          <w:sz w:val="16"/>
          <w:szCs w:val="16"/>
          <w:lang w:val="es-ES"/>
        </w:rPr>
        <w:t xml:space="preserve"> CIDH. El Acceso a la Justicia como Garantía de los Derechos Económicos, Sociales y Culturales. Estudio de los Estándares Fijados por el Sistema Interamericano de Derechos Humanos. </w:t>
      </w:r>
      <w:r w:rsidRPr="009B3BD2">
        <w:rPr>
          <w:rFonts w:asciiTheme="majorHAnsi" w:hAnsiTheme="majorHAnsi"/>
          <w:sz w:val="16"/>
          <w:szCs w:val="16"/>
          <w:lang w:val="es-ES_tradnl"/>
        </w:rPr>
        <w:t>OEA/</w:t>
      </w:r>
      <w:proofErr w:type="spellStart"/>
      <w:r w:rsidRPr="009B3BD2">
        <w:rPr>
          <w:rFonts w:asciiTheme="majorHAnsi" w:hAnsiTheme="majorHAnsi"/>
          <w:sz w:val="16"/>
          <w:szCs w:val="16"/>
          <w:lang w:val="es-ES_tradnl"/>
        </w:rPr>
        <w:t>Ser.L</w:t>
      </w:r>
      <w:proofErr w:type="spellEnd"/>
      <w:r w:rsidRPr="009B3BD2">
        <w:rPr>
          <w:rFonts w:asciiTheme="majorHAnsi" w:hAnsiTheme="majorHAnsi"/>
          <w:sz w:val="16"/>
          <w:szCs w:val="16"/>
          <w:lang w:val="es-ES_tradnl"/>
        </w:rPr>
        <w:t xml:space="preserve">/V/II.129. 7 de septiembre de 2007, </w:t>
      </w:r>
      <w:proofErr w:type="spellStart"/>
      <w:r w:rsidRPr="009B3BD2">
        <w:rPr>
          <w:rFonts w:asciiTheme="majorHAnsi" w:hAnsiTheme="majorHAnsi"/>
          <w:sz w:val="16"/>
          <w:szCs w:val="16"/>
          <w:lang w:val="es-ES_tradnl"/>
        </w:rPr>
        <w:t>párrs</w:t>
      </w:r>
      <w:proofErr w:type="spellEnd"/>
      <w:r w:rsidRPr="009B3BD2">
        <w:rPr>
          <w:rFonts w:asciiTheme="majorHAnsi" w:hAnsiTheme="majorHAnsi"/>
          <w:sz w:val="16"/>
          <w:szCs w:val="16"/>
          <w:lang w:val="es-ES_tradnl"/>
        </w:rPr>
        <w:t xml:space="preserve">. 98-123; y Caso No. 12.828, Informe 112/12, Marcel </w:t>
      </w:r>
      <w:proofErr w:type="spellStart"/>
      <w:r w:rsidRPr="009B3BD2">
        <w:rPr>
          <w:rFonts w:asciiTheme="majorHAnsi" w:hAnsiTheme="majorHAnsi"/>
          <w:sz w:val="16"/>
          <w:szCs w:val="16"/>
          <w:lang w:val="es-ES_tradnl"/>
        </w:rPr>
        <w:t>Granier</w:t>
      </w:r>
      <w:proofErr w:type="spellEnd"/>
      <w:r w:rsidRPr="009B3BD2">
        <w:rPr>
          <w:rFonts w:asciiTheme="majorHAnsi" w:hAnsiTheme="majorHAnsi"/>
          <w:sz w:val="16"/>
          <w:szCs w:val="16"/>
          <w:lang w:val="es-ES_tradnl"/>
        </w:rPr>
        <w:t xml:space="preserve"> y otros, Venezuela, Fondo, 9 de noviembre de 2012, párr. 188; </w:t>
      </w:r>
      <w:r w:rsidRPr="009B3BD2">
        <w:rPr>
          <w:rFonts w:asciiTheme="majorHAnsi" w:hAnsiTheme="majorHAnsi"/>
          <w:sz w:val="16"/>
          <w:szCs w:val="16"/>
          <w:lang w:val="es-ES"/>
        </w:rPr>
        <w:t xml:space="preserve">Corte IDH. </w:t>
      </w:r>
      <w:r w:rsidR="001B7F04">
        <w:fldChar w:fldCharType="begin"/>
      </w:r>
      <w:r w:rsidR="001B7F04" w:rsidRPr="001B7F04">
        <w:rPr>
          <w:lang w:val="es-VE"/>
        </w:rPr>
        <w:instrText xml:space="preserve"> HYPERLINK "http://joomla.corteidh.or.cr:8080/joomla/es/casos-contenciosos/38-jurisprudencia/476-corte-idh-caso-baena-ricardo-y-otros-vs-panama-fondo-reparaciones-y-costas-</w:instrText>
      </w:r>
      <w:r w:rsidR="001B7F04" w:rsidRPr="001B7F04">
        <w:rPr>
          <w:lang w:val="es-VE"/>
        </w:rPr>
        <w:instrText xml:space="preserve">sentencia-de-2-de-febrero-de-2001-serie-c-no-72" </w:instrText>
      </w:r>
      <w:r w:rsidR="001B7F04">
        <w:fldChar w:fldCharType="separate"/>
      </w:r>
      <w:r w:rsidRPr="009B3BD2">
        <w:rPr>
          <w:rStyle w:val="Hyperlink"/>
          <w:rFonts w:asciiTheme="majorHAnsi" w:hAnsiTheme="majorHAnsi" w:cs="Arial"/>
          <w:color w:val="auto"/>
          <w:sz w:val="16"/>
          <w:szCs w:val="16"/>
          <w:u w:val="none"/>
          <w:shd w:val="clear" w:color="auto" w:fill="FFFFFF"/>
          <w:lang w:val="es-ES"/>
        </w:rPr>
        <w:t>Caso Baena Ricardo y otros Vs. Panamá. Fondo, Reparaciones y Costas. Sentencia de 2 de febrero de 2001. Serie C No. 72</w:t>
      </w:r>
      <w:r w:rsidR="001B7F04">
        <w:rPr>
          <w:rStyle w:val="Hyperlink"/>
          <w:rFonts w:asciiTheme="majorHAnsi" w:hAnsiTheme="majorHAnsi" w:cs="Arial"/>
          <w:color w:val="auto"/>
          <w:sz w:val="16"/>
          <w:szCs w:val="16"/>
          <w:u w:val="none"/>
          <w:shd w:val="clear" w:color="auto" w:fill="FFFFFF"/>
          <w:lang w:val="es-ES"/>
        </w:rPr>
        <w:fldChar w:fldCharType="end"/>
      </w:r>
      <w:r w:rsidRPr="009B3BD2">
        <w:rPr>
          <w:rFonts w:asciiTheme="majorHAnsi" w:hAnsiTheme="majorHAnsi"/>
          <w:sz w:val="16"/>
          <w:szCs w:val="16"/>
          <w:lang w:val="es-ES"/>
        </w:rPr>
        <w:t xml:space="preserve">, </w:t>
      </w:r>
      <w:proofErr w:type="spellStart"/>
      <w:r w:rsidRPr="009B3BD2">
        <w:rPr>
          <w:rFonts w:asciiTheme="majorHAnsi" w:hAnsiTheme="majorHAnsi"/>
          <w:sz w:val="16"/>
          <w:szCs w:val="16"/>
          <w:lang w:val="es-ES"/>
        </w:rPr>
        <w:t>párrs</w:t>
      </w:r>
      <w:proofErr w:type="spellEnd"/>
      <w:r w:rsidRPr="009B3BD2">
        <w:rPr>
          <w:rFonts w:asciiTheme="majorHAnsi" w:hAnsiTheme="majorHAnsi"/>
          <w:sz w:val="16"/>
          <w:szCs w:val="16"/>
          <w:lang w:val="es-ES"/>
        </w:rPr>
        <w:t>. 126-127.</w:t>
      </w:r>
    </w:p>
  </w:footnote>
  <w:footnote w:id="90">
    <w:p w14:paraId="2F4611E3"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Style w:val="FootnoteReference"/>
          <w:rFonts w:asciiTheme="majorHAnsi" w:hAnsiTheme="majorHAnsi"/>
          <w:sz w:val="16"/>
          <w:szCs w:val="16"/>
          <w:lang w:val="es-VE"/>
        </w:rPr>
        <w:t xml:space="preserve"> </w:t>
      </w:r>
      <w:r w:rsidRPr="009B3BD2">
        <w:rPr>
          <w:rFonts w:asciiTheme="majorHAnsi" w:hAnsiTheme="majorHAnsi"/>
          <w:sz w:val="16"/>
          <w:szCs w:val="16"/>
          <w:lang w:val="es-VE"/>
        </w:rPr>
        <w:t>CIDH, Garantías para la independencia de las y los operadores de justicia. Hacia el fortalecimiento del acceso a la justicia y el estado de derecho en las Américas, OEA/</w:t>
      </w:r>
      <w:proofErr w:type="spellStart"/>
      <w:r w:rsidRPr="009B3BD2">
        <w:rPr>
          <w:rFonts w:asciiTheme="majorHAnsi" w:hAnsiTheme="majorHAnsi"/>
          <w:sz w:val="16"/>
          <w:szCs w:val="16"/>
          <w:lang w:val="es-VE"/>
        </w:rPr>
        <w:t>ser.L</w:t>
      </w:r>
      <w:proofErr w:type="spellEnd"/>
      <w:r w:rsidRPr="009B3BD2">
        <w:rPr>
          <w:rFonts w:asciiTheme="majorHAnsi" w:hAnsiTheme="majorHAnsi"/>
          <w:sz w:val="16"/>
          <w:szCs w:val="16"/>
          <w:lang w:val="es-VE"/>
        </w:rPr>
        <w:t>/V/II.Doc.44, 5 de diciembre de 2013, párr. 188.</w:t>
      </w:r>
    </w:p>
  </w:footnote>
  <w:footnote w:id="91">
    <w:p w14:paraId="2E28F67A"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Style w:val="FootnoteReference"/>
          <w:rFonts w:asciiTheme="majorHAnsi" w:hAnsiTheme="majorHAnsi"/>
          <w:sz w:val="16"/>
          <w:szCs w:val="16"/>
          <w:lang w:val="es-VE"/>
        </w:rPr>
        <w:t xml:space="preserve"> </w:t>
      </w:r>
      <w:r w:rsidRPr="009B3BD2">
        <w:rPr>
          <w:rFonts w:asciiTheme="majorHAnsi" w:hAnsiTheme="majorHAnsi"/>
          <w:sz w:val="16"/>
          <w:szCs w:val="16"/>
          <w:lang w:val="es-VE"/>
        </w:rPr>
        <w:t>CIDH, Garantías para la independencia de las y los operadores de justicia. Hacia el fortalecimiento del acceso a la justicia y el estado de derecho en las Américas, OEA/</w:t>
      </w:r>
      <w:proofErr w:type="spellStart"/>
      <w:r w:rsidRPr="009B3BD2">
        <w:rPr>
          <w:rFonts w:asciiTheme="majorHAnsi" w:hAnsiTheme="majorHAnsi"/>
          <w:sz w:val="16"/>
          <w:szCs w:val="16"/>
          <w:lang w:val="es-VE"/>
        </w:rPr>
        <w:t>ser.L</w:t>
      </w:r>
      <w:proofErr w:type="spellEnd"/>
      <w:r w:rsidRPr="009B3BD2">
        <w:rPr>
          <w:rFonts w:asciiTheme="majorHAnsi" w:hAnsiTheme="majorHAnsi"/>
          <w:sz w:val="16"/>
          <w:szCs w:val="16"/>
          <w:lang w:val="es-VE"/>
        </w:rPr>
        <w:t>/V/II.Doc.44, 5 de diciembre de 2013, párr. 200.</w:t>
      </w:r>
    </w:p>
  </w:footnote>
  <w:footnote w:id="92">
    <w:p w14:paraId="748464F5"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CIDH, Informe No. 103/13, Caso 12.816, Fondo, Adán Guillermo Lopez </w:t>
      </w:r>
      <w:proofErr w:type="spellStart"/>
      <w:r w:rsidRPr="009B3BD2">
        <w:rPr>
          <w:rFonts w:asciiTheme="majorHAnsi" w:hAnsiTheme="majorHAnsi"/>
          <w:sz w:val="16"/>
          <w:szCs w:val="16"/>
          <w:lang w:val="es-VE"/>
        </w:rPr>
        <w:t>Lone</w:t>
      </w:r>
      <w:proofErr w:type="spellEnd"/>
      <w:r w:rsidRPr="009B3BD2">
        <w:rPr>
          <w:rFonts w:asciiTheme="majorHAnsi" w:hAnsiTheme="majorHAnsi"/>
          <w:sz w:val="16"/>
          <w:szCs w:val="16"/>
          <w:lang w:val="es-VE"/>
        </w:rPr>
        <w:t xml:space="preserve"> y otros, Honduras, 5 de noviembre de 2013, párr.136.</w:t>
      </w:r>
    </w:p>
  </w:footnote>
  <w:footnote w:id="93">
    <w:p w14:paraId="16220584"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Style w:val="FootnoteReference"/>
          <w:rFonts w:asciiTheme="majorHAnsi" w:hAnsiTheme="majorHAnsi"/>
          <w:sz w:val="16"/>
          <w:szCs w:val="16"/>
          <w:lang w:val="es-VE"/>
        </w:rPr>
        <w:t xml:space="preserve"> </w:t>
      </w:r>
      <w:r w:rsidRPr="009B3BD2">
        <w:rPr>
          <w:rFonts w:asciiTheme="majorHAnsi" w:hAnsiTheme="majorHAnsi"/>
          <w:sz w:val="16"/>
          <w:szCs w:val="16"/>
          <w:lang w:val="es-VE"/>
        </w:rPr>
        <w:t>CIDH, Garantías para la independencia de las y los operadores de justicia. Hacia el fortalecimiento del acceso a la justicia y el estado de derecho en las Américas, OEA/</w:t>
      </w:r>
      <w:proofErr w:type="spellStart"/>
      <w:r w:rsidRPr="009B3BD2">
        <w:rPr>
          <w:rFonts w:asciiTheme="majorHAnsi" w:hAnsiTheme="majorHAnsi"/>
          <w:sz w:val="16"/>
          <w:szCs w:val="16"/>
          <w:lang w:val="es-VE"/>
        </w:rPr>
        <w:t>ser.L</w:t>
      </w:r>
      <w:proofErr w:type="spellEnd"/>
      <w:r w:rsidRPr="009B3BD2">
        <w:rPr>
          <w:rFonts w:asciiTheme="majorHAnsi" w:hAnsiTheme="majorHAnsi"/>
          <w:sz w:val="16"/>
          <w:szCs w:val="16"/>
          <w:lang w:val="es-VE"/>
        </w:rPr>
        <w:t>/V/II.Doc.44, 5 de diciembre de 2013, párr. 200.</w:t>
      </w:r>
    </w:p>
  </w:footnote>
  <w:footnote w:id="94">
    <w:p w14:paraId="323A4BD5"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Style w:val="FootnoteReference"/>
          <w:rFonts w:asciiTheme="majorHAnsi" w:hAnsiTheme="majorHAnsi"/>
          <w:sz w:val="16"/>
          <w:szCs w:val="16"/>
          <w:lang w:val="es-VE"/>
        </w:rPr>
        <w:t xml:space="preserve"> </w:t>
      </w:r>
      <w:r w:rsidRPr="009B3BD2">
        <w:rPr>
          <w:rFonts w:asciiTheme="majorHAnsi" w:hAnsiTheme="majorHAnsi"/>
          <w:sz w:val="16"/>
          <w:szCs w:val="16"/>
          <w:lang w:val="es-VE"/>
        </w:rPr>
        <w:t>CIDH, Garantías para la independencia de las y los operadores de justicia. Hacia el fortalecimiento del acceso a la justicia y el estado de derecho en las Américas, OEA/</w:t>
      </w:r>
      <w:proofErr w:type="spellStart"/>
      <w:r w:rsidRPr="009B3BD2">
        <w:rPr>
          <w:rFonts w:asciiTheme="majorHAnsi" w:hAnsiTheme="majorHAnsi"/>
          <w:sz w:val="16"/>
          <w:szCs w:val="16"/>
          <w:lang w:val="es-VE"/>
        </w:rPr>
        <w:t>ser.L</w:t>
      </w:r>
      <w:proofErr w:type="spellEnd"/>
      <w:r w:rsidRPr="009B3BD2">
        <w:rPr>
          <w:rFonts w:asciiTheme="majorHAnsi" w:hAnsiTheme="majorHAnsi"/>
          <w:sz w:val="16"/>
          <w:szCs w:val="16"/>
          <w:lang w:val="es-VE"/>
        </w:rPr>
        <w:t xml:space="preserve">/V/II.Doc.44, 5 de diciembre de 2013, párr. 235; Corte IDH, </w:t>
      </w:r>
      <w:r w:rsidRPr="009B3BD2">
        <w:rPr>
          <w:rFonts w:asciiTheme="majorHAnsi" w:hAnsiTheme="majorHAnsi"/>
          <w:bCs/>
          <w:i/>
          <w:sz w:val="16"/>
          <w:szCs w:val="16"/>
          <w:lang w:val="es-VE"/>
        </w:rPr>
        <w:t>Caso Vélez Loor Vs. Panamá</w:t>
      </w:r>
      <w:r w:rsidRPr="009B3BD2">
        <w:rPr>
          <w:rFonts w:asciiTheme="majorHAnsi" w:hAnsiTheme="majorHAnsi"/>
          <w:bCs/>
          <w:sz w:val="16"/>
          <w:szCs w:val="16"/>
          <w:lang w:val="es-VE"/>
        </w:rPr>
        <w:t xml:space="preserve">. </w:t>
      </w:r>
      <w:r w:rsidRPr="009B3BD2">
        <w:rPr>
          <w:rFonts w:asciiTheme="majorHAnsi" w:hAnsiTheme="majorHAnsi"/>
          <w:sz w:val="16"/>
          <w:szCs w:val="16"/>
          <w:lang w:val="es-VE"/>
        </w:rPr>
        <w:t xml:space="preserve">Excepciones Preliminares, Fondo, Reparaciones y Costas. Sentencia de 23 de noviembre de 2010. Serie C No. 218. </w:t>
      </w:r>
      <w:r w:rsidRPr="009B3BD2">
        <w:rPr>
          <w:rFonts w:asciiTheme="majorHAnsi" w:hAnsiTheme="majorHAnsi"/>
          <w:sz w:val="16"/>
          <w:szCs w:val="16"/>
          <w:lang w:val="es-ES_tradnl"/>
        </w:rPr>
        <w:t>Párr. 179.</w:t>
      </w:r>
    </w:p>
  </w:footnote>
  <w:footnote w:id="95">
    <w:p w14:paraId="017BEAAC" w14:textId="01784A42"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CIDH, Informe No. 33/14, Caso 12.820, </w:t>
      </w:r>
      <w:proofErr w:type="spellStart"/>
      <w:r w:rsidRPr="009B3BD2">
        <w:rPr>
          <w:rFonts w:asciiTheme="majorHAnsi" w:hAnsiTheme="majorHAnsi"/>
          <w:sz w:val="16"/>
          <w:szCs w:val="16"/>
          <w:lang w:val="es-VE"/>
        </w:rPr>
        <w:t>Manfred</w:t>
      </w:r>
      <w:proofErr w:type="spellEnd"/>
      <w:r w:rsidRPr="009B3BD2">
        <w:rPr>
          <w:rFonts w:asciiTheme="majorHAnsi" w:hAnsiTheme="majorHAnsi"/>
          <w:sz w:val="16"/>
          <w:szCs w:val="16"/>
          <w:lang w:val="es-VE"/>
        </w:rPr>
        <w:t xml:space="preserve"> </w:t>
      </w:r>
      <w:proofErr w:type="spellStart"/>
      <w:r w:rsidRPr="009B3BD2">
        <w:rPr>
          <w:rFonts w:asciiTheme="majorHAnsi" w:hAnsiTheme="majorHAnsi"/>
          <w:sz w:val="16"/>
          <w:szCs w:val="16"/>
          <w:lang w:val="es-VE"/>
        </w:rPr>
        <w:t>Amrhein</w:t>
      </w:r>
      <w:proofErr w:type="spellEnd"/>
      <w:r w:rsidRPr="009B3BD2">
        <w:rPr>
          <w:rFonts w:asciiTheme="majorHAnsi" w:hAnsiTheme="majorHAnsi"/>
          <w:sz w:val="16"/>
          <w:szCs w:val="16"/>
          <w:lang w:val="es-VE"/>
        </w:rPr>
        <w:t xml:space="preserve"> y otros, Costa Rica. 4 de abril de 2014, párr.186.</w:t>
      </w:r>
    </w:p>
  </w:footnote>
  <w:footnote w:id="96">
    <w:p w14:paraId="09E6761F" w14:textId="110A7EE6"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CIDH, Informe No. 33/14, Caso 12.820, </w:t>
      </w:r>
      <w:proofErr w:type="spellStart"/>
      <w:r w:rsidRPr="009B3BD2">
        <w:rPr>
          <w:rFonts w:asciiTheme="majorHAnsi" w:hAnsiTheme="majorHAnsi"/>
          <w:sz w:val="16"/>
          <w:szCs w:val="16"/>
          <w:lang w:val="es-VE"/>
        </w:rPr>
        <w:t>Manfred</w:t>
      </w:r>
      <w:proofErr w:type="spellEnd"/>
      <w:r w:rsidRPr="009B3BD2">
        <w:rPr>
          <w:rFonts w:asciiTheme="majorHAnsi" w:hAnsiTheme="majorHAnsi"/>
          <w:sz w:val="16"/>
          <w:szCs w:val="16"/>
          <w:lang w:val="es-VE"/>
        </w:rPr>
        <w:t xml:space="preserve"> </w:t>
      </w:r>
      <w:proofErr w:type="spellStart"/>
      <w:r w:rsidRPr="009B3BD2">
        <w:rPr>
          <w:rFonts w:asciiTheme="majorHAnsi" w:hAnsiTheme="majorHAnsi"/>
          <w:sz w:val="16"/>
          <w:szCs w:val="16"/>
          <w:lang w:val="es-VE"/>
        </w:rPr>
        <w:t>Amrhein</w:t>
      </w:r>
      <w:proofErr w:type="spellEnd"/>
      <w:r w:rsidRPr="009B3BD2">
        <w:rPr>
          <w:rFonts w:asciiTheme="majorHAnsi" w:hAnsiTheme="majorHAnsi"/>
          <w:sz w:val="16"/>
          <w:szCs w:val="16"/>
          <w:lang w:val="es-VE"/>
        </w:rPr>
        <w:t xml:space="preserve"> y otros, Costa Rica. 4 de abril de 2014, párr.186.</w:t>
      </w:r>
    </w:p>
  </w:footnote>
  <w:footnote w:id="97">
    <w:p w14:paraId="694E2820" w14:textId="719B7E91"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CIDH, Informe No. 33/14, Caso 12.820, </w:t>
      </w:r>
      <w:proofErr w:type="spellStart"/>
      <w:r w:rsidRPr="009B3BD2">
        <w:rPr>
          <w:rFonts w:asciiTheme="majorHAnsi" w:hAnsiTheme="majorHAnsi"/>
          <w:sz w:val="16"/>
          <w:szCs w:val="16"/>
          <w:lang w:val="es-VE"/>
        </w:rPr>
        <w:t>Manfred</w:t>
      </w:r>
      <w:proofErr w:type="spellEnd"/>
      <w:r w:rsidRPr="009B3BD2">
        <w:rPr>
          <w:rFonts w:asciiTheme="majorHAnsi" w:hAnsiTheme="majorHAnsi"/>
          <w:sz w:val="16"/>
          <w:szCs w:val="16"/>
          <w:lang w:val="es-VE"/>
        </w:rPr>
        <w:t xml:space="preserve"> </w:t>
      </w:r>
      <w:proofErr w:type="spellStart"/>
      <w:r w:rsidRPr="009B3BD2">
        <w:rPr>
          <w:rFonts w:asciiTheme="majorHAnsi" w:hAnsiTheme="majorHAnsi"/>
          <w:sz w:val="16"/>
          <w:szCs w:val="16"/>
          <w:lang w:val="es-VE"/>
        </w:rPr>
        <w:t>Amrhein</w:t>
      </w:r>
      <w:proofErr w:type="spellEnd"/>
      <w:r w:rsidRPr="009B3BD2">
        <w:rPr>
          <w:rFonts w:asciiTheme="majorHAnsi" w:hAnsiTheme="majorHAnsi"/>
          <w:sz w:val="16"/>
          <w:szCs w:val="16"/>
          <w:lang w:val="es-VE"/>
        </w:rPr>
        <w:t xml:space="preserve"> y otros, Costa Rica. 4 de abril de 2014, párr.186 y ss.</w:t>
      </w:r>
    </w:p>
  </w:footnote>
  <w:footnote w:id="98">
    <w:p w14:paraId="7666470D" w14:textId="77777777" w:rsidR="00B63908" w:rsidRPr="009B3BD2" w:rsidRDefault="00B63908" w:rsidP="00A14B6C">
      <w:pPr>
        <w:tabs>
          <w:tab w:val="left" w:pos="180"/>
          <w:tab w:val="left" w:pos="900"/>
          <w:tab w:val="left" w:pos="1080"/>
        </w:tabs>
        <w:spacing w:after="120"/>
        <w:ind w:firstLine="720"/>
        <w:jc w:val="both"/>
        <w:rPr>
          <w:rFonts w:asciiTheme="majorHAnsi" w:hAnsiTheme="majorHAnsi"/>
          <w:sz w:val="16"/>
          <w:szCs w:val="16"/>
          <w:lang w:val="es-CO"/>
        </w:rPr>
      </w:pPr>
      <w:r w:rsidRPr="009B3BD2">
        <w:rPr>
          <w:rStyle w:val="FootnoteReference"/>
          <w:rFonts w:asciiTheme="majorHAnsi" w:hAnsiTheme="majorHAnsi"/>
          <w:sz w:val="16"/>
          <w:szCs w:val="16"/>
        </w:rPr>
        <w:footnoteRef/>
      </w:r>
      <w:r w:rsidRPr="009B3BD2">
        <w:rPr>
          <w:rFonts w:asciiTheme="majorHAnsi" w:hAnsiTheme="majorHAnsi"/>
          <w:color w:val="000000"/>
          <w:sz w:val="16"/>
          <w:szCs w:val="16"/>
          <w:lang w:val="es-CO"/>
        </w:rPr>
        <w:t xml:space="preserve">Corte IDH, </w:t>
      </w:r>
      <w:r w:rsidRPr="009B3BD2">
        <w:rPr>
          <w:rFonts w:asciiTheme="majorHAnsi" w:hAnsiTheme="majorHAnsi"/>
          <w:bCs/>
          <w:color w:val="000000"/>
          <w:sz w:val="16"/>
          <w:szCs w:val="16"/>
          <w:lang w:val="es-CO"/>
        </w:rPr>
        <w:t xml:space="preserve">Caso Trabajadores Cesados del Congreso (Aguado Alfaro y otros). </w:t>
      </w:r>
      <w:r w:rsidRPr="009B3BD2">
        <w:rPr>
          <w:rFonts w:asciiTheme="majorHAnsi" w:hAnsiTheme="majorHAnsi"/>
          <w:color w:val="000000"/>
          <w:sz w:val="16"/>
          <w:szCs w:val="16"/>
          <w:lang w:val="es-CO"/>
        </w:rPr>
        <w:t xml:space="preserve">Sentencia sobre Excepciones Preliminares, Fondo, Reparaciones y Costas. Sentencia de 24 de Noviembre de 2006. Serie C No. 158. Párr. 125; Corte IDH, </w:t>
      </w:r>
      <w:r w:rsidRPr="009B3BD2">
        <w:rPr>
          <w:rFonts w:asciiTheme="majorHAnsi" w:hAnsiTheme="majorHAnsi"/>
          <w:bCs/>
          <w:color w:val="000000"/>
          <w:sz w:val="16"/>
          <w:szCs w:val="16"/>
          <w:lang w:val="es-CO"/>
        </w:rPr>
        <w:t xml:space="preserve">Caso Comunidad Indígena </w:t>
      </w:r>
      <w:proofErr w:type="spellStart"/>
      <w:r w:rsidRPr="009B3BD2">
        <w:rPr>
          <w:rFonts w:asciiTheme="majorHAnsi" w:hAnsiTheme="majorHAnsi"/>
          <w:bCs/>
          <w:color w:val="000000"/>
          <w:sz w:val="16"/>
          <w:szCs w:val="16"/>
          <w:lang w:val="es-CO"/>
        </w:rPr>
        <w:t>Yakye</w:t>
      </w:r>
      <w:proofErr w:type="spellEnd"/>
      <w:r w:rsidRPr="009B3BD2">
        <w:rPr>
          <w:rFonts w:asciiTheme="majorHAnsi" w:hAnsiTheme="majorHAnsi"/>
          <w:bCs/>
          <w:color w:val="000000"/>
          <w:sz w:val="16"/>
          <w:szCs w:val="16"/>
          <w:lang w:val="es-CO"/>
        </w:rPr>
        <w:t xml:space="preserve"> Axa. </w:t>
      </w:r>
      <w:r w:rsidRPr="009B3BD2">
        <w:rPr>
          <w:rFonts w:asciiTheme="majorHAnsi" w:hAnsiTheme="majorHAnsi"/>
          <w:color w:val="000000"/>
          <w:sz w:val="16"/>
          <w:szCs w:val="16"/>
          <w:lang w:val="es-CO"/>
        </w:rPr>
        <w:t>Sentencia 17 de junio de 2005. Serie C No. 125</w:t>
      </w:r>
      <w:r w:rsidRPr="009B3BD2">
        <w:rPr>
          <w:rFonts w:asciiTheme="majorHAnsi" w:hAnsiTheme="majorHAnsi"/>
          <w:sz w:val="16"/>
          <w:szCs w:val="16"/>
          <w:lang w:val="es-CO"/>
        </w:rPr>
        <w:t xml:space="preserve">. Párr.  61; </w:t>
      </w:r>
      <w:r w:rsidRPr="009B3BD2">
        <w:rPr>
          <w:rFonts w:asciiTheme="majorHAnsi" w:hAnsiTheme="majorHAnsi"/>
          <w:color w:val="000000"/>
          <w:sz w:val="16"/>
          <w:szCs w:val="16"/>
          <w:lang w:val="es-CO"/>
        </w:rPr>
        <w:t xml:space="preserve">Corte IDH, </w:t>
      </w:r>
      <w:r w:rsidRPr="009B3BD2">
        <w:rPr>
          <w:rFonts w:asciiTheme="majorHAnsi" w:hAnsiTheme="majorHAnsi"/>
          <w:bCs/>
          <w:color w:val="000000"/>
          <w:sz w:val="16"/>
          <w:szCs w:val="16"/>
          <w:lang w:val="es-CO"/>
        </w:rPr>
        <w:t xml:space="preserve">Caso "Cinco Pensionistas". </w:t>
      </w:r>
      <w:r w:rsidRPr="009B3BD2">
        <w:rPr>
          <w:rFonts w:asciiTheme="majorHAnsi" w:hAnsiTheme="majorHAnsi"/>
          <w:color w:val="000000"/>
          <w:sz w:val="16"/>
          <w:szCs w:val="16"/>
          <w:lang w:val="es-CO"/>
        </w:rPr>
        <w:t>Sentencia de 28 de febrero de 2003. Serie C No. 98</w:t>
      </w:r>
      <w:r w:rsidRPr="009B3BD2">
        <w:rPr>
          <w:rFonts w:asciiTheme="majorHAnsi" w:hAnsiTheme="majorHAnsi"/>
          <w:sz w:val="16"/>
          <w:szCs w:val="16"/>
          <w:lang w:val="es-CO"/>
        </w:rPr>
        <w:t>. Párr. 136.</w:t>
      </w:r>
    </w:p>
  </w:footnote>
  <w:footnote w:id="99">
    <w:p w14:paraId="4CC0A3C6" w14:textId="77777777" w:rsidR="00B63908" w:rsidRPr="009B3BD2" w:rsidRDefault="00B63908" w:rsidP="00A14B6C">
      <w:pPr>
        <w:pStyle w:val="FootnoteText"/>
        <w:spacing w:after="120"/>
        <w:ind w:firstLine="720"/>
        <w:jc w:val="both"/>
        <w:rPr>
          <w:rFonts w:asciiTheme="majorHAnsi" w:hAnsiTheme="majorHAnsi"/>
          <w:sz w:val="16"/>
          <w:szCs w:val="16"/>
          <w:lang w:val="es-CO"/>
        </w:rPr>
      </w:pPr>
      <w:r w:rsidRPr="009B3BD2">
        <w:rPr>
          <w:rStyle w:val="FootnoteReference"/>
          <w:rFonts w:asciiTheme="majorHAnsi" w:hAnsiTheme="majorHAnsi"/>
          <w:sz w:val="16"/>
          <w:szCs w:val="16"/>
        </w:rPr>
        <w:footnoteRef/>
      </w:r>
      <w:r w:rsidRPr="009B3BD2">
        <w:rPr>
          <w:rFonts w:asciiTheme="majorHAnsi" w:hAnsiTheme="majorHAnsi"/>
          <w:sz w:val="16"/>
          <w:szCs w:val="16"/>
          <w:lang w:val="es-CO"/>
        </w:rPr>
        <w:t xml:space="preserve"> CIDH, Informe No. 75/15, Caso 12.923. Fondo. Rocío San Miguel Sosa y otras. Venezuela. 28 de octubre de 2015, párr.200; </w:t>
      </w:r>
      <w:r w:rsidRPr="009B3BD2">
        <w:rPr>
          <w:rFonts w:asciiTheme="majorHAnsi" w:hAnsiTheme="majorHAnsi"/>
          <w:sz w:val="16"/>
          <w:szCs w:val="16"/>
          <w:lang w:val="es-VE"/>
        </w:rPr>
        <w:t xml:space="preserve">Corte IDH, Caso </w:t>
      </w:r>
      <w:proofErr w:type="spellStart"/>
      <w:r w:rsidRPr="009B3BD2">
        <w:rPr>
          <w:rFonts w:asciiTheme="majorHAnsi" w:hAnsiTheme="majorHAnsi"/>
          <w:sz w:val="16"/>
          <w:szCs w:val="16"/>
          <w:lang w:val="es-VE"/>
        </w:rPr>
        <w:t>Kawas</w:t>
      </w:r>
      <w:proofErr w:type="spellEnd"/>
      <w:r w:rsidRPr="009B3BD2">
        <w:rPr>
          <w:rFonts w:asciiTheme="majorHAnsi" w:hAnsiTheme="majorHAnsi"/>
          <w:sz w:val="16"/>
          <w:szCs w:val="16"/>
          <w:lang w:val="es-VE"/>
        </w:rPr>
        <w:t xml:space="preserve"> Fernández vs Honduras, Fondo, Reparaciones y Costas. Sentencia de 3 de abril de 2009, Serie C No. 196, párr.112.</w:t>
      </w:r>
    </w:p>
  </w:footnote>
  <w:footnote w:id="100">
    <w:p w14:paraId="1557CC0F" w14:textId="7777777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Ver por ejemplo Sala Plena de lo Contencioso Administrativo del Consejo de Estado, Decisión del Recurso de nulidad en el caso de Piedad </w:t>
      </w:r>
      <w:proofErr w:type="spellStart"/>
      <w:r w:rsidRPr="009B3BD2">
        <w:rPr>
          <w:rFonts w:asciiTheme="majorHAnsi" w:hAnsiTheme="majorHAnsi"/>
          <w:sz w:val="16"/>
          <w:szCs w:val="16"/>
          <w:lang w:val="es-VE"/>
        </w:rPr>
        <w:t>Esneda</w:t>
      </w:r>
      <w:proofErr w:type="spellEnd"/>
      <w:r w:rsidRPr="009B3BD2">
        <w:rPr>
          <w:rFonts w:asciiTheme="majorHAnsi" w:hAnsiTheme="majorHAnsi"/>
          <w:sz w:val="16"/>
          <w:szCs w:val="16"/>
          <w:lang w:val="es-VE"/>
        </w:rPr>
        <w:t xml:space="preserve"> Córdoba Ruiz, 9 de agosto de 2016, pág.19;  Sala de lo Contencioso Administrativo del Consejo de Estado, Sección Segunda, Subsección A, Decisión del recurso de nulidad en el caso de Fabio Alonso Salazar Jaramillo, 26 de marzo de 2014.  </w:t>
      </w:r>
    </w:p>
  </w:footnote>
  <w:footnote w:id="101">
    <w:p w14:paraId="643C08DB" w14:textId="77777777" w:rsidR="00B63908" w:rsidRPr="009B3BD2" w:rsidRDefault="00B63908" w:rsidP="00A14B6C">
      <w:pPr>
        <w:pStyle w:val="FootnoteText"/>
        <w:spacing w:after="120"/>
        <w:ind w:firstLine="720"/>
        <w:jc w:val="both"/>
        <w:rPr>
          <w:rFonts w:asciiTheme="majorHAnsi" w:hAnsiTheme="majorHAnsi"/>
          <w:sz w:val="16"/>
          <w:szCs w:val="16"/>
          <w:lang w:val="es-CO"/>
        </w:rPr>
      </w:pPr>
      <w:r w:rsidRPr="009B3BD2">
        <w:rPr>
          <w:rStyle w:val="FootnoteReference"/>
          <w:rFonts w:asciiTheme="majorHAnsi" w:hAnsiTheme="majorHAnsi"/>
          <w:sz w:val="16"/>
          <w:szCs w:val="16"/>
        </w:rPr>
        <w:footnoteRef/>
      </w:r>
      <w:r w:rsidRPr="009B3BD2">
        <w:rPr>
          <w:rFonts w:asciiTheme="majorHAnsi" w:hAnsiTheme="majorHAnsi"/>
          <w:sz w:val="16"/>
          <w:szCs w:val="16"/>
          <w:lang w:val="es-CO"/>
        </w:rPr>
        <w:t xml:space="preserve"> El artículo 24 de la Convención Americana establece: todas las personas son iguales ante la ley. En consecuencia, tienen derecho, sin discriminación, a igual protección de la ley. </w:t>
      </w:r>
    </w:p>
  </w:footnote>
  <w:footnote w:id="102">
    <w:p w14:paraId="6E2C963E" w14:textId="77777777" w:rsidR="00B63908" w:rsidRPr="009B3BD2" w:rsidRDefault="00B63908" w:rsidP="00A14B6C">
      <w:pPr>
        <w:pStyle w:val="FootnoteText"/>
        <w:spacing w:after="120"/>
        <w:ind w:firstLine="720"/>
        <w:jc w:val="both"/>
        <w:rPr>
          <w:rFonts w:asciiTheme="majorHAnsi" w:hAnsiTheme="majorHAnsi"/>
          <w:sz w:val="16"/>
          <w:szCs w:val="16"/>
          <w:lang w:val="es-CO"/>
        </w:rPr>
      </w:pPr>
      <w:r w:rsidRPr="009B3BD2">
        <w:rPr>
          <w:rStyle w:val="FootnoteReference"/>
          <w:rFonts w:asciiTheme="majorHAnsi" w:hAnsiTheme="majorHAnsi"/>
          <w:sz w:val="16"/>
          <w:szCs w:val="16"/>
        </w:rPr>
        <w:footnoteRef/>
      </w:r>
      <w:r w:rsidRPr="009B3BD2">
        <w:rPr>
          <w:rFonts w:asciiTheme="majorHAnsi" w:hAnsiTheme="majorHAnsi"/>
          <w:sz w:val="16"/>
          <w:szCs w:val="16"/>
          <w:lang w:val="es-CO"/>
        </w:rPr>
        <w:t xml:space="preserve"> El artículo 25 de la Convención Americana establece en lo pertinente: </w:t>
      </w:r>
      <w:r w:rsidRPr="009B3BD2">
        <w:rPr>
          <w:rFonts w:asciiTheme="majorHAnsi" w:hAnsiTheme="majorHAnsi" w:cs="Tahoma"/>
          <w:sz w:val="16"/>
          <w:szCs w:val="16"/>
          <w:lang w:val="es-VE"/>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r w:rsidRPr="009B3BD2">
        <w:rPr>
          <w:rFonts w:asciiTheme="majorHAnsi" w:hAnsiTheme="majorHAnsi"/>
          <w:sz w:val="16"/>
          <w:szCs w:val="16"/>
          <w:lang w:val="es-CO"/>
        </w:rPr>
        <w:t xml:space="preserve"> </w:t>
      </w:r>
    </w:p>
  </w:footnote>
  <w:footnote w:id="103">
    <w:p w14:paraId="3F8CBCD0" w14:textId="77777777" w:rsidR="00B63908" w:rsidRPr="009B3BD2" w:rsidRDefault="00B63908" w:rsidP="00A14B6C">
      <w:pPr>
        <w:pStyle w:val="FootnoteText"/>
        <w:spacing w:after="120"/>
        <w:ind w:firstLine="720"/>
        <w:jc w:val="both"/>
        <w:rPr>
          <w:rFonts w:asciiTheme="majorHAnsi" w:hAnsiTheme="majorHAnsi"/>
          <w:sz w:val="16"/>
          <w:szCs w:val="16"/>
          <w:lang w:val="es-CO"/>
        </w:rPr>
      </w:pPr>
      <w:r w:rsidRPr="009B3BD2">
        <w:rPr>
          <w:rStyle w:val="FootnoteReference"/>
          <w:rFonts w:asciiTheme="majorHAnsi" w:hAnsiTheme="majorHAnsi"/>
          <w:sz w:val="16"/>
          <w:szCs w:val="16"/>
        </w:rPr>
        <w:footnoteRef/>
      </w:r>
      <w:r w:rsidRPr="009B3BD2">
        <w:rPr>
          <w:rFonts w:asciiTheme="majorHAnsi" w:hAnsiTheme="majorHAnsi"/>
          <w:sz w:val="16"/>
          <w:szCs w:val="16"/>
          <w:lang w:val="es-CO"/>
        </w:rPr>
        <w:t xml:space="preserve"> </w:t>
      </w:r>
      <w:r w:rsidRPr="009B3BD2">
        <w:rPr>
          <w:rFonts w:asciiTheme="majorHAnsi" w:hAnsiTheme="majorHAnsi"/>
          <w:sz w:val="16"/>
          <w:szCs w:val="16"/>
          <w:lang w:val="es-ES_tradnl"/>
        </w:rPr>
        <w:t xml:space="preserve">Corte IDH, </w:t>
      </w:r>
      <w:r w:rsidRPr="009B3BD2">
        <w:rPr>
          <w:rFonts w:asciiTheme="majorHAnsi" w:hAnsiTheme="majorHAnsi"/>
          <w:iCs/>
          <w:sz w:val="16"/>
          <w:szCs w:val="16"/>
          <w:lang w:val="es-ES_tradnl"/>
        </w:rPr>
        <w:t>Condición Jurídica y Derechos de los Migrantes Indocumentados.</w:t>
      </w:r>
      <w:r w:rsidRPr="009B3BD2">
        <w:rPr>
          <w:rFonts w:asciiTheme="majorHAnsi" w:hAnsiTheme="majorHAnsi"/>
          <w:sz w:val="16"/>
          <w:szCs w:val="16"/>
          <w:lang w:val="es-ES_tradnl"/>
        </w:rPr>
        <w:t xml:space="preserve"> Opinión Consultiva OC-18/03 de 17 de septiembre  de 2003. Serie A No. 18</w:t>
      </w:r>
      <w:r w:rsidRPr="009B3BD2">
        <w:rPr>
          <w:rFonts w:asciiTheme="majorHAnsi" w:hAnsiTheme="majorHAnsi"/>
          <w:sz w:val="16"/>
          <w:szCs w:val="16"/>
          <w:lang w:val="es-ES"/>
        </w:rPr>
        <w:t xml:space="preserve">, </w:t>
      </w:r>
      <w:r w:rsidRPr="009B3BD2">
        <w:rPr>
          <w:rFonts w:asciiTheme="majorHAnsi" w:hAnsiTheme="majorHAnsi"/>
          <w:sz w:val="16"/>
          <w:szCs w:val="16"/>
          <w:lang w:val="es-ES_tradnl"/>
        </w:rPr>
        <w:t>párr. 173 (5).</w:t>
      </w:r>
    </w:p>
  </w:footnote>
  <w:footnote w:id="104">
    <w:p w14:paraId="15344DCF" w14:textId="77777777" w:rsidR="00B63908" w:rsidRPr="009B3BD2" w:rsidRDefault="00B63908" w:rsidP="00A14B6C">
      <w:pPr>
        <w:pStyle w:val="FootnoteText"/>
        <w:tabs>
          <w:tab w:val="left" w:pos="567"/>
        </w:tabs>
        <w:spacing w:after="120"/>
        <w:ind w:firstLine="720"/>
        <w:jc w:val="both"/>
        <w:rPr>
          <w:rFonts w:asciiTheme="majorHAnsi" w:hAnsiTheme="majorHAnsi" w:cs="Arial"/>
          <w:iCs/>
          <w:sz w:val="16"/>
          <w:szCs w:val="16"/>
          <w:lang w:val="es-CO"/>
        </w:rPr>
      </w:pPr>
      <w:r w:rsidRPr="009B3BD2">
        <w:rPr>
          <w:rStyle w:val="FootnoteReference"/>
          <w:rFonts w:asciiTheme="majorHAnsi" w:hAnsiTheme="majorHAnsi"/>
          <w:sz w:val="16"/>
          <w:szCs w:val="16"/>
        </w:rPr>
        <w:footnoteRef/>
      </w:r>
      <w:r w:rsidRPr="009B3BD2">
        <w:rPr>
          <w:rFonts w:asciiTheme="majorHAnsi" w:hAnsiTheme="majorHAnsi"/>
          <w:sz w:val="16"/>
          <w:szCs w:val="16"/>
          <w:lang w:val="es-CO"/>
        </w:rPr>
        <w:t xml:space="preserve"> Cfr. </w:t>
      </w:r>
      <w:r w:rsidRPr="009B3BD2">
        <w:rPr>
          <w:rFonts w:asciiTheme="majorHAnsi" w:hAnsiTheme="majorHAnsi" w:cs="Arial"/>
          <w:iCs/>
          <w:sz w:val="16"/>
          <w:szCs w:val="16"/>
          <w:lang w:val="es-CO"/>
        </w:rPr>
        <w:t>Condición Jurídica y Derechos de los Migrantes Indocumentados</w:t>
      </w:r>
      <w:r w:rsidRPr="009B3BD2">
        <w:rPr>
          <w:rFonts w:asciiTheme="majorHAnsi" w:hAnsiTheme="majorHAnsi" w:cs="Arial"/>
          <w:sz w:val="16"/>
          <w:szCs w:val="16"/>
          <w:lang w:val="es-CO"/>
        </w:rPr>
        <w:t>,</w:t>
      </w:r>
      <w:r w:rsidRPr="009B3BD2">
        <w:rPr>
          <w:rFonts w:asciiTheme="majorHAnsi" w:hAnsiTheme="majorHAnsi" w:cs="Arial"/>
          <w:iCs/>
          <w:sz w:val="16"/>
          <w:szCs w:val="16"/>
          <w:lang w:val="es-CO"/>
        </w:rPr>
        <w:t xml:space="preserve"> </w:t>
      </w:r>
      <w:r w:rsidRPr="009B3BD2">
        <w:rPr>
          <w:rFonts w:asciiTheme="majorHAnsi" w:hAnsiTheme="majorHAnsi" w:cs="Arial"/>
          <w:sz w:val="16"/>
          <w:szCs w:val="16"/>
          <w:lang w:val="es-CO"/>
        </w:rPr>
        <w:t>párr. 101, y</w:t>
      </w:r>
      <w:r w:rsidRPr="009B3BD2">
        <w:rPr>
          <w:rStyle w:val="Strong"/>
          <w:rFonts w:asciiTheme="majorHAnsi" w:hAnsiTheme="majorHAnsi"/>
          <w:b w:val="0"/>
          <w:sz w:val="16"/>
          <w:szCs w:val="16"/>
          <w:shd w:val="clear" w:color="auto" w:fill="FFFFFF"/>
          <w:lang w:val="es-CO"/>
        </w:rPr>
        <w:t xml:space="preserve"> Caso Espinoza Gonzáles Vs. Perú. Excepciones Preliminares, párr. 216.</w:t>
      </w:r>
    </w:p>
  </w:footnote>
  <w:footnote w:id="105">
    <w:p w14:paraId="4702D313" w14:textId="77777777" w:rsidR="00B63908" w:rsidRPr="009B3BD2" w:rsidRDefault="00B63908" w:rsidP="00A14B6C">
      <w:pPr>
        <w:pStyle w:val="FootnoteText"/>
        <w:tabs>
          <w:tab w:val="left" w:pos="360"/>
        </w:tabs>
        <w:spacing w:after="120"/>
        <w:ind w:firstLine="720"/>
        <w:jc w:val="both"/>
        <w:rPr>
          <w:rFonts w:asciiTheme="majorHAnsi" w:hAnsiTheme="majorHAnsi"/>
          <w:sz w:val="16"/>
          <w:szCs w:val="16"/>
          <w:lang w:val="es-VE"/>
        </w:rPr>
      </w:pPr>
      <w:r w:rsidRPr="009B3BD2">
        <w:rPr>
          <w:rFonts w:asciiTheme="majorHAnsi" w:hAnsiTheme="majorHAnsi"/>
          <w:sz w:val="16"/>
          <w:szCs w:val="16"/>
          <w:lang w:val="es-VE"/>
        </w:rPr>
        <w:t xml:space="preserve"> </w:t>
      </w: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CIDH, Demanda ante la Corte Interamericana de Derechos humanos en el caso de Ana María </w:t>
      </w:r>
      <w:proofErr w:type="spellStart"/>
      <w:r w:rsidRPr="009B3BD2">
        <w:rPr>
          <w:rFonts w:asciiTheme="majorHAnsi" w:hAnsiTheme="majorHAnsi"/>
          <w:sz w:val="16"/>
          <w:szCs w:val="16"/>
          <w:lang w:val="es-VE"/>
        </w:rPr>
        <w:t>Ruggeri</w:t>
      </w:r>
      <w:proofErr w:type="spellEnd"/>
      <w:r w:rsidRPr="009B3BD2">
        <w:rPr>
          <w:rFonts w:asciiTheme="majorHAnsi" w:hAnsiTheme="majorHAnsi"/>
          <w:sz w:val="16"/>
          <w:szCs w:val="16"/>
          <w:lang w:val="es-VE"/>
        </w:rPr>
        <w:t xml:space="preserve"> </w:t>
      </w:r>
      <w:proofErr w:type="spellStart"/>
      <w:r w:rsidRPr="009B3BD2">
        <w:rPr>
          <w:rFonts w:asciiTheme="majorHAnsi" w:hAnsiTheme="majorHAnsi"/>
          <w:sz w:val="16"/>
          <w:szCs w:val="16"/>
          <w:lang w:val="es-VE"/>
        </w:rPr>
        <w:t>Cova</w:t>
      </w:r>
      <w:proofErr w:type="spellEnd"/>
      <w:r w:rsidRPr="009B3BD2">
        <w:rPr>
          <w:rFonts w:asciiTheme="majorHAnsi" w:hAnsiTheme="majorHAnsi"/>
          <w:sz w:val="16"/>
          <w:szCs w:val="16"/>
          <w:lang w:val="es-VE"/>
        </w:rPr>
        <w:t xml:space="preserve">, </w:t>
      </w:r>
      <w:proofErr w:type="spellStart"/>
      <w:r w:rsidRPr="009B3BD2">
        <w:rPr>
          <w:rFonts w:asciiTheme="majorHAnsi" w:hAnsiTheme="majorHAnsi"/>
          <w:sz w:val="16"/>
          <w:szCs w:val="16"/>
          <w:lang w:val="es-VE"/>
        </w:rPr>
        <w:t>Perkings</w:t>
      </w:r>
      <w:proofErr w:type="spellEnd"/>
      <w:r w:rsidRPr="009B3BD2">
        <w:rPr>
          <w:rFonts w:asciiTheme="majorHAnsi" w:hAnsiTheme="majorHAnsi"/>
          <w:sz w:val="16"/>
          <w:szCs w:val="16"/>
          <w:lang w:val="es-VE"/>
        </w:rPr>
        <w:t xml:space="preserve"> Rocha Contreras y Juan Carlos </w:t>
      </w:r>
      <w:proofErr w:type="spellStart"/>
      <w:r w:rsidRPr="009B3BD2">
        <w:rPr>
          <w:rFonts w:asciiTheme="majorHAnsi" w:hAnsiTheme="majorHAnsi"/>
          <w:sz w:val="16"/>
          <w:szCs w:val="16"/>
          <w:lang w:val="es-VE"/>
        </w:rPr>
        <w:t>Apitz</w:t>
      </w:r>
      <w:proofErr w:type="spellEnd"/>
      <w:r w:rsidRPr="009B3BD2">
        <w:rPr>
          <w:rFonts w:asciiTheme="majorHAnsi" w:hAnsiTheme="majorHAnsi"/>
          <w:sz w:val="16"/>
          <w:szCs w:val="16"/>
          <w:lang w:val="es-VE"/>
        </w:rPr>
        <w:t xml:space="preserve"> (“Corte Primera de lo Contencioso Administrativo) (Caso 12.489) contra la República Bolivariana de Venezuela, 29 de noviembre de 2006, párr. 124.  </w:t>
      </w:r>
    </w:p>
  </w:footnote>
  <w:footnote w:id="106">
    <w:p w14:paraId="526869ED" w14:textId="535D1897" w:rsidR="00B63908" w:rsidRPr="009B3BD2"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Ver por ejemplo CIDH, Informe No. 75/15, Caso 12.923. Fondo. Rocío San Miguel Sosa y otras. Venezuela. 28 de octubre de 201</w:t>
      </w:r>
      <w:r>
        <w:rPr>
          <w:rFonts w:asciiTheme="majorHAnsi" w:hAnsiTheme="majorHAnsi"/>
          <w:sz w:val="16"/>
          <w:szCs w:val="16"/>
          <w:lang w:val="es-VE"/>
        </w:rPr>
        <w:t xml:space="preserve">5,  párr.148 y </w:t>
      </w:r>
      <w:proofErr w:type="spellStart"/>
      <w:r>
        <w:rPr>
          <w:rFonts w:asciiTheme="majorHAnsi" w:hAnsiTheme="majorHAnsi"/>
          <w:sz w:val="16"/>
          <w:szCs w:val="16"/>
          <w:lang w:val="es-VE"/>
        </w:rPr>
        <w:t>ss</w:t>
      </w:r>
      <w:proofErr w:type="spellEnd"/>
      <w:r>
        <w:rPr>
          <w:rFonts w:asciiTheme="majorHAnsi" w:hAnsiTheme="majorHAnsi"/>
          <w:sz w:val="16"/>
          <w:szCs w:val="16"/>
          <w:lang w:val="es-VE"/>
        </w:rPr>
        <w:t xml:space="preserve">;  Corte IDH, </w:t>
      </w:r>
      <w:r w:rsidRPr="009B3BD2">
        <w:rPr>
          <w:rFonts w:asciiTheme="majorHAnsi" w:hAnsiTheme="majorHAnsi"/>
          <w:sz w:val="16"/>
          <w:szCs w:val="16"/>
          <w:lang w:val="es-VE"/>
        </w:rPr>
        <w:t xml:space="preserve">Caso </w:t>
      </w:r>
      <w:proofErr w:type="spellStart"/>
      <w:r w:rsidRPr="009B3BD2">
        <w:rPr>
          <w:rFonts w:asciiTheme="majorHAnsi" w:hAnsiTheme="majorHAnsi"/>
          <w:sz w:val="16"/>
          <w:szCs w:val="16"/>
          <w:lang w:val="es-VE"/>
        </w:rPr>
        <w:t>Granier</w:t>
      </w:r>
      <w:proofErr w:type="spellEnd"/>
      <w:r w:rsidRPr="009B3BD2">
        <w:rPr>
          <w:rFonts w:asciiTheme="majorHAnsi" w:hAnsiTheme="majorHAnsi"/>
          <w:sz w:val="16"/>
          <w:szCs w:val="16"/>
          <w:lang w:val="es-VE"/>
        </w:rPr>
        <w:t xml:space="preserve"> y otros (Radio Caracas Televisión) vs. Venezuela. Excepciones Preliminares, Fondo, Reparaciones y Costas. Sentencia de 22 de junio de 2015. Serie C No. 293.</w:t>
      </w:r>
    </w:p>
  </w:footnote>
  <w:footnote w:id="107">
    <w:p w14:paraId="0AB483C4" w14:textId="3CE45ACC" w:rsidR="00B63908" w:rsidRPr="00A14B6C" w:rsidRDefault="00B63908" w:rsidP="00A14B6C">
      <w:pPr>
        <w:pStyle w:val="FootnoteText"/>
        <w:spacing w:after="120"/>
        <w:ind w:firstLine="720"/>
        <w:jc w:val="both"/>
        <w:rPr>
          <w:rFonts w:asciiTheme="majorHAnsi" w:hAnsiTheme="majorHAnsi"/>
          <w:sz w:val="16"/>
          <w:szCs w:val="16"/>
          <w:lang w:val="es-VE"/>
        </w:rPr>
      </w:pPr>
      <w:r w:rsidRPr="009B3BD2">
        <w:rPr>
          <w:rStyle w:val="FootnoteReference"/>
          <w:rFonts w:asciiTheme="majorHAnsi" w:hAnsiTheme="majorHAnsi"/>
          <w:sz w:val="16"/>
          <w:szCs w:val="16"/>
        </w:rPr>
        <w:footnoteRef/>
      </w:r>
      <w:r w:rsidRPr="009B3BD2">
        <w:rPr>
          <w:rFonts w:asciiTheme="majorHAnsi" w:hAnsiTheme="majorHAnsi"/>
          <w:sz w:val="16"/>
          <w:szCs w:val="16"/>
          <w:lang w:val="es-VE"/>
        </w:rPr>
        <w:t xml:space="preserve"> Ver </w:t>
      </w:r>
      <w:r w:rsidR="001B7F04">
        <w:fldChar w:fldCharType="begin"/>
      </w:r>
      <w:r w:rsidR="001B7F04" w:rsidRPr="001B7F04">
        <w:rPr>
          <w:lang w:val="es-VE"/>
        </w:rPr>
        <w:instrText xml:space="preserve"> HYPERLINK "https://vimeo.com/205234143" </w:instrText>
      </w:r>
      <w:r w:rsidR="001B7F04">
        <w:fldChar w:fldCharType="separate"/>
      </w:r>
      <w:r w:rsidRPr="009B3BD2">
        <w:rPr>
          <w:rStyle w:val="Hyperlink"/>
          <w:rFonts w:asciiTheme="majorHAnsi" w:hAnsiTheme="majorHAnsi"/>
          <w:sz w:val="16"/>
          <w:szCs w:val="16"/>
          <w:lang w:val="es-VE"/>
        </w:rPr>
        <w:t>peritaje de Rob</w:t>
      </w:r>
      <w:r>
        <w:rPr>
          <w:rStyle w:val="Hyperlink"/>
          <w:rFonts w:asciiTheme="majorHAnsi" w:hAnsiTheme="majorHAnsi"/>
          <w:sz w:val="16"/>
          <w:szCs w:val="16"/>
          <w:lang w:val="es-VE"/>
        </w:rPr>
        <w:t xml:space="preserve">erto </w:t>
      </w:r>
      <w:proofErr w:type="spellStart"/>
      <w:r>
        <w:rPr>
          <w:rStyle w:val="Hyperlink"/>
          <w:rFonts w:asciiTheme="majorHAnsi" w:hAnsiTheme="majorHAnsi"/>
          <w:sz w:val="16"/>
          <w:szCs w:val="16"/>
          <w:lang w:val="es-VE"/>
        </w:rPr>
        <w:t>Saba</w:t>
      </w:r>
      <w:proofErr w:type="spellEnd"/>
      <w:r>
        <w:rPr>
          <w:rStyle w:val="Hyperlink"/>
          <w:rFonts w:asciiTheme="majorHAnsi" w:hAnsiTheme="majorHAnsi"/>
          <w:sz w:val="16"/>
          <w:szCs w:val="16"/>
          <w:lang w:val="es-VE"/>
        </w:rPr>
        <w:t xml:space="preserve"> en audiencia pública </w:t>
      </w:r>
      <w:r w:rsidRPr="009B3BD2">
        <w:rPr>
          <w:rStyle w:val="Hyperlink"/>
          <w:rFonts w:asciiTheme="majorHAnsi" w:hAnsiTheme="majorHAnsi"/>
          <w:sz w:val="16"/>
          <w:szCs w:val="16"/>
          <w:lang w:val="es-VE"/>
        </w:rPr>
        <w:t>del caso de Rocío San Miguel y otras vs. Venezuela ante la Corte Interamericana de Derechos Humanos.</w:t>
      </w:r>
      <w:r w:rsidR="001B7F04">
        <w:rPr>
          <w:rStyle w:val="Hyperlink"/>
          <w:rFonts w:asciiTheme="majorHAnsi" w:hAnsiTheme="majorHAnsi"/>
          <w:sz w:val="16"/>
          <w:szCs w:val="16"/>
          <w:lang w:val="es-VE"/>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512DD" w14:textId="77777777" w:rsidR="00B63908" w:rsidRDefault="00B63908"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2617023" w14:textId="77777777" w:rsidR="00B63908" w:rsidRDefault="00B63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21263" w14:textId="77777777" w:rsidR="00B63908" w:rsidRDefault="00B63908" w:rsidP="00A50FCF">
    <w:pPr>
      <w:pStyle w:val="Header"/>
      <w:tabs>
        <w:tab w:val="clear" w:pos="4320"/>
        <w:tab w:val="clear" w:pos="8640"/>
      </w:tabs>
      <w:jc w:val="center"/>
      <w:rPr>
        <w:sz w:val="22"/>
        <w:szCs w:val="22"/>
      </w:rPr>
    </w:pPr>
    <w:r>
      <w:rPr>
        <w:noProof/>
        <w:sz w:val="22"/>
        <w:szCs w:val="22"/>
      </w:rPr>
      <w:drawing>
        <wp:inline distT="0" distB="0" distL="0" distR="0" wp14:anchorId="4C7FA01D" wp14:editId="572E5CF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898554D" w14:textId="77777777" w:rsidR="00B63908" w:rsidRPr="00EC7D62" w:rsidRDefault="001B7F04" w:rsidP="00A50FCF">
    <w:pPr>
      <w:pStyle w:val="Header"/>
      <w:tabs>
        <w:tab w:val="clear" w:pos="4320"/>
        <w:tab w:val="clear" w:pos="8640"/>
      </w:tabs>
      <w:jc w:val="center"/>
      <w:rPr>
        <w:sz w:val="22"/>
        <w:szCs w:val="22"/>
      </w:rPr>
    </w:pPr>
    <w:r>
      <w:rPr>
        <w:sz w:val="22"/>
        <w:szCs w:val="22"/>
      </w:rPr>
      <w:pict w14:anchorId="28B04C50">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617288A"/>
    <w:multiLevelType w:val="hybridMultilevel"/>
    <w:tmpl w:val="181E7A66"/>
    <w:lvl w:ilvl="0" w:tplc="73C23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89363F"/>
    <w:multiLevelType w:val="hybridMultilevel"/>
    <w:tmpl w:val="3670BC26"/>
    <w:lvl w:ilvl="0" w:tplc="CC381F78">
      <w:start w:val="1"/>
      <w:numFmt w:val="decimal"/>
      <w:lvlText w:val="%1."/>
      <w:lvlJc w:val="left"/>
      <w:pPr>
        <w:tabs>
          <w:tab w:val="num" w:pos="1800"/>
        </w:tabs>
        <w:ind w:left="180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1CD000F"/>
    <w:multiLevelType w:val="hybridMultilevel"/>
    <w:tmpl w:val="3670BC26"/>
    <w:lvl w:ilvl="0" w:tplc="CC381F78">
      <w:start w:val="1"/>
      <w:numFmt w:val="decimal"/>
      <w:lvlText w:val="%1."/>
      <w:lvlJc w:val="left"/>
      <w:pPr>
        <w:tabs>
          <w:tab w:val="num" w:pos="1800"/>
        </w:tabs>
        <w:ind w:left="180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E0669FE"/>
    <w:multiLevelType w:val="hybridMultilevel"/>
    <w:tmpl w:val="CBB691FC"/>
    <w:lvl w:ilvl="0" w:tplc="EF4E0B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5E310EC"/>
    <w:multiLevelType w:val="hybridMultilevel"/>
    <w:tmpl w:val="5A560334"/>
    <w:lvl w:ilvl="0" w:tplc="4C5CDA4A">
      <w:start w:val="1"/>
      <w:numFmt w:val="decimal"/>
      <w:lvlText w:val="%1."/>
      <w:lvlJc w:val="left"/>
      <w:pPr>
        <w:tabs>
          <w:tab w:val="num" w:pos="1800"/>
        </w:tabs>
        <w:ind w:left="1800" w:hanging="360"/>
      </w:pPr>
      <w:rPr>
        <w:rFonts w:cs="Times New Roman"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CD2B87"/>
    <w:multiLevelType w:val="hybridMultilevel"/>
    <w:tmpl w:val="50C88788"/>
    <w:lvl w:ilvl="0" w:tplc="DA0A750E">
      <w:start w:val="1"/>
      <w:numFmt w:val="upperLetter"/>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3E438F6"/>
    <w:multiLevelType w:val="hybridMultilevel"/>
    <w:tmpl w:val="A54E0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55519AD"/>
    <w:multiLevelType w:val="hybridMultilevel"/>
    <w:tmpl w:val="83AAA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7455CB4"/>
    <w:multiLevelType w:val="hybridMultilevel"/>
    <w:tmpl w:val="2D8828CA"/>
    <w:lvl w:ilvl="0" w:tplc="39865BFC">
      <w:start w:val="1"/>
      <w:numFmt w:val="decimal"/>
      <w:lvlText w:val="%1."/>
      <w:lvlJc w:val="left"/>
      <w:pPr>
        <w:ind w:left="720" w:hanging="360"/>
      </w:pPr>
      <w:rPr>
        <w:rFonts w:ascii="Cambria" w:hAnsi="Cambria" w:hint="default"/>
        <w:b/>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5D7D4B9D"/>
    <w:multiLevelType w:val="hybridMultilevel"/>
    <w:tmpl w:val="B2307936"/>
    <w:lvl w:ilvl="0" w:tplc="6B228D06">
      <w:start w:val="1"/>
      <w:numFmt w:val="decimal"/>
      <w:lvlText w:val="%1."/>
      <w:lvlJc w:val="left"/>
      <w:pPr>
        <w:ind w:left="1260" w:hanging="360"/>
      </w:pPr>
      <w:rPr>
        <w:rFonts w:ascii="Cambria" w:hAnsi="Cambria" w:hint="default"/>
        <w:b w:val="0"/>
        <w:sz w:val="20"/>
        <w:szCs w:val="20"/>
        <w:lang w:val="es-C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6E3F8E"/>
    <w:multiLevelType w:val="hybridMultilevel"/>
    <w:tmpl w:val="C6AE8C80"/>
    <w:lvl w:ilvl="0" w:tplc="CC381F78">
      <w:start w:val="1"/>
      <w:numFmt w:val="decimal"/>
      <w:lvlText w:val="%1."/>
      <w:lvlJc w:val="left"/>
      <w:pPr>
        <w:tabs>
          <w:tab w:val="num" w:pos="1800"/>
        </w:tabs>
        <w:ind w:left="180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nsid w:val="66A101BB"/>
    <w:multiLevelType w:val="hybridMultilevel"/>
    <w:tmpl w:val="8BD6277A"/>
    <w:lvl w:ilvl="0" w:tplc="CB3E82CC">
      <w:start w:val="1"/>
      <w:numFmt w:val="upperRoman"/>
      <w:lvlText w:val="%1."/>
      <w:lvlJc w:val="left"/>
      <w:pPr>
        <w:tabs>
          <w:tab w:val="num" w:pos="1440"/>
        </w:tabs>
        <w:ind w:left="1440" w:hanging="720"/>
      </w:pPr>
      <w:rPr>
        <w:rFonts w:cs="Times New Roman" w:hint="default"/>
        <w:b/>
      </w:rPr>
    </w:lvl>
    <w:lvl w:ilvl="1" w:tplc="CC381F78">
      <w:start w:val="1"/>
      <w:numFmt w:val="decimal"/>
      <w:lvlText w:val="%2."/>
      <w:lvlJc w:val="left"/>
      <w:pPr>
        <w:tabs>
          <w:tab w:val="num" w:pos="1800"/>
        </w:tabs>
        <w:ind w:left="1800" w:hanging="360"/>
      </w:pPr>
      <w:rPr>
        <w:rFonts w:cs="Times New Roman" w:hint="default"/>
        <w:b/>
        <w:color w:val="aut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2"/>
  </w:num>
  <w:num w:numId="4">
    <w:abstractNumId w:val="24"/>
  </w:num>
  <w:num w:numId="5">
    <w:abstractNumId w:val="56"/>
  </w:num>
  <w:num w:numId="6">
    <w:abstractNumId w:val="30"/>
  </w:num>
  <w:num w:numId="7">
    <w:abstractNumId w:val="8"/>
  </w:num>
  <w:num w:numId="8">
    <w:abstractNumId w:val="19"/>
  </w:num>
  <w:num w:numId="9">
    <w:abstractNumId w:val="49"/>
  </w:num>
  <w:num w:numId="10">
    <w:abstractNumId w:val="1"/>
  </w:num>
  <w:num w:numId="11">
    <w:abstractNumId w:val="44"/>
  </w:num>
  <w:num w:numId="12">
    <w:abstractNumId w:val="45"/>
  </w:num>
  <w:num w:numId="13">
    <w:abstractNumId w:val="50"/>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5"/>
  </w:num>
  <w:num w:numId="28">
    <w:abstractNumId w:val="26"/>
  </w:num>
  <w:num w:numId="29">
    <w:abstractNumId w:val="27"/>
  </w:num>
  <w:num w:numId="30">
    <w:abstractNumId w:val="29"/>
  </w:num>
  <w:num w:numId="31">
    <w:abstractNumId w:val="31"/>
  </w:num>
  <w:num w:numId="32">
    <w:abstractNumId w:val="34"/>
  </w:num>
  <w:num w:numId="33">
    <w:abstractNumId w:val="35"/>
  </w:num>
  <w:num w:numId="34">
    <w:abstractNumId w:val="36"/>
  </w:num>
  <w:num w:numId="35">
    <w:abstractNumId w:val="38"/>
  </w:num>
  <w:num w:numId="36">
    <w:abstractNumId w:val="40"/>
  </w:num>
  <w:num w:numId="37">
    <w:abstractNumId w:val="42"/>
  </w:num>
  <w:num w:numId="38">
    <w:abstractNumId w:val="43"/>
  </w:num>
  <w:num w:numId="39">
    <w:abstractNumId w:val="46"/>
  </w:num>
  <w:num w:numId="40">
    <w:abstractNumId w:val="47"/>
  </w:num>
  <w:num w:numId="41">
    <w:abstractNumId w:val="55"/>
  </w:num>
  <w:num w:numId="42">
    <w:abstractNumId w:val="58"/>
  </w:num>
  <w:num w:numId="43">
    <w:abstractNumId w:val="59"/>
  </w:num>
  <w:num w:numId="44">
    <w:abstractNumId w:val="60"/>
  </w:num>
  <w:num w:numId="45">
    <w:abstractNumId w:val="61"/>
  </w:num>
  <w:num w:numId="46">
    <w:abstractNumId w:val="63"/>
  </w:num>
  <w:num w:numId="47">
    <w:abstractNumId w:val="64"/>
  </w:num>
  <w:num w:numId="48">
    <w:abstractNumId w:val="65"/>
  </w:num>
  <w:num w:numId="49">
    <w:abstractNumId w:val="67"/>
  </w:num>
  <w:num w:numId="50">
    <w:abstractNumId w:val="68"/>
  </w:num>
  <w:num w:numId="51">
    <w:abstractNumId w:val="23"/>
  </w:num>
  <w:num w:numId="52">
    <w:abstractNumId w:val="48"/>
  </w:num>
  <w:num w:numId="53">
    <w:abstractNumId w:val="51"/>
  </w:num>
  <w:num w:numId="54">
    <w:abstractNumId w:val="57"/>
  </w:num>
  <w:num w:numId="55">
    <w:abstractNumId w:val="0"/>
  </w:num>
  <w:num w:numId="56">
    <w:abstractNumId w:val="66"/>
  </w:num>
  <w:num w:numId="57">
    <w:abstractNumId w:val="32"/>
  </w:num>
  <w:num w:numId="58">
    <w:abstractNumId w:val="52"/>
  </w:num>
  <w:num w:numId="59">
    <w:abstractNumId w:val="33"/>
  </w:num>
  <w:num w:numId="60">
    <w:abstractNumId w:val="41"/>
  </w:num>
  <w:num w:numId="61">
    <w:abstractNumId w:val="28"/>
  </w:num>
  <w:num w:numId="62">
    <w:abstractNumId w:val="39"/>
  </w:num>
  <w:num w:numId="63">
    <w:abstractNumId w:val="37"/>
  </w:num>
  <w:num w:numId="64">
    <w:abstractNumId w:val="6"/>
  </w:num>
  <w:num w:numId="65">
    <w:abstractNumId w:val="22"/>
  </w:num>
  <w:num w:numId="66">
    <w:abstractNumId w:val="53"/>
  </w:num>
  <w:num w:numId="67">
    <w:abstractNumId w:val="54"/>
  </w:num>
  <w:num w:numId="68">
    <w:abstractNumId w:val="7"/>
  </w:num>
  <w:num w:numId="69">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8434"/>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2C8"/>
    <w:rsid w:val="000002EB"/>
    <w:rsid w:val="0000032A"/>
    <w:rsid w:val="0000036F"/>
    <w:rsid w:val="00000472"/>
    <w:rsid w:val="000004EA"/>
    <w:rsid w:val="00000645"/>
    <w:rsid w:val="00000CDA"/>
    <w:rsid w:val="000011BD"/>
    <w:rsid w:val="000016B0"/>
    <w:rsid w:val="000017F9"/>
    <w:rsid w:val="00001D4E"/>
    <w:rsid w:val="00001FAC"/>
    <w:rsid w:val="0000270F"/>
    <w:rsid w:val="00002E96"/>
    <w:rsid w:val="00003017"/>
    <w:rsid w:val="00003756"/>
    <w:rsid w:val="00003B3A"/>
    <w:rsid w:val="00003C0A"/>
    <w:rsid w:val="00003E8B"/>
    <w:rsid w:val="00004149"/>
    <w:rsid w:val="00004260"/>
    <w:rsid w:val="000044CD"/>
    <w:rsid w:val="00004579"/>
    <w:rsid w:val="0000484F"/>
    <w:rsid w:val="00004A86"/>
    <w:rsid w:val="00004B08"/>
    <w:rsid w:val="00004B96"/>
    <w:rsid w:val="00004DE7"/>
    <w:rsid w:val="00005AD2"/>
    <w:rsid w:val="00005CC5"/>
    <w:rsid w:val="00005E52"/>
    <w:rsid w:val="00005F8B"/>
    <w:rsid w:val="00006210"/>
    <w:rsid w:val="000065BB"/>
    <w:rsid w:val="0000665B"/>
    <w:rsid w:val="00006AEB"/>
    <w:rsid w:val="00006B28"/>
    <w:rsid w:val="00006B5E"/>
    <w:rsid w:val="00006E1F"/>
    <w:rsid w:val="000070D7"/>
    <w:rsid w:val="00007135"/>
    <w:rsid w:val="0000713D"/>
    <w:rsid w:val="0000721C"/>
    <w:rsid w:val="00007326"/>
    <w:rsid w:val="000073E2"/>
    <w:rsid w:val="000079F2"/>
    <w:rsid w:val="00007C3A"/>
    <w:rsid w:val="00007E1F"/>
    <w:rsid w:val="00010E7B"/>
    <w:rsid w:val="00010F73"/>
    <w:rsid w:val="000111A4"/>
    <w:rsid w:val="00011213"/>
    <w:rsid w:val="0001139F"/>
    <w:rsid w:val="000116A9"/>
    <w:rsid w:val="00011738"/>
    <w:rsid w:val="00011BFA"/>
    <w:rsid w:val="00011D28"/>
    <w:rsid w:val="00011ED4"/>
    <w:rsid w:val="00011FE7"/>
    <w:rsid w:val="000126F5"/>
    <w:rsid w:val="00012E69"/>
    <w:rsid w:val="00012E8F"/>
    <w:rsid w:val="00013196"/>
    <w:rsid w:val="00013262"/>
    <w:rsid w:val="00013730"/>
    <w:rsid w:val="0001377C"/>
    <w:rsid w:val="00013EF8"/>
    <w:rsid w:val="00014052"/>
    <w:rsid w:val="0001468F"/>
    <w:rsid w:val="00014A80"/>
    <w:rsid w:val="00014BFF"/>
    <w:rsid w:val="00014F0A"/>
    <w:rsid w:val="00015259"/>
    <w:rsid w:val="000152F0"/>
    <w:rsid w:val="000156C1"/>
    <w:rsid w:val="0001581E"/>
    <w:rsid w:val="00015B68"/>
    <w:rsid w:val="00015B85"/>
    <w:rsid w:val="00015CF2"/>
    <w:rsid w:val="00016415"/>
    <w:rsid w:val="00016669"/>
    <w:rsid w:val="000167C9"/>
    <w:rsid w:val="00016D84"/>
    <w:rsid w:val="00016DB3"/>
    <w:rsid w:val="0001714B"/>
    <w:rsid w:val="0001788C"/>
    <w:rsid w:val="00017896"/>
    <w:rsid w:val="00017B7E"/>
    <w:rsid w:val="00017D12"/>
    <w:rsid w:val="00017E9A"/>
    <w:rsid w:val="00020576"/>
    <w:rsid w:val="00020701"/>
    <w:rsid w:val="00021607"/>
    <w:rsid w:val="000216C0"/>
    <w:rsid w:val="00021715"/>
    <w:rsid w:val="00021B34"/>
    <w:rsid w:val="00021D6E"/>
    <w:rsid w:val="00021EB3"/>
    <w:rsid w:val="00022008"/>
    <w:rsid w:val="0002248F"/>
    <w:rsid w:val="00022C5C"/>
    <w:rsid w:val="00023070"/>
    <w:rsid w:val="000232B5"/>
    <w:rsid w:val="00023311"/>
    <w:rsid w:val="000234A9"/>
    <w:rsid w:val="00023512"/>
    <w:rsid w:val="00023744"/>
    <w:rsid w:val="0002381A"/>
    <w:rsid w:val="00023C54"/>
    <w:rsid w:val="00023F0A"/>
    <w:rsid w:val="0002440E"/>
    <w:rsid w:val="00024A8B"/>
    <w:rsid w:val="00024A9E"/>
    <w:rsid w:val="00025118"/>
    <w:rsid w:val="0002538A"/>
    <w:rsid w:val="000258DF"/>
    <w:rsid w:val="00025E77"/>
    <w:rsid w:val="00025F88"/>
    <w:rsid w:val="00026125"/>
    <w:rsid w:val="00026321"/>
    <w:rsid w:val="00026955"/>
    <w:rsid w:val="00027093"/>
    <w:rsid w:val="000270B5"/>
    <w:rsid w:val="00027161"/>
    <w:rsid w:val="000271BA"/>
    <w:rsid w:val="00027921"/>
    <w:rsid w:val="00030661"/>
    <w:rsid w:val="000308E4"/>
    <w:rsid w:val="00030CAE"/>
    <w:rsid w:val="00030CF4"/>
    <w:rsid w:val="00030E1F"/>
    <w:rsid w:val="00030EEA"/>
    <w:rsid w:val="00030EEC"/>
    <w:rsid w:val="0003140D"/>
    <w:rsid w:val="0003150E"/>
    <w:rsid w:val="000322A7"/>
    <w:rsid w:val="0003265E"/>
    <w:rsid w:val="000329AF"/>
    <w:rsid w:val="00032C1D"/>
    <w:rsid w:val="00032DB2"/>
    <w:rsid w:val="00032DD1"/>
    <w:rsid w:val="00033658"/>
    <w:rsid w:val="00033775"/>
    <w:rsid w:val="00033798"/>
    <w:rsid w:val="00033A34"/>
    <w:rsid w:val="00033C0A"/>
    <w:rsid w:val="00033D3F"/>
    <w:rsid w:val="00033E63"/>
    <w:rsid w:val="00034465"/>
    <w:rsid w:val="00034479"/>
    <w:rsid w:val="000344B6"/>
    <w:rsid w:val="000345D8"/>
    <w:rsid w:val="000347FB"/>
    <w:rsid w:val="0003487D"/>
    <w:rsid w:val="000348CD"/>
    <w:rsid w:val="00034B08"/>
    <w:rsid w:val="000351C9"/>
    <w:rsid w:val="00035898"/>
    <w:rsid w:val="00035F55"/>
    <w:rsid w:val="00036090"/>
    <w:rsid w:val="00036277"/>
    <w:rsid w:val="00036409"/>
    <w:rsid w:val="0003681B"/>
    <w:rsid w:val="00036935"/>
    <w:rsid w:val="0003720D"/>
    <w:rsid w:val="0003738C"/>
    <w:rsid w:val="00037C0D"/>
    <w:rsid w:val="00037DD7"/>
    <w:rsid w:val="00040177"/>
    <w:rsid w:val="00040AA7"/>
    <w:rsid w:val="00040AE9"/>
    <w:rsid w:val="00040B42"/>
    <w:rsid w:val="00040B5F"/>
    <w:rsid w:val="00040C3A"/>
    <w:rsid w:val="0004176A"/>
    <w:rsid w:val="00041ADE"/>
    <w:rsid w:val="00041CD9"/>
    <w:rsid w:val="00041F04"/>
    <w:rsid w:val="000421F7"/>
    <w:rsid w:val="000422ED"/>
    <w:rsid w:val="000423AC"/>
    <w:rsid w:val="00042707"/>
    <w:rsid w:val="000428AA"/>
    <w:rsid w:val="0004298E"/>
    <w:rsid w:val="00042AA3"/>
    <w:rsid w:val="00042B39"/>
    <w:rsid w:val="0004316F"/>
    <w:rsid w:val="000433B3"/>
    <w:rsid w:val="00043447"/>
    <w:rsid w:val="00043646"/>
    <w:rsid w:val="000436BC"/>
    <w:rsid w:val="00043744"/>
    <w:rsid w:val="00043A9B"/>
    <w:rsid w:val="0004416B"/>
    <w:rsid w:val="00044320"/>
    <w:rsid w:val="000443AB"/>
    <w:rsid w:val="000444CD"/>
    <w:rsid w:val="00044509"/>
    <w:rsid w:val="0004465C"/>
    <w:rsid w:val="0004481A"/>
    <w:rsid w:val="00044D50"/>
    <w:rsid w:val="00044DFD"/>
    <w:rsid w:val="000455F8"/>
    <w:rsid w:val="00045932"/>
    <w:rsid w:val="00045E0A"/>
    <w:rsid w:val="00045EAD"/>
    <w:rsid w:val="00046100"/>
    <w:rsid w:val="0004618D"/>
    <w:rsid w:val="00046395"/>
    <w:rsid w:val="000465C7"/>
    <w:rsid w:val="0004682F"/>
    <w:rsid w:val="00046C0E"/>
    <w:rsid w:val="00046FBB"/>
    <w:rsid w:val="00047885"/>
    <w:rsid w:val="00047DE1"/>
    <w:rsid w:val="00050A98"/>
    <w:rsid w:val="00050BD1"/>
    <w:rsid w:val="000515BC"/>
    <w:rsid w:val="00051BDE"/>
    <w:rsid w:val="00052998"/>
    <w:rsid w:val="00052A54"/>
    <w:rsid w:val="00052C79"/>
    <w:rsid w:val="000531B7"/>
    <w:rsid w:val="000535F4"/>
    <w:rsid w:val="0005362B"/>
    <w:rsid w:val="0005370C"/>
    <w:rsid w:val="00053800"/>
    <w:rsid w:val="000539A6"/>
    <w:rsid w:val="00053C8B"/>
    <w:rsid w:val="00053D00"/>
    <w:rsid w:val="00053EDB"/>
    <w:rsid w:val="00053FC6"/>
    <w:rsid w:val="0005409C"/>
    <w:rsid w:val="000540D8"/>
    <w:rsid w:val="00054266"/>
    <w:rsid w:val="0005470A"/>
    <w:rsid w:val="0005493D"/>
    <w:rsid w:val="00054BCE"/>
    <w:rsid w:val="00054D12"/>
    <w:rsid w:val="00054E58"/>
    <w:rsid w:val="00055001"/>
    <w:rsid w:val="000552CC"/>
    <w:rsid w:val="00055503"/>
    <w:rsid w:val="0005571E"/>
    <w:rsid w:val="00055963"/>
    <w:rsid w:val="000561C0"/>
    <w:rsid w:val="000566C8"/>
    <w:rsid w:val="00056775"/>
    <w:rsid w:val="0005677C"/>
    <w:rsid w:val="00056E11"/>
    <w:rsid w:val="000574FF"/>
    <w:rsid w:val="000579EC"/>
    <w:rsid w:val="00060F12"/>
    <w:rsid w:val="00061F69"/>
    <w:rsid w:val="00062052"/>
    <w:rsid w:val="00062663"/>
    <w:rsid w:val="00062A19"/>
    <w:rsid w:val="00062AD7"/>
    <w:rsid w:val="00062B74"/>
    <w:rsid w:val="00062DAA"/>
    <w:rsid w:val="00063833"/>
    <w:rsid w:val="00063EDF"/>
    <w:rsid w:val="000646CE"/>
    <w:rsid w:val="00064A26"/>
    <w:rsid w:val="00064A4D"/>
    <w:rsid w:val="00064D5C"/>
    <w:rsid w:val="00064F88"/>
    <w:rsid w:val="000653E6"/>
    <w:rsid w:val="00065889"/>
    <w:rsid w:val="00065907"/>
    <w:rsid w:val="000659A5"/>
    <w:rsid w:val="00065A77"/>
    <w:rsid w:val="00065BB9"/>
    <w:rsid w:val="000664AA"/>
    <w:rsid w:val="000668E2"/>
    <w:rsid w:val="00066DC1"/>
    <w:rsid w:val="00066DC3"/>
    <w:rsid w:val="00066EF9"/>
    <w:rsid w:val="00067387"/>
    <w:rsid w:val="000673D7"/>
    <w:rsid w:val="00067B87"/>
    <w:rsid w:val="00067D41"/>
    <w:rsid w:val="00067E4A"/>
    <w:rsid w:val="0007061E"/>
    <w:rsid w:val="0007068E"/>
    <w:rsid w:val="0007072F"/>
    <w:rsid w:val="000708D6"/>
    <w:rsid w:val="00070D39"/>
    <w:rsid w:val="00070D46"/>
    <w:rsid w:val="000710A8"/>
    <w:rsid w:val="0007147B"/>
    <w:rsid w:val="0007159B"/>
    <w:rsid w:val="000716C5"/>
    <w:rsid w:val="00071F6E"/>
    <w:rsid w:val="00072066"/>
    <w:rsid w:val="0007272B"/>
    <w:rsid w:val="00072A6F"/>
    <w:rsid w:val="00072D08"/>
    <w:rsid w:val="000731E4"/>
    <w:rsid w:val="00073559"/>
    <w:rsid w:val="0007359C"/>
    <w:rsid w:val="00073791"/>
    <w:rsid w:val="0007379B"/>
    <w:rsid w:val="000738B8"/>
    <w:rsid w:val="00073936"/>
    <w:rsid w:val="00073DCC"/>
    <w:rsid w:val="00073DD4"/>
    <w:rsid w:val="0007430D"/>
    <w:rsid w:val="00074739"/>
    <w:rsid w:val="00074A38"/>
    <w:rsid w:val="00074A70"/>
    <w:rsid w:val="00074FE8"/>
    <w:rsid w:val="00075027"/>
    <w:rsid w:val="0007508C"/>
    <w:rsid w:val="00075262"/>
    <w:rsid w:val="00075397"/>
    <w:rsid w:val="000754FE"/>
    <w:rsid w:val="000756B3"/>
    <w:rsid w:val="00075D33"/>
    <w:rsid w:val="00075E23"/>
    <w:rsid w:val="00075F8F"/>
    <w:rsid w:val="000766DB"/>
    <w:rsid w:val="00076B66"/>
    <w:rsid w:val="00076C92"/>
    <w:rsid w:val="0007700D"/>
    <w:rsid w:val="000771A8"/>
    <w:rsid w:val="0007728F"/>
    <w:rsid w:val="000776FB"/>
    <w:rsid w:val="00077E68"/>
    <w:rsid w:val="0008002E"/>
    <w:rsid w:val="00080090"/>
    <w:rsid w:val="00080755"/>
    <w:rsid w:val="00081241"/>
    <w:rsid w:val="00081831"/>
    <w:rsid w:val="00081915"/>
    <w:rsid w:val="000819B7"/>
    <w:rsid w:val="0008216F"/>
    <w:rsid w:val="000823A9"/>
    <w:rsid w:val="00082D95"/>
    <w:rsid w:val="00082DFB"/>
    <w:rsid w:val="00082E7B"/>
    <w:rsid w:val="000832CE"/>
    <w:rsid w:val="00083436"/>
    <w:rsid w:val="00083563"/>
    <w:rsid w:val="00083661"/>
    <w:rsid w:val="000836CD"/>
    <w:rsid w:val="000838F8"/>
    <w:rsid w:val="00083E46"/>
    <w:rsid w:val="00083E92"/>
    <w:rsid w:val="00083FB0"/>
    <w:rsid w:val="00084116"/>
    <w:rsid w:val="0008426D"/>
    <w:rsid w:val="000842E5"/>
    <w:rsid w:val="000844A3"/>
    <w:rsid w:val="00084660"/>
    <w:rsid w:val="000849AA"/>
    <w:rsid w:val="00084A48"/>
    <w:rsid w:val="000852BF"/>
    <w:rsid w:val="00085342"/>
    <w:rsid w:val="00085685"/>
    <w:rsid w:val="00085846"/>
    <w:rsid w:val="000859B7"/>
    <w:rsid w:val="00085AAE"/>
    <w:rsid w:val="00085D86"/>
    <w:rsid w:val="00085F41"/>
    <w:rsid w:val="00086043"/>
    <w:rsid w:val="000862C6"/>
    <w:rsid w:val="00086971"/>
    <w:rsid w:val="0008725D"/>
    <w:rsid w:val="000873CC"/>
    <w:rsid w:val="00087457"/>
    <w:rsid w:val="000879ED"/>
    <w:rsid w:val="00087C95"/>
    <w:rsid w:val="00087DFA"/>
    <w:rsid w:val="00087F4C"/>
    <w:rsid w:val="00090355"/>
    <w:rsid w:val="0009072D"/>
    <w:rsid w:val="00090DF6"/>
    <w:rsid w:val="00091369"/>
    <w:rsid w:val="000913A4"/>
    <w:rsid w:val="00091560"/>
    <w:rsid w:val="0009161C"/>
    <w:rsid w:val="000923CA"/>
    <w:rsid w:val="00092B3D"/>
    <w:rsid w:val="00092D1E"/>
    <w:rsid w:val="00092D3D"/>
    <w:rsid w:val="00093196"/>
    <w:rsid w:val="00093275"/>
    <w:rsid w:val="0009344A"/>
    <w:rsid w:val="000936FF"/>
    <w:rsid w:val="000937E8"/>
    <w:rsid w:val="00093C1D"/>
    <w:rsid w:val="00094037"/>
    <w:rsid w:val="0009424C"/>
    <w:rsid w:val="000949E4"/>
    <w:rsid w:val="00095659"/>
    <w:rsid w:val="00095695"/>
    <w:rsid w:val="00095BE7"/>
    <w:rsid w:val="000971C4"/>
    <w:rsid w:val="000972F8"/>
    <w:rsid w:val="00097388"/>
    <w:rsid w:val="00097447"/>
    <w:rsid w:val="0009765A"/>
    <w:rsid w:val="0009773E"/>
    <w:rsid w:val="0009778F"/>
    <w:rsid w:val="000978D9"/>
    <w:rsid w:val="0009791F"/>
    <w:rsid w:val="00097A3D"/>
    <w:rsid w:val="00097DA5"/>
    <w:rsid w:val="000A0655"/>
    <w:rsid w:val="000A0743"/>
    <w:rsid w:val="000A0A5C"/>
    <w:rsid w:val="000A0D6F"/>
    <w:rsid w:val="000A10E2"/>
    <w:rsid w:val="000A17E2"/>
    <w:rsid w:val="000A195F"/>
    <w:rsid w:val="000A1CBC"/>
    <w:rsid w:val="000A2060"/>
    <w:rsid w:val="000A2066"/>
    <w:rsid w:val="000A2204"/>
    <w:rsid w:val="000A24F0"/>
    <w:rsid w:val="000A27F3"/>
    <w:rsid w:val="000A2868"/>
    <w:rsid w:val="000A2C17"/>
    <w:rsid w:val="000A2C5F"/>
    <w:rsid w:val="000A3352"/>
    <w:rsid w:val="000A373B"/>
    <w:rsid w:val="000A392E"/>
    <w:rsid w:val="000A3ADC"/>
    <w:rsid w:val="000A495B"/>
    <w:rsid w:val="000A4E51"/>
    <w:rsid w:val="000A4EC2"/>
    <w:rsid w:val="000A511F"/>
    <w:rsid w:val="000A546E"/>
    <w:rsid w:val="000A54CF"/>
    <w:rsid w:val="000A55A4"/>
    <w:rsid w:val="000A56CB"/>
    <w:rsid w:val="000A575F"/>
    <w:rsid w:val="000A5A10"/>
    <w:rsid w:val="000A5CD6"/>
    <w:rsid w:val="000A7128"/>
    <w:rsid w:val="000A73B5"/>
    <w:rsid w:val="000A73F3"/>
    <w:rsid w:val="000A7612"/>
    <w:rsid w:val="000A76B6"/>
    <w:rsid w:val="000A777B"/>
    <w:rsid w:val="000A7992"/>
    <w:rsid w:val="000A7E6B"/>
    <w:rsid w:val="000B08E4"/>
    <w:rsid w:val="000B0AB4"/>
    <w:rsid w:val="000B0AD2"/>
    <w:rsid w:val="000B0B6B"/>
    <w:rsid w:val="000B0BCA"/>
    <w:rsid w:val="000B12AB"/>
    <w:rsid w:val="000B15F9"/>
    <w:rsid w:val="000B1E2E"/>
    <w:rsid w:val="000B1EF0"/>
    <w:rsid w:val="000B21D2"/>
    <w:rsid w:val="000B2D3E"/>
    <w:rsid w:val="000B2DDA"/>
    <w:rsid w:val="000B2E12"/>
    <w:rsid w:val="000B2FC1"/>
    <w:rsid w:val="000B3125"/>
    <w:rsid w:val="000B33A5"/>
    <w:rsid w:val="000B389F"/>
    <w:rsid w:val="000B3FF9"/>
    <w:rsid w:val="000B40ED"/>
    <w:rsid w:val="000B421C"/>
    <w:rsid w:val="000B4DD2"/>
    <w:rsid w:val="000B5C0D"/>
    <w:rsid w:val="000B5EF5"/>
    <w:rsid w:val="000B60D1"/>
    <w:rsid w:val="000B655A"/>
    <w:rsid w:val="000B68EE"/>
    <w:rsid w:val="000B68EF"/>
    <w:rsid w:val="000B6F56"/>
    <w:rsid w:val="000B7473"/>
    <w:rsid w:val="000B77D4"/>
    <w:rsid w:val="000B7E43"/>
    <w:rsid w:val="000C02E4"/>
    <w:rsid w:val="000C13A8"/>
    <w:rsid w:val="000C14E7"/>
    <w:rsid w:val="000C174B"/>
    <w:rsid w:val="000C185A"/>
    <w:rsid w:val="000C1AEB"/>
    <w:rsid w:val="000C1C31"/>
    <w:rsid w:val="000C1C40"/>
    <w:rsid w:val="000C21D9"/>
    <w:rsid w:val="000C246A"/>
    <w:rsid w:val="000C29B9"/>
    <w:rsid w:val="000C2D1E"/>
    <w:rsid w:val="000C2FC6"/>
    <w:rsid w:val="000C3537"/>
    <w:rsid w:val="000C35AA"/>
    <w:rsid w:val="000C38D0"/>
    <w:rsid w:val="000C3FAF"/>
    <w:rsid w:val="000C44F4"/>
    <w:rsid w:val="000C4608"/>
    <w:rsid w:val="000C46DB"/>
    <w:rsid w:val="000C49E5"/>
    <w:rsid w:val="000C556B"/>
    <w:rsid w:val="000C5BC3"/>
    <w:rsid w:val="000C5BC5"/>
    <w:rsid w:val="000C606A"/>
    <w:rsid w:val="000C6197"/>
    <w:rsid w:val="000C6396"/>
    <w:rsid w:val="000C67F1"/>
    <w:rsid w:val="000C692B"/>
    <w:rsid w:val="000C6BA3"/>
    <w:rsid w:val="000C6E2F"/>
    <w:rsid w:val="000C6FA5"/>
    <w:rsid w:val="000C7097"/>
    <w:rsid w:val="000C72DC"/>
    <w:rsid w:val="000C7830"/>
    <w:rsid w:val="000C7EE7"/>
    <w:rsid w:val="000C7F80"/>
    <w:rsid w:val="000D03CE"/>
    <w:rsid w:val="000D0883"/>
    <w:rsid w:val="000D0B39"/>
    <w:rsid w:val="000D10DB"/>
    <w:rsid w:val="000D13F2"/>
    <w:rsid w:val="000D1A13"/>
    <w:rsid w:val="000D2081"/>
    <w:rsid w:val="000D2264"/>
    <w:rsid w:val="000D268E"/>
    <w:rsid w:val="000D2AC5"/>
    <w:rsid w:val="000D2B31"/>
    <w:rsid w:val="000D2BBE"/>
    <w:rsid w:val="000D2CA1"/>
    <w:rsid w:val="000D2FEA"/>
    <w:rsid w:val="000D3087"/>
    <w:rsid w:val="000D308C"/>
    <w:rsid w:val="000D3883"/>
    <w:rsid w:val="000D38BF"/>
    <w:rsid w:val="000D4302"/>
    <w:rsid w:val="000D4EDA"/>
    <w:rsid w:val="000D5813"/>
    <w:rsid w:val="000D5F45"/>
    <w:rsid w:val="000D63AB"/>
    <w:rsid w:val="000D6940"/>
    <w:rsid w:val="000D6BD1"/>
    <w:rsid w:val="000D6C2C"/>
    <w:rsid w:val="000D6F0B"/>
    <w:rsid w:val="000D77A5"/>
    <w:rsid w:val="000D7D62"/>
    <w:rsid w:val="000D7E5C"/>
    <w:rsid w:val="000E0540"/>
    <w:rsid w:val="000E0926"/>
    <w:rsid w:val="000E13FE"/>
    <w:rsid w:val="000E15E0"/>
    <w:rsid w:val="000E1735"/>
    <w:rsid w:val="000E226E"/>
    <w:rsid w:val="000E2504"/>
    <w:rsid w:val="000E2692"/>
    <w:rsid w:val="000E26E8"/>
    <w:rsid w:val="000E2C13"/>
    <w:rsid w:val="000E2F92"/>
    <w:rsid w:val="000E33DF"/>
    <w:rsid w:val="000E36DB"/>
    <w:rsid w:val="000E4082"/>
    <w:rsid w:val="000E43B8"/>
    <w:rsid w:val="000E4430"/>
    <w:rsid w:val="000E45FC"/>
    <w:rsid w:val="000E4DE0"/>
    <w:rsid w:val="000E5573"/>
    <w:rsid w:val="000E55E2"/>
    <w:rsid w:val="000E5EB5"/>
    <w:rsid w:val="000E5F2D"/>
    <w:rsid w:val="000E60DA"/>
    <w:rsid w:val="000E68C0"/>
    <w:rsid w:val="000E696E"/>
    <w:rsid w:val="000E6A01"/>
    <w:rsid w:val="000E6BB4"/>
    <w:rsid w:val="000E6D56"/>
    <w:rsid w:val="000E6F30"/>
    <w:rsid w:val="000E7026"/>
    <w:rsid w:val="000E710F"/>
    <w:rsid w:val="000E74A1"/>
    <w:rsid w:val="000E75B9"/>
    <w:rsid w:val="000E786A"/>
    <w:rsid w:val="000E79C6"/>
    <w:rsid w:val="000E7AB0"/>
    <w:rsid w:val="000E7DB1"/>
    <w:rsid w:val="000E7F36"/>
    <w:rsid w:val="000F005D"/>
    <w:rsid w:val="000F00FA"/>
    <w:rsid w:val="000F02CF"/>
    <w:rsid w:val="000F05CF"/>
    <w:rsid w:val="000F0707"/>
    <w:rsid w:val="000F0780"/>
    <w:rsid w:val="000F0D25"/>
    <w:rsid w:val="000F11EC"/>
    <w:rsid w:val="000F12FB"/>
    <w:rsid w:val="000F13A9"/>
    <w:rsid w:val="000F144C"/>
    <w:rsid w:val="000F15CF"/>
    <w:rsid w:val="000F1BFB"/>
    <w:rsid w:val="000F20A0"/>
    <w:rsid w:val="000F24D2"/>
    <w:rsid w:val="000F24DF"/>
    <w:rsid w:val="000F373A"/>
    <w:rsid w:val="000F37CF"/>
    <w:rsid w:val="000F3A3F"/>
    <w:rsid w:val="000F4832"/>
    <w:rsid w:val="000F484B"/>
    <w:rsid w:val="000F4860"/>
    <w:rsid w:val="000F4B70"/>
    <w:rsid w:val="000F4DFC"/>
    <w:rsid w:val="000F539A"/>
    <w:rsid w:val="000F59F9"/>
    <w:rsid w:val="000F5A43"/>
    <w:rsid w:val="000F5F5D"/>
    <w:rsid w:val="000F60D7"/>
    <w:rsid w:val="000F613A"/>
    <w:rsid w:val="000F6422"/>
    <w:rsid w:val="000F67BF"/>
    <w:rsid w:val="000F6895"/>
    <w:rsid w:val="000F6BAD"/>
    <w:rsid w:val="000F7212"/>
    <w:rsid w:val="000F7B49"/>
    <w:rsid w:val="000F7C1D"/>
    <w:rsid w:val="0010022C"/>
    <w:rsid w:val="0010031D"/>
    <w:rsid w:val="0010083B"/>
    <w:rsid w:val="00100911"/>
    <w:rsid w:val="00100C29"/>
    <w:rsid w:val="00100DF8"/>
    <w:rsid w:val="001013B3"/>
    <w:rsid w:val="001015B1"/>
    <w:rsid w:val="0010163B"/>
    <w:rsid w:val="00101BD5"/>
    <w:rsid w:val="00101D95"/>
    <w:rsid w:val="00101F43"/>
    <w:rsid w:val="0010210A"/>
    <w:rsid w:val="0010239E"/>
    <w:rsid w:val="00102698"/>
    <w:rsid w:val="0010274E"/>
    <w:rsid w:val="00102E54"/>
    <w:rsid w:val="0010305E"/>
    <w:rsid w:val="00103220"/>
    <w:rsid w:val="00103340"/>
    <w:rsid w:val="001036B1"/>
    <w:rsid w:val="001041CF"/>
    <w:rsid w:val="0010427D"/>
    <w:rsid w:val="001048C3"/>
    <w:rsid w:val="00104D50"/>
    <w:rsid w:val="00104DBF"/>
    <w:rsid w:val="00104EEF"/>
    <w:rsid w:val="00104F8F"/>
    <w:rsid w:val="00105168"/>
    <w:rsid w:val="001054D9"/>
    <w:rsid w:val="001055D3"/>
    <w:rsid w:val="00105618"/>
    <w:rsid w:val="001058B3"/>
    <w:rsid w:val="001058D8"/>
    <w:rsid w:val="00105BF1"/>
    <w:rsid w:val="00105BFF"/>
    <w:rsid w:val="00105C91"/>
    <w:rsid w:val="00105D1F"/>
    <w:rsid w:val="001063C9"/>
    <w:rsid w:val="00106BB9"/>
    <w:rsid w:val="00106D45"/>
    <w:rsid w:val="00107131"/>
    <w:rsid w:val="001072D6"/>
    <w:rsid w:val="001072DB"/>
    <w:rsid w:val="0010736F"/>
    <w:rsid w:val="00107A45"/>
    <w:rsid w:val="00107C7C"/>
    <w:rsid w:val="00107DE1"/>
    <w:rsid w:val="00107E15"/>
    <w:rsid w:val="00107E5D"/>
    <w:rsid w:val="00110357"/>
    <w:rsid w:val="001108C5"/>
    <w:rsid w:val="00110B3B"/>
    <w:rsid w:val="00111119"/>
    <w:rsid w:val="001111A1"/>
    <w:rsid w:val="0011146D"/>
    <w:rsid w:val="00111BBC"/>
    <w:rsid w:val="00111D90"/>
    <w:rsid w:val="00111DC9"/>
    <w:rsid w:val="001121B5"/>
    <w:rsid w:val="001124E0"/>
    <w:rsid w:val="001125FF"/>
    <w:rsid w:val="0011287E"/>
    <w:rsid w:val="001129FD"/>
    <w:rsid w:val="00112E9A"/>
    <w:rsid w:val="001135F0"/>
    <w:rsid w:val="00113783"/>
    <w:rsid w:val="001137BC"/>
    <w:rsid w:val="00113E36"/>
    <w:rsid w:val="00113EA3"/>
    <w:rsid w:val="00113F73"/>
    <w:rsid w:val="00114301"/>
    <w:rsid w:val="0011455B"/>
    <w:rsid w:val="001148E3"/>
    <w:rsid w:val="00114A3E"/>
    <w:rsid w:val="00114F8B"/>
    <w:rsid w:val="00114FA2"/>
    <w:rsid w:val="00115122"/>
    <w:rsid w:val="0011518A"/>
    <w:rsid w:val="0011559D"/>
    <w:rsid w:val="0011572A"/>
    <w:rsid w:val="001159C2"/>
    <w:rsid w:val="00116287"/>
    <w:rsid w:val="00116A99"/>
    <w:rsid w:val="00116AE4"/>
    <w:rsid w:val="00116DE9"/>
    <w:rsid w:val="0011729F"/>
    <w:rsid w:val="00117804"/>
    <w:rsid w:val="001179C8"/>
    <w:rsid w:val="00117CAE"/>
    <w:rsid w:val="00117FA0"/>
    <w:rsid w:val="00120159"/>
    <w:rsid w:val="001207B6"/>
    <w:rsid w:val="00121728"/>
    <w:rsid w:val="00121926"/>
    <w:rsid w:val="0012194D"/>
    <w:rsid w:val="00121AE2"/>
    <w:rsid w:val="00121B13"/>
    <w:rsid w:val="00121CC2"/>
    <w:rsid w:val="00121DA5"/>
    <w:rsid w:val="00122517"/>
    <w:rsid w:val="00122AA1"/>
    <w:rsid w:val="00122E35"/>
    <w:rsid w:val="0012394B"/>
    <w:rsid w:val="00123B05"/>
    <w:rsid w:val="00123D62"/>
    <w:rsid w:val="001241EA"/>
    <w:rsid w:val="001244C2"/>
    <w:rsid w:val="0012463E"/>
    <w:rsid w:val="00124961"/>
    <w:rsid w:val="00124985"/>
    <w:rsid w:val="00124FDB"/>
    <w:rsid w:val="001256DB"/>
    <w:rsid w:val="00125A0D"/>
    <w:rsid w:val="00125B5D"/>
    <w:rsid w:val="00125E0B"/>
    <w:rsid w:val="00125F82"/>
    <w:rsid w:val="001262B1"/>
    <w:rsid w:val="00126439"/>
    <w:rsid w:val="001267D6"/>
    <w:rsid w:val="00126A4C"/>
    <w:rsid w:val="001271B3"/>
    <w:rsid w:val="001272DF"/>
    <w:rsid w:val="0012741B"/>
    <w:rsid w:val="00127A2E"/>
    <w:rsid w:val="00127A48"/>
    <w:rsid w:val="00127BEC"/>
    <w:rsid w:val="00127E42"/>
    <w:rsid w:val="0013019B"/>
    <w:rsid w:val="001302EC"/>
    <w:rsid w:val="00130B97"/>
    <w:rsid w:val="0013134A"/>
    <w:rsid w:val="00131531"/>
    <w:rsid w:val="0013174C"/>
    <w:rsid w:val="001317DE"/>
    <w:rsid w:val="00131D31"/>
    <w:rsid w:val="00131D92"/>
    <w:rsid w:val="001320D8"/>
    <w:rsid w:val="00132556"/>
    <w:rsid w:val="001325F6"/>
    <w:rsid w:val="00132991"/>
    <w:rsid w:val="001339CE"/>
    <w:rsid w:val="00133EE5"/>
    <w:rsid w:val="00134213"/>
    <w:rsid w:val="001348B4"/>
    <w:rsid w:val="0013490B"/>
    <w:rsid w:val="00134959"/>
    <w:rsid w:val="0013495E"/>
    <w:rsid w:val="00134CAE"/>
    <w:rsid w:val="00134EC9"/>
    <w:rsid w:val="0013591C"/>
    <w:rsid w:val="00135AFF"/>
    <w:rsid w:val="00135E08"/>
    <w:rsid w:val="001362B9"/>
    <w:rsid w:val="00136BF2"/>
    <w:rsid w:val="00136BFD"/>
    <w:rsid w:val="00136C3F"/>
    <w:rsid w:val="00136CE2"/>
    <w:rsid w:val="00136E2E"/>
    <w:rsid w:val="00137213"/>
    <w:rsid w:val="00137255"/>
    <w:rsid w:val="00137321"/>
    <w:rsid w:val="001374B9"/>
    <w:rsid w:val="001375A9"/>
    <w:rsid w:val="001378F1"/>
    <w:rsid w:val="00137918"/>
    <w:rsid w:val="00137B73"/>
    <w:rsid w:val="00137DCE"/>
    <w:rsid w:val="00137E46"/>
    <w:rsid w:val="001400F9"/>
    <w:rsid w:val="001401BB"/>
    <w:rsid w:val="0014020B"/>
    <w:rsid w:val="00140280"/>
    <w:rsid w:val="00140AB7"/>
    <w:rsid w:val="00140CCF"/>
    <w:rsid w:val="00140D24"/>
    <w:rsid w:val="001414D2"/>
    <w:rsid w:val="001414E3"/>
    <w:rsid w:val="0014152D"/>
    <w:rsid w:val="00141F57"/>
    <w:rsid w:val="00142077"/>
    <w:rsid w:val="00142184"/>
    <w:rsid w:val="00142959"/>
    <w:rsid w:val="00142F23"/>
    <w:rsid w:val="00142F74"/>
    <w:rsid w:val="001435E4"/>
    <w:rsid w:val="001437B1"/>
    <w:rsid w:val="00143DCE"/>
    <w:rsid w:val="00143E57"/>
    <w:rsid w:val="00143E73"/>
    <w:rsid w:val="00143F2D"/>
    <w:rsid w:val="00144168"/>
    <w:rsid w:val="0014430E"/>
    <w:rsid w:val="00144DDE"/>
    <w:rsid w:val="00144E97"/>
    <w:rsid w:val="00144F7B"/>
    <w:rsid w:val="00144F9D"/>
    <w:rsid w:val="001450BB"/>
    <w:rsid w:val="0014640C"/>
    <w:rsid w:val="001464BE"/>
    <w:rsid w:val="0014683B"/>
    <w:rsid w:val="00146DFF"/>
    <w:rsid w:val="00146E2B"/>
    <w:rsid w:val="001472B0"/>
    <w:rsid w:val="001472B3"/>
    <w:rsid w:val="00147374"/>
    <w:rsid w:val="0014754E"/>
    <w:rsid w:val="0014789A"/>
    <w:rsid w:val="00147CDE"/>
    <w:rsid w:val="00147DC2"/>
    <w:rsid w:val="0015036E"/>
    <w:rsid w:val="00150501"/>
    <w:rsid w:val="0015077B"/>
    <w:rsid w:val="00150901"/>
    <w:rsid w:val="001509F1"/>
    <w:rsid w:val="00150D67"/>
    <w:rsid w:val="0015116A"/>
    <w:rsid w:val="001516CA"/>
    <w:rsid w:val="001518CD"/>
    <w:rsid w:val="001518FF"/>
    <w:rsid w:val="00151A9C"/>
    <w:rsid w:val="00151B10"/>
    <w:rsid w:val="00152DFE"/>
    <w:rsid w:val="00153168"/>
    <w:rsid w:val="00153864"/>
    <w:rsid w:val="00153902"/>
    <w:rsid w:val="00153C1B"/>
    <w:rsid w:val="00153D07"/>
    <w:rsid w:val="00153EF6"/>
    <w:rsid w:val="0015428A"/>
    <w:rsid w:val="00154311"/>
    <w:rsid w:val="0015476E"/>
    <w:rsid w:val="00154C44"/>
    <w:rsid w:val="00154EAA"/>
    <w:rsid w:val="00154FCE"/>
    <w:rsid w:val="001550C1"/>
    <w:rsid w:val="001552E3"/>
    <w:rsid w:val="0015559D"/>
    <w:rsid w:val="001558EB"/>
    <w:rsid w:val="00155AF7"/>
    <w:rsid w:val="00155CBD"/>
    <w:rsid w:val="0015623F"/>
    <w:rsid w:val="0015653E"/>
    <w:rsid w:val="00156658"/>
    <w:rsid w:val="0015668B"/>
    <w:rsid w:val="001567E9"/>
    <w:rsid w:val="00156B5A"/>
    <w:rsid w:val="00156C11"/>
    <w:rsid w:val="00156D89"/>
    <w:rsid w:val="00156EA4"/>
    <w:rsid w:val="00156F91"/>
    <w:rsid w:val="001572C1"/>
    <w:rsid w:val="00157D0A"/>
    <w:rsid w:val="001604C8"/>
    <w:rsid w:val="0016081C"/>
    <w:rsid w:val="001608AF"/>
    <w:rsid w:val="00160A82"/>
    <w:rsid w:val="00160AE6"/>
    <w:rsid w:val="00160B83"/>
    <w:rsid w:val="00160C94"/>
    <w:rsid w:val="00160F30"/>
    <w:rsid w:val="0016105F"/>
    <w:rsid w:val="0016148D"/>
    <w:rsid w:val="00161499"/>
    <w:rsid w:val="00161AD0"/>
    <w:rsid w:val="00161D6C"/>
    <w:rsid w:val="00161E86"/>
    <w:rsid w:val="001627D7"/>
    <w:rsid w:val="0016286B"/>
    <w:rsid w:val="00162936"/>
    <w:rsid w:val="0016299D"/>
    <w:rsid w:val="001629BF"/>
    <w:rsid w:val="00162C53"/>
    <w:rsid w:val="00162CA0"/>
    <w:rsid w:val="001633C1"/>
    <w:rsid w:val="001637D7"/>
    <w:rsid w:val="00163A4B"/>
    <w:rsid w:val="00163DD9"/>
    <w:rsid w:val="00164084"/>
    <w:rsid w:val="001640BE"/>
    <w:rsid w:val="001642A7"/>
    <w:rsid w:val="001644A9"/>
    <w:rsid w:val="00164BC6"/>
    <w:rsid w:val="00164CE5"/>
    <w:rsid w:val="00164E6C"/>
    <w:rsid w:val="0016540B"/>
    <w:rsid w:val="001654DC"/>
    <w:rsid w:val="00165554"/>
    <w:rsid w:val="00165B4C"/>
    <w:rsid w:val="0016621A"/>
    <w:rsid w:val="0016638B"/>
    <w:rsid w:val="0016677F"/>
    <w:rsid w:val="00167299"/>
    <w:rsid w:val="00167657"/>
    <w:rsid w:val="0016793E"/>
    <w:rsid w:val="00167A34"/>
    <w:rsid w:val="00167A48"/>
    <w:rsid w:val="00167F53"/>
    <w:rsid w:val="0017016B"/>
    <w:rsid w:val="0017022F"/>
    <w:rsid w:val="0017068B"/>
    <w:rsid w:val="001707C9"/>
    <w:rsid w:val="00170982"/>
    <w:rsid w:val="00170E57"/>
    <w:rsid w:val="001710DA"/>
    <w:rsid w:val="00171223"/>
    <w:rsid w:val="00171833"/>
    <w:rsid w:val="00171A98"/>
    <w:rsid w:val="00171E69"/>
    <w:rsid w:val="00172176"/>
    <w:rsid w:val="0017228B"/>
    <w:rsid w:val="00172786"/>
    <w:rsid w:val="00172ACB"/>
    <w:rsid w:val="00172BA6"/>
    <w:rsid w:val="00172E1E"/>
    <w:rsid w:val="00173BFF"/>
    <w:rsid w:val="00173D98"/>
    <w:rsid w:val="00173E25"/>
    <w:rsid w:val="00174320"/>
    <w:rsid w:val="001746C2"/>
    <w:rsid w:val="00174730"/>
    <w:rsid w:val="0017487B"/>
    <w:rsid w:val="001748AA"/>
    <w:rsid w:val="001749FD"/>
    <w:rsid w:val="00174BA1"/>
    <w:rsid w:val="00175014"/>
    <w:rsid w:val="001750F4"/>
    <w:rsid w:val="00175231"/>
    <w:rsid w:val="00175372"/>
    <w:rsid w:val="00175520"/>
    <w:rsid w:val="00175573"/>
    <w:rsid w:val="00175A9F"/>
    <w:rsid w:val="00175DE4"/>
    <w:rsid w:val="00175FC7"/>
    <w:rsid w:val="00176353"/>
    <w:rsid w:val="00176683"/>
    <w:rsid w:val="00176EEE"/>
    <w:rsid w:val="001770BB"/>
    <w:rsid w:val="0017778B"/>
    <w:rsid w:val="001777F9"/>
    <w:rsid w:val="001777FD"/>
    <w:rsid w:val="001801B2"/>
    <w:rsid w:val="001801CE"/>
    <w:rsid w:val="00180300"/>
    <w:rsid w:val="00180AF9"/>
    <w:rsid w:val="00180FC3"/>
    <w:rsid w:val="001814F2"/>
    <w:rsid w:val="00181670"/>
    <w:rsid w:val="00181839"/>
    <w:rsid w:val="00181F9D"/>
    <w:rsid w:val="00181FF3"/>
    <w:rsid w:val="001820E3"/>
    <w:rsid w:val="00182194"/>
    <w:rsid w:val="001822BF"/>
    <w:rsid w:val="0018242E"/>
    <w:rsid w:val="0018291A"/>
    <w:rsid w:val="00182F97"/>
    <w:rsid w:val="0018301D"/>
    <w:rsid w:val="001830D7"/>
    <w:rsid w:val="0018320C"/>
    <w:rsid w:val="00183772"/>
    <w:rsid w:val="00183A21"/>
    <w:rsid w:val="00183B96"/>
    <w:rsid w:val="00183D57"/>
    <w:rsid w:val="0018406F"/>
    <w:rsid w:val="001840B7"/>
    <w:rsid w:val="001840DF"/>
    <w:rsid w:val="001842D3"/>
    <w:rsid w:val="00184368"/>
    <w:rsid w:val="001844F8"/>
    <w:rsid w:val="0018491B"/>
    <w:rsid w:val="0018491F"/>
    <w:rsid w:val="00184CD1"/>
    <w:rsid w:val="00186065"/>
    <w:rsid w:val="0018609E"/>
    <w:rsid w:val="00186411"/>
    <w:rsid w:val="001864A9"/>
    <w:rsid w:val="001869BA"/>
    <w:rsid w:val="00186CF0"/>
    <w:rsid w:val="00186D50"/>
    <w:rsid w:val="00186DDA"/>
    <w:rsid w:val="00186EB3"/>
    <w:rsid w:val="00186F05"/>
    <w:rsid w:val="001874E7"/>
    <w:rsid w:val="001875BF"/>
    <w:rsid w:val="00187970"/>
    <w:rsid w:val="00187A90"/>
    <w:rsid w:val="00187EE6"/>
    <w:rsid w:val="00187F36"/>
    <w:rsid w:val="001904BF"/>
    <w:rsid w:val="0019090E"/>
    <w:rsid w:val="00190A6E"/>
    <w:rsid w:val="00190AB5"/>
    <w:rsid w:val="0019117A"/>
    <w:rsid w:val="001914F6"/>
    <w:rsid w:val="0019153B"/>
    <w:rsid w:val="001915E5"/>
    <w:rsid w:val="00191B87"/>
    <w:rsid w:val="00191D9E"/>
    <w:rsid w:val="00191F54"/>
    <w:rsid w:val="00191FED"/>
    <w:rsid w:val="0019261A"/>
    <w:rsid w:val="00192852"/>
    <w:rsid w:val="00192860"/>
    <w:rsid w:val="00192FB7"/>
    <w:rsid w:val="0019315D"/>
    <w:rsid w:val="00193E53"/>
    <w:rsid w:val="00194890"/>
    <w:rsid w:val="00194EA2"/>
    <w:rsid w:val="00195064"/>
    <w:rsid w:val="00195730"/>
    <w:rsid w:val="00196576"/>
    <w:rsid w:val="00196BB0"/>
    <w:rsid w:val="00196CCC"/>
    <w:rsid w:val="0019744E"/>
    <w:rsid w:val="00197D1C"/>
    <w:rsid w:val="00197ED2"/>
    <w:rsid w:val="001A0392"/>
    <w:rsid w:val="001A062F"/>
    <w:rsid w:val="001A06B6"/>
    <w:rsid w:val="001A0A80"/>
    <w:rsid w:val="001A0B77"/>
    <w:rsid w:val="001A0C64"/>
    <w:rsid w:val="001A0E10"/>
    <w:rsid w:val="001A0EE5"/>
    <w:rsid w:val="001A12F3"/>
    <w:rsid w:val="001A167D"/>
    <w:rsid w:val="001A1D1B"/>
    <w:rsid w:val="001A230A"/>
    <w:rsid w:val="001A2DF0"/>
    <w:rsid w:val="001A2E9E"/>
    <w:rsid w:val="001A326F"/>
    <w:rsid w:val="001A39C9"/>
    <w:rsid w:val="001A3AC1"/>
    <w:rsid w:val="001A3D33"/>
    <w:rsid w:val="001A3D57"/>
    <w:rsid w:val="001A4150"/>
    <w:rsid w:val="001A4462"/>
    <w:rsid w:val="001A4B19"/>
    <w:rsid w:val="001A53F8"/>
    <w:rsid w:val="001A5493"/>
    <w:rsid w:val="001A56BE"/>
    <w:rsid w:val="001A5A72"/>
    <w:rsid w:val="001A5D0E"/>
    <w:rsid w:val="001A6142"/>
    <w:rsid w:val="001A6409"/>
    <w:rsid w:val="001A6A3C"/>
    <w:rsid w:val="001A732B"/>
    <w:rsid w:val="001A73F3"/>
    <w:rsid w:val="001A75E5"/>
    <w:rsid w:val="001A7821"/>
    <w:rsid w:val="001A7870"/>
    <w:rsid w:val="001A7911"/>
    <w:rsid w:val="001B05AB"/>
    <w:rsid w:val="001B07C4"/>
    <w:rsid w:val="001B0833"/>
    <w:rsid w:val="001B0B1A"/>
    <w:rsid w:val="001B0BD9"/>
    <w:rsid w:val="001B0C0C"/>
    <w:rsid w:val="001B0CFF"/>
    <w:rsid w:val="001B1996"/>
    <w:rsid w:val="001B24D6"/>
    <w:rsid w:val="001B2D1A"/>
    <w:rsid w:val="001B2DA4"/>
    <w:rsid w:val="001B3128"/>
    <w:rsid w:val="001B317F"/>
    <w:rsid w:val="001B397A"/>
    <w:rsid w:val="001B4309"/>
    <w:rsid w:val="001B43EE"/>
    <w:rsid w:val="001B464B"/>
    <w:rsid w:val="001B4DE4"/>
    <w:rsid w:val="001B4E9A"/>
    <w:rsid w:val="001B512E"/>
    <w:rsid w:val="001B58DF"/>
    <w:rsid w:val="001B61B1"/>
    <w:rsid w:val="001B62CB"/>
    <w:rsid w:val="001B6514"/>
    <w:rsid w:val="001B668D"/>
    <w:rsid w:val="001B67FC"/>
    <w:rsid w:val="001B7135"/>
    <w:rsid w:val="001B73E2"/>
    <w:rsid w:val="001B7715"/>
    <w:rsid w:val="001B774D"/>
    <w:rsid w:val="001B7CF7"/>
    <w:rsid w:val="001B7DA9"/>
    <w:rsid w:val="001B7F04"/>
    <w:rsid w:val="001B7FA0"/>
    <w:rsid w:val="001C02FD"/>
    <w:rsid w:val="001C0846"/>
    <w:rsid w:val="001C08F4"/>
    <w:rsid w:val="001C0C84"/>
    <w:rsid w:val="001C1B41"/>
    <w:rsid w:val="001C1F25"/>
    <w:rsid w:val="001C1FDD"/>
    <w:rsid w:val="001C20FA"/>
    <w:rsid w:val="001C258F"/>
    <w:rsid w:val="001C286E"/>
    <w:rsid w:val="001C31CD"/>
    <w:rsid w:val="001C3605"/>
    <w:rsid w:val="001C36D4"/>
    <w:rsid w:val="001C398A"/>
    <w:rsid w:val="001C3B7C"/>
    <w:rsid w:val="001C4035"/>
    <w:rsid w:val="001C41DF"/>
    <w:rsid w:val="001C48D2"/>
    <w:rsid w:val="001C49B1"/>
    <w:rsid w:val="001C4A11"/>
    <w:rsid w:val="001C4D40"/>
    <w:rsid w:val="001C4FE9"/>
    <w:rsid w:val="001C5071"/>
    <w:rsid w:val="001C5413"/>
    <w:rsid w:val="001C5CF6"/>
    <w:rsid w:val="001C6129"/>
    <w:rsid w:val="001C65BC"/>
    <w:rsid w:val="001C65C8"/>
    <w:rsid w:val="001C7030"/>
    <w:rsid w:val="001C7080"/>
    <w:rsid w:val="001C741A"/>
    <w:rsid w:val="001C79C5"/>
    <w:rsid w:val="001C7C32"/>
    <w:rsid w:val="001C7D08"/>
    <w:rsid w:val="001C7F33"/>
    <w:rsid w:val="001C7FB9"/>
    <w:rsid w:val="001D0110"/>
    <w:rsid w:val="001D018F"/>
    <w:rsid w:val="001D08B3"/>
    <w:rsid w:val="001D0A2D"/>
    <w:rsid w:val="001D0C3F"/>
    <w:rsid w:val="001D0FE9"/>
    <w:rsid w:val="001D12CC"/>
    <w:rsid w:val="001D173D"/>
    <w:rsid w:val="001D1AB6"/>
    <w:rsid w:val="001D2A57"/>
    <w:rsid w:val="001D3235"/>
    <w:rsid w:val="001D33EA"/>
    <w:rsid w:val="001D40A4"/>
    <w:rsid w:val="001D43ED"/>
    <w:rsid w:val="001D4838"/>
    <w:rsid w:val="001D4920"/>
    <w:rsid w:val="001D4CB6"/>
    <w:rsid w:val="001D4DCB"/>
    <w:rsid w:val="001D517C"/>
    <w:rsid w:val="001D5183"/>
    <w:rsid w:val="001D53DD"/>
    <w:rsid w:val="001D568D"/>
    <w:rsid w:val="001D574C"/>
    <w:rsid w:val="001D5983"/>
    <w:rsid w:val="001D5CAE"/>
    <w:rsid w:val="001D601A"/>
    <w:rsid w:val="001D6250"/>
    <w:rsid w:val="001D65EF"/>
    <w:rsid w:val="001D679A"/>
    <w:rsid w:val="001D6933"/>
    <w:rsid w:val="001D6A0D"/>
    <w:rsid w:val="001D6AE2"/>
    <w:rsid w:val="001D70DC"/>
    <w:rsid w:val="001D7122"/>
    <w:rsid w:val="001D714A"/>
    <w:rsid w:val="001D71E4"/>
    <w:rsid w:val="001D72C4"/>
    <w:rsid w:val="001D750A"/>
    <w:rsid w:val="001D7707"/>
    <w:rsid w:val="001D7855"/>
    <w:rsid w:val="001D78C3"/>
    <w:rsid w:val="001D79BD"/>
    <w:rsid w:val="001D7C9A"/>
    <w:rsid w:val="001D7D0B"/>
    <w:rsid w:val="001D7EE5"/>
    <w:rsid w:val="001E007C"/>
    <w:rsid w:val="001E0437"/>
    <w:rsid w:val="001E0701"/>
    <w:rsid w:val="001E0794"/>
    <w:rsid w:val="001E0B07"/>
    <w:rsid w:val="001E0DAE"/>
    <w:rsid w:val="001E0E3A"/>
    <w:rsid w:val="001E0E8D"/>
    <w:rsid w:val="001E16C3"/>
    <w:rsid w:val="001E199C"/>
    <w:rsid w:val="001E1A30"/>
    <w:rsid w:val="001E1ACF"/>
    <w:rsid w:val="001E1BB1"/>
    <w:rsid w:val="001E20DA"/>
    <w:rsid w:val="001E2E2B"/>
    <w:rsid w:val="001E37CF"/>
    <w:rsid w:val="001E3AF9"/>
    <w:rsid w:val="001E3BE5"/>
    <w:rsid w:val="001E3CF8"/>
    <w:rsid w:val="001E3D9F"/>
    <w:rsid w:val="001E3F2A"/>
    <w:rsid w:val="001E3F2B"/>
    <w:rsid w:val="001E446E"/>
    <w:rsid w:val="001E44AA"/>
    <w:rsid w:val="001E478E"/>
    <w:rsid w:val="001E4878"/>
    <w:rsid w:val="001E4B65"/>
    <w:rsid w:val="001E4BF9"/>
    <w:rsid w:val="001E54F6"/>
    <w:rsid w:val="001E5710"/>
    <w:rsid w:val="001E616F"/>
    <w:rsid w:val="001E626D"/>
    <w:rsid w:val="001E730E"/>
    <w:rsid w:val="001E7B01"/>
    <w:rsid w:val="001E7E5D"/>
    <w:rsid w:val="001E7F5B"/>
    <w:rsid w:val="001F0BAC"/>
    <w:rsid w:val="001F0D1D"/>
    <w:rsid w:val="001F1619"/>
    <w:rsid w:val="001F196E"/>
    <w:rsid w:val="001F1D1D"/>
    <w:rsid w:val="001F1FCA"/>
    <w:rsid w:val="001F2029"/>
    <w:rsid w:val="001F21BE"/>
    <w:rsid w:val="001F2493"/>
    <w:rsid w:val="001F2850"/>
    <w:rsid w:val="001F2A99"/>
    <w:rsid w:val="001F3010"/>
    <w:rsid w:val="001F3206"/>
    <w:rsid w:val="001F36D9"/>
    <w:rsid w:val="001F3808"/>
    <w:rsid w:val="001F3C33"/>
    <w:rsid w:val="001F46B7"/>
    <w:rsid w:val="001F4A50"/>
    <w:rsid w:val="001F4AAC"/>
    <w:rsid w:val="001F4AD7"/>
    <w:rsid w:val="001F4BD9"/>
    <w:rsid w:val="001F5239"/>
    <w:rsid w:val="001F55BD"/>
    <w:rsid w:val="001F58AE"/>
    <w:rsid w:val="001F5F72"/>
    <w:rsid w:val="001F6B91"/>
    <w:rsid w:val="001F7317"/>
    <w:rsid w:val="001F797F"/>
    <w:rsid w:val="001F7DEA"/>
    <w:rsid w:val="001F7E4C"/>
    <w:rsid w:val="001F7EA8"/>
    <w:rsid w:val="00200042"/>
    <w:rsid w:val="0020078A"/>
    <w:rsid w:val="002010F0"/>
    <w:rsid w:val="00201149"/>
    <w:rsid w:val="0020158E"/>
    <w:rsid w:val="002016CD"/>
    <w:rsid w:val="00202938"/>
    <w:rsid w:val="002035AD"/>
    <w:rsid w:val="0020428A"/>
    <w:rsid w:val="00204333"/>
    <w:rsid w:val="00204493"/>
    <w:rsid w:val="002044DA"/>
    <w:rsid w:val="0020451F"/>
    <w:rsid w:val="00204A07"/>
    <w:rsid w:val="0020504A"/>
    <w:rsid w:val="002050C1"/>
    <w:rsid w:val="00205360"/>
    <w:rsid w:val="00205A6F"/>
    <w:rsid w:val="00205C87"/>
    <w:rsid w:val="00205EF2"/>
    <w:rsid w:val="00206559"/>
    <w:rsid w:val="00206580"/>
    <w:rsid w:val="00206B2C"/>
    <w:rsid w:val="00206FD6"/>
    <w:rsid w:val="00207430"/>
    <w:rsid w:val="002077BE"/>
    <w:rsid w:val="00207A7B"/>
    <w:rsid w:val="00207BA3"/>
    <w:rsid w:val="00207CFE"/>
    <w:rsid w:val="00207D88"/>
    <w:rsid w:val="00207E60"/>
    <w:rsid w:val="00210034"/>
    <w:rsid w:val="00210097"/>
    <w:rsid w:val="002102E0"/>
    <w:rsid w:val="002106BD"/>
    <w:rsid w:val="002108C4"/>
    <w:rsid w:val="00210A0E"/>
    <w:rsid w:val="00210CEC"/>
    <w:rsid w:val="00210D17"/>
    <w:rsid w:val="00210D4F"/>
    <w:rsid w:val="00211639"/>
    <w:rsid w:val="002117CE"/>
    <w:rsid w:val="0021181D"/>
    <w:rsid w:val="002119CF"/>
    <w:rsid w:val="00211E05"/>
    <w:rsid w:val="002126B2"/>
    <w:rsid w:val="002126D9"/>
    <w:rsid w:val="0021289C"/>
    <w:rsid w:val="00212A51"/>
    <w:rsid w:val="00212A7E"/>
    <w:rsid w:val="00212B1F"/>
    <w:rsid w:val="00212DC0"/>
    <w:rsid w:val="00212FEF"/>
    <w:rsid w:val="002133DD"/>
    <w:rsid w:val="00213615"/>
    <w:rsid w:val="002139B8"/>
    <w:rsid w:val="00213CB4"/>
    <w:rsid w:val="00213CE7"/>
    <w:rsid w:val="002144DC"/>
    <w:rsid w:val="00214761"/>
    <w:rsid w:val="00214F4E"/>
    <w:rsid w:val="00215765"/>
    <w:rsid w:val="002159C3"/>
    <w:rsid w:val="00215C4E"/>
    <w:rsid w:val="00215FDC"/>
    <w:rsid w:val="00216276"/>
    <w:rsid w:val="00216290"/>
    <w:rsid w:val="002163E3"/>
    <w:rsid w:val="002164B6"/>
    <w:rsid w:val="0021654D"/>
    <w:rsid w:val="0021683F"/>
    <w:rsid w:val="0021687A"/>
    <w:rsid w:val="00216C1E"/>
    <w:rsid w:val="00216D92"/>
    <w:rsid w:val="00216E12"/>
    <w:rsid w:val="00217073"/>
    <w:rsid w:val="002170A0"/>
    <w:rsid w:val="00217648"/>
    <w:rsid w:val="0021787A"/>
    <w:rsid w:val="00217918"/>
    <w:rsid w:val="00217BE0"/>
    <w:rsid w:val="00217D23"/>
    <w:rsid w:val="00217D58"/>
    <w:rsid w:val="00217DCB"/>
    <w:rsid w:val="0022080F"/>
    <w:rsid w:val="00220995"/>
    <w:rsid w:val="00220C98"/>
    <w:rsid w:val="00221882"/>
    <w:rsid w:val="00221A95"/>
    <w:rsid w:val="00221D3B"/>
    <w:rsid w:val="002228E4"/>
    <w:rsid w:val="00222BB9"/>
    <w:rsid w:val="00222E7F"/>
    <w:rsid w:val="0022325B"/>
    <w:rsid w:val="00223317"/>
    <w:rsid w:val="00223433"/>
    <w:rsid w:val="0022363F"/>
    <w:rsid w:val="00223DC1"/>
    <w:rsid w:val="00223E1A"/>
    <w:rsid w:val="00223F08"/>
    <w:rsid w:val="0022476D"/>
    <w:rsid w:val="0022485A"/>
    <w:rsid w:val="00224A01"/>
    <w:rsid w:val="00224D21"/>
    <w:rsid w:val="00224D3C"/>
    <w:rsid w:val="002250A3"/>
    <w:rsid w:val="00225331"/>
    <w:rsid w:val="002253A0"/>
    <w:rsid w:val="00225473"/>
    <w:rsid w:val="002257E7"/>
    <w:rsid w:val="002259E0"/>
    <w:rsid w:val="00225D50"/>
    <w:rsid w:val="00226436"/>
    <w:rsid w:val="00226EE6"/>
    <w:rsid w:val="00227176"/>
    <w:rsid w:val="002275B6"/>
    <w:rsid w:val="00230ED4"/>
    <w:rsid w:val="0023138D"/>
    <w:rsid w:val="0023144A"/>
    <w:rsid w:val="002318F1"/>
    <w:rsid w:val="00231A7E"/>
    <w:rsid w:val="00231B3A"/>
    <w:rsid w:val="00231F5B"/>
    <w:rsid w:val="0023253E"/>
    <w:rsid w:val="00232699"/>
    <w:rsid w:val="00232A5D"/>
    <w:rsid w:val="00233556"/>
    <w:rsid w:val="00233754"/>
    <w:rsid w:val="00233A2A"/>
    <w:rsid w:val="00233ADE"/>
    <w:rsid w:val="00234195"/>
    <w:rsid w:val="00234E9B"/>
    <w:rsid w:val="00235217"/>
    <w:rsid w:val="002352F1"/>
    <w:rsid w:val="00235882"/>
    <w:rsid w:val="00236408"/>
    <w:rsid w:val="002367BF"/>
    <w:rsid w:val="00236929"/>
    <w:rsid w:val="00236BC1"/>
    <w:rsid w:val="0023712E"/>
    <w:rsid w:val="00237839"/>
    <w:rsid w:val="00237B50"/>
    <w:rsid w:val="00237BF7"/>
    <w:rsid w:val="00240091"/>
    <w:rsid w:val="002406F8"/>
    <w:rsid w:val="002412BD"/>
    <w:rsid w:val="002413C6"/>
    <w:rsid w:val="00241518"/>
    <w:rsid w:val="00241871"/>
    <w:rsid w:val="00242435"/>
    <w:rsid w:val="00242EE2"/>
    <w:rsid w:val="0024314E"/>
    <w:rsid w:val="00243408"/>
    <w:rsid w:val="0024359A"/>
    <w:rsid w:val="002435CE"/>
    <w:rsid w:val="0024399A"/>
    <w:rsid w:val="00243F98"/>
    <w:rsid w:val="0024436B"/>
    <w:rsid w:val="0024438B"/>
    <w:rsid w:val="00244577"/>
    <w:rsid w:val="0024466B"/>
    <w:rsid w:val="002447E7"/>
    <w:rsid w:val="00244DD4"/>
    <w:rsid w:val="00245284"/>
    <w:rsid w:val="002452C9"/>
    <w:rsid w:val="0024533F"/>
    <w:rsid w:val="0024594D"/>
    <w:rsid w:val="00245E16"/>
    <w:rsid w:val="00246249"/>
    <w:rsid w:val="00246D1F"/>
    <w:rsid w:val="002470AA"/>
    <w:rsid w:val="00247102"/>
    <w:rsid w:val="00247403"/>
    <w:rsid w:val="00247542"/>
    <w:rsid w:val="00247701"/>
    <w:rsid w:val="00250188"/>
    <w:rsid w:val="002501DF"/>
    <w:rsid w:val="002502FA"/>
    <w:rsid w:val="0025035A"/>
    <w:rsid w:val="0025094D"/>
    <w:rsid w:val="00250F6D"/>
    <w:rsid w:val="002512A9"/>
    <w:rsid w:val="0025152D"/>
    <w:rsid w:val="002515C0"/>
    <w:rsid w:val="00251815"/>
    <w:rsid w:val="0025186B"/>
    <w:rsid w:val="00251AD4"/>
    <w:rsid w:val="00251AF9"/>
    <w:rsid w:val="0025272F"/>
    <w:rsid w:val="002528A3"/>
    <w:rsid w:val="002528A8"/>
    <w:rsid w:val="002528E3"/>
    <w:rsid w:val="002529EF"/>
    <w:rsid w:val="00252D46"/>
    <w:rsid w:val="00252F69"/>
    <w:rsid w:val="00253419"/>
    <w:rsid w:val="0025362D"/>
    <w:rsid w:val="00253D89"/>
    <w:rsid w:val="00253ECD"/>
    <w:rsid w:val="00254727"/>
    <w:rsid w:val="002547D6"/>
    <w:rsid w:val="00254FB7"/>
    <w:rsid w:val="00255A87"/>
    <w:rsid w:val="00255E75"/>
    <w:rsid w:val="002560A3"/>
    <w:rsid w:val="002561F9"/>
    <w:rsid w:val="0025633E"/>
    <w:rsid w:val="0025645E"/>
    <w:rsid w:val="002571C0"/>
    <w:rsid w:val="002571E1"/>
    <w:rsid w:val="0025721A"/>
    <w:rsid w:val="00257226"/>
    <w:rsid w:val="0025762A"/>
    <w:rsid w:val="0025788C"/>
    <w:rsid w:val="0025794B"/>
    <w:rsid w:val="00257DF3"/>
    <w:rsid w:val="00257E30"/>
    <w:rsid w:val="00260014"/>
    <w:rsid w:val="0026030B"/>
    <w:rsid w:val="0026036B"/>
    <w:rsid w:val="00260498"/>
    <w:rsid w:val="00260B9D"/>
    <w:rsid w:val="00261D46"/>
    <w:rsid w:val="00261FF1"/>
    <w:rsid w:val="00261FF3"/>
    <w:rsid w:val="00262F24"/>
    <w:rsid w:val="00262FE7"/>
    <w:rsid w:val="002634CD"/>
    <w:rsid w:val="002639B4"/>
    <w:rsid w:val="00263C9E"/>
    <w:rsid w:val="002641DA"/>
    <w:rsid w:val="00264C08"/>
    <w:rsid w:val="00264D1F"/>
    <w:rsid w:val="00264D87"/>
    <w:rsid w:val="00265475"/>
    <w:rsid w:val="00265763"/>
    <w:rsid w:val="00265979"/>
    <w:rsid w:val="00265CC8"/>
    <w:rsid w:val="00265E2F"/>
    <w:rsid w:val="00266868"/>
    <w:rsid w:val="00266B56"/>
    <w:rsid w:val="00266B61"/>
    <w:rsid w:val="0026712A"/>
    <w:rsid w:val="0026748B"/>
    <w:rsid w:val="00267574"/>
    <w:rsid w:val="002676E2"/>
    <w:rsid w:val="0026775F"/>
    <w:rsid w:val="00267CAA"/>
    <w:rsid w:val="00267FD8"/>
    <w:rsid w:val="00270001"/>
    <w:rsid w:val="0027028C"/>
    <w:rsid w:val="002704DB"/>
    <w:rsid w:val="00270CCF"/>
    <w:rsid w:val="00270D43"/>
    <w:rsid w:val="00270E01"/>
    <w:rsid w:val="00271490"/>
    <w:rsid w:val="002717CA"/>
    <w:rsid w:val="00271D94"/>
    <w:rsid w:val="002721D7"/>
    <w:rsid w:val="00272278"/>
    <w:rsid w:val="00272A9A"/>
    <w:rsid w:val="00272E96"/>
    <w:rsid w:val="00272F18"/>
    <w:rsid w:val="0027304F"/>
    <w:rsid w:val="00273352"/>
    <w:rsid w:val="00273723"/>
    <w:rsid w:val="00273B48"/>
    <w:rsid w:val="002746CE"/>
    <w:rsid w:val="00274F86"/>
    <w:rsid w:val="002752D3"/>
    <w:rsid w:val="00275A25"/>
    <w:rsid w:val="00275A72"/>
    <w:rsid w:val="002763AE"/>
    <w:rsid w:val="00276522"/>
    <w:rsid w:val="00276564"/>
    <w:rsid w:val="0027673F"/>
    <w:rsid w:val="002767C9"/>
    <w:rsid w:val="00276D62"/>
    <w:rsid w:val="002773C2"/>
    <w:rsid w:val="00277AC6"/>
    <w:rsid w:val="0028040D"/>
    <w:rsid w:val="002804FF"/>
    <w:rsid w:val="00280936"/>
    <w:rsid w:val="00280D03"/>
    <w:rsid w:val="00281002"/>
    <w:rsid w:val="0028148D"/>
    <w:rsid w:val="00281754"/>
    <w:rsid w:val="002817B4"/>
    <w:rsid w:val="002822DA"/>
    <w:rsid w:val="0028261F"/>
    <w:rsid w:val="00282C1D"/>
    <w:rsid w:val="00282E05"/>
    <w:rsid w:val="002832C0"/>
    <w:rsid w:val="0028455A"/>
    <w:rsid w:val="002845CB"/>
    <w:rsid w:val="002846C1"/>
    <w:rsid w:val="002849E0"/>
    <w:rsid w:val="00284CC7"/>
    <w:rsid w:val="00284D12"/>
    <w:rsid w:val="00284DE8"/>
    <w:rsid w:val="0028514D"/>
    <w:rsid w:val="002851FD"/>
    <w:rsid w:val="0028554D"/>
    <w:rsid w:val="00285740"/>
    <w:rsid w:val="00285772"/>
    <w:rsid w:val="0028583A"/>
    <w:rsid w:val="002859D3"/>
    <w:rsid w:val="00285C11"/>
    <w:rsid w:val="00285F07"/>
    <w:rsid w:val="00285F63"/>
    <w:rsid w:val="002861AB"/>
    <w:rsid w:val="00286308"/>
    <w:rsid w:val="002868D4"/>
    <w:rsid w:val="00286920"/>
    <w:rsid w:val="00286D5A"/>
    <w:rsid w:val="00287511"/>
    <w:rsid w:val="00287957"/>
    <w:rsid w:val="00287AD5"/>
    <w:rsid w:val="00287B40"/>
    <w:rsid w:val="00290140"/>
    <w:rsid w:val="002901A6"/>
    <w:rsid w:val="00290489"/>
    <w:rsid w:val="00290733"/>
    <w:rsid w:val="00290CD0"/>
    <w:rsid w:val="00291197"/>
    <w:rsid w:val="002915A4"/>
    <w:rsid w:val="00291852"/>
    <w:rsid w:val="00291B27"/>
    <w:rsid w:val="00291CB2"/>
    <w:rsid w:val="00291E29"/>
    <w:rsid w:val="00292AF9"/>
    <w:rsid w:val="00292BDB"/>
    <w:rsid w:val="002933D1"/>
    <w:rsid w:val="00293632"/>
    <w:rsid w:val="00293886"/>
    <w:rsid w:val="002939B1"/>
    <w:rsid w:val="00293A17"/>
    <w:rsid w:val="00293A69"/>
    <w:rsid w:val="00293BD4"/>
    <w:rsid w:val="0029417A"/>
    <w:rsid w:val="002949A6"/>
    <w:rsid w:val="00294BF5"/>
    <w:rsid w:val="00294C69"/>
    <w:rsid w:val="00295580"/>
    <w:rsid w:val="002955AB"/>
    <w:rsid w:val="00295B56"/>
    <w:rsid w:val="00295C91"/>
    <w:rsid w:val="00295E72"/>
    <w:rsid w:val="00296006"/>
    <w:rsid w:val="00296410"/>
    <w:rsid w:val="00297407"/>
    <w:rsid w:val="00297586"/>
    <w:rsid w:val="002978BD"/>
    <w:rsid w:val="002978D3"/>
    <w:rsid w:val="00297A61"/>
    <w:rsid w:val="00297D6D"/>
    <w:rsid w:val="00297DAC"/>
    <w:rsid w:val="002A07AB"/>
    <w:rsid w:val="002A0810"/>
    <w:rsid w:val="002A0AAE"/>
    <w:rsid w:val="002A0C80"/>
    <w:rsid w:val="002A0F05"/>
    <w:rsid w:val="002A120A"/>
    <w:rsid w:val="002A15E0"/>
    <w:rsid w:val="002A1746"/>
    <w:rsid w:val="002A1897"/>
    <w:rsid w:val="002A1992"/>
    <w:rsid w:val="002A1AEE"/>
    <w:rsid w:val="002A1CB2"/>
    <w:rsid w:val="002A26A9"/>
    <w:rsid w:val="002A2BB8"/>
    <w:rsid w:val="002A2E13"/>
    <w:rsid w:val="002A3123"/>
    <w:rsid w:val="002A357B"/>
    <w:rsid w:val="002A35C4"/>
    <w:rsid w:val="002A37F0"/>
    <w:rsid w:val="002A3A10"/>
    <w:rsid w:val="002A3BBF"/>
    <w:rsid w:val="002A4293"/>
    <w:rsid w:val="002A4AF0"/>
    <w:rsid w:val="002A4CB5"/>
    <w:rsid w:val="002A4FFC"/>
    <w:rsid w:val="002A51F5"/>
    <w:rsid w:val="002A54A2"/>
    <w:rsid w:val="002A55D8"/>
    <w:rsid w:val="002A5820"/>
    <w:rsid w:val="002A58AC"/>
    <w:rsid w:val="002A5980"/>
    <w:rsid w:val="002A59D5"/>
    <w:rsid w:val="002A5BDA"/>
    <w:rsid w:val="002A5E63"/>
    <w:rsid w:val="002A5F69"/>
    <w:rsid w:val="002A62C7"/>
    <w:rsid w:val="002A6D47"/>
    <w:rsid w:val="002A6D6E"/>
    <w:rsid w:val="002A6DBB"/>
    <w:rsid w:val="002A75CD"/>
    <w:rsid w:val="002A78E5"/>
    <w:rsid w:val="002A797C"/>
    <w:rsid w:val="002B01DF"/>
    <w:rsid w:val="002B02DF"/>
    <w:rsid w:val="002B02EB"/>
    <w:rsid w:val="002B049F"/>
    <w:rsid w:val="002B0791"/>
    <w:rsid w:val="002B0E6A"/>
    <w:rsid w:val="002B109A"/>
    <w:rsid w:val="002B184F"/>
    <w:rsid w:val="002B2064"/>
    <w:rsid w:val="002B2684"/>
    <w:rsid w:val="002B26AA"/>
    <w:rsid w:val="002B26C1"/>
    <w:rsid w:val="002B27A5"/>
    <w:rsid w:val="002B31DE"/>
    <w:rsid w:val="002B31F7"/>
    <w:rsid w:val="002B3710"/>
    <w:rsid w:val="002B38D3"/>
    <w:rsid w:val="002B3A7D"/>
    <w:rsid w:val="002B3A99"/>
    <w:rsid w:val="002B42B6"/>
    <w:rsid w:val="002B44BF"/>
    <w:rsid w:val="002B5929"/>
    <w:rsid w:val="002B5C25"/>
    <w:rsid w:val="002B5C5B"/>
    <w:rsid w:val="002B5CA7"/>
    <w:rsid w:val="002B5E9D"/>
    <w:rsid w:val="002B5F76"/>
    <w:rsid w:val="002B6194"/>
    <w:rsid w:val="002B64D3"/>
    <w:rsid w:val="002B6A63"/>
    <w:rsid w:val="002B7042"/>
    <w:rsid w:val="002B757B"/>
    <w:rsid w:val="002B76B0"/>
    <w:rsid w:val="002B7762"/>
    <w:rsid w:val="002B79AD"/>
    <w:rsid w:val="002B7DEB"/>
    <w:rsid w:val="002B7ED9"/>
    <w:rsid w:val="002C006D"/>
    <w:rsid w:val="002C0080"/>
    <w:rsid w:val="002C0102"/>
    <w:rsid w:val="002C045F"/>
    <w:rsid w:val="002C0847"/>
    <w:rsid w:val="002C0A67"/>
    <w:rsid w:val="002C0CB9"/>
    <w:rsid w:val="002C0D63"/>
    <w:rsid w:val="002C15C4"/>
    <w:rsid w:val="002C1B42"/>
    <w:rsid w:val="002C1C42"/>
    <w:rsid w:val="002C1C64"/>
    <w:rsid w:val="002C1FF8"/>
    <w:rsid w:val="002C2265"/>
    <w:rsid w:val="002C23FF"/>
    <w:rsid w:val="002C24AA"/>
    <w:rsid w:val="002C2904"/>
    <w:rsid w:val="002C2B7C"/>
    <w:rsid w:val="002C34A2"/>
    <w:rsid w:val="002C3B14"/>
    <w:rsid w:val="002C3FC4"/>
    <w:rsid w:val="002C4030"/>
    <w:rsid w:val="002C403C"/>
    <w:rsid w:val="002C4149"/>
    <w:rsid w:val="002C4287"/>
    <w:rsid w:val="002C42C4"/>
    <w:rsid w:val="002C4389"/>
    <w:rsid w:val="002C4605"/>
    <w:rsid w:val="002C4864"/>
    <w:rsid w:val="002C4A65"/>
    <w:rsid w:val="002C4B16"/>
    <w:rsid w:val="002C51D2"/>
    <w:rsid w:val="002C5511"/>
    <w:rsid w:val="002C5523"/>
    <w:rsid w:val="002C591F"/>
    <w:rsid w:val="002C5CA9"/>
    <w:rsid w:val="002C6019"/>
    <w:rsid w:val="002C6225"/>
    <w:rsid w:val="002C62AA"/>
    <w:rsid w:val="002C633D"/>
    <w:rsid w:val="002C65E0"/>
    <w:rsid w:val="002C718C"/>
    <w:rsid w:val="002C764F"/>
    <w:rsid w:val="002C7799"/>
    <w:rsid w:val="002C79A3"/>
    <w:rsid w:val="002C7A05"/>
    <w:rsid w:val="002D00ED"/>
    <w:rsid w:val="002D03BD"/>
    <w:rsid w:val="002D05CF"/>
    <w:rsid w:val="002D0721"/>
    <w:rsid w:val="002D0E82"/>
    <w:rsid w:val="002D1830"/>
    <w:rsid w:val="002D18B6"/>
    <w:rsid w:val="002D18D9"/>
    <w:rsid w:val="002D1E60"/>
    <w:rsid w:val="002D1FB6"/>
    <w:rsid w:val="002D2414"/>
    <w:rsid w:val="002D2B26"/>
    <w:rsid w:val="002D2EBA"/>
    <w:rsid w:val="002D31B6"/>
    <w:rsid w:val="002D3204"/>
    <w:rsid w:val="002D3360"/>
    <w:rsid w:val="002D38A8"/>
    <w:rsid w:val="002D40EE"/>
    <w:rsid w:val="002D432A"/>
    <w:rsid w:val="002D462C"/>
    <w:rsid w:val="002D4744"/>
    <w:rsid w:val="002D49D8"/>
    <w:rsid w:val="002D4A07"/>
    <w:rsid w:val="002D4BAA"/>
    <w:rsid w:val="002D562C"/>
    <w:rsid w:val="002D6432"/>
    <w:rsid w:val="002D6537"/>
    <w:rsid w:val="002D65D6"/>
    <w:rsid w:val="002D660F"/>
    <w:rsid w:val="002D6DFA"/>
    <w:rsid w:val="002D6FEA"/>
    <w:rsid w:val="002D7848"/>
    <w:rsid w:val="002D7A44"/>
    <w:rsid w:val="002D7BF5"/>
    <w:rsid w:val="002D7C75"/>
    <w:rsid w:val="002D7EA2"/>
    <w:rsid w:val="002D7EC8"/>
    <w:rsid w:val="002D7FF1"/>
    <w:rsid w:val="002E02FF"/>
    <w:rsid w:val="002E04CC"/>
    <w:rsid w:val="002E06CC"/>
    <w:rsid w:val="002E075E"/>
    <w:rsid w:val="002E07B0"/>
    <w:rsid w:val="002E0A05"/>
    <w:rsid w:val="002E1155"/>
    <w:rsid w:val="002E118C"/>
    <w:rsid w:val="002E11D8"/>
    <w:rsid w:val="002E1601"/>
    <w:rsid w:val="002E187C"/>
    <w:rsid w:val="002E1A9E"/>
    <w:rsid w:val="002E214D"/>
    <w:rsid w:val="002E26F0"/>
    <w:rsid w:val="002E2A8A"/>
    <w:rsid w:val="002E2B53"/>
    <w:rsid w:val="002E2BFD"/>
    <w:rsid w:val="002E2D5E"/>
    <w:rsid w:val="002E2F8E"/>
    <w:rsid w:val="002E3978"/>
    <w:rsid w:val="002E3B00"/>
    <w:rsid w:val="002E3E41"/>
    <w:rsid w:val="002E420E"/>
    <w:rsid w:val="002E4339"/>
    <w:rsid w:val="002E4C22"/>
    <w:rsid w:val="002E5579"/>
    <w:rsid w:val="002E5624"/>
    <w:rsid w:val="002E583B"/>
    <w:rsid w:val="002E5999"/>
    <w:rsid w:val="002E5E68"/>
    <w:rsid w:val="002E5FBD"/>
    <w:rsid w:val="002E60CC"/>
    <w:rsid w:val="002E6498"/>
    <w:rsid w:val="002E67C3"/>
    <w:rsid w:val="002E67CD"/>
    <w:rsid w:val="002E68C8"/>
    <w:rsid w:val="002E69D7"/>
    <w:rsid w:val="002E7000"/>
    <w:rsid w:val="002E78CE"/>
    <w:rsid w:val="002E7C1A"/>
    <w:rsid w:val="002E7D67"/>
    <w:rsid w:val="002F085C"/>
    <w:rsid w:val="002F089E"/>
    <w:rsid w:val="002F0CCD"/>
    <w:rsid w:val="002F0FB2"/>
    <w:rsid w:val="002F1177"/>
    <w:rsid w:val="002F1330"/>
    <w:rsid w:val="002F1768"/>
    <w:rsid w:val="002F1883"/>
    <w:rsid w:val="002F1A55"/>
    <w:rsid w:val="002F1ED2"/>
    <w:rsid w:val="002F225F"/>
    <w:rsid w:val="002F2480"/>
    <w:rsid w:val="002F26D5"/>
    <w:rsid w:val="002F2D34"/>
    <w:rsid w:val="002F2F39"/>
    <w:rsid w:val="002F3037"/>
    <w:rsid w:val="002F3559"/>
    <w:rsid w:val="002F35FC"/>
    <w:rsid w:val="002F38D7"/>
    <w:rsid w:val="002F3964"/>
    <w:rsid w:val="002F3CDA"/>
    <w:rsid w:val="002F3D36"/>
    <w:rsid w:val="002F3F97"/>
    <w:rsid w:val="002F3FD1"/>
    <w:rsid w:val="002F464F"/>
    <w:rsid w:val="002F485D"/>
    <w:rsid w:val="002F4876"/>
    <w:rsid w:val="002F4A1F"/>
    <w:rsid w:val="002F4D08"/>
    <w:rsid w:val="002F4DC1"/>
    <w:rsid w:val="002F5231"/>
    <w:rsid w:val="002F5403"/>
    <w:rsid w:val="002F5526"/>
    <w:rsid w:val="002F5873"/>
    <w:rsid w:val="002F596C"/>
    <w:rsid w:val="002F5DAF"/>
    <w:rsid w:val="002F5E67"/>
    <w:rsid w:val="002F63AF"/>
    <w:rsid w:val="002F6F78"/>
    <w:rsid w:val="002F7043"/>
    <w:rsid w:val="002F74E6"/>
    <w:rsid w:val="002F7F09"/>
    <w:rsid w:val="003002BA"/>
    <w:rsid w:val="003005A7"/>
    <w:rsid w:val="0030082A"/>
    <w:rsid w:val="00300BE6"/>
    <w:rsid w:val="00300DE6"/>
    <w:rsid w:val="00300DF5"/>
    <w:rsid w:val="00301072"/>
    <w:rsid w:val="003017B6"/>
    <w:rsid w:val="003018E5"/>
    <w:rsid w:val="00301C3A"/>
    <w:rsid w:val="00301E20"/>
    <w:rsid w:val="00301F70"/>
    <w:rsid w:val="00302347"/>
    <w:rsid w:val="00302733"/>
    <w:rsid w:val="00302A64"/>
    <w:rsid w:val="00302C6C"/>
    <w:rsid w:val="003032E4"/>
    <w:rsid w:val="00303416"/>
    <w:rsid w:val="00303433"/>
    <w:rsid w:val="003034B3"/>
    <w:rsid w:val="003034CE"/>
    <w:rsid w:val="003036B5"/>
    <w:rsid w:val="003037F0"/>
    <w:rsid w:val="00303974"/>
    <w:rsid w:val="003039F4"/>
    <w:rsid w:val="0030433B"/>
    <w:rsid w:val="003045D6"/>
    <w:rsid w:val="003045DB"/>
    <w:rsid w:val="00304AD9"/>
    <w:rsid w:val="00304CFD"/>
    <w:rsid w:val="003050B9"/>
    <w:rsid w:val="0030512D"/>
    <w:rsid w:val="00305309"/>
    <w:rsid w:val="00305408"/>
    <w:rsid w:val="0030544E"/>
    <w:rsid w:val="00305470"/>
    <w:rsid w:val="0030560D"/>
    <w:rsid w:val="00305918"/>
    <w:rsid w:val="00305949"/>
    <w:rsid w:val="00305956"/>
    <w:rsid w:val="00305CC0"/>
    <w:rsid w:val="00305CDC"/>
    <w:rsid w:val="003060DC"/>
    <w:rsid w:val="0030616D"/>
    <w:rsid w:val="003061F7"/>
    <w:rsid w:val="00306486"/>
    <w:rsid w:val="00306880"/>
    <w:rsid w:val="00306C37"/>
    <w:rsid w:val="0030711D"/>
    <w:rsid w:val="00307347"/>
    <w:rsid w:val="003073C3"/>
    <w:rsid w:val="003074D6"/>
    <w:rsid w:val="0030751F"/>
    <w:rsid w:val="00307920"/>
    <w:rsid w:val="00307B49"/>
    <w:rsid w:val="00307D02"/>
    <w:rsid w:val="00307EE5"/>
    <w:rsid w:val="0031005E"/>
    <w:rsid w:val="0031045A"/>
    <w:rsid w:val="00310628"/>
    <w:rsid w:val="003106C3"/>
    <w:rsid w:val="0031098C"/>
    <w:rsid w:val="00310B1C"/>
    <w:rsid w:val="0031128E"/>
    <w:rsid w:val="003112A9"/>
    <w:rsid w:val="0031160C"/>
    <w:rsid w:val="00311901"/>
    <w:rsid w:val="003119AD"/>
    <w:rsid w:val="00311D8B"/>
    <w:rsid w:val="00311EFE"/>
    <w:rsid w:val="003122F4"/>
    <w:rsid w:val="00312593"/>
    <w:rsid w:val="003126A0"/>
    <w:rsid w:val="003126ED"/>
    <w:rsid w:val="00312F2F"/>
    <w:rsid w:val="00312F89"/>
    <w:rsid w:val="00312F99"/>
    <w:rsid w:val="0031377E"/>
    <w:rsid w:val="00313AD6"/>
    <w:rsid w:val="00313F8B"/>
    <w:rsid w:val="00314078"/>
    <w:rsid w:val="00314765"/>
    <w:rsid w:val="00314834"/>
    <w:rsid w:val="00314901"/>
    <w:rsid w:val="00314A30"/>
    <w:rsid w:val="00314A7F"/>
    <w:rsid w:val="00314D19"/>
    <w:rsid w:val="00315134"/>
    <w:rsid w:val="0031515E"/>
    <w:rsid w:val="0031575A"/>
    <w:rsid w:val="003157A4"/>
    <w:rsid w:val="003157B0"/>
    <w:rsid w:val="00315D83"/>
    <w:rsid w:val="00315EC4"/>
    <w:rsid w:val="00316517"/>
    <w:rsid w:val="00316658"/>
    <w:rsid w:val="00316E88"/>
    <w:rsid w:val="003170EA"/>
    <w:rsid w:val="00317250"/>
    <w:rsid w:val="003172A7"/>
    <w:rsid w:val="00317B43"/>
    <w:rsid w:val="00317EC9"/>
    <w:rsid w:val="003200CE"/>
    <w:rsid w:val="0032049A"/>
    <w:rsid w:val="003207B1"/>
    <w:rsid w:val="00320B1A"/>
    <w:rsid w:val="00321576"/>
    <w:rsid w:val="0032186D"/>
    <w:rsid w:val="00321CBB"/>
    <w:rsid w:val="00321F79"/>
    <w:rsid w:val="00322497"/>
    <w:rsid w:val="0032249E"/>
    <w:rsid w:val="003229C1"/>
    <w:rsid w:val="00322E45"/>
    <w:rsid w:val="00323190"/>
    <w:rsid w:val="00323253"/>
    <w:rsid w:val="0032363A"/>
    <w:rsid w:val="0032412C"/>
    <w:rsid w:val="00324254"/>
    <w:rsid w:val="003247D2"/>
    <w:rsid w:val="00325011"/>
    <w:rsid w:val="0032515D"/>
    <w:rsid w:val="003252C8"/>
    <w:rsid w:val="0032541B"/>
    <w:rsid w:val="00325747"/>
    <w:rsid w:val="0032576C"/>
    <w:rsid w:val="00325794"/>
    <w:rsid w:val="00325B5A"/>
    <w:rsid w:val="00326052"/>
    <w:rsid w:val="0032607A"/>
    <w:rsid w:val="00326114"/>
    <w:rsid w:val="003261A3"/>
    <w:rsid w:val="003262D1"/>
    <w:rsid w:val="00326665"/>
    <w:rsid w:val="00326A29"/>
    <w:rsid w:val="00326A35"/>
    <w:rsid w:val="00326B54"/>
    <w:rsid w:val="0032719C"/>
    <w:rsid w:val="003273FC"/>
    <w:rsid w:val="003274CA"/>
    <w:rsid w:val="003275B4"/>
    <w:rsid w:val="003275FF"/>
    <w:rsid w:val="003276E4"/>
    <w:rsid w:val="00327BA0"/>
    <w:rsid w:val="00327BFD"/>
    <w:rsid w:val="00327C30"/>
    <w:rsid w:val="00327E29"/>
    <w:rsid w:val="00330266"/>
    <w:rsid w:val="003309C0"/>
    <w:rsid w:val="00330B2C"/>
    <w:rsid w:val="00330CFA"/>
    <w:rsid w:val="00331015"/>
    <w:rsid w:val="00331547"/>
    <w:rsid w:val="0033169F"/>
    <w:rsid w:val="00331715"/>
    <w:rsid w:val="00331880"/>
    <w:rsid w:val="00331C90"/>
    <w:rsid w:val="00331D6B"/>
    <w:rsid w:val="00331DB6"/>
    <w:rsid w:val="00331F04"/>
    <w:rsid w:val="0033267B"/>
    <w:rsid w:val="00332983"/>
    <w:rsid w:val="003332ED"/>
    <w:rsid w:val="00333392"/>
    <w:rsid w:val="00333430"/>
    <w:rsid w:val="00333847"/>
    <w:rsid w:val="00333B27"/>
    <w:rsid w:val="00333D6A"/>
    <w:rsid w:val="003340F9"/>
    <w:rsid w:val="00334139"/>
    <w:rsid w:val="00334281"/>
    <w:rsid w:val="00334A3E"/>
    <w:rsid w:val="00334BB2"/>
    <w:rsid w:val="003351CA"/>
    <w:rsid w:val="003361F4"/>
    <w:rsid w:val="00336412"/>
    <w:rsid w:val="003367AD"/>
    <w:rsid w:val="00336DBE"/>
    <w:rsid w:val="00336E99"/>
    <w:rsid w:val="003370E2"/>
    <w:rsid w:val="00337307"/>
    <w:rsid w:val="00337624"/>
    <w:rsid w:val="00337BAC"/>
    <w:rsid w:val="00337D8A"/>
    <w:rsid w:val="00337E15"/>
    <w:rsid w:val="003400A0"/>
    <w:rsid w:val="003401E5"/>
    <w:rsid w:val="00340280"/>
    <w:rsid w:val="003402C6"/>
    <w:rsid w:val="003403D3"/>
    <w:rsid w:val="00340E9B"/>
    <w:rsid w:val="00340EEB"/>
    <w:rsid w:val="00341105"/>
    <w:rsid w:val="00341959"/>
    <w:rsid w:val="003419A1"/>
    <w:rsid w:val="00341D78"/>
    <w:rsid w:val="00341D8B"/>
    <w:rsid w:val="00342274"/>
    <w:rsid w:val="003423C1"/>
    <w:rsid w:val="00342457"/>
    <w:rsid w:val="00342A5D"/>
    <w:rsid w:val="00343226"/>
    <w:rsid w:val="00343559"/>
    <w:rsid w:val="003435FF"/>
    <w:rsid w:val="00343AFE"/>
    <w:rsid w:val="00343BE6"/>
    <w:rsid w:val="00343DA6"/>
    <w:rsid w:val="00344699"/>
    <w:rsid w:val="0034491C"/>
    <w:rsid w:val="00344A5B"/>
    <w:rsid w:val="00344A84"/>
    <w:rsid w:val="003450CB"/>
    <w:rsid w:val="00345593"/>
    <w:rsid w:val="00345667"/>
    <w:rsid w:val="0034587C"/>
    <w:rsid w:val="00345FA9"/>
    <w:rsid w:val="00346183"/>
    <w:rsid w:val="00346643"/>
    <w:rsid w:val="00346C95"/>
    <w:rsid w:val="00346D2B"/>
    <w:rsid w:val="00346EC9"/>
    <w:rsid w:val="00347065"/>
    <w:rsid w:val="00347342"/>
    <w:rsid w:val="0034738C"/>
    <w:rsid w:val="0034786B"/>
    <w:rsid w:val="00347AA1"/>
    <w:rsid w:val="00347B81"/>
    <w:rsid w:val="003500CC"/>
    <w:rsid w:val="003503DF"/>
    <w:rsid w:val="00350C9A"/>
    <w:rsid w:val="00350FEF"/>
    <w:rsid w:val="00351147"/>
    <w:rsid w:val="003513C8"/>
    <w:rsid w:val="003513F0"/>
    <w:rsid w:val="00351625"/>
    <w:rsid w:val="00351AD1"/>
    <w:rsid w:val="00351ED7"/>
    <w:rsid w:val="00352033"/>
    <w:rsid w:val="00352394"/>
    <w:rsid w:val="003523EE"/>
    <w:rsid w:val="00352706"/>
    <w:rsid w:val="003528C1"/>
    <w:rsid w:val="00352947"/>
    <w:rsid w:val="0035295D"/>
    <w:rsid w:val="00352C78"/>
    <w:rsid w:val="00352C95"/>
    <w:rsid w:val="00352F52"/>
    <w:rsid w:val="003533E0"/>
    <w:rsid w:val="0035379E"/>
    <w:rsid w:val="00353892"/>
    <w:rsid w:val="00354026"/>
    <w:rsid w:val="00354530"/>
    <w:rsid w:val="003547A1"/>
    <w:rsid w:val="00354A4D"/>
    <w:rsid w:val="00354E59"/>
    <w:rsid w:val="0035500C"/>
    <w:rsid w:val="0035504C"/>
    <w:rsid w:val="00355188"/>
    <w:rsid w:val="003552A7"/>
    <w:rsid w:val="00355464"/>
    <w:rsid w:val="003555B8"/>
    <w:rsid w:val="00355769"/>
    <w:rsid w:val="003558F5"/>
    <w:rsid w:val="003559ED"/>
    <w:rsid w:val="00355A42"/>
    <w:rsid w:val="00355DCB"/>
    <w:rsid w:val="00355E3E"/>
    <w:rsid w:val="00356185"/>
    <w:rsid w:val="0035643B"/>
    <w:rsid w:val="0035694C"/>
    <w:rsid w:val="00356D57"/>
    <w:rsid w:val="0035729D"/>
    <w:rsid w:val="00357AB2"/>
    <w:rsid w:val="00357E90"/>
    <w:rsid w:val="00360380"/>
    <w:rsid w:val="00360575"/>
    <w:rsid w:val="00360750"/>
    <w:rsid w:val="00360D6A"/>
    <w:rsid w:val="00360DF5"/>
    <w:rsid w:val="00360DF6"/>
    <w:rsid w:val="00360E13"/>
    <w:rsid w:val="00360EC9"/>
    <w:rsid w:val="00360F5C"/>
    <w:rsid w:val="00360F78"/>
    <w:rsid w:val="00361192"/>
    <w:rsid w:val="00361D3F"/>
    <w:rsid w:val="0036247E"/>
    <w:rsid w:val="0036281C"/>
    <w:rsid w:val="003628E9"/>
    <w:rsid w:val="00362D84"/>
    <w:rsid w:val="0036334C"/>
    <w:rsid w:val="00363772"/>
    <w:rsid w:val="003639E7"/>
    <w:rsid w:val="00363A3F"/>
    <w:rsid w:val="00363B69"/>
    <w:rsid w:val="00364165"/>
    <w:rsid w:val="0036457E"/>
    <w:rsid w:val="003645B4"/>
    <w:rsid w:val="0036497E"/>
    <w:rsid w:val="00364AC9"/>
    <w:rsid w:val="00364C4C"/>
    <w:rsid w:val="00364D74"/>
    <w:rsid w:val="00364E00"/>
    <w:rsid w:val="0036502F"/>
    <w:rsid w:val="0036510E"/>
    <w:rsid w:val="00365A69"/>
    <w:rsid w:val="00365EB8"/>
    <w:rsid w:val="003661B2"/>
    <w:rsid w:val="0036634F"/>
    <w:rsid w:val="0036678A"/>
    <w:rsid w:val="00366ADD"/>
    <w:rsid w:val="003675E5"/>
    <w:rsid w:val="00367BDC"/>
    <w:rsid w:val="00367C3F"/>
    <w:rsid w:val="003701D9"/>
    <w:rsid w:val="00370353"/>
    <w:rsid w:val="00370C50"/>
    <w:rsid w:val="00371913"/>
    <w:rsid w:val="00371A6F"/>
    <w:rsid w:val="00371E30"/>
    <w:rsid w:val="00372131"/>
    <w:rsid w:val="0037226F"/>
    <w:rsid w:val="0037278A"/>
    <w:rsid w:val="00373626"/>
    <w:rsid w:val="003738D7"/>
    <w:rsid w:val="00373A0C"/>
    <w:rsid w:val="00373B73"/>
    <w:rsid w:val="00373E57"/>
    <w:rsid w:val="003742C8"/>
    <w:rsid w:val="003742D2"/>
    <w:rsid w:val="00374597"/>
    <w:rsid w:val="0037480D"/>
    <w:rsid w:val="00374B7D"/>
    <w:rsid w:val="003757D0"/>
    <w:rsid w:val="00375C1E"/>
    <w:rsid w:val="00375D8A"/>
    <w:rsid w:val="00375F2A"/>
    <w:rsid w:val="00376490"/>
    <w:rsid w:val="00376D82"/>
    <w:rsid w:val="00377287"/>
    <w:rsid w:val="003779E4"/>
    <w:rsid w:val="0038019B"/>
    <w:rsid w:val="0038030A"/>
    <w:rsid w:val="003803A8"/>
    <w:rsid w:val="00380743"/>
    <w:rsid w:val="00380AEC"/>
    <w:rsid w:val="00380B64"/>
    <w:rsid w:val="00380BA8"/>
    <w:rsid w:val="00380BCE"/>
    <w:rsid w:val="00380DD1"/>
    <w:rsid w:val="00380DFA"/>
    <w:rsid w:val="00381275"/>
    <w:rsid w:val="0038158C"/>
    <w:rsid w:val="003818C1"/>
    <w:rsid w:val="003819B8"/>
    <w:rsid w:val="00381C61"/>
    <w:rsid w:val="0038225E"/>
    <w:rsid w:val="00382761"/>
    <w:rsid w:val="00382AFB"/>
    <w:rsid w:val="00382C39"/>
    <w:rsid w:val="00382F22"/>
    <w:rsid w:val="0038307F"/>
    <w:rsid w:val="003836AB"/>
    <w:rsid w:val="00383FF6"/>
    <w:rsid w:val="00384754"/>
    <w:rsid w:val="00384912"/>
    <w:rsid w:val="00384E4C"/>
    <w:rsid w:val="00385540"/>
    <w:rsid w:val="003859C1"/>
    <w:rsid w:val="00385A83"/>
    <w:rsid w:val="00385C32"/>
    <w:rsid w:val="00385C70"/>
    <w:rsid w:val="0038639F"/>
    <w:rsid w:val="00386545"/>
    <w:rsid w:val="00386642"/>
    <w:rsid w:val="0038683C"/>
    <w:rsid w:val="003868E9"/>
    <w:rsid w:val="00386A9E"/>
    <w:rsid w:val="00386CF0"/>
    <w:rsid w:val="00386F16"/>
    <w:rsid w:val="00387929"/>
    <w:rsid w:val="00387B9A"/>
    <w:rsid w:val="00387E8F"/>
    <w:rsid w:val="00387FC1"/>
    <w:rsid w:val="003905A1"/>
    <w:rsid w:val="00390688"/>
    <w:rsid w:val="0039082B"/>
    <w:rsid w:val="00390C07"/>
    <w:rsid w:val="00390C51"/>
    <w:rsid w:val="003912A6"/>
    <w:rsid w:val="0039169D"/>
    <w:rsid w:val="003916B5"/>
    <w:rsid w:val="00391735"/>
    <w:rsid w:val="00391BD3"/>
    <w:rsid w:val="00391E81"/>
    <w:rsid w:val="00392130"/>
    <w:rsid w:val="003921AA"/>
    <w:rsid w:val="003922B2"/>
    <w:rsid w:val="003926FF"/>
    <w:rsid w:val="003929D0"/>
    <w:rsid w:val="003930A2"/>
    <w:rsid w:val="00393445"/>
    <w:rsid w:val="00393448"/>
    <w:rsid w:val="00393769"/>
    <w:rsid w:val="00393925"/>
    <w:rsid w:val="003940B2"/>
    <w:rsid w:val="00394AF9"/>
    <w:rsid w:val="00394CD0"/>
    <w:rsid w:val="00394DC4"/>
    <w:rsid w:val="00394DE4"/>
    <w:rsid w:val="00394E1F"/>
    <w:rsid w:val="003954CA"/>
    <w:rsid w:val="00395583"/>
    <w:rsid w:val="0039596D"/>
    <w:rsid w:val="00395D74"/>
    <w:rsid w:val="0039660E"/>
    <w:rsid w:val="003966C4"/>
    <w:rsid w:val="003974DF"/>
    <w:rsid w:val="0039767F"/>
    <w:rsid w:val="00397832"/>
    <w:rsid w:val="003978EF"/>
    <w:rsid w:val="00397AFA"/>
    <w:rsid w:val="00397C9F"/>
    <w:rsid w:val="00397CEF"/>
    <w:rsid w:val="003A06CF"/>
    <w:rsid w:val="003A0811"/>
    <w:rsid w:val="003A0CDF"/>
    <w:rsid w:val="003A1BB8"/>
    <w:rsid w:val="003A1BBB"/>
    <w:rsid w:val="003A1D79"/>
    <w:rsid w:val="003A205A"/>
    <w:rsid w:val="003A2270"/>
    <w:rsid w:val="003A23C6"/>
    <w:rsid w:val="003A2506"/>
    <w:rsid w:val="003A31E7"/>
    <w:rsid w:val="003A38D3"/>
    <w:rsid w:val="003A3ACF"/>
    <w:rsid w:val="003A42BD"/>
    <w:rsid w:val="003A431E"/>
    <w:rsid w:val="003A5852"/>
    <w:rsid w:val="003A5933"/>
    <w:rsid w:val="003A5976"/>
    <w:rsid w:val="003A5CF9"/>
    <w:rsid w:val="003A5F00"/>
    <w:rsid w:val="003A5F02"/>
    <w:rsid w:val="003A5FD1"/>
    <w:rsid w:val="003A61C6"/>
    <w:rsid w:val="003A6220"/>
    <w:rsid w:val="003A6675"/>
    <w:rsid w:val="003A6E09"/>
    <w:rsid w:val="003A7106"/>
    <w:rsid w:val="003A723B"/>
    <w:rsid w:val="003A724A"/>
    <w:rsid w:val="003A7667"/>
    <w:rsid w:val="003A7E29"/>
    <w:rsid w:val="003A7FA8"/>
    <w:rsid w:val="003B00F6"/>
    <w:rsid w:val="003B0205"/>
    <w:rsid w:val="003B0471"/>
    <w:rsid w:val="003B0A7F"/>
    <w:rsid w:val="003B0BBB"/>
    <w:rsid w:val="003B0C66"/>
    <w:rsid w:val="003B16AC"/>
    <w:rsid w:val="003B1B1C"/>
    <w:rsid w:val="003B1C45"/>
    <w:rsid w:val="003B23C8"/>
    <w:rsid w:val="003B2DEE"/>
    <w:rsid w:val="003B3A0B"/>
    <w:rsid w:val="003B3A93"/>
    <w:rsid w:val="003B3CD9"/>
    <w:rsid w:val="003B3D29"/>
    <w:rsid w:val="003B4164"/>
    <w:rsid w:val="003B41BC"/>
    <w:rsid w:val="003B451A"/>
    <w:rsid w:val="003B4572"/>
    <w:rsid w:val="003B463D"/>
    <w:rsid w:val="003B4BF8"/>
    <w:rsid w:val="003B5118"/>
    <w:rsid w:val="003B56B1"/>
    <w:rsid w:val="003B5823"/>
    <w:rsid w:val="003B59D9"/>
    <w:rsid w:val="003B5E55"/>
    <w:rsid w:val="003B6528"/>
    <w:rsid w:val="003B6B0E"/>
    <w:rsid w:val="003B6C36"/>
    <w:rsid w:val="003B6D3A"/>
    <w:rsid w:val="003B71FF"/>
    <w:rsid w:val="003B749C"/>
    <w:rsid w:val="003B771B"/>
    <w:rsid w:val="003B78A3"/>
    <w:rsid w:val="003B7910"/>
    <w:rsid w:val="003B7A52"/>
    <w:rsid w:val="003B7AD5"/>
    <w:rsid w:val="003B7B5D"/>
    <w:rsid w:val="003B7E4E"/>
    <w:rsid w:val="003B7E9C"/>
    <w:rsid w:val="003B7EF5"/>
    <w:rsid w:val="003C0330"/>
    <w:rsid w:val="003C05F2"/>
    <w:rsid w:val="003C09FF"/>
    <w:rsid w:val="003C0A19"/>
    <w:rsid w:val="003C18BC"/>
    <w:rsid w:val="003C1A9C"/>
    <w:rsid w:val="003C1B7D"/>
    <w:rsid w:val="003C2014"/>
    <w:rsid w:val="003C251B"/>
    <w:rsid w:val="003C2819"/>
    <w:rsid w:val="003C286C"/>
    <w:rsid w:val="003C2AB0"/>
    <w:rsid w:val="003C2AB7"/>
    <w:rsid w:val="003C2ABC"/>
    <w:rsid w:val="003C2B1D"/>
    <w:rsid w:val="003C3010"/>
    <w:rsid w:val="003C31DC"/>
    <w:rsid w:val="003C3634"/>
    <w:rsid w:val="003C388E"/>
    <w:rsid w:val="003C3FB0"/>
    <w:rsid w:val="003C3FC4"/>
    <w:rsid w:val="003C4115"/>
    <w:rsid w:val="003C412F"/>
    <w:rsid w:val="003C4A42"/>
    <w:rsid w:val="003C4B22"/>
    <w:rsid w:val="003C4FA9"/>
    <w:rsid w:val="003C5129"/>
    <w:rsid w:val="003C5B0F"/>
    <w:rsid w:val="003C5F03"/>
    <w:rsid w:val="003C6041"/>
    <w:rsid w:val="003C6393"/>
    <w:rsid w:val="003C676B"/>
    <w:rsid w:val="003C6815"/>
    <w:rsid w:val="003C698B"/>
    <w:rsid w:val="003C7470"/>
    <w:rsid w:val="003C7713"/>
    <w:rsid w:val="003C77DC"/>
    <w:rsid w:val="003C7A03"/>
    <w:rsid w:val="003C7BD0"/>
    <w:rsid w:val="003D01D4"/>
    <w:rsid w:val="003D06F6"/>
    <w:rsid w:val="003D0C5A"/>
    <w:rsid w:val="003D113D"/>
    <w:rsid w:val="003D1275"/>
    <w:rsid w:val="003D13EF"/>
    <w:rsid w:val="003D141D"/>
    <w:rsid w:val="003D1521"/>
    <w:rsid w:val="003D1615"/>
    <w:rsid w:val="003D1844"/>
    <w:rsid w:val="003D19F6"/>
    <w:rsid w:val="003D1D08"/>
    <w:rsid w:val="003D1FF6"/>
    <w:rsid w:val="003D2041"/>
    <w:rsid w:val="003D20D8"/>
    <w:rsid w:val="003D28C3"/>
    <w:rsid w:val="003D28EB"/>
    <w:rsid w:val="003D2B70"/>
    <w:rsid w:val="003D319A"/>
    <w:rsid w:val="003D3BC2"/>
    <w:rsid w:val="003D3BED"/>
    <w:rsid w:val="003D3CFD"/>
    <w:rsid w:val="003D439F"/>
    <w:rsid w:val="003D4D71"/>
    <w:rsid w:val="003D5097"/>
    <w:rsid w:val="003D5135"/>
    <w:rsid w:val="003D59E3"/>
    <w:rsid w:val="003D6089"/>
    <w:rsid w:val="003D6240"/>
    <w:rsid w:val="003D64EB"/>
    <w:rsid w:val="003D679D"/>
    <w:rsid w:val="003D722F"/>
    <w:rsid w:val="003E0411"/>
    <w:rsid w:val="003E0724"/>
    <w:rsid w:val="003E0899"/>
    <w:rsid w:val="003E0EC0"/>
    <w:rsid w:val="003E0F8F"/>
    <w:rsid w:val="003E111D"/>
    <w:rsid w:val="003E151B"/>
    <w:rsid w:val="003E1551"/>
    <w:rsid w:val="003E196A"/>
    <w:rsid w:val="003E1A21"/>
    <w:rsid w:val="003E1C45"/>
    <w:rsid w:val="003E22FD"/>
    <w:rsid w:val="003E2556"/>
    <w:rsid w:val="003E2978"/>
    <w:rsid w:val="003E2B6D"/>
    <w:rsid w:val="003E2BCE"/>
    <w:rsid w:val="003E2FD5"/>
    <w:rsid w:val="003E315B"/>
    <w:rsid w:val="003E36E8"/>
    <w:rsid w:val="003E3BF9"/>
    <w:rsid w:val="003E3DAA"/>
    <w:rsid w:val="003E40BD"/>
    <w:rsid w:val="003E4C3C"/>
    <w:rsid w:val="003E4C75"/>
    <w:rsid w:val="003E4E4E"/>
    <w:rsid w:val="003E4F9E"/>
    <w:rsid w:val="003E515A"/>
    <w:rsid w:val="003E52CE"/>
    <w:rsid w:val="003E53D3"/>
    <w:rsid w:val="003E5767"/>
    <w:rsid w:val="003E5E7F"/>
    <w:rsid w:val="003E6B54"/>
    <w:rsid w:val="003E6B6D"/>
    <w:rsid w:val="003E6CA1"/>
    <w:rsid w:val="003E6D73"/>
    <w:rsid w:val="003E6F59"/>
    <w:rsid w:val="003E7128"/>
    <w:rsid w:val="003E73F9"/>
    <w:rsid w:val="003E741E"/>
    <w:rsid w:val="003E7ACD"/>
    <w:rsid w:val="003F007D"/>
    <w:rsid w:val="003F0E10"/>
    <w:rsid w:val="003F0E4E"/>
    <w:rsid w:val="003F153A"/>
    <w:rsid w:val="003F17F3"/>
    <w:rsid w:val="003F1A19"/>
    <w:rsid w:val="003F1A4B"/>
    <w:rsid w:val="003F1EEC"/>
    <w:rsid w:val="003F245F"/>
    <w:rsid w:val="003F2A5C"/>
    <w:rsid w:val="003F2AEF"/>
    <w:rsid w:val="003F2E36"/>
    <w:rsid w:val="003F342F"/>
    <w:rsid w:val="003F38EE"/>
    <w:rsid w:val="003F3AD6"/>
    <w:rsid w:val="003F3C02"/>
    <w:rsid w:val="003F3CFA"/>
    <w:rsid w:val="003F40DC"/>
    <w:rsid w:val="003F439C"/>
    <w:rsid w:val="003F4456"/>
    <w:rsid w:val="003F4531"/>
    <w:rsid w:val="003F46B5"/>
    <w:rsid w:val="003F4751"/>
    <w:rsid w:val="003F4786"/>
    <w:rsid w:val="003F49E4"/>
    <w:rsid w:val="003F4A56"/>
    <w:rsid w:val="003F4FFA"/>
    <w:rsid w:val="003F501E"/>
    <w:rsid w:val="003F5758"/>
    <w:rsid w:val="003F5ABB"/>
    <w:rsid w:val="003F5DBC"/>
    <w:rsid w:val="003F6338"/>
    <w:rsid w:val="003F638A"/>
    <w:rsid w:val="003F6984"/>
    <w:rsid w:val="003F6E8F"/>
    <w:rsid w:val="003F7E40"/>
    <w:rsid w:val="003F7F73"/>
    <w:rsid w:val="004001F4"/>
    <w:rsid w:val="004003F0"/>
    <w:rsid w:val="004003F5"/>
    <w:rsid w:val="00400728"/>
    <w:rsid w:val="004007C2"/>
    <w:rsid w:val="004009FC"/>
    <w:rsid w:val="004010B0"/>
    <w:rsid w:val="004011E9"/>
    <w:rsid w:val="00401582"/>
    <w:rsid w:val="00401967"/>
    <w:rsid w:val="00401A7F"/>
    <w:rsid w:val="00401AD9"/>
    <w:rsid w:val="00402AC2"/>
    <w:rsid w:val="00402BBF"/>
    <w:rsid w:val="00402C20"/>
    <w:rsid w:val="0040313F"/>
    <w:rsid w:val="00403189"/>
    <w:rsid w:val="0040414B"/>
    <w:rsid w:val="0040438E"/>
    <w:rsid w:val="00404F46"/>
    <w:rsid w:val="00404FE6"/>
    <w:rsid w:val="00405361"/>
    <w:rsid w:val="00405516"/>
    <w:rsid w:val="00405A32"/>
    <w:rsid w:val="00405BC8"/>
    <w:rsid w:val="00405C29"/>
    <w:rsid w:val="00406039"/>
    <w:rsid w:val="00406CB5"/>
    <w:rsid w:val="00406F64"/>
    <w:rsid w:val="004079F1"/>
    <w:rsid w:val="00407FF1"/>
    <w:rsid w:val="0041027E"/>
    <w:rsid w:val="0041047E"/>
    <w:rsid w:val="00411994"/>
    <w:rsid w:val="004119AE"/>
    <w:rsid w:val="0041202A"/>
    <w:rsid w:val="00412250"/>
    <w:rsid w:val="00412267"/>
    <w:rsid w:val="00412C81"/>
    <w:rsid w:val="00412C9A"/>
    <w:rsid w:val="0041306A"/>
    <w:rsid w:val="004138E9"/>
    <w:rsid w:val="00413E2D"/>
    <w:rsid w:val="00414227"/>
    <w:rsid w:val="00414AF6"/>
    <w:rsid w:val="004154FF"/>
    <w:rsid w:val="00415856"/>
    <w:rsid w:val="00415A4A"/>
    <w:rsid w:val="00415BBD"/>
    <w:rsid w:val="0041616C"/>
    <w:rsid w:val="00416215"/>
    <w:rsid w:val="00416470"/>
    <w:rsid w:val="004165C2"/>
    <w:rsid w:val="004173B2"/>
    <w:rsid w:val="00417460"/>
    <w:rsid w:val="0041778C"/>
    <w:rsid w:val="00417796"/>
    <w:rsid w:val="0041782F"/>
    <w:rsid w:val="00417959"/>
    <w:rsid w:val="00417AC6"/>
    <w:rsid w:val="00417C85"/>
    <w:rsid w:val="00417CBD"/>
    <w:rsid w:val="00417DF8"/>
    <w:rsid w:val="00417E6F"/>
    <w:rsid w:val="00420066"/>
    <w:rsid w:val="004200AD"/>
    <w:rsid w:val="00420489"/>
    <w:rsid w:val="004205DD"/>
    <w:rsid w:val="00420712"/>
    <w:rsid w:val="00420BC3"/>
    <w:rsid w:val="00420F59"/>
    <w:rsid w:val="00421205"/>
    <w:rsid w:val="0042136A"/>
    <w:rsid w:val="00421465"/>
    <w:rsid w:val="00421621"/>
    <w:rsid w:val="004216C5"/>
    <w:rsid w:val="00421995"/>
    <w:rsid w:val="00421A18"/>
    <w:rsid w:val="00421EFD"/>
    <w:rsid w:val="00422594"/>
    <w:rsid w:val="004229CD"/>
    <w:rsid w:val="00422E2F"/>
    <w:rsid w:val="0042303C"/>
    <w:rsid w:val="00423044"/>
    <w:rsid w:val="004231F7"/>
    <w:rsid w:val="00423B60"/>
    <w:rsid w:val="0042426C"/>
    <w:rsid w:val="00424452"/>
    <w:rsid w:val="00424962"/>
    <w:rsid w:val="00424AE1"/>
    <w:rsid w:val="00424F5C"/>
    <w:rsid w:val="00424F60"/>
    <w:rsid w:val="0042514D"/>
    <w:rsid w:val="0042533D"/>
    <w:rsid w:val="004254C0"/>
    <w:rsid w:val="0042566E"/>
    <w:rsid w:val="00425843"/>
    <w:rsid w:val="004265E4"/>
    <w:rsid w:val="0042669C"/>
    <w:rsid w:val="0042699F"/>
    <w:rsid w:val="00426C06"/>
    <w:rsid w:val="00426C86"/>
    <w:rsid w:val="00426F32"/>
    <w:rsid w:val="0042741E"/>
    <w:rsid w:val="004274D6"/>
    <w:rsid w:val="00427868"/>
    <w:rsid w:val="00427A2E"/>
    <w:rsid w:val="00427BBB"/>
    <w:rsid w:val="004304A9"/>
    <w:rsid w:val="00430576"/>
    <w:rsid w:val="004308D1"/>
    <w:rsid w:val="00430B88"/>
    <w:rsid w:val="004314FA"/>
    <w:rsid w:val="0043231F"/>
    <w:rsid w:val="0043250E"/>
    <w:rsid w:val="00432899"/>
    <w:rsid w:val="00432971"/>
    <w:rsid w:val="00432994"/>
    <w:rsid w:val="00432C81"/>
    <w:rsid w:val="0043310F"/>
    <w:rsid w:val="004332D8"/>
    <w:rsid w:val="00433664"/>
    <w:rsid w:val="0043456A"/>
    <w:rsid w:val="00434630"/>
    <w:rsid w:val="004347ED"/>
    <w:rsid w:val="00434849"/>
    <w:rsid w:val="004348D0"/>
    <w:rsid w:val="00434AC3"/>
    <w:rsid w:val="00435092"/>
    <w:rsid w:val="00435241"/>
    <w:rsid w:val="00435797"/>
    <w:rsid w:val="00435BC8"/>
    <w:rsid w:val="00435DCC"/>
    <w:rsid w:val="004363AB"/>
    <w:rsid w:val="00436503"/>
    <w:rsid w:val="00436AC6"/>
    <w:rsid w:val="00436FF4"/>
    <w:rsid w:val="00437367"/>
    <w:rsid w:val="00437845"/>
    <w:rsid w:val="004378F2"/>
    <w:rsid w:val="004378FB"/>
    <w:rsid w:val="00437943"/>
    <w:rsid w:val="00437CB9"/>
    <w:rsid w:val="00437D43"/>
    <w:rsid w:val="00437E1C"/>
    <w:rsid w:val="00437E20"/>
    <w:rsid w:val="004403AC"/>
    <w:rsid w:val="0044079F"/>
    <w:rsid w:val="00440945"/>
    <w:rsid w:val="00440B67"/>
    <w:rsid w:val="00440D99"/>
    <w:rsid w:val="00440F62"/>
    <w:rsid w:val="004410E8"/>
    <w:rsid w:val="00441200"/>
    <w:rsid w:val="0044121F"/>
    <w:rsid w:val="004417F8"/>
    <w:rsid w:val="00441AA4"/>
    <w:rsid w:val="00441ECB"/>
    <w:rsid w:val="00441F1B"/>
    <w:rsid w:val="004424FF"/>
    <w:rsid w:val="00442850"/>
    <w:rsid w:val="00442B7F"/>
    <w:rsid w:val="00443644"/>
    <w:rsid w:val="004437BB"/>
    <w:rsid w:val="00443965"/>
    <w:rsid w:val="00443D05"/>
    <w:rsid w:val="00443D9D"/>
    <w:rsid w:val="00444095"/>
    <w:rsid w:val="00444265"/>
    <w:rsid w:val="0044444F"/>
    <w:rsid w:val="00444461"/>
    <w:rsid w:val="00444C04"/>
    <w:rsid w:val="00444C65"/>
    <w:rsid w:val="00444E38"/>
    <w:rsid w:val="004451A2"/>
    <w:rsid w:val="004458D7"/>
    <w:rsid w:val="00445A0B"/>
    <w:rsid w:val="00445FE0"/>
    <w:rsid w:val="0044606E"/>
    <w:rsid w:val="00446198"/>
    <w:rsid w:val="00446711"/>
    <w:rsid w:val="00446A1B"/>
    <w:rsid w:val="00447155"/>
    <w:rsid w:val="00447215"/>
    <w:rsid w:val="0044737A"/>
    <w:rsid w:val="004479A4"/>
    <w:rsid w:val="004479D4"/>
    <w:rsid w:val="00447D51"/>
    <w:rsid w:val="00447F13"/>
    <w:rsid w:val="0045016D"/>
    <w:rsid w:val="004502F3"/>
    <w:rsid w:val="00450A47"/>
    <w:rsid w:val="00450CA7"/>
    <w:rsid w:val="00450EE8"/>
    <w:rsid w:val="00450F53"/>
    <w:rsid w:val="0045185C"/>
    <w:rsid w:val="0045203F"/>
    <w:rsid w:val="004520C9"/>
    <w:rsid w:val="0045223B"/>
    <w:rsid w:val="00452FF9"/>
    <w:rsid w:val="00453361"/>
    <w:rsid w:val="004538B2"/>
    <w:rsid w:val="00453BE6"/>
    <w:rsid w:val="00453C42"/>
    <w:rsid w:val="00453E6F"/>
    <w:rsid w:val="004542B3"/>
    <w:rsid w:val="00454695"/>
    <w:rsid w:val="004546CA"/>
    <w:rsid w:val="00454D7F"/>
    <w:rsid w:val="00454F14"/>
    <w:rsid w:val="004557E0"/>
    <w:rsid w:val="004559EE"/>
    <w:rsid w:val="00455AC0"/>
    <w:rsid w:val="00455C5C"/>
    <w:rsid w:val="004562A5"/>
    <w:rsid w:val="0045640E"/>
    <w:rsid w:val="0045690B"/>
    <w:rsid w:val="00456CCA"/>
    <w:rsid w:val="00456DA7"/>
    <w:rsid w:val="004571E7"/>
    <w:rsid w:val="0045788B"/>
    <w:rsid w:val="00457A3B"/>
    <w:rsid w:val="004601D7"/>
    <w:rsid w:val="004604C8"/>
    <w:rsid w:val="00460EF8"/>
    <w:rsid w:val="004611CE"/>
    <w:rsid w:val="0046125C"/>
    <w:rsid w:val="0046192F"/>
    <w:rsid w:val="00461994"/>
    <w:rsid w:val="00461CC5"/>
    <w:rsid w:val="00462414"/>
    <w:rsid w:val="0046247F"/>
    <w:rsid w:val="0046259E"/>
    <w:rsid w:val="00462771"/>
    <w:rsid w:val="00462884"/>
    <w:rsid w:val="00462D95"/>
    <w:rsid w:val="00462EB1"/>
    <w:rsid w:val="00462F00"/>
    <w:rsid w:val="00462F66"/>
    <w:rsid w:val="00463106"/>
    <w:rsid w:val="0046323D"/>
    <w:rsid w:val="0046332E"/>
    <w:rsid w:val="004636CE"/>
    <w:rsid w:val="00463AB9"/>
    <w:rsid w:val="00463C21"/>
    <w:rsid w:val="00463C4C"/>
    <w:rsid w:val="00464000"/>
    <w:rsid w:val="00464741"/>
    <w:rsid w:val="00464949"/>
    <w:rsid w:val="00464BC1"/>
    <w:rsid w:val="00464F2F"/>
    <w:rsid w:val="004656C6"/>
    <w:rsid w:val="004657D0"/>
    <w:rsid w:val="00465B98"/>
    <w:rsid w:val="0046609A"/>
    <w:rsid w:val="004662DC"/>
    <w:rsid w:val="004668A9"/>
    <w:rsid w:val="00466977"/>
    <w:rsid w:val="004669A8"/>
    <w:rsid w:val="00466D04"/>
    <w:rsid w:val="00466F31"/>
    <w:rsid w:val="004673B4"/>
    <w:rsid w:val="00467534"/>
    <w:rsid w:val="00467B7E"/>
    <w:rsid w:val="00467D54"/>
    <w:rsid w:val="00470046"/>
    <w:rsid w:val="00470053"/>
    <w:rsid w:val="0047017B"/>
    <w:rsid w:val="00470193"/>
    <w:rsid w:val="00470336"/>
    <w:rsid w:val="0047063A"/>
    <w:rsid w:val="004706B2"/>
    <w:rsid w:val="00470909"/>
    <w:rsid w:val="004709B0"/>
    <w:rsid w:val="00470B7D"/>
    <w:rsid w:val="00470E85"/>
    <w:rsid w:val="00470ED8"/>
    <w:rsid w:val="004710B3"/>
    <w:rsid w:val="004711FE"/>
    <w:rsid w:val="0047125D"/>
    <w:rsid w:val="00471354"/>
    <w:rsid w:val="00471484"/>
    <w:rsid w:val="004714E0"/>
    <w:rsid w:val="0047196C"/>
    <w:rsid w:val="004719E3"/>
    <w:rsid w:val="00471E58"/>
    <w:rsid w:val="00472759"/>
    <w:rsid w:val="0047286F"/>
    <w:rsid w:val="00472A16"/>
    <w:rsid w:val="00473B36"/>
    <w:rsid w:val="00473B4A"/>
    <w:rsid w:val="004745D4"/>
    <w:rsid w:val="0047462B"/>
    <w:rsid w:val="00474765"/>
    <w:rsid w:val="00474B8A"/>
    <w:rsid w:val="00474D94"/>
    <w:rsid w:val="0047509E"/>
    <w:rsid w:val="0047544B"/>
    <w:rsid w:val="00475E55"/>
    <w:rsid w:val="004762C7"/>
    <w:rsid w:val="004768CB"/>
    <w:rsid w:val="00476938"/>
    <w:rsid w:val="00476BE0"/>
    <w:rsid w:val="00477565"/>
    <w:rsid w:val="00477592"/>
    <w:rsid w:val="00480005"/>
    <w:rsid w:val="004806EB"/>
    <w:rsid w:val="00480A29"/>
    <w:rsid w:val="00480CDD"/>
    <w:rsid w:val="00480D60"/>
    <w:rsid w:val="00480E41"/>
    <w:rsid w:val="00480E60"/>
    <w:rsid w:val="00480FFA"/>
    <w:rsid w:val="00481138"/>
    <w:rsid w:val="004812FD"/>
    <w:rsid w:val="004813E2"/>
    <w:rsid w:val="00481581"/>
    <w:rsid w:val="00481752"/>
    <w:rsid w:val="00481F27"/>
    <w:rsid w:val="004821E1"/>
    <w:rsid w:val="004825DA"/>
    <w:rsid w:val="004826DF"/>
    <w:rsid w:val="0048308E"/>
    <w:rsid w:val="004837BD"/>
    <w:rsid w:val="0048391F"/>
    <w:rsid w:val="00483925"/>
    <w:rsid w:val="004846B1"/>
    <w:rsid w:val="00484838"/>
    <w:rsid w:val="00484DFB"/>
    <w:rsid w:val="004859F8"/>
    <w:rsid w:val="00485C1D"/>
    <w:rsid w:val="00485F16"/>
    <w:rsid w:val="0048613F"/>
    <w:rsid w:val="004861D5"/>
    <w:rsid w:val="004862FF"/>
    <w:rsid w:val="0048630E"/>
    <w:rsid w:val="00486431"/>
    <w:rsid w:val="0048659E"/>
    <w:rsid w:val="0048661E"/>
    <w:rsid w:val="004866AE"/>
    <w:rsid w:val="00486B18"/>
    <w:rsid w:val="00486B4E"/>
    <w:rsid w:val="00486F1C"/>
    <w:rsid w:val="00486FF7"/>
    <w:rsid w:val="00487237"/>
    <w:rsid w:val="004879E6"/>
    <w:rsid w:val="00487A9D"/>
    <w:rsid w:val="00490164"/>
    <w:rsid w:val="00490384"/>
    <w:rsid w:val="0049047A"/>
    <w:rsid w:val="004904D3"/>
    <w:rsid w:val="00490A3E"/>
    <w:rsid w:val="00490C97"/>
    <w:rsid w:val="00490E0C"/>
    <w:rsid w:val="0049108F"/>
    <w:rsid w:val="004910CC"/>
    <w:rsid w:val="00491445"/>
    <w:rsid w:val="004921AB"/>
    <w:rsid w:val="0049241D"/>
    <w:rsid w:val="0049269C"/>
    <w:rsid w:val="004929C8"/>
    <w:rsid w:val="00492B05"/>
    <w:rsid w:val="00492E0E"/>
    <w:rsid w:val="00492F3F"/>
    <w:rsid w:val="004930F4"/>
    <w:rsid w:val="00493305"/>
    <w:rsid w:val="00493B99"/>
    <w:rsid w:val="00493C0B"/>
    <w:rsid w:val="00493C9D"/>
    <w:rsid w:val="00493E67"/>
    <w:rsid w:val="0049419D"/>
    <w:rsid w:val="0049438E"/>
    <w:rsid w:val="00494453"/>
    <w:rsid w:val="0049462E"/>
    <w:rsid w:val="0049476E"/>
    <w:rsid w:val="00494B65"/>
    <w:rsid w:val="00494F1F"/>
    <w:rsid w:val="004955CD"/>
    <w:rsid w:val="004956BF"/>
    <w:rsid w:val="004956F6"/>
    <w:rsid w:val="00495B50"/>
    <w:rsid w:val="00495F35"/>
    <w:rsid w:val="00496186"/>
    <w:rsid w:val="00496251"/>
    <w:rsid w:val="00496351"/>
    <w:rsid w:val="00496D41"/>
    <w:rsid w:val="00496EEA"/>
    <w:rsid w:val="004976AC"/>
    <w:rsid w:val="0049782D"/>
    <w:rsid w:val="004A05B5"/>
    <w:rsid w:val="004A11F8"/>
    <w:rsid w:val="004A1418"/>
    <w:rsid w:val="004A16C6"/>
    <w:rsid w:val="004A173E"/>
    <w:rsid w:val="004A1B09"/>
    <w:rsid w:val="004A1E90"/>
    <w:rsid w:val="004A1EF4"/>
    <w:rsid w:val="004A1FF8"/>
    <w:rsid w:val="004A2094"/>
    <w:rsid w:val="004A22B4"/>
    <w:rsid w:val="004A258B"/>
    <w:rsid w:val="004A259D"/>
    <w:rsid w:val="004A2F2E"/>
    <w:rsid w:val="004A3071"/>
    <w:rsid w:val="004A3405"/>
    <w:rsid w:val="004A3419"/>
    <w:rsid w:val="004A3E01"/>
    <w:rsid w:val="004A4501"/>
    <w:rsid w:val="004A4A1D"/>
    <w:rsid w:val="004A4FE2"/>
    <w:rsid w:val="004A52A6"/>
    <w:rsid w:val="004A5667"/>
    <w:rsid w:val="004A5942"/>
    <w:rsid w:val="004A5D6F"/>
    <w:rsid w:val="004A617D"/>
    <w:rsid w:val="004A681A"/>
    <w:rsid w:val="004A7339"/>
    <w:rsid w:val="004A79F0"/>
    <w:rsid w:val="004A7BEC"/>
    <w:rsid w:val="004A7E5C"/>
    <w:rsid w:val="004B01BA"/>
    <w:rsid w:val="004B0A70"/>
    <w:rsid w:val="004B0B09"/>
    <w:rsid w:val="004B0BED"/>
    <w:rsid w:val="004B0C2F"/>
    <w:rsid w:val="004B0E0B"/>
    <w:rsid w:val="004B0EDD"/>
    <w:rsid w:val="004B13E6"/>
    <w:rsid w:val="004B1989"/>
    <w:rsid w:val="004B1BE5"/>
    <w:rsid w:val="004B24F2"/>
    <w:rsid w:val="004B2543"/>
    <w:rsid w:val="004B2554"/>
    <w:rsid w:val="004B2AD6"/>
    <w:rsid w:val="004B2B47"/>
    <w:rsid w:val="004B2DCD"/>
    <w:rsid w:val="004B316C"/>
    <w:rsid w:val="004B31A2"/>
    <w:rsid w:val="004B327C"/>
    <w:rsid w:val="004B3822"/>
    <w:rsid w:val="004B3950"/>
    <w:rsid w:val="004B3A73"/>
    <w:rsid w:val="004B3ACD"/>
    <w:rsid w:val="004B3D32"/>
    <w:rsid w:val="004B3DE0"/>
    <w:rsid w:val="004B3E96"/>
    <w:rsid w:val="004B44D1"/>
    <w:rsid w:val="004B4D83"/>
    <w:rsid w:val="004B520F"/>
    <w:rsid w:val="004B541C"/>
    <w:rsid w:val="004B56F9"/>
    <w:rsid w:val="004B5A02"/>
    <w:rsid w:val="004B5E6C"/>
    <w:rsid w:val="004B62B9"/>
    <w:rsid w:val="004B63AB"/>
    <w:rsid w:val="004B6F69"/>
    <w:rsid w:val="004B70BC"/>
    <w:rsid w:val="004B71DC"/>
    <w:rsid w:val="004B756A"/>
    <w:rsid w:val="004B788A"/>
    <w:rsid w:val="004C0442"/>
    <w:rsid w:val="004C051E"/>
    <w:rsid w:val="004C0C8C"/>
    <w:rsid w:val="004C0E87"/>
    <w:rsid w:val="004C1192"/>
    <w:rsid w:val="004C124F"/>
    <w:rsid w:val="004C19F4"/>
    <w:rsid w:val="004C1FA2"/>
    <w:rsid w:val="004C20D2"/>
    <w:rsid w:val="004C2672"/>
    <w:rsid w:val="004C2CDF"/>
    <w:rsid w:val="004C2F94"/>
    <w:rsid w:val="004C3017"/>
    <w:rsid w:val="004C31A6"/>
    <w:rsid w:val="004C31CA"/>
    <w:rsid w:val="004C32D2"/>
    <w:rsid w:val="004C36C5"/>
    <w:rsid w:val="004C3711"/>
    <w:rsid w:val="004C4074"/>
    <w:rsid w:val="004C4636"/>
    <w:rsid w:val="004C47A1"/>
    <w:rsid w:val="004C4B62"/>
    <w:rsid w:val="004C4B6F"/>
    <w:rsid w:val="004C4BC7"/>
    <w:rsid w:val="004C4CF8"/>
    <w:rsid w:val="004C4D01"/>
    <w:rsid w:val="004C518B"/>
    <w:rsid w:val="004C526B"/>
    <w:rsid w:val="004C54C9"/>
    <w:rsid w:val="004C5730"/>
    <w:rsid w:val="004C5B63"/>
    <w:rsid w:val="004C5D37"/>
    <w:rsid w:val="004C5E9F"/>
    <w:rsid w:val="004C5ED3"/>
    <w:rsid w:val="004C609C"/>
    <w:rsid w:val="004C642E"/>
    <w:rsid w:val="004C6757"/>
    <w:rsid w:val="004C67C3"/>
    <w:rsid w:val="004C69F4"/>
    <w:rsid w:val="004C6A80"/>
    <w:rsid w:val="004C7450"/>
    <w:rsid w:val="004C7777"/>
    <w:rsid w:val="004C78D5"/>
    <w:rsid w:val="004C7FA1"/>
    <w:rsid w:val="004D0030"/>
    <w:rsid w:val="004D0630"/>
    <w:rsid w:val="004D0917"/>
    <w:rsid w:val="004D0E7F"/>
    <w:rsid w:val="004D0F07"/>
    <w:rsid w:val="004D182F"/>
    <w:rsid w:val="004D19C3"/>
    <w:rsid w:val="004D20CE"/>
    <w:rsid w:val="004D2149"/>
    <w:rsid w:val="004D2643"/>
    <w:rsid w:val="004D2CA2"/>
    <w:rsid w:val="004D30AE"/>
    <w:rsid w:val="004D3DAE"/>
    <w:rsid w:val="004D3DDC"/>
    <w:rsid w:val="004D4178"/>
    <w:rsid w:val="004D43BA"/>
    <w:rsid w:val="004D4704"/>
    <w:rsid w:val="004D48BA"/>
    <w:rsid w:val="004D4B43"/>
    <w:rsid w:val="004D4BC8"/>
    <w:rsid w:val="004D4C35"/>
    <w:rsid w:val="004D4CDB"/>
    <w:rsid w:val="004D4FEE"/>
    <w:rsid w:val="004D5A17"/>
    <w:rsid w:val="004D5BEC"/>
    <w:rsid w:val="004D5EBF"/>
    <w:rsid w:val="004D5ED4"/>
    <w:rsid w:val="004D6025"/>
    <w:rsid w:val="004D60D4"/>
    <w:rsid w:val="004D6324"/>
    <w:rsid w:val="004D6460"/>
    <w:rsid w:val="004D64FB"/>
    <w:rsid w:val="004D6582"/>
    <w:rsid w:val="004D6AC8"/>
    <w:rsid w:val="004D6C91"/>
    <w:rsid w:val="004D6DF5"/>
    <w:rsid w:val="004D6EAE"/>
    <w:rsid w:val="004D6F68"/>
    <w:rsid w:val="004D7133"/>
    <w:rsid w:val="004D741F"/>
    <w:rsid w:val="004D7668"/>
    <w:rsid w:val="004D7BB7"/>
    <w:rsid w:val="004E0438"/>
    <w:rsid w:val="004E07AE"/>
    <w:rsid w:val="004E0B94"/>
    <w:rsid w:val="004E0C9D"/>
    <w:rsid w:val="004E0DAA"/>
    <w:rsid w:val="004E0FCD"/>
    <w:rsid w:val="004E10CD"/>
    <w:rsid w:val="004E158D"/>
    <w:rsid w:val="004E17C8"/>
    <w:rsid w:val="004E1D1E"/>
    <w:rsid w:val="004E1DE1"/>
    <w:rsid w:val="004E1FA6"/>
    <w:rsid w:val="004E2649"/>
    <w:rsid w:val="004E274B"/>
    <w:rsid w:val="004E308B"/>
    <w:rsid w:val="004E325A"/>
    <w:rsid w:val="004E3657"/>
    <w:rsid w:val="004E3B05"/>
    <w:rsid w:val="004E3C9F"/>
    <w:rsid w:val="004E4868"/>
    <w:rsid w:val="004E4B8D"/>
    <w:rsid w:val="004E4C80"/>
    <w:rsid w:val="004E4F80"/>
    <w:rsid w:val="004E50AF"/>
    <w:rsid w:val="004E5351"/>
    <w:rsid w:val="004E54FC"/>
    <w:rsid w:val="004E58ED"/>
    <w:rsid w:val="004E6D2E"/>
    <w:rsid w:val="004E6EA6"/>
    <w:rsid w:val="004E73D4"/>
    <w:rsid w:val="004E77CB"/>
    <w:rsid w:val="004E7996"/>
    <w:rsid w:val="004E79B7"/>
    <w:rsid w:val="004E7E00"/>
    <w:rsid w:val="004E7E35"/>
    <w:rsid w:val="004F0290"/>
    <w:rsid w:val="004F0655"/>
    <w:rsid w:val="004F09A2"/>
    <w:rsid w:val="004F0EB9"/>
    <w:rsid w:val="004F11A9"/>
    <w:rsid w:val="004F149C"/>
    <w:rsid w:val="004F188F"/>
    <w:rsid w:val="004F22B6"/>
    <w:rsid w:val="004F23A6"/>
    <w:rsid w:val="004F24C5"/>
    <w:rsid w:val="004F2C05"/>
    <w:rsid w:val="004F2CE6"/>
    <w:rsid w:val="004F2EE9"/>
    <w:rsid w:val="004F3269"/>
    <w:rsid w:val="004F333C"/>
    <w:rsid w:val="004F334B"/>
    <w:rsid w:val="004F34D2"/>
    <w:rsid w:val="004F361D"/>
    <w:rsid w:val="004F36CD"/>
    <w:rsid w:val="004F39C9"/>
    <w:rsid w:val="004F3B0B"/>
    <w:rsid w:val="004F3C45"/>
    <w:rsid w:val="004F3CB3"/>
    <w:rsid w:val="004F4362"/>
    <w:rsid w:val="004F450A"/>
    <w:rsid w:val="004F46D8"/>
    <w:rsid w:val="004F4A96"/>
    <w:rsid w:val="004F4ACF"/>
    <w:rsid w:val="004F4FF8"/>
    <w:rsid w:val="004F5006"/>
    <w:rsid w:val="004F5715"/>
    <w:rsid w:val="004F573D"/>
    <w:rsid w:val="004F57C9"/>
    <w:rsid w:val="004F57E1"/>
    <w:rsid w:val="004F5B2D"/>
    <w:rsid w:val="004F604D"/>
    <w:rsid w:val="004F6231"/>
    <w:rsid w:val="004F67DF"/>
    <w:rsid w:val="004F6A8C"/>
    <w:rsid w:val="004F6B5E"/>
    <w:rsid w:val="004F6BA3"/>
    <w:rsid w:val="004F6D31"/>
    <w:rsid w:val="004F6D5A"/>
    <w:rsid w:val="004F766D"/>
    <w:rsid w:val="004F7E61"/>
    <w:rsid w:val="00500955"/>
    <w:rsid w:val="005009D6"/>
    <w:rsid w:val="00501185"/>
    <w:rsid w:val="005011E6"/>
    <w:rsid w:val="0050125E"/>
    <w:rsid w:val="00501399"/>
    <w:rsid w:val="005013C5"/>
    <w:rsid w:val="00501D9A"/>
    <w:rsid w:val="00501F6C"/>
    <w:rsid w:val="00501FFE"/>
    <w:rsid w:val="00502121"/>
    <w:rsid w:val="005024E2"/>
    <w:rsid w:val="005027B8"/>
    <w:rsid w:val="00502893"/>
    <w:rsid w:val="00502BA5"/>
    <w:rsid w:val="00502E53"/>
    <w:rsid w:val="005036FF"/>
    <w:rsid w:val="00503976"/>
    <w:rsid w:val="00503A50"/>
    <w:rsid w:val="0050429C"/>
    <w:rsid w:val="00504A1A"/>
    <w:rsid w:val="00504A50"/>
    <w:rsid w:val="00504D4C"/>
    <w:rsid w:val="00504DD5"/>
    <w:rsid w:val="00504ED6"/>
    <w:rsid w:val="00504FE2"/>
    <w:rsid w:val="005055D2"/>
    <w:rsid w:val="005059A1"/>
    <w:rsid w:val="00505A3B"/>
    <w:rsid w:val="00505D03"/>
    <w:rsid w:val="0050633D"/>
    <w:rsid w:val="005063A9"/>
    <w:rsid w:val="0050646A"/>
    <w:rsid w:val="005068E5"/>
    <w:rsid w:val="00506937"/>
    <w:rsid w:val="00506D0A"/>
    <w:rsid w:val="00506F12"/>
    <w:rsid w:val="005070C7"/>
    <w:rsid w:val="005070E5"/>
    <w:rsid w:val="005075CC"/>
    <w:rsid w:val="005076F2"/>
    <w:rsid w:val="00507BC4"/>
    <w:rsid w:val="00507C6D"/>
    <w:rsid w:val="005101F6"/>
    <w:rsid w:val="00510234"/>
    <w:rsid w:val="00510255"/>
    <w:rsid w:val="00510325"/>
    <w:rsid w:val="00510411"/>
    <w:rsid w:val="00510638"/>
    <w:rsid w:val="0051067D"/>
    <w:rsid w:val="0051072B"/>
    <w:rsid w:val="00510CEA"/>
    <w:rsid w:val="005111D2"/>
    <w:rsid w:val="005114B6"/>
    <w:rsid w:val="00511514"/>
    <w:rsid w:val="00512302"/>
    <w:rsid w:val="00512539"/>
    <w:rsid w:val="00512714"/>
    <w:rsid w:val="005128E4"/>
    <w:rsid w:val="00512E8A"/>
    <w:rsid w:val="005133DB"/>
    <w:rsid w:val="00513539"/>
    <w:rsid w:val="005139D5"/>
    <w:rsid w:val="00513CB7"/>
    <w:rsid w:val="00513E30"/>
    <w:rsid w:val="005142D4"/>
    <w:rsid w:val="00514330"/>
    <w:rsid w:val="0051487D"/>
    <w:rsid w:val="005155B3"/>
    <w:rsid w:val="00515A14"/>
    <w:rsid w:val="00515D4B"/>
    <w:rsid w:val="00516871"/>
    <w:rsid w:val="005168B6"/>
    <w:rsid w:val="005169D0"/>
    <w:rsid w:val="00516C63"/>
    <w:rsid w:val="00516DCE"/>
    <w:rsid w:val="005173EC"/>
    <w:rsid w:val="00517C2A"/>
    <w:rsid w:val="00520230"/>
    <w:rsid w:val="00520869"/>
    <w:rsid w:val="005209C6"/>
    <w:rsid w:val="00520AD9"/>
    <w:rsid w:val="005211E2"/>
    <w:rsid w:val="005216DC"/>
    <w:rsid w:val="005217AA"/>
    <w:rsid w:val="005218D5"/>
    <w:rsid w:val="0052196E"/>
    <w:rsid w:val="00521C52"/>
    <w:rsid w:val="00521C8E"/>
    <w:rsid w:val="00521E55"/>
    <w:rsid w:val="0052239B"/>
    <w:rsid w:val="0052356C"/>
    <w:rsid w:val="005239B1"/>
    <w:rsid w:val="00523F43"/>
    <w:rsid w:val="0052405D"/>
    <w:rsid w:val="0052425B"/>
    <w:rsid w:val="005245C0"/>
    <w:rsid w:val="0052469C"/>
    <w:rsid w:val="005247DC"/>
    <w:rsid w:val="005248B6"/>
    <w:rsid w:val="0052491D"/>
    <w:rsid w:val="00524C2F"/>
    <w:rsid w:val="00524E91"/>
    <w:rsid w:val="005254C4"/>
    <w:rsid w:val="00525560"/>
    <w:rsid w:val="0052567E"/>
    <w:rsid w:val="005256B5"/>
    <w:rsid w:val="005258C0"/>
    <w:rsid w:val="00525944"/>
    <w:rsid w:val="005259A3"/>
    <w:rsid w:val="00525D9C"/>
    <w:rsid w:val="00526081"/>
    <w:rsid w:val="005260C9"/>
    <w:rsid w:val="00526252"/>
    <w:rsid w:val="005264C2"/>
    <w:rsid w:val="005264FF"/>
    <w:rsid w:val="00526539"/>
    <w:rsid w:val="005265AF"/>
    <w:rsid w:val="00527188"/>
    <w:rsid w:val="00527688"/>
    <w:rsid w:val="005276EF"/>
    <w:rsid w:val="00527754"/>
    <w:rsid w:val="005278B0"/>
    <w:rsid w:val="00527D40"/>
    <w:rsid w:val="00527E99"/>
    <w:rsid w:val="00530AA4"/>
    <w:rsid w:val="00530E8B"/>
    <w:rsid w:val="0053104D"/>
    <w:rsid w:val="00531950"/>
    <w:rsid w:val="005319E8"/>
    <w:rsid w:val="00531BC2"/>
    <w:rsid w:val="00531C86"/>
    <w:rsid w:val="00531DD6"/>
    <w:rsid w:val="00531E33"/>
    <w:rsid w:val="00531F93"/>
    <w:rsid w:val="005321D0"/>
    <w:rsid w:val="0053252B"/>
    <w:rsid w:val="00532590"/>
    <w:rsid w:val="00532692"/>
    <w:rsid w:val="00532A86"/>
    <w:rsid w:val="00532C7F"/>
    <w:rsid w:val="005334E2"/>
    <w:rsid w:val="0053362E"/>
    <w:rsid w:val="0053366D"/>
    <w:rsid w:val="00533DEB"/>
    <w:rsid w:val="00533EE5"/>
    <w:rsid w:val="0053401E"/>
    <w:rsid w:val="00534133"/>
    <w:rsid w:val="005342C2"/>
    <w:rsid w:val="00534382"/>
    <w:rsid w:val="00534464"/>
    <w:rsid w:val="00534D67"/>
    <w:rsid w:val="00534EBB"/>
    <w:rsid w:val="005351A5"/>
    <w:rsid w:val="005351E8"/>
    <w:rsid w:val="00535693"/>
    <w:rsid w:val="00536311"/>
    <w:rsid w:val="00536644"/>
    <w:rsid w:val="00536BCA"/>
    <w:rsid w:val="005370C6"/>
    <w:rsid w:val="0053714C"/>
    <w:rsid w:val="0053747D"/>
    <w:rsid w:val="00537BA6"/>
    <w:rsid w:val="00537E23"/>
    <w:rsid w:val="00537E73"/>
    <w:rsid w:val="00537F5F"/>
    <w:rsid w:val="0054019C"/>
    <w:rsid w:val="00540577"/>
    <w:rsid w:val="005406CB"/>
    <w:rsid w:val="00540C2B"/>
    <w:rsid w:val="00540EA2"/>
    <w:rsid w:val="005410E2"/>
    <w:rsid w:val="00541762"/>
    <w:rsid w:val="00541F66"/>
    <w:rsid w:val="0054210D"/>
    <w:rsid w:val="0054242C"/>
    <w:rsid w:val="00542583"/>
    <w:rsid w:val="00542774"/>
    <w:rsid w:val="00542A42"/>
    <w:rsid w:val="00542A9F"/>
    <w:rsid w:val="00542BF6"/>
    <w:rsid w:val="00542F95"/>
    <w:rsid w:val="005432FB"/>
    <w:rsid w:val="00543E41"/>
    <w:rsid w:val="00543EE5"/>
    <w:rsid w:val="00543FF6"/>
    <w:rsid w:val="00544007"/>
    <w:rsid w:val="00544144"/>
    <w:rsid w:val="0054436F"/>
    <w:rsid w:val="005444EF"/>
    <w:rsid w:val="00544570"/>
    <w:rsid w:val="00544C49"/>
    <w:rsid w:val="00544F8F"/>
    <w:rsid w:val="00544FDE"/>
    <w:rsid w:val="0054512C"/>
    <w:rsid w:val="005451EB"/>
    <w:rsid w:val="0054527F"/>
    <w:rsid w:val="00545293"/>
    <w:rsid w:val="0054568D"/>
    <w:rsid w:val="0054575C"/>
    <w:rsid w:val="00545A37"/>
    <w:rsid w:val="00545E4B"/>
    <w:rsid w:val="0054604C"/>
    <w:rsid w:val="005461B1"/>
    <w:rsid w:val="00546878"/>
    <w:rsid w:val="00546C8C"/>
    <w:rsid w:val="0054729D"/>
    <w:rsid w:val="00547331"/>
    <w:rsid w:val="0054741E"/>
    <w:rsid w:val="005477CF"/>
    <w:rsid w:val="00547AF5"/>
    <w:rsid w:val="00547E2E"/>
    <w:rsid w:val="00550442"/>
    <w:rsid w:val="0055091F"/>
    <w:rsid w:val="0055094D"/>
    <w:rsid w:val="00550CD0"/>
    <w:rsid w:val="00550D2B"/>
    <w:rsid w:val="00550D5D"/>
    <w:rsid w:val="00550D97"/>
    <w:rsid w:val="00550FA9"/>
    <w:rsid w:val="00551166"/>
    <w:rsid w:val="005516A1"/>
    <w:rsid w:val="00551BD7"/>
    <w:rsid w:val="005520EC"/>
    <w:rsid w:val="00552344"/>
    <w:rsid w:val="005524FB"/>
    <w:rsid w:val="0055250F"/>
    <w:rsid w:val="00552650"/>
    <w:rsid w:val="00552AD9"/>
    <w:rsid w:val="00552E56"/>
    <w:rsid w:val="00553A91"/>
    <w:rsid w:val="00553BD4"/>
    <w:rsid w:val="00553DF1"/>
    <w:rsid w:val="00553FAF"/>
    <w:rsid w:val="00554227"/>
    <w:rsid w:val="00554546"/>
    <w:rsid w:val="0055459E"/>
    <w:rsid w:val="00554620"/>
    <w:rsid w:val="00554C80"/>
    <w:rsid w:val="00554DB4"/>
    <w:rsid w:val="00555008"/>
    <w:rsid w:val="005554D2"/>
    <w:rsid w:val="00555842"/>
    <w:rsid w:val="00555CFA"/>
    <w:rsid w:val="00555EC4"/>
    <w:rsid w:val="00556013"/>
    <w:rsid w:val="00556021"/>
    <w:rsid w:val="0055656A"/>
    <w:rsid w:val="0055682B"/>
    <w:rsid w:val="00556E03"/>
    <w:rsid w:val="00556EDD"/>
    <w:rsid w:val="00557549"/>
    <w:rsid w:val="00557B7A"/>
    <w:rsid w:val="00557E63"/>
    <w:rsid w:val="00557F06"/>
    <w:rsid w:val="00560142"/>
    <w:rsid w:val="00560397"/>
    <w:rsid w:val="00560418"/>
    <w:rsid w:val="00560543"/>
    <w:rsid w:val="00560687"/>
    <w:rsid w:val="005606BF"/>
    <w:rsid w:val="00560D7D"/>
    <w:rsid w:val="00560E8A"/>
    <w:rsid w:val="005613EE"/>
    <w:rsid w:val="00561971"/>
    <w:rsid w:val="00561A87"/>
    <w:rsid w:val="00561C20"/>
    <w:rsid w:val="00561C80"/>
    <w:rsid w:val="00561E0D"/>
    <w:rsid w:val="00561FA0"/>
    <w:rsid w:val="00561FC5"/>
    <w:rsid w:val="005626E9"/>
    <w:rsid w:val="00562BB8"/>
    <w:rsid w:val="00562DC3"/>
    <w:rsid w:val="00563158"/>
    <w:rsid w:val="00563412"/>
    <w:rsid w:val="0056357E"/>
    <w:rsid w:val="00563767"/>
    <w:rsid w:val="00563885"/>
    <w:rsid w:val="00563887"/>
    <w:rsid w:val="00563977"/>
    <w:rsid w:val="00563F9A"/>
    <w:rsid w:val="00564118"/>
    <w:rsid w:val="005644B8"/>
    <w:rsid w:val="0056451B"/>
    <w:rsid w:val="0056485B"/>
    <w:rsid w:val="0056495C"/>
    <w:rsid w:val="00565026"/>
    <w:rsid w:val="00565041"/>
    <w:rsid w:val="005652C1"/>
    <w:rsid w:val="00565499"/>
    <w:rsid w:val="00565A04"/>
    <w:rsid w:val="00566229"/>
    <w:rsid w:val="00566288"/>
    <w:rsid w:val="00566347"/>
    <w:rsid w:val="0056639B"/>
    <w:rsid w:val="0056655A"/>
    <w:rsid w:val="00566AF7"/>
    <w:rsid w:val="00566BC9"/>
    <w:rsid w:val="005670D3"/>
    <w:rsid w:val="005674AE"/>
    <w:rsid w:val="005674CB"/>
    <w:rsid w:val="0057005F"/>
    <w:rsid w:val="00570277"/>
    <w:rsid w:val="00570607"/>
    <w:rsid w:val="00570B7D"/>
    <w:rsid w:val="00570BD9"/>
    <w:rsid w:val="00570C70"/>
    <w:rsid w:val="00570D4C"/>
    <w:rsid w:val="00571064"/>
    <w:rsid w:val="005715B7"/>
    <w:rsid w:val="00571632"/>
    <w:rsid w:val="00571DE0"/>
    <w:rsid w:val="00571DFD"/>
    <w:rsid w:val="00572197"/>
    <w:rsid w:val="00572A86"/>
    <w:rsid w:val="00572B2D"/>
    <w:rsid w:val="00572B98"/>
    <w:rsid w:val="00572DDE"/>
    <w:rsid w:val="00572DFF"/>
    <w:rsid w:val="00572FF7"/>
    <w:rsid w:val="00573798"/>
    <w:rsid w:val="00573C8E"/>
    <w:rsid w:val="00573FC5"/>
    <w:rsid w:val="0057402A"/>
    <w:rsid w:val="0057447D"/>
    <w:rsid w:val="00574980"/>
    <w:rsid w:val="00574E64"/>
    <w:rsid w:val="005753AE"/>
    <w:rsid w:val="00575540"/>
    <w:rsid w:val="00575C14"/>
    <w:rsid w:val="00575E2A"/>
    <w:rsid w:val="0057643D"/>
    <w:rsid w:val="0057664F"/>
    <w:rsid w:val="00576841"/>
    <w:rsid w:val="00576860"/>
    <w:rsid w:val="00576F11"/>
    <w:rsid w:val="0057700B"/>
    <w:rsid w:val="005771D0"/>
    <w:rsid w:val="005772CD"/>
    <w:rsid w:val="005772F8"/>
    <w:rsid w:val="00577419"/>
    <w:rsid w:val="00577581"/>
    <w:rsid w:val="00577A74"/>
    <w:rsid w:val="00577C88"/>
    <w:rsid w:val="00580031"/>
    <w:rsid w:val="00580333"/>
    <w:rsid w:val="00580CCA"/>
    <w:rsid w:val="0058101F"/>
    <w:rsid w:val="0058192E"/>
    <w:rsid w:val="0058194B"/>
    <w:rsid w:val="00581AA8"/>
    <w:rsid w:val="00582339"/>
    <w:rsid w:val="0058234C"/>
    <w:rsid w:val="005825C4"/>
    <w:rsid w:val="0058282C"/>
    <w:rsid w:val="00582F5F"/>
    <w:rsid w:val="00582FE3"/>
    <w:rsid w:val="0058377A"/>
    <w:rsid w:val="005837C1"/>
    <w:rsid w:val="00583A35"/>
    <w:rsid w:val="00583C78"/>
    <w:rsid w:val="0058400D"/>
    <w:rsid w:val="005842E2"/>
    <w:rsid w:val="00584D24"/>
    <w:rsid w:val="00584DD1"/>
    <w:rsid w:val="005855B2"/>
    <w:rsid w:val="005859A2"/>
    <w:rsid w:val="005859F5"/>
    <w:rsid w:val="00585A8F"/>
    <w:rsid w:val="00585E67"/>
    <w:rsid w:val="00585FFF"/>
    <w:rsid w:val="0058619A"/>
    <w:rsid w:val="005861FB"/>
    <w:rsid w:val="005862CB"/>
    <w:rsid w:val="00586E5C"/>
    <w:rsid w:val="00586F50"/>
    <w:rsid w:val="00587276"/>
    <w:rsid w:val="0058740D"/>
    <w:rsid w:val="005874C8"/>
    <w:rsid w:val="00587AE1"/>
    <w:rsid w:val="00587C05"/>
    <w:rsid w:val="00587CE3"/>
    <w:rsid w:val="00587D44"/>
    <w:rsid w:val="00587D9C"/>
    <w:rsid w:val="00590771"/>
    <w:rsid w:val="00590A5F"/>
    <w:rsid w:val="00590B1D"/>
    <w:rsid w:val="00590CE7"/>
    <w:rsid w:val="00591708"/>
    <w:rsid w:val="005918C2"/>
    <w:rsid w:val="005918C9"/>
    <w:rsid w:val="0059191A"/>
    <w:rsid w:val="00591D12"/>
    <w:rsid w:val="005920B3"/>
    <w:rsid w:val="005921DF"/>
    <w:rsid w:val="005921FF"/>
    <w:rsid w:val="005923CF"/>
    <w:rsid w:val="00592672"/>
    <w:rsid w:val="00592F5D"/>
    <w:rsid w:val="005934E4"/>
    <w:rsid w:val="00593896"/>
    <w:rsid w:val="0059391D"/>
    <w:rsid w:val="00593BBC"/>
    <w:rsid w:val="00594297"/>
    <w:rsid w:val="00594FFE"/>
    <w:rsid w:val="005951C8"/>
    <w:rsid w:val="00595E71"/>
    <w:rsid w:val="00595F1B"/>
    <w:rsid w:val="00595F63"/>
    <w:rsid w:val="0059609F"/>
    <w:rsid w:val="0059641C"/>
    <w:rsid w:val="00596572"/>
    <w:rsid w:val="0059662E"/>
    <w:rsid w:val="005967AB"/>
    <w:rsid w:val="00596865"/>
    <w:rsid w:val="00596C71"/>
    <w:rsid w:val="00596CAC"/>
    <w:rsid w:val="00596F17"/>
    <w:rsid w:val="00597060"/>
    <w:rsid w:val="005970A8"/>
    <w:rsid w:val="005970DF"/>
    <w:rsid w:val="0059717F"/>
    <w:rsid w:val="005972FA"/>
    <w:rsid w:val="005976A9"/>
    <w:rsid w:val="00597ADB"/>
    <w:rsid w:val="00597BBE"/>
    <w:rsid w:val="00597D4B"/>
    <w:rsid w:val="005A014C"/>
    <w:rsid w:val="005A066F"/>
    <w:rsid w:val="005A0918"/>
    <w:rsid w:val="005A0B7C"/>
    <w:rsid w:val="005A201E"/>
    <w:rsid w:val="005A22F6"/>
    <w:rsid w:val="005A28B1"/>
    <w:rsid w:val="005A2996"/>
    <w:rsid w:val="005A2FE9"/>
    <w:rsid w:val="005A32FB"/>
    <w:rsid w:val="005A3348"/>
    <w:rsid w:val="005A3463"/>
    <w:rsid w:val="005A36F2"/>
    <w:rsid w:val="005A3E3F"/>
    <w:rsid w:val="005A3EFF"/>
    <w:rsid w:val="005A46A2"/>
    <w:rsid w:val="005A4738"/>
    <w:rsid w:val="005A4777"/>
    <w:rsid w:val="005A4975"/>
    <w:rsid w:val="005A5320"/>
    <w:rsid w:val="005A545C"/>
    <w:rsid w:val="005A55AD"/>
    <w:rsid w:val="005A55FC"/>
    <w:rsid w:val="005A59AA"/>
    <w:rsid w:val="005A5F2C"/>
    <w:rsid w:val="005A672C"/>
    <w:rsid w:val="005A676A"/>
    <w:rsid w:val="005A68B0"/>
    <w:rsid w:val="005A6D0E"/>
    <w:rsid w:val="005A700A"/>
    <w:rsid w:val="005A71C6"/>
    <w:rsid w:val="005A763E"/>
    <w:rsid w:val="005A76C2"/>
    <w:rsid w:val="005A77C4"/>
    <w:rsid w:val="005A78EF"/>
    <w:rsid w:val="005A79FE"/>
    <w:rsid w:val="005A7A04"/>
    <w:rsid w:val="005A7B93"/>
    <w:rsid w:val="005A7C88"/>
    <w:rsid w:val="005A7D4B"/>
    <w:rsid w:val="005A7ED9"/>
    <w:rsid w:val="005A7FEA"/>
    <w:rsid w:val="005B018D"/>
    <w:rsid w:val="005B048D"/>
    <w:rsid w:val="005B08ED"/>
    <w:rsid w:val="005B1105"/>
    <w:rsid w:val="005B1236"/>
    <w:rsid w:val="005B142C"/>
    <w:rsid w:val="005B155B"/>
    <w:rsid w:val="005B1670"/>
    <w:rsid w:val="005B1818"/>
    <w:rsid w:val="005B1C5F"/>
    <w:rsid w:val="005B22CA"/>
    <w:rsid w:val="005B2461"/>
    <w:rsid w:val="005B27A1"/>
    <w:rsid w:val="005B307E"/>
    <w:rsid w:val="005B3401"/>
    <w:rsid w:val="005B34DC"/>
    <w:rsid w:val="005B3859"/>
    <w:rsid w:val="005B3A06"/>
    <w:rsid w:val="005B3CF4"/>
    <w:rsid w:val="005B4313"/>
    <w:rsid w:val="005B4396"/>
    <w:rsid w:val="005B4442"/>
    <w:rsid w:val="005B458F"/>
    <w:rsid w:val="005B45C8"/>
    <w:rsid w:val="005B4B89"/>
    <w:rsid w:val="005B52B0"/>
    <w:rsid w:val="005B542E"/>
    <w:rsid w:val="005B586F"/>
    <w:rsid w:val="005B5E1E"/>
    <w:rsid w:val="005B66E4"/>
    <w:rsid w:val="005B6806"/>
    <w:rsid w:val="005B6890"/>
    <w:rsid w:val="005B6ABF"/>
    <w:rsid w:val="005B6AC4"/>
    <w:rsid w:val="005B6B30"/>
    <w:rsid w:val="005B6F30"/>
    <w:rsid w:val="005B7153"/>
    <w:rsid w:val="005B7864"/>
    <w:rsid w:val="005C0276"/>
    <w:rsid w:val="005C04F7"/>
    <w:rsid w:val="005C0612"/>
    <w:rsid w:val="005C0638"/>
    <w:rsid w:val="005C0771"/>
    <w:rsid w:val="005C1183"/>
    <w:rsid w:val="005C13B1"/>
    <w:rsid w:val="005C1795"/>
    <w:rsid w:val="005C181C"/>
    <w:rsid w:val="005C18B2"/>
    <w:rsid w:val="005C1A4C"/>
    <w:rsid w:val="005C1E7A"/>
    <w:rsid w:val="005C248D"/>
    <w:rsid w:val="005C27DC"/>
    <w:rsid w:val="005C29D7"/>
    <w:rsid w:val="005C314D"/>
    <w:rsid w:val="005C319B"/>
    <w:rsid w:val="005C31A7"/>
    <w:rsid w:val="005C40B1"/>
    <w:rsid w:val="005C4225"/>
    <w:rsid w:val="005C439E"/>
    <w:rsid w:val="005C4651"/>
    <w:rsid w:val="005C4767"/>
    <w:rsid w:val="005C49B8"/>
    <w:rsid w:val="005C4BC0"/>
    <w:rsid w:val="005C51CD"/>
    <w:rsid w:val="005C52AE"/>
    <w:rsid w:val="005C55FF"/>
    <w:rsid w:val="005C5638"/>
    <w:rsid w:val="005C5643"/>
    <w:rsid w:val="005C57A0"/>
    <w:rsid w:val="005C5DF3"/>
    <w:rsid w:val="005C612F"/>
    <w:rsid w:val="005C6514"/>
    <w:rsid w:val="005C682C"/>
    <w:rsid w:val="005C69F1"/>
    <w:rsid w:val="005C6BDB"/>
    <w:rsid w:val="005C6F03"/>
    <w:rsid w:val="005C6F80"/>
    <w:rsid w:val="005C71A5"/>
    <w:rsid w:val="005C7488"/>
    <w:rsid w:val="005C74BF"/>
    <w:rsid w:val="005C7537"/>
    <w:rsid w:val="005D04E1"/>
    <w:rsid w:val="005D0710"/>
    <w:rsid w:val="005D0933"/>
    <w:rsid w:val="005D132E"/>
    <w:rsid w:val="005D15A7"/>
    <w:rsid w:val="005D1807"/>
    <w:rsid w:val="005D1B2E"/>
    <w:rsid w:val="005D1B94"/>
    <w:rsid w:val="005D1F4F"/>
    <w:rsid w:val="005D20AE"/>
    <w:rsid w:val="005D245E"/>
    <w:rsid w:val="005D24B6"/>
    <w:rsid w:val="005D2501"/>
    <w:rsid w:val="005D2642"/>
    <w:rsid w:val="005D2B1A"/>
    <w:rsid w:val="005D3109"/>
    <w:rsid w:val="005D35DB"/>
    <w:rsid w:val="005D3637"/>
    <w:rsid w:val="005D3A40"/>
    <w:rsid w:val="005D3C3E"/>
    <w:rsid w:val="005D3CB6"/>
    <w:rsid w:val="005D3D9A"/>
    <w:rsid w:val="005D42F5"/>
    <w:rsid w:val="005D4336"/>
    <w:rsid w:val="005D4463"/>
    <w:rsid w:val="005D44C9"/>
    <w:rsid w:val="005D44DA"/>
    <w:rsid w:val="005D44F3"/>
    <w:rsid w:val="005D4AA9"/>
    <w:rsid w:val="005D4B0E"/>
    <w:rsid w:val="005D4BFB"/>
    <w:rsid w:val="005D4CA6"/>
    <w:rsid w:val="005D52C5"/>
    <w:rsid w:val="005D5539"/>
    <w:rsid w:val="005D5CC0"/>
    <w:rsid w:val="005D5CD2"/>
    <w:rsid w:val="005D5FCA"/>
    <w:rsid w:val="005D6024"/>
    <w:rsid w:val="005D64B9"/>
    <w:rsid w:val="005D6695"/>
    <w:rsid w:val="005D67C9"/>
    <w:rsid w:val="005D68E3"/>
    <w:rsid w:val="005D6E8A"/>
    <w:rsid w:val="005E00FD"/>
    <w:rsid w:val="005E081B"/>
    <w:rsid w:val="005E09DC"/>
    <w:rsid w:val="005E0A12"/>
    <w:rsid w:val="005E1599"/>
    <w:rsid w:val="005E1623"/>
    <w:rsid w:val="005E17DF"/>
    <w:rsid w:val="005E18A5"/>
    <w:rsid w:val="005E1D97"/>
    <w:rsid w:val="005E1F03"/>
    <w:rsid w:val="005E21D4"/>
    <w:rsid w:val="005E257D"/>
    <w:rsid w:val="005E2663"/>
    <w:rsid w:val="005E2874"/>
    <w:rsid w:val="005E2A54"/>
    <w:rsid w:val="005E3610"/>
    <w:rsid w:val="005E374C"/>
    <w:rsid w:val="005E3919"/>
    <w:rsid w:val="005E39C7"/>
    <w:rsid w:val="005E3C6C"/>
    <w:rsid w:val="005E3C6D"/>
    <w:rsid w:val="005E4055"/>
    <w:rsid w:val="005E4081"/>
    <w:rsid w:val="005E421A"/>
    <w:rsid w:val="005E441F"/>
    <w:rsid w:val="005E4479"/>
    <w:rsid w:val="005E45A4"/>
    <w:rsid w:val="005E4C11"/>
    <w:rsid w:val="005E5437"/>
    <w:rsid w:val="005E5580"/>
    <w:rsid w:val="005E59D9"/>
    <w:rsid w:val="005E63E4"/>
    <w:rsid w:val="005E6507"/>
    <w:rsid w:val="005E65A7"/>
    <w:rsid w:val="005E66E5"/>
    <w:rsid w:val="005E67F4"/>
    <w:rsid w:val="005E691F"/>
    <w:rsid w:val="005E699D"/>
    <w:rsid w:val="005E6B57"/>
    <w:rsid w:val="005E6E99"/>
    <w:rsid w:val="005E759A"/>
    <w:rsid w:val="005E7C86"/>
    <w:rsid w:val="005F0262"/>
    <w:rsid w:val="005F05EF"/>
    <w:rsid w:val="005F0DAD"/>
    <w:rsid w:val="005F0F33"/>
    <w:rsid w:val="005F0FDA"/>
    <w:rsid w:val="005F10FD"/>
    <w:rsid w:val="005F12AF"/>
    <w:rsid w:val="005F178D"/>
    <w:rsid w:val="005F1B09"/>
    <w:rsid w:val="005F1F3B"/>
    <w:rsid w:val="005F244E"/>
    <w:rsid w:val="005F25C4"/>
    <w:rsid w:val="005F2751"/>
    <w:rsid w:val="005F2F23"/>
    <w:rsid w:val="005F349E"/>
    <w:rsid w:val="005F3892"/>
    <w:rsid w:val="005F3A3B"/>
    <w:rsid w:val="005F3BAA"/>
    <w:rsid w:val="005F3DC4"/>
    <w:rsid w:val="005F400F"/>
    <w:rsid w:val="005F41B6"/>
    <w:rsid w:val="005F4951"/>
    <w:rsid w:val="005F4CB7"/>
    <w:rsid w:val="005F539F"/>
    <w:rsid w:val="005F5622"/>
    <w:rsid w:val="005F58BD"/>
    <w:rsid w:val="005F63AB"/>
    <w:rsid w:val="005F6475"/>
    <w:rsid w:val="005F66E5"/>
    <w:rsid w:val="005F68F5"/>
    <w:rsid w:val="005F6A33"/>
    <w:rsid w:val="005F6A9D"/>
    <w:rsid w:val="005F6AA6"/>
    <w:rsid w:val="005F6F1E"/>
    <w:rsid w:val="005F70BD"/>
    <w:rsid w:val="005F74FD"/>
    <w:rsid w:val="005F7876"/>
    <w:rsid w:val="005F7A67"/>
    <w:rsid w:val="005F7ADB"/>
    <w:rsid w:val="005F7EE4"/>
    <w:rsid w:val="005F7FD1"/>
    <w:rsid w:val="00600363"/>
    <w:rsid w:val="0060046B"/>
    <w:rsid w:val="00600DEB"/>
    <w:rsid w:val="00600ED5"/>
    <w:rsid w:val="0060104B"/>
    <w:rsid w:val="00601AC3"/>
    <w:rsid w:val="00601C31"/>
    <w:rsid w:val="00601D10"/>
    <w:rsid w:val="00602481"/>
    <w:rsid w:val="006024C1"/>
    <w:rsid w:val="0060252B"/>
    <w:rsid w:val="006027F0"/>
    <w:rsid w:val="00602908"/>
    <w:rsid w:val="00602B78"/>
    <w:rsid w:val="00602BE9"/>
    <w:rsid w:val="006030AD"/>
    <w:rsid w:val="006031D9"/>
    <w:rsid w:val="006032C8"/>
    <w:rsid w:val="00603A8C"/>
    <w:rsid w:val="00603CC3"/>
    <w:rsid w:val="00603E73"/>
    <w:rsid w:val="00603F29"/>
    <w:rsid w:val="0060419C"/>
    <w:rsid w:val="0060420C"/>
    <w:rsid w:val="00604481"/>
    <w:rsid w:val="006049D5"/>
    <w:rsid w:val="00604A58"/>
    <w:rsid w:val="00604E7B"/>
    <w:rsid w:val="0060515A"/>
    <w:rsid w:val="006055B4"/>
    <w:rsid w:val="00605636"/>
    <w:rsid w:val="00605639"/>
    <w:rsid w:val="00605C21"/>
    <w:rsid w:val="00605DF3"/>
    <w:rsid w:val="00605F21"/>
    <w:rsid w:val="00606418"/>
    <w:rsid w:val="00606588"/>
    <w:rsid w:val="0060676C"/>
    <w:rsid w:val="00606B13"/>
    <w:rsid w:val="006070A1"/>
    <w:rsid w:val="0060778C"/>
    <w:rsid w:val="006078C6"/>
    <w:rsid w:val="006078DA"/>
    <w:rsid w:val="00607933"/>
    <w:rsid w:val="00610191"/>
    <w:rsid w:val="0061040B"/>
    <w:rsid w:val="006104A9"/>
    <w:rsid w:val="00610598"/>
    <w:rsid w:val="0061067B"/>
    <w:rsid w:val="00610C76"/>
    <w:rsid w:val="00610D16"/>
    <w:rsid w:val="00610ED9"/>
    <w:rsid w:val="00610F85"/>
    <w:rsid w:val="00611211"/>
    <w:rsid w:val="00611411"/>
    <w:rsid w:val="006118C9"/>
    <w:rsid w:val="00611AA4"/>
    <w:rsid w:val="00611B16"/>
    <w:rsid w:val="00611EBF"/>
    <w:rsid w:val="00611F1F"/>
    <w:rsid w:val="00612699"/>
    <w:rsid w:val="00612A63"/>
    <w:rsid w:val="00612AA8"/>
    <w:rsid w:val="006133B9"/>
    <w:rsid w:val="006137AB"/>
    <w:rsid w:val="00613AA3"/>
    <w:rsid w:val="00613EF7"/>
    <w:rsid w:val="00614010"/>
    <w:rsid w:val="006147AC"/>
    <w:rsid w:val="006147B9"/>
    <w:rsid w:val="00614C69"/>
    <w:rsid w:val="00614D39"/>
    <w:rsid w:val="00614F48"/>
    <w:rsid w:val="0061502A"/>
    <w:rsid w:val="0061565D"/>
    <w:rsid w:val="00616517"/>
    <w:rsid w:val="006165A2"/>
    <w:rsid w:val="00616733"/>
    <w:rsid w:val="00616759"/>
    <w:rsid w:val="00616A06"/>
    <w:rsid w:val="00616C27"/>
    <w:rsid w:val="0061720A"/>
    <w:rsid w:val="00617467"/>
    <w:rsid w:val="00617C65"/>
    <w:rsid w:val="00617F15"/>
    <w:rsid w:val="0062090E"/>
    <w:rsid w:val="00620D96"/>
    <w:rsid w:val="0062119D"/>
    <w:rsid w:val="00621376"/>
    <w:rsid w:val="00621ACA"/>
    <w:rsid w:val="00621E20"/>
    <w:rsid w:val="00621F19"/>
    <w:rsid w:val="0062206A"/>
    <w:rsid w:val="00622121"/>
    <w:rsid w:val="006222AD"/>
    <w:rsid w:val="006222F0"/>
    <w:rsid w:val="00622D9E"/>
    <w:rsid w:val="00623415"/>
    <w:rsid w:val="0062361B"/>
    <w:rsid w:val="00623732"/>
    <w:rsid w:val="00623FA8"/>
    <w:rsid w:val="006244EF"/>
    <w:rsid w:val="00624B07"/>
    <w:rsid w:val="00624BEC"/>
    <w:rsid w:val="00624C18"/>
    <w:rsid w:val="00624F13"/>
    <w:rsid w:val="00625095"/>
    <w:rsid w:val="0062533A"/>
    <w:rsid w:val="006253B5"/>
    <w:rsid w:val="00625677"/>
    <w:rsid w:val="00625B29"/>
    <w:rsid w:val="00625F18"/>
    <w:rsid w:val="0062667C"/>
    <w:rsid w:val="00626740"/>
    <w:rsid w:val="0062692D"/>
    <w:rsid w:val="00626A1D"/>
    <w:rsid w:val="00626A68"/>
    <w:rsid w:val="00626B0C"/>
    <w:rsid w:val="00626F20"/>
    <w:rsid w:val="00626F73"/>
    <w:rsid w:val="00626FEF"/>
    <w:rsid w:val="006271DB"/>
    <w:rsid w:val="00627295"/>
    <w:rsid w:val="00627303"/>
    <w:rsid w:val="0062761B"/>
    <w:rsid w:val="00627893"/>
    <w:rsid w:val="00627A84"/>
    <w:rsid w:val="00627C9F"/>
    <w:rsid w:val="00630099"/>
    <w:rsid w:val="00630243"/>
    <w:rsid w:val="006303C3"/>
    <w:rsid w:val="00630421"/>
    <w:rsid w:val="006308B0"/>
    <w:rsid w:val="00630992"/>
    <w:rsid w:val="00630ACE"/>
    <w:rsid w:val="00630F0A"/>
    <w:rsid w:val="00631106"/>
    <w:rsid w:val="006311E9"/>
    <w:rsid w:val="0063121D"/>
    <w:rsid w:val="006312A6"/>
    <w:rsid w:val="0063150A"/>
    <w:rsid w:val="00631D17"/>
    <w:rsid w:val="00632039"/>
    <w:rsid w:val="00632354"/>
    <w:rsid w:val="006324D0"/>
    <w:rsid w:val="0063282A"/>
    <w:rsid w:val="006328B3"/>
    <w:rsid w:val="00632BCD"/>
    <w:rsid w:val="00632CED"/>
    <w:rsid w:val="00633006"/>
    <w:rsid w:val="0063380B"/>
    <w:rsid w:val="0063384C"/>
    <w:rsid w:val="0063388A"/>
    <w:rsid w:val="006344AB"/>
    <w:rsid w:val="006345BD"/>
    <w:rsid w:val="006347F1"/>
    <w:rsid w:val="006348A4"/>
    <w:rsid w:val="00634935"/>
    <w:rsid w:val="00634A77"/>
    <w:rsid w:val="00634F0C"/>
    <w:rsid w:val="00635014"/>
    <w:rsid w:val="006355C9"/>
    <w:rsid w:val="006360E0"/>
    <w:rsid w:val="00636164"/>
    <w:rsid w:val="0063649E"/>
    <w:rsid w:val="006367BE"/>
    <w:rsid w:val="006368A4"/>
    <w:rsid w:val="00637390"/>
    <w:rsid w:val="0063740F"/>
    <w:rsid w:val="00637A12"/>
    <w:rsid w:val="00637A7D"/>
    <w:rsid w:val="00637E9F"/>
    <w:rsid w:val="00640598"/>
    <w:rsid w:val="00640DA6"/>
    <w:rsid w:val="00641554"/>
    <w:rsid w:val="00641FFA"/>
    <w:rsid w:val="00642011"/>
    <w:rsid w:val="00642053"/>
    <w:rsid w:val="00642284"/>
    <w:rsid w:val="00642299"/>
    <w:rsid w:val="006427A2"/>
    <w:rsid w:val="00642810"/>
    <w:rsid w:val="00642EA6"/>
    <w:rsid w:val="00642F46"/>
    <w:rsid w:val="0064319C"/>
    <w:rsid w:val="006432DF"/>
    <w:rsid w:val="00644100"/>
    <w:rsid w:val="00644301"/>
    <w:rsid w:val="006443A2"/>
    <w:rsid w:val="00644FB9"/>
    <w:rsid w:val="0064529F"/>
    <w:rsid w:val="00645394"/>
    <w:rsid w:val="00645400"/>
    <w:rsid w:val="0064594A"/>
    <w:rsid w:val="00645BE8"/>
    <w:rsid w:val="0064625E"/>
    <w:rsid w:val="00646318"/>
    <w:rsid w:val="006463F5"/>
    <w:rsid w:val="00646412"/>
    <w:rsid w:val="0064649C"/>
    <w:rsid w:val="00646AAA"/>
    <w:rsid w:val="00646B0A"/>
    <w:rsid w:val="00646DB9"/>
    <w:rsid w:val="0064726E"/>
    <w:rsid w:val="006475D3"/>
    <w:rsid w:val="00647CBF"/>
    <w:rsid w:val="00647D67"/>
    <w:rsid w:val="00647F10"/>
    <w:rsid w:val="006501D8"/>
    <w:rsid w:val="0065034F"/>
    <w:rsid w:val="006504B1"/>
    <w:rsid w:val="006508F6"/>
    <w:rsid w:val="00650B75"/>
    <w:rsid w:val="00650FD4"/>
    <w:rsid w:val="006513BF"/>
    <w:rsid w:val="00651686"/>
    <w:rsid w:val="006517C3"/>
    <w:rsid w:val="006519DE"/>
    <w:rsid w:val="006519E9"/>
    <w:rsid w:val="00651A84"/>
    <w:rsid w:val="0065210D"/>
    <w:rsid w:val="00652129"/>
    <w:rsid w:val="0065226A"/>
    <w:rsid w:val="00652333"/>
    <w:rsid w:val="006526D0"/>
    <w:rsid w:val="00652714"/>
    <w:rsid w:val="0065314D"/>
    <w:rsid w:val="0065324E"/>
    <w:rsid w:val="0065354E"/>
    <w:rsid w:val="00653602"/>
    <w:rsid w:val="00653813"/>
    <w:rsid w:val="0065383B"/>
    <w:rsid w:val="00653B59"/>
    <w:rsid w:val="00653B91"/>
    <w:rsid w:val="00653C47"/>
    <w:rsid w:val="00654330"/>
    <w:rsid w:val="006543AA"/>
    <w:rsid w:val="006547AD"/>
    <w:rsid w:val="00654AA0"/>
    <w:rsid w:val="00654ADD"/>
    <w:rsid w:val="00654CA8"/>
    <w:rsid w:val="00655381"/>
    <w:rsid w:val="006555CD"/>
    <w:rsid w:val="0065583B"/>
    <w:rsid w:val="006559B7"/>
    <w:rsid w:val="00655DC3"/>
    <w:rsid w:val="00655EA8"/>
    <w:rsid w:val="00655F48"/>
    <w:rsid w:val="00656002"/>
    <w:rsid w:val="006565CC"/>
    <w:rsid w:val="00656747"/>
    <w:rsid w:val="0065678D"/>
    <w:rsid w:val="00656A10"/>
    <w:rsid w:val="0065706B"/>
    <w:rsid w:val="00657729"/>
    <w:rsid w:val="00657915"/>
    <w:rsid w:val="00657C3F"/>
    <w:rsid w:val="00657E2F"/>
    <w:rsid w:val="0066006C"/>
    <w:rsid w:val="006602D9"/>
    <w:rsid w:val="006603E7"/>
    <w:rsid w:val="00660616"/>
    <w:rsid w:val="00660CB0"/>
    <w:rsid w:val="00660DE3"/>
    <w:rsid w:val="006611BC"/>
    <w:rsid w:val="00661526"/>
    <w:rsid w:val="00661A1B"/>
    <w:rsid w:val="00662116"/>
    <w:rsid w:val="0066234E"/>
    <w:rsid w:val="006623FE"/>
    <w:rsid w:val="006626A2"/>
    <w:rsid w:val="00662918"/>
    <w:rsid w:val="00662FED"/>
    <w:rsid w:val="0066311C"/>
    <w:rsid w:val="00663433"/>
    <w:rsid w:val="00663AAF"/>
    <w:rsid w:val="00663EF4"/>
    <w:rsid w:val="0066471C"/>
    <w:rsid w:val="00664DBD"/>
    <w:rsid w:val="006650A7"/>
    <w:rsid w:val="00665324"/>
    <w:rsid w:val="00665BA0"/>
    <w:rsid w:val="00665C39"/>
    <w:rsid w:val="00665EB9"/>
    <w:rsid w:val="00665F90"/>
    <w:rsid w:val="00666B06"/>
    <w:rsid w:val="0066736C"/>
    <w:rsid w:val="0066745B"/>
    <w:rsid w:val="006676FD"/>
    <w:rsid w:val="00667AB0"/>
    <w:rsid w:val="006700BC"/>
    <w:rsid w:val="0067030C"/>
    <w:rsid w:val="00670373"/>
    <w:rsid w:val="00670A21"/>
    <w:rsid w:val="00670BA7"/>
    <w:rsid w:val="00671984"/>
    <w:rsid w:val="00671BCD"/>
    <w:rsid w:val="00671C56"/>
    <w:rsid w:val="00671CD9"/>
    <w:rsid w:val="006720D0"/>
    <w:rsid w:val="0067213E"/>
    <w:rsid w:val="00673038"/>
    <w:rsid w:val="0067323D"/>
    <w:rsid w:val="0067328F"/>
    <w:rsid w:val="006733AE"/>
    <w:rsid w:val="006746BC"/>
    <w:rsid w:val="0067485F"/>
    <w:rsid w:val="00674D66"/>
    <w:rsid w:val="00674E0A"/>
    <w:rsid w:val="00675361"/>
    <w:rsid w:val="00675401"/>
    <w:rsid w:val="006758F4"/>
    <w:rsid w:val="00675B13"/>
    <w:rsid w:val="00675B66"/>
    <w:rsid w:val="00675D16"/>
    <w:rsid w:val="0067645F"/>
    <w:rsid w:val="0067652C"/>
    <w:rsid w:val="00676930"/>
    <w:rsid w:val="00676BC8"/>
    <w:rsid w:val="00676BEC"/>
    <w:rsid w:val="00677230"/>
    <w:rsid w:val="006772A8"/>
    <w:rsid w:val="006774F4"/>
    <w:rsid w:val="00677817"/>
    <w:rsid w:val="00677AD8"/>
    <w:rsid w:val="00677B62"/>
    <w:rsid w:val="0068001B"/>
    <w:rsid w:val="0068009E"/>
    <w:rsid w:val="00680407"/>
    <w:rsid w:val="0068047A"/>
    <w:rsid w:val="006805D1"/>
    <w:rsid w:val="00680B66"/>
    <w:rsid w:val="00680F98"/>
    <w:rsid w:val="0068105A"/>
    <w:rsid w:val="00681B7D"/>
    <w:rsid w:val="00681CE7"/>
    <w:rsid w:val="00681DDE"/>
    <w:rsid w:val="00682170"/>
    <w:rsid w:val="0068220E"/>
    <w:rsid w:val="006823E6"/>
    <w:rsid w:val="00682960"/>
    <w:rsid w:val="00682A00"/>
    <w:rsid w:val="00682B10"/>
    <w:rsid w:val="00682BA1"/>
    <w:rsid w:val="006833DA"/>
    <w:rsid w:val="006833E6"/>
    <w:rsid w:val="00683515"/>
    <w:rsid w:val="00683685"/>
    <w:rsid w:val="00683715"/>
    <w:rsid w:val="00683999"/>
    <w:rsid w:val="00683B3E"/>
    <w:rsid w:val="0068424C"/>
    <w:rsid w:val="006844D5"/>
    <w:rsid w:val="00684848"/>
    <w:rsid w:val="00684A8E"/>
    <w:rsid w:val="00684ADA"/>
    <w:rsid w:val="00684C05"/>
    <w:rsid w:val="00684FDA"/>
    <w:rsid w:val="0068501C"/>
    <w:rsid w:val="0068506A"/>
    <w:rsid w:val="00685083"/>
    <w:rsid w:val="006857A6"/>
    <w:rsid w:val="00685917"/>
    <w:rsid w:val="006868CE"/>
    <w:rsid w:val="00686C4E"/>
    <w:rsid w:val="00686D8F"/>
    <w:rsid w:val="00687233"/>
    <w:rsid w:val="006874D5"/>
    <w:rsid w:val="0068775D"/>
    <w:rsid w:val="00687961"/>
    <w:rsid w:val="00687C60"/>
    <w:rsid w:val="00687F7E"/>
    <w:rsid w:val="0069002A"/>
    <w:rsid w:val="00690304"/>
    <w:rsid w:val="00690574"/>
    <w:rsid w:val="00690D4C"/>
    <w:rsid w:val="00690F74"/>
    <w:rsid w:val="00691211"/>
    <w:rsid w:val="00691236"/>
    <w:rsid w:val="006912A0"/>
    <w:rsid w:val="00691A60"/>
    <w:rsid w:val="00692126"/>
    <w:rsid w:val="006928EA"/>
    <w:rsid w:val="006928EC"/>
    <w:rsid w:val="00692BCA"/>
    <w:rsid w:val="00692CD1"/>
    <w:rsid w:val="0069319F"/>
    <w:rsid w:val="006934FD"/>
    <w:rsid w:val="00693A57"/>
    <w:rsid w:val="00693F9B"/>
    <w:rsid w:val="006945B0"/>
    <w:rsid w:val="006948EB"/>
    <w:rsid w:val="00694B5E"/>
    <w:rsid w:val="006954B6"/>
    <w:rsid w:val="006959DA"/>
    <w:rsid w:val="00695B2C"/>
    <w:rsid w:val="00695D7D"/>
    <w:rsid w:val="00695E32"/>
    <w:rsid w:val="00695FD8"/>
    <w:rsid w:val="006966B2"/>
    <w:rsid w:val="00696F5C"/>
    <w:rsid w:val="00697206"/>
    <w:rsid w:val="006974EF"/>
    <w:rsid w:val="0069772E"/>
    <w:rsid w:val="006A040E"/>
    <w:rsid w:val="006A071C"/>
    <w:rsid w:val="006A0950"/>
    <w:rsid w:val="006A0F6F"/>
    <w:rsid w:val="006A11F7"/>
    <w:rsid w:val="006A12EA"/>
    <w:rsid w:val="006A1409"/>
    <w:rsid w:val="006A17D2"/>
    <w:rsid w:val="006A1B76"/>
    <w:rsid w:val="006A1DC1"/>
    <w:rsid w:val="006A26BC"/>
    <w:rsid w:val="006A2D14"/>
    <w:rsid w:val="006A2FCE"/>
    <w:rsid w:val="006A37BA"/>
    <w:rsid w:val="006A3D9D"/>
    <w:rsid w:val="006A3E6A"/>
    <w:rsid w:val="006A4368"/>
    <w:rsid w:val="006A4388"/>
    <w:rsid w:val="006A494C"/>
    <w:rsid w:val="006A4C34"/>
    <w:rsid w:val="006A4DD4"/>
    <w:rsid w:val="006A5080"/>
    <w:rsid w:val="006A5279"/>
    <w:rsid w:val="006A5378"/>
    <w:rsid w:val="006A53F2"/>
    <w:rsid w:val="006A5619"/>
    <w:rsid w:val="006A5BC1"/>
    <w:rsid w:val="006A5D09"/>
    <w:rsid w:val="006A5FC0"/>
    <w:rsid w:val="006A6116"/>
    <w:rsid w:val="006A6396"/>
    <w:rsid w:val="006A64C4"/>
    <w:rsid w:val="006A6530"/>
    <w:rsid w:val="006A686E"/>
    <w:rsid w:val="006A6879"/>
    <w:rsid w:val="006A6C28"/>
    <w:rsid w:val="006A6E4C"/>
    <w:rsid w:val="006A6F86"/>
    <w:rsid w:val="006A7208"/>
    <w:rsid w:val="006A73E6"/>
    <w:rsid w:val="006A75AD"/>
    <w:rsid w:val="006A789A"/>
    <w:rsid w:val="006A7A63"/>
    <w:rsid w:val="006A7DF0"/>
    <w:rsid w:val="006B0320"/>
    <w:rsid w:val="006B09F4"/>
    <w:rsid w:val="006B0A06"/>
    <w:rsid w:val="006B0A82"/>
    <w:rsid w:val="006B1252"/>
    <w:rsid w:val="006B140A"/>
    <w:rsid w:val="006B15CE"/>
    <w:rsid w:val="006B17C3"/>
    <w:rsid w:val="006B18F0"/>
    <w:rsid w:val="006B1A15"/>
    <w:rsid w:val="006B1A48"/>
    <w:rsid w:val="006B1BE2"/>
    <w:rsid w:val="006B1E51"/>
    <w:rsid w:val="006B1F6D"/>
    <w:rsid w:val="006B23ED"/>
    <w:rsid w:val="006B2CC7"/>
    <w:rsid w:val="006B2D5C"/>
    <w:rsid w:val="006B2FBF"/>
    <w:rsid w:val="006B33C4"/>
    <w:rsid w:val="006B351F"/>
    <w:rsid w:val="006B3714"/>
    <w:rsid w:val="006B3AF1"/>
    <w:rsid w:val="006B3D00"/>
    <w:rsid w:val="006B44C0"/>
    <w:rsid w:val="006B4530"/>
    <w:rsid w:val="006B4D46"/>
    <w:rsid w:val="006B4DA9"/>
    <w:rsid w:val="006B4DAB"/>
    <w:rsid w:val="006B51B9"/>
    <w:rsid w:val="006B57E1"/>
    <w:rsid w:val="006B5B8E"/>
    <w:rsid w:val="006B60ED"/>
    <w:rsid w:val="006B6442"/>
    <w:rsid w:val="006B6817"/>
    <w:rsid w:val="006B69B5"/>
    <w:rsid w:val="006B6F1E"/>
    <w:rsid w:val="006B6F29"/>
    <w:rsid w:val="006B71F6"/>
    <w:rsid w:val="006B75B9"/>
    <w:rsid w:val="006B7FA2"/>
    <w:rsid w:val="006C0364"/>
    <w:rsid w:val="006C036E"/>
    <w:rsid w:val="006C0784"/>
    <w:rsid w:val="006C0A65"/>
    <w:rsid w:val="006C0BE5"/>
    <w:rsid w:val="006C0FB6"/>
    <w:rsid w:val="006C11B7"/>
    <w:rsid w:val="006C128E"/>
    <w:rsid w:val="006C16D2"/>
    <w:rsid w:val="006C1767"/>
    <w:rsid w:val="006C17B3"/>
    <w:rsid w:val="006C1D5B"/>
    <w:rsid w:val="006C1E07"/>
    <w:rsid w:val="006C2040"/>
    <w:rsid w:val="006C2EBA"/>
    <w:rsid w:val="006C341D"/>
    <w:rsid w:val="006C3B01"/>
    <w:rsid w:val="006C4121"/>
    <w:rsid w:val="006C4468"/>
    <w:rsid w:val="006C4EB1"/>
    <w:rsid w:val="006C58EB"/>
    <w:rsid w:val="006C6102"/>
    <w:rsid w:val="006C6164"/>
    <w:rsid w:val="006C6946"/>
    <w:rsid w:val="006C6B91"/>
    <w:rsid w:val="006C7244"/>
    <w:rsid w:val="006C7306"/>
    <w:rsid w:val="006C735D"/>
    <w:rsid w:val="006C7774"/>
    <w:rsid w:val="006C77B8"/>
    <w:rsid w:val="006D0196"/>
    <w:rsid w:val="006D0592"/>
    <w:rsid w:val="006D05EC"/>
    <w:rsid w:val="006D0772"/>
    <w:rsid w:val="006D0A39"/>
    <w:rsid w:val="006D0AAE"/>
    <w:rsid w:val="006D0B3C"/>
    <w:rsid w:val="006D0B7D"/>
    <w:rsid w:val="006D0E40"/>
    <w:rsid w:val="006D0F9A"/>
    <w:rsid w:val="006D132D"/>
    <w:rsid w:val="006D1637"/>
    <w:rsid w:val="006D1C43"/>
    <w:rsid w:val="006D1D28"/>
    <w:rsid w:val="006D1D3D"/>
    <w:rsid w:val="006D1DA6"/>
    <w:rsid w:val="006D1DAA"/>
    <w:rsid w:val="006D2839"/>
    <w:rsid w:val="006D2A5F"/>
    <w:rsid w:val="006D2C15"/>
    <w:rsid w:val="006D2EC4"/>
    <w:rsid w:val="006D3621"/>
    <w:rsid w:val="006D362F"/>
    <w:rsid w:val="006D39C6"/>
    <w:rsid w:val="006D410F"/>
    <w:rsid w:val="006D47BD"/>
    <w:rsid w:val="006D482D"/>
    <w:rsid w:val="006D4EE3"/>
    <w:rsid w:val="006D4F0C"/>
    <w:rsid w:val="006D57EF"/>
    <w:rsid w:val="006D5D2C"/>
    <w:rsid w:val="006D5ED9"/>
    <w:rsid w:val="006D5EE8"/>
    <w:rsid w:val="006D640D"/>
    <w:rsid w:val="006D66AE"/>
    <w:rsid w:val="006D6D14"/>
    <w:rsid w:val="006D7534"/>
    <w:rsid w:val="006D796E"/>
    <w:rsid w:val="006D7A04"/>
    <w:rsid w:val="006D7E6F"/>
    <w:rsid w:val="006E0021"/>
    <w:rsid w:val="006E00A3"/>
    <w:rsid w:val="006E0123"/>
    <w:rsid w:val="006E0166"/>
    <w:rsid w:val="006E01E1"/>
    <w:rsid w:val="006E08FC"/>
    <w:rsid w:val="006E0E7A"/>
    <w:rsid w:val="006E1178"/>
    <w:rsid w:val="006E1697"/>
    <w:rsid w:val="006E1A3B"/>
    <w:rsid w:val="006E21B1"/>
    <w:rsid w:val="006E247F"/>
    <w:rsid w:val="006E25DC"/>
    <w:rsid w:val="006E26D2"/>
    <w:rsid w:val="006E2743"/>
    <w:rsid w:val="006E28E8"/>
    <w:rsid w:val="006E2D18"/>
    <w:rsid w:val="006E2D79"/>
    <w:rsid w:val="006E348E"/>
    <w:rsid w:val="006E362D"/>
    <w:rsid w:val="006E3AF6"/>
    <w:rsid w:val="006E3E8D"/>
    <w:rsid w:val="006E3EFB"/>
    <w:rsid w:val="006E3F67"/>
    <w:rsid w:val="006E434B"/>
    <w:rsid w:val="006E4695"/>
    <w:rsid w:val="006E477F"/>
    <w:rsid w:val="006E4FD3"/>
    <w:rsid w:val="006E5002"/>
    <w:rsid w:val="006E502D"/>
    <w:rsid w:val="006E5169"/>
    <w:rsid w:val="006E54B0"/>
    <w:rsid w:val="006E56C1"/>
    <w:rsid w:val="006E58D1"/>
    <w:rsid w:val="006E5B92"/>
    <w:rsid w:val="006E5DDA"/>
    <w:rsid w:val="006E5E19"/>
    <w:rsid w:val="006E5EB1"/>
    <w:rsid w:val="006E621E"/>
    <w:rsid w:val="006E66A1"/>
    <w:rsid w:val="006E6C59"/>
    <w:rsid w:val="006E7167"/>
    <w:rsid w:val="006E72D0"/>
    <w:rsid w:val="006E73D4"/>
    <w:rsid w:val="006E752E"/>
    <w:rsid w:val="006E7583"/>
    <w:rsid w:val="006E76E6"/>
    <w:rsid w:val="006E7B34"/>
    <w:rsid w:val="006E7C57"/>
    <w:rsid w:val="006E7DF9"/>
    <w:rsid w:val="006F0078"/>
    <w:rsid w:val="006F0305"/>
    <w:rsid w:val="006F09EB"/>
    <w:rsid w:val="006F0A0A"/>
    <w:rsid w:val="006F0BBD"/>
    <w:rsid w:val="006F1121"/>
    <w:rsid w:val="006F165F"/>
    <w:rsid w:val="006F1C06"/>
    <w:rsid w:val="006F1CF4"/>
    <w:rsid w:val="006F1FFC"/>
    <w:rsid w:val="006F241B"/>
    <w:rsid w:val="006F273B"/>
    <w:rsid w:val="006F2B4A"/>
    <w:rsid w:val="006F3397"/>
    <w:rsid w:val="006F34E3"/>
    <w:rsid w:val="006F3586"/>
    <w:rsid w:val="006F3DC4"/>
    <w:rsid w:val="006F474A"/>
    <w:rsid w:val="006F491C"/>
    <w:rsid w:val="006F4CE6"/>
    <w:rsid w:val="006F4E46"/>
    <w:rsid w:val="006F5077"/>
    <w:rsid w:val="006F507D"/>
    <w:rsid w:val="006F5275"/>
    <w:rsid w:val="006F5AAE"/>
    <w:rsid w:val="006F5C1B"/>
    <w:rsid w:val="006F5FB6"/>
    <w:rsid w:val="006F631D"/>
    <w:rsid w:val="006F67D8"/>
    <w:rsid w:val="006F7013"/>
    <w:rsid w:val="006F735A"/>
    <w:rsid w:val="006F79EC"/>
    <w:rsid w:val="006F7A92"/>
    <w:rsid w:val="006F7ACE"/>
    <w:rsid w:val="006F7EE3"/>
    <w:rsid w:val="00700215"/>
    <w:rsid w:val="00700A19"/>
    <w:rsid w:val="00700C8B"/>
    <w:rsid w:val="0070137A"/>
    <w:rsid w:val="00701983"/>
    <w:rsid w:val="00701F15"/>
    <w:rsid w:val="00701F4D"/>
    <w:rsid w:val="0070217A"/>
    <w:rsid w:val="00702755"/>
    <w:rsid w:val="00702D8E"/>
    <w:rsid w:val="00702F28"/>
    <w:rsid w:val="007032B2"/>
    <w:rsid w:val="00703935"/>
    <w:rsid w:val="00703A3A"/>
    <w:rsid w:val="00703E40"/>
    <w:rsid w:val="00703E6F"/>
    <w:rsid w:val="00704084"/>
    <w:rsid w:val="00704237"/>
    <w:rsid w:val="007042C0"/>
    <w:rsid w:val="0070448F"/>
    <w:rsid w:val="00704943"/>
    <w:rsid w:val="0070498B"/>
    <w:rsid w:val="00704E13"/>
    <w:rsid w:val="00704F4E"/>
    <w:rsid w:val="00704F63"/>
    <w:rsid w:val="00705013"/>
    <w:rsid w:val="00705668"/>
    <w:rsid w:val="00705B2A"/>
    <w:rsid w:val="00705C69"/>
    <w:rsid w:val="00705E34"/>
    <w:rsid w:val="0070697F"/>
    <w:rsid w:val="007073E2"/>
    <w:rsid w:val="007077F7"/>
    <w:rsid w:val="007079BD"/>
    <w:rsid w:val="00707B7D"/>
    <w:rsid w:val="00707BF5"/>
    <w:rsid w:val="00710113"/>
    <w:rsid w:val="00710772"/>
    <w:rsid w:val="007108E3"/>
    <w:rsid w:val="00710D41"/>
    <w:rsid w:val="007114BB"/>
    <w:rsid w:val="0071162D"/>
    <w:rsid w:val="00711B80"/>
    <w:rsid w:val="00711E01"/>
    <w:rsid w:val="00711E1E"/>
    <w:rsid w:val="00711F99"/>
    <w:rsid w:val="007124F8"/>
    <w:rsid w:val="00712705"/>
    <w:rsid w:val="007127ED"/>
    <w:rsid w:val="007127FA"/>
    <w:rsid w:val="00712A15"/>
    <w:rsid w:val="0071301F"/>
    <w:rsid w:val="0071326C"/>
    <w:rsid w:val="00713551"/>
    <w:rsid w:val="00713632"/>
    <w:rsid w:val="00713B81"/>
    <w:rsid w:val="00713E33"/>
    <w:rsid w:val="00713F6D"/>
    <w:rsid w:val="00714470"/>
    <w:rsid w:val="007144B7"/>
    <w:rsid w:val="007146D8"/>
    <w:rsid w:val="00714904"/>
    <w:rsid w:val="00714B32"/>
    <w:rsid w:val="00714F79"/>
    <w:rsid w:val="007155B6"/>
    <w:rsid w:val="0071591F"/>
    <w:rsid w:val="00715971"/>
    <w:rsid w:val="00715C25"/>
    <w:rsid w:val="00715C48"/>
    <w:rsid w:val="007166D4"/>
    <w:rsid w:val="0071724E"/>
    <w:rsid w:val="00717B02"/>
    <w:rsid w:val="00717FFA"/>
    <w:rsid w:val="007200CC"/>
    <w:rsid w:val="00720893"/>
    <w:rsid w:val="00720928"/>
    <w:rsid w:val="007209F2"/>
    <w:rsid w:val="00720C5C"/>
    <w:rsid w:val="00720F8E"/>
    <w:rsid w:val="00720FD7"/>
    <w:rsid w:val="00721111"/>
    <w:rsid w:val="0072115B"/>
    <w:rsid w:val="007211DE"/>
    <w:rsid w:val="007215FD"/>
    <w:rsid w:val="0072199C"/>
    <w:rsid w:val="00721AD2"/>
    <w:rsid w:val="00721B11"/>
    <w:rsid w:val="00721F44"/>
    <w:rsid w:val="007222C5"/>
    <w:rsid w:val="00722D18"/>
    <w:rsid w:val="00722D61"/>
    <w:rsid w:val="00722DBA"/>
    <w:rsid w:val="00723163"/>
    <w:rsid w:val="0072344D"/>
    <w:rsid w:val="00723A38"/>
    <w:rsid w:val="00724773"/>
    <w:rsid w:val="00724A71"/>
    <w:rsid w:val="00724D73"/>
    <w:rsid w:val="00724E06"/>
    <w:rsid w:val="0072502B"/>
    <w:rsid w:val="007253B8"/>
    <w:rsid w:val="00725557"/>
    <w:rsid w:val="007255D9"/>
    <w:rsid w:val="007255DB"/>
    <w:rsid w:val="00725626"/>
    <w:rsid w:val="00725B47"/>
    <w:rsid w:val="00725B59"/>
    <w:rsid w:val="00725E74"/>
    <w:rsid w:val="007264EF"/>
    <w:rsid w:val="00726EB2"/>
    <w:rsid w:val="0072728A"/>
    <w:rsid w:val="007274DE"/>
    <w:rsid w:val="00727C60"/>
    <w:rsid w:val="007301C7"/>
    <w:rsid w:val="007303F5"/>
    <w:rsid w:val="00730AED"/>
    <w:rsid w:val="0073108F"/>
    <w:rsid w:val="007311D8"/>
    <w:rsid w:val="0073138E"/>
    <w:rsid w:val="007319B6"/>
    <w:rsid w:val="00731B6C"/>
    <w:rsid w:val="00731BB8"/>
    <w:rsid w:val="00731C2E"/>
    <w:rsid w:val="00731D3B"/>
    <w:rsid w:val="007322D8"/>
    <w:rsid w:val="0073271A"/>
    <w:rsid w:val="00732A0F"/>
    <w:rsid w:val="00732AA5"/>
    <w:rsid w:val="00732DCF"/>
    <w:rsid w:val="00733029"/>
    <w:rsid w:val="00733344"/>
    <w:rsid w:val="00733A89"/>
    <w:rsid w:val="00733BC5"/>
    <w:rsid w:val="00733E43"/>
    <w:rsid w:val="00733FB1"/>
    <w:rsid w:val="00734A09"/>
    <w:rsid w:val="00734F47"/>
    <w:rsid w:val="00735244"/>
    <w:rsid w:val="007353CB"/>
    <w:rsid w:val="00735439"/>
    <w:rsid w:val="00735820"/>
    <w:rsid w:val="00735C10"/>
    <w:rsid w:val="00735E15"/>
    <w:rsid w:val="007363AB"/>
    <w:rsid w:val="00736621"/>
    <w:rsid w:val="00736A4B"/>
    <w:rsid w:val="00736A5A"/>
    <w:rsid w:val="00736F90"/>
    <w:rsid w:val="00737152"/>
    <w:rsid w:val="0073741F"/>
    <w:rsid w:val="007376BD"/>
    <w:rsid w:val="007378F0"/>
    <w:rsid w:val="0074053B"/>
    <w:rsid w:val="00740558"/>
    <w:rsid w:val="007406AC"/>
    <w:rsid w:val="007406C4"/>
    <w:rsid w:val="00740D0C"/>
    <w:rsid w:val="0074199E"/>
    <w:rsid w:val="00741CA3"/>
    <w:rsid w:val="00741CC0"/>
    <w:rsid w:val="00742006"/>
    <w:rsid w:val="0074209F"/>
    <w:rsid w:val="007421AC"/>
    <w:rsid w:val="007425C7"/>
    <w:rsid w:val="00742B58"/>
    <w:rsid w:val="00742D79"/>
    <w:rsid w:val="00743516"/>
    <w:rsid w:val="00743769"/>
    <w:rsid w:val="007438F1"/>
    <w:rsid w:val="00743D3B"/>
    <w:rsid w:val="00743EA6"/>
    <w:rsid w:val="00744187"/>
    <w:rsid w:val="00744387"/>
    <w:rsid w:val="007444E9"/>
    <w:rsid w:val="00744508"/>
    <w:rsid w:val="0074478D"/>
    <w:rsid w:val="0074488D"/>
    <w:rsid w:val="00744B62"/>
    <w:rsid w:val="0074509F"/>
    <w:rsid w:val="00745A9C"/>
    <w:rsid w:val="00745B4D"/>
    <w:rsid w:val="0074602F"/>
    <w:rsid w:val="00746183"/>
    <w:rsid w:val="0074626D"/>
    <w:rsid w:val="0074649B"/>
    <w:rsid w:val="0074670B"/>
    <w:rsid w:val="00746795"/>
    <w:rsid w:val="007467B7"/>
    <w:rsid w:val="00746D77"/>
    <w:rsid w:val="00746D7B"/>
    <w:rsid w:val="007470B2"/>
    <w:rsid w:val="00747573"/>
    <w:rsid w:val="0075008E"/>
    <w:rsid w:val="007506F5"/>
    <w:rsid w:val="00750F78"/>
    <w:rsid w:val="0075120E"/>
    <w:rsid w:val="007515FF"/>
    <w:rsid w:val="007518E6"/>
    <w:rsid w:val="00751BC3"/>
    <w:rsid w:val="0075203A"/>
    <w:rsid w:val="007524F1"/>
    <w:rsid w:val="0075265F"/>
    <w:rsid w:val="007527F2"/>
    <w:rsid w:val="007528B9"/>
    <w:rsid w:val="007528BE"/>
    <w:rsid w:val="00752A4D"/>
    <w:rsid w:val="00752B8B"/>
    <w:rsid w:val="00752DDB"/>
    <w:rsid w:val="007536A9"/>
    <w:rsid w:val="0075385A"/>
    <w:rsid w:val="00754112"/>
    <w:rsid w:val="007543A5"/>
    <w:rsid w:val="007543DF"/>
    <w:rsid w:val="007545C9"/>
    <w:rsid w:val="00754A19"/>
    <w:rsid w:val="00754E62"/>
    <w:rsid w:val="0075543B"/>
    <w:rsid w:val="007554FC"/>
    <w:rsid w:val="007555A2"/>
    <w:rsid w:val="007555B4"/>
    <w:rsid w:val="007556D6"/>
    <w:rsid w:val="007559AC"/>
    <w:rsid w:val="00755FDC"/>
    <w:rsid w:val="00756151"/>
    <w:rsid w:val="0075696C"/>
    <w:rsid w:val="00756BE5"/>
    <w:rsid w:val="007573DE"/>
    <w:rsid w:val="007576D1"/>
    <w:rsid w:val="007578A2"/>
    <w:rsid w:val="00757949"/>
    <w:rsid w:val="00757EE9"/>
    <w:rsid w:val="00760E34"/>
    <w:rsid w:val="0076102B"/>
    <w:rsid w:val="00761199"/>
    <w:rsid w:val="00762321"/>
    <w:rsid w:val="0076258E"/>
    <w:rsid w:val="00762825"/>
    <w:rsid w:val="00762BBB"/>
    <w:rsid w:val="00763282"/>
    <w:rsid w:val="0076334D"/>
    <w:rsid w:val="00763D17"/>
    <w:rsid w:val="007642E5"/>
    <w:rsid w:val="00764578"/>
    <w:rsid w:val="007646DD"/>
    <w:rsid w:val="00764E45"/>
    <w:rsid w:val="007650EA"/>
    <w:rsid w:val="00765397"/>
    <w:rsid w:val="00765557"/>
    <w:rsid w:val="007655F3"/>
    <w:rsid w:val="007658BB"/>
    <w:rsid w:val="007660FC"/>
    <w:rsid w:val="00766170"/>
    <w:rsid w:val="0076643F"/>
    <w:rsid w:val="00766855"/>
    <w:rsid w:val="00766C32"/>
    <w:rsid w:val="00766DE1"/>
    <w:rsid w:val="00766EA0"/>
    <w:rsid w:val="00766FD3"/>
    <w:rsid w:val="0076720B"/>
    <w:rsid w:val="007673D9"/>
    <w:rsid w:val="00767501"/>
    <w:rsid w:val="007677F1"/>
    <w:rsid w:val="00770796"/>
    <w:rsid w:val="007708B3"/>
    <w:rsid w:val="00770C19"/>
    <w:rsid w:val="00770C6C"/>
    <w:rsid w:val="007710D8"/>
    <w:rsid w:val="007716DA"/>
    <w:rsid w:val="0077198E"/>
    <w:rsid w:val="00771C9A"/>
    <w:rsid w:val="00771DC2"/>
    <w:rsid w:val="0077240B"/>
    <w:rsid w:val="00772433"/>
    <w:rsid w:val="00772A89"/>
    <w:rsid w:val="00772C4C"/>
    <w:rsid w:val="00772CC1"/>
    <w:rsid w:val="00772EFA"/>
    <w:rsid w:val="0077358B"/>
    <w:rsid w:val="00773DE3"/>
    <w:rsid w:val="00773E4D"/>
    <w:rsid w:val="00774418"/>
    <w:rsid w:val="007746B6"/>
    <w:rsid w:val="00774B7A"/>
    <w:rsid w:val="00774C6F"/>
    <w:rsid w:val="00774C7A"/>
    <w:rsid w:val="00774DF0"/>
    <w:rsid w:val="0077501B"/>
    <w:rsid w:val="007753D7"/>
    <w:rsid w:val="007755C7"/>
    <w:rsid w:val="007765C5"/>
    <w:rsid w:val="00776645"/>
    <w:rsid w:val="00776648"/>
    <w:rsid w:val="007767EF"/>
    <w:rsid w:val="00776913"/>
    <w:rsid w:val="00776DC6"/>
    <w:rsid w:val="00776F61"/>
    <w:rsid w:val="00776FDE"/>
    <w:rsid w:val="00777114"/>
    <w:rsid w:val="007801FB"/>
    <w:rsid w:val="00780581"/>
    <w:rsid w:val="00780661"/>
    <w:rsid w:val="0078099E"/>
    <w:rsid w:val="007809F9"/>
    <w:rsid w:val="00780F38"/>
    <w:rsid w:val="0078174E"/>
    <w:rsid w:val="00781B69"/>
    <w:rsid w:val="00781F40"/>
    <w:rsid w:val="00782585"/>
    <w:rsid w:val="00782A6F"/>
    <w:rsid w:val="00782C20"/>
    <w:rsid w:val="00782CFB"/>
    <w:rsid w:val="0078318D"/>
    <w:rsid w:val="00783683"/>
    <w:rsid w:val="00783704"/>
    <w:rsid w:val="00783A0A"/>
    <w:rsid w:val="00783C86"/>
    <w:rsid w:val="00784139"/>
    <w:rsid w:val="00784328"/>
    <w:rsid w:val="0078432E"/>
    <w:rsid w:val="0078460C"/>
    <w:rsid w:val="00784701"/>
    <w:rsid w:val="00784766"/>
    <w:rsid w:val="007848A4"/>
    <w:rsid w:val="00784AC1"/>
    <w:rsid w:val="00784C30"/>
    <w:rsid w:val="00784E03"/>
    <w:rsid w:val="00785104"/>
    <w:rsid w:val="00785213"/>
    <w:rsid w:val="00785691"/>
    <w:rsid w:val="00785B6E"/>
    <w:rsid w:val="00785BBF"/>
    <w:rsid w:val="00785F90"/>
    <w:rsid w:val="007863BC"/>
    <w:rsid w:val="007866FE"/>
    <w:rsid w:val="0078689C"/>
    <w:rsid w:val="0078697D"/>
    <w:rsid w:val="00786CC8"/>
    <w:rsid w:val="00786DB3"/>
    <w:rsid w:val="00786F41"/>
    <w:rsid w:val="0078756D"/>
    <w:rsid w:val="00790178"/>
    <w:rsid w:val="00790243"/>
    <w:rsid w:val="00790429"/>
    <w:rsid w:val="00790F50"/>
    <w:rsid w:val="00790F8B"/>
    <w:rsid w:val="00790FAB"/>
    <w:rsid w:val="007913E9"/>
    <w:rsid w:val="00791828"/>
    <w:rsid w:val="00791A91"/>
    <w:rsid w:val="00791EB2"/>
    <w:rsid w:val="00792525"/>
    <w:rsid w:val="00792A15"/>
    <w:rsid w:val="00792E80"/>
    <w:rsid w:val="00793132"/>
    <w:rsid w:val="007933DE"/>
    <w:rsid w:val="007934F9"/>
    <w:rsid w:val="00793877"/>
    <w:rsid w:val="007938CA"/>
    <w:rsid w:val="00793971"/>
    <w:rsid w:val="00793AED"/>
    <w:rsid w:val="00793C41"/>
    <w:rsid w:val="00793CB7"/>
    <w:rsid w:val="0079417D"/>
    <w:rsid w:val="00794475"/>
    <w:rsid w:val="00794641"/>
    <w:rsid w:val="0079488C"/>
    <w:rsid w:val="00794CD0"/>
    <w:rsid w:val="007950AC"/>
    <w:rsid w:val="007955DC"/>
    <w:rsid w:val="007957F7"/>
    <w:rsid w:val="007958F2"/>
    <w:rsid w:val="00796236"/>
    <w:rsid w:val="00796A26"/>
    <w:rsid w:val="00796F65"/>
    <w:rsid w:val="00797B5F"/>
    <w:rsid w:val="00797DD9"/>
    <w:rsid w:val="007A0688"/>
    <w:rsid w:val="007A0F7B"/>
    <w:rsid w:val="007A101F"/>
    <w:rsid w:val="007A10D1"/>
    <w:rsid w:val="007A17E4"/>
    <w:rsid w:val="007A1C07"/>
    <w:rsid w:val="007A1CE0"/>
    <w:rsid w:val="007A1EC7"/>
    <w:rsid w:val="007A24FA"/>
    <w:rsid w:val="007A25A2"/>
    <w:rsid w:val="007A26BF"/>
    <w:rsid w:val="007A29CE"/>
    <w:rsid w:val="007A29E9"/>
    <w:rsid w:val="007A2B3C"/>
    <w:rsid w:val="007A3287"/>
    <w:rsid w:val="007A33CA"/>
    <w:rsid w:val="007A33DC"/>
    <w:rsid w:val="007A3EC1"/>
    <w:rsid w:val="007A4039"/>
    <w:rsid w:val="007A440D"/>
    <w:rsid w:val="007A46C7"/>
    <w:rsid w:val="007A4794"/>
    <w:rsid w:val="007A4A25"/>
    <w:rsid w:val="007A4BA5"/>
    <w:rsid w:val="007A4E0E"/>
    <w:rsid w:val="007A539D"/>
    <w:rsid w:val="007A5817"/>
    <w:rsid w:val="007A583A"/>
    <w:rsid w:val="007A5C8B"/>
    <w:rsid w:val="007A5CFA"/>
    <w:rsid w:val="007A5E60"/>
    <w:rsid w:val="007A6075"/>
    <w:rsid w:val="007A691E"/>
    <w:rsid w:val="007A6960"/>
    <w:rsid w:val="007A6B39"/>
    <w:rsid w:val="007A6CD7"/>
    <w:rsid w:val="007A6E2E"/>
    <w:rsid w:val="007A6E5C"/>
    <w:rsid w:val="007A72F8"/>
    <w:rsid w:val="007A74E1"/>
    <w:rsid w:val="007A7FED"/>
    <w:rsid w:val="007B01BB"/>
    <w:rsid w:val="007B03A8"/>
    <w:rsid w:val="007B043F"/>
    <w:rsid w:val="007B05F9"/>
    <w:rsid w:val="007B088F"/>
    <w:rsid w:val="007B0A16"/>
    <w:rsid w:val="007B0CE3"/>
    <w:rsid w:val="007B0EC9"/>
    <w:rsid w:val="007B12AB"/>
    <w:rsid w:val="007B16EB"/>
    <w:rsid w:val="007B1A8A"/>
    <w:rsid w:val="007B1F4F"/>
    <w:rsid w:val="007B204B"/>
    <w:rsid w:val="007B2383"/>
    <w:rsid w:val="007B2B84"/>
    <w:rsid w:val="007B2B9C"/>
    <w:rsid w:val="007B338F"/>
    <w:rsid w:val="007B3C7F"/>
    <w:rsid w:val="007B3D30"/>
    <w:rsid w:val="007B3D40"/>
    <w:rsid w:val="007B3E4B"/>
    <w:rsid w:val="007B48C7"/>
    <w:rsid w:val="007B4920"/>
    <w:rsid w:val="007B515B"/>
    <w:rsid w:val="007B51AE"/>
    <w:rsid w:val="007B51F3"/>
    <w:rsid w:val="007B52BC"/>
    <w:rsid w:val="007B59A2"/>
    <w:rsid w:val="007B5B52"/>
    <w:rsid w:val="007B5D67"/>
    <w:rsid w:val="007B60E9"/>
    <w:rsid w:val="007B6315"/>
    <w:rsid w:val="007B659B"/>
    <w:rsid w:val="007B6779"/>
    <w:rsid w:val="007B6CC3"/>
    <w:rsid w:val="007B7113"/>
    <w:rsid w:val="007B752C"/>
    <w:rsid w:val="007B75D3"/>
    <w:rsid w:val="007B78BD"/>
    <w:rsid w:val="007B7A5D"/>
    <w:rsid w:val="007B7BE9"/>
    <w:rsid w:val="007B7C16"/>
    <w:rsid w:val="007B7D3B"/>
    <w:rsid w:val="007B7DDE"/>
    <w:rsid w:val="007C008E"/>
    <w:rsid w:val="007C01B1"/>
    <w:rsid w:val="007C06EF"/>
    <w:rsid w:val="007C0801"/>
    <w:rsid w:val="007C0C13"/>
    <w:rsid w:val="007C0C4F"/>
    <w:rsid w:val="007C0DA5"/>
    <w:rsid w:val="007C14AD"/>
    <w:rsid w:val="007C1580"/>
    <w:rsid w:val="007C183F"/>
    <w:rsid w:val="007C1B4C"/>
    <w:rsid w:val="007C1CC8"/>
    <w:rsid w:val="007C1DBF"/>
    <w:rsid w:val="007C2060"/>
    <w:rsid w:val="007C2330"/>
    <w:rsid w:val="007C27C3"/>
    <w:rsid w:val="007C2FF6"/>
    <w:rsid w:val="007C3073"/>
    <w:rsid w:val="007C3334"/>
    <w:rsid w:val="007C351D"/>
    <w:rsid w:val="007C5006"/>
    <w:rsid w:val="007C50C6"/>
    <w:rsid w:val="007C52EC"/>
    <w:rsid w:val="007C5A76"/>
    <w:rsid w:val="007C601C"/>
    <w:rsid w:val="007C6142"/>
    <w:rsid w:val="007C615E"/>
    <w:rsid w:val="007C6258"/>
    <w:rsid w:val="007C643F"/>
    <w:rsid w:val="007C647D"/>
    <w:rsid w:val="007C678C"/>
    <w:rsid w:val="007C68C5"/>
    <w:rsid w:val="007C6F41"/>
    <w:rsid w:val="007C6F65"/>
    <w:rsid w:val="007C7505"/>
    <w:rsid w:val="007C7891"/>
    <w:rsid w:val="007C7995"/>
    <w:rsid w:val="007C7B82"/>
    <w:rsid w:val="007C7E5C"/>
    <w:rsid w:val="007D07EE"/>
    <w:rsid w:val="007D0B97"/>
    <w:rsid w:val="007D0C50"/>
    <w:rsid w:val="007D0C8C"/>
    <w:rsid w:val="007D0E3C"/>
    <w:rsid w:val="007D10B3"/>
    <w:rsid w:val="007D1170"/>
    <w:rsid w:val="007D1432"/>
    <w:rsid w:val="007D16DC"/>
    <w:rsid w:val="007D19F7"/>
    <w:rsid w:val="007D2163"/>
    <w:rsid w:val="007D2484"/>
    <w:rsid w:val="007D2494"/>
    <w:rsid w:val="007D259A"/>
    <w:rsid w:val="007D2A18"/>
    <w:rsid w:val="007D2B98"/>
    <w:rsid w:val="007D2DF3"/>
    <w:rsid w:val="007D33BB"/>
    <w:rsid w:val="007D37C2"/>
    <w:rsid w:val="007D3B9F"/>
    <w:rsid w:val="007D3C1A"/>
    <w:rsid w:val="007D3CA3"/>
    <w:rsid w:val="007D3D79"/>
    <w:rsid w:val="007D4D0A"/>
    <w:rsid w:val="007D4E13"/>
    <w:rsid w:val="007D4F01"/>
    <w:rsid w:val="007D5AD1"/>
    <w:rsid w:val="007D5F5F"/>
    <w:rsid w:val="007D6705"/>
    <w:rsid w:val="007D6A4C"/>
    <w:rsid w:val="007D733F"/>
    <w:rsid w:val="007D7568"/>
    <w:rsid w:val="007D795C"/>
    <w:rsid w:val="007D7C4D"/>
    <w:rsid w:val="007D7F07"/>
    <w:rsid w:val="007E0337"/>
    <w:rsid w:val="007E03CE"/>
    <w:rsid w:val="007E05CF"/>
    <w:rsid w:val="007E07FA"/>
    <w:rsid w:val="007E0806"/>
    <w:rsid w:val="007E0A89"/>
    <w:rsid w:val="007E0D10"/>
    <w:rsid w:val="007E0D92"/>
    <w:rsid w:val="007E1554"/>
    <w:rsid w:val="007E168A"/>
    <w:rsid w:val="007E1751"/>
    <w:rsid w:val="007E1768"/>
    <w:rsid w:val="007E21BC"/>
    <w:rsid w:val="007E292D"/>
    <w:rsid w:val="007E2B3E"/>
    <w:rsid w:val="007E3835"/>
    <w:rsid w:val="007E38E5"/>
    <w:rsid w:val="007E3913"/>
    <w:rsid w:val="007E41D2"/>
    <w:rsid w:val="007E441B"/>
    <w:rsid w:val="007E4D79"/>
    <w:rsid w:val="007E5009"/>
    <w:rsid w:val="007E53EC"/>
    <w:rsid w:val="007E5490"/>
    <w:rsid w:val="007E585F"/>
    <w:rsid w:val="007E593F"/>
    <w:rsid w:val="007E5A40"/>
    <w:rsid w:val="007E5D40"/>
    <w:rsid w:val="007E61C5"/>
    <w:rsid w:val="007E6417"/>
    <w:rsid w:val="007E6462"/>
    <w:rsid w:val="007E677C"/>
    <w:rsid w:val="007E68B8"/>
    <w:rsid w:val="007E6F9D"/>
    <w:rsid w:val="007E752B"/>
    <w:rsid w:val="007E75A9"/>
    <w:rsid w:val="007E799A"/>
    <w:rsid w:val="007E7C09"/>
    <w:rsid w:val="007E7C40"/>
    <w:rsid w:val="007F0264"/>
    <w:rsid w:val="007F0496"/>
    <w:rsid w:val="007F054D"/>
    <w:rsid w:val="007F0713"/>
    <w:rsid w:val="007F0997"/>
    <w:rsid w:val="007F0A18"/>
    <w:rsid w:val="007F0C72"/>
    <w:rsid w:val="007F0D3D"/>
    <w:rsid w:val="007F0D3F"/>
    <w:rsid w:val="007F0DC7"/>
    <w:rsid w:val="007F10C6"/>
    <w:rsid w:val="007F171B"/>
    <w:rsid w:val="007F1A6E"/>
    <w:rsid w:val="007F1CD8"/>
    <w:rsid w:val="007F2072"/>
    <w:rsid w:val="007F22E5"/>
    <w:rsid w:val="007F2877"/>
    <w:rsid w:val="007F2DC3"/>
    <w:rsid w:val="007F3406"/>
    <w:rsid w:val="007F38F9"/>
    <w:rsid w:val="007F3A47"/>
    <w:rsid w:val="007F400D"/>
    <w:rsid w:val="007F459C"/>
    <w:rsid w:val="007F47E4"/>
    <w:rsid w:val="007F48EE"/>
    <w:rsid w:val="007F4C17"/>
    <w:rsid w:val="007F4C60"/>
    <w:rsid w:val="007F5266"/>
    <w:rsid w:val="007F5537"/>
    <w:rsid w:val="007F55EC"/>
    <w:rsid w:val="007F5661"/>
    <w:rsid w:val="007F5A3A"/>
    <w:rsid w:val="007F5D54"/>
    <w:rsid w:val="007F6080"/>
    <w:rsid w:val="007F6089"/>
    <w:rsid w:val="007F60D4"/>
    <w:rsid w:val="007F62F3"/>
    <w:rsid w:val="007F673D"/>
    <w:rsid w:val="007F69D0"/>
    <w:rsid w:val="007F6BD5"/>
    <w:rsid w:val="007F6CA5"/>
    <w:rsid w:val="007F6F48"/>
    <w:rsid w:val="007F6F94"/>
    <w:rsid w:val="007F77AC"/>
    <w:rsid w:val="007F7D9D"/>
    <w:rsid w:val="0080085C"/>
    <w:rsid w:val="0080094F"/>
    <w:rsid w:val="00800B51"/>
    <w:rsid w:val="0080142B"/>
    <w:rsid w:val="0080146C"/>
    <w:rsid w:val="0080177E"/>
    <w:rsid w:val="00801A0B"/>
    <w:rsid w:val="00801C04"/>
    <w:rsid w:val="00802182"/>
    <w:rsid w:val="00802659"/>
    <w:rsid w:val="008027CE"/>
    <w:rsid w:val="00802D76"/>
    <w:rsid w:val="00802E76"/>
    <w:rsid w:val="00802F87"/>
    <w:rsid w:val="008036CA"/>
    <w:rsid w:val="00803979"/>
    <w:rsid w:val="0080398A"/>
    <w:rsid w:val="00803ADA"/>
    <w:rsid w:val="00803C4D"/>
    <w:rsid w:val="00803F1C"/>
    <w:rsid w:val="0080533B"/>
    <w:rsid w:val="0080591D"/>
    <w:rsid w:val="00805D22"/>
    <w:rsid w:val="0080600E"/>
    <w:rsid w:val="008060E0"/>
    <w:rsid w:val="0080612C"/>
    <w:rsid w:val="0080639F"/>
    <w:rsid w:val="008068E6"/>
    <w:rsid w:val="008069C1"/>
    <w:rsid w:val="008069D1"/>
    <w:rsid w:val="00806CE0"/>
    <w:rsid w:val="00806D71"/>
    <w:rsid w:val="00807593"/>
    <w:rsid w:val="008079CC"/>
    <w:rsid w:val="008101FE"/>
    <w:rsid w:val="00810541"/>
    <w:rsid w:val="0081082A"/>
    <w:rsid w:val="00810AC5"/>
    <w:rsid w:val="00810B67"/>
    <w:rsid w:val="00810F65"/>
    <w:rsid w:val="008114AC"/>
    <w:rsid w:val="00811988"/>
    <w:rsid w:val="00811AF5"/>
    <w:rsid w:val="008124AE"/>
    <w:rsid w:val="00812ACD"/>
    <w:rsid w:val="008140C5"/>
    <w:rsid w:val="0081449E"/>
    <w:rsid w:val="008146EC"/>
    <w:rsid w:val="0081496B"/>
    <w:rsid w:val="00815207"/>
    <w:rsid w:val="00815497"/>
    <w:rsid w:val="00815517"/>
    <w:rsid w:val="008155B3"/>
    <w:rsid w:val="00815A24"/>
    <w:rsid w:val="00815E08"/>
    <w:rsid w:val="00816074"/>
    <w:rsid w:val="00816112"/>
    <w:rsid w:val="00816A42"/>
    <w:rsid w:val="00816AE5"/>
    <w:rsid w:val="00816CFD"/>
    <w:rsid w:val="00816ED6"/>
    <w:rsid w:val="0081703B"/>
    <w:rsid w:val="00817276"/>
    <w:rsid w:val="00817612"/>
    <w:rsid w:val="00817758"/>
    <w:rsid w:val="00817AA5"/>
    <w:rsid w:val="00817B08"/>
    <w:rsid w:val="00817C55"/>
    <w:rsid w:val="00817E57"/>
    <w:rsid w:val="00820576"/>
    <w:rsid w:val="008207A5"/>
    <w:rsid w:val="00821827"/>
    <w:rsid w:val="00821FF7"/>
    <w:rsid w:val="0082233B"/>
    <w:rsid w:val="0082287D"/>
    <w:rsid w:val="00822EAC"/>
    <w:rsid w:val="00822FF5"/>
    <w:rsid w:val="0082333F"/>
    <w:rsid w:val="008234BE"/>
    <w:rsid w:val="0082350F"/>
    <w:rsid w:val="00823833"/>
    <w:rsid w:val="008238F3"/>
    <w:rsid w:val="00823C4F"/>
    <w:rsid w:val="00824071"/>
    <w:rsid w:val="00824A3F"/>
    <w:rsid w:val="00824BD5"/>
    <w:rsid w:val="008250D5"/>
    <w:rsid w:val="008251F3"/>
    <w:rsid w:val="00825364"/>
    <w:rsid w:val="0082558D"/>
    <w:rsid w:val="00825623"/>
    <w:rsid w:val="008258DE"/>
    <w:rsid w:val="00825D2C"/>
    <w:rsid w:val="00825F67"/>
    <w:rsid w:val="00825FF9"/>
    <w:rsid w:val="008266B8"/>
    <w:rsid w:val="00826860"/>
    <w:rsid w:val="00826E6F"/>
    <w:rsid w:val="008271E7"/>
    <w:rsid w:val="00827229"/>
    <w:rsid w:val="00827365"/>
    <w:rsid w:val="00827622"/>
    <w:rsid w:val="0082785F"/>
    <w:rsid w:val="00827DE1"/>
    <w:rsid w:val="008304A4"/>
    <w:rsid w:val="0083064A"/>
    <w:rsid w:val="00830929"/>
    <w:rsid w:val="008309CD"/>
    <w:rsid w:val="00830C4A"/>
    <w:rsid w:val="00830F17"/>
    <w:rsid w:val="0083146E"/>
    <w:rsid w:val="008314F3"/>
    <w:rsid w:val="00832512"/>
    <w:rsid w:val="00832873"/>
    <w:rsid w:val="00832D5D"/>
    <w:rsid w:val="00832E7E"/>
    <w:rsid w:val="00833633"/>
    <w:rsid w:val="00833661"/>
    <w:rsid w:val="008336D0"/>
    <w:rsid w:val="008337A0"/>
    <w:rsid w:val="008338A4"/>
    <w:rsid w:val="0083395A"/>
    <w:rsid w:val="00833D47"/>
    <w:rsid w:val="00833D8C"/>
    <w:rsid w:val="00834158"/>
    <w:rsid w:val="00835216"/>
    <w:rsid w:val="00835819"/>
    <w:rsid w:val="0083588E"/>
    <w:rsid w:val="00835E22"/>
    <w:rsid w:val="00835E4E"/>
    <w:rsid w:val="00836060"/>
    <w:rsid w:val="0083613A"/>
    <w:rsid w:val="0083618D"/>
    <w:rsid w:val="0083654E"/>
    <w:rsid w:val="00836907"/>
    <w:rsid w:val="00836E40"/>
    <w:rsid w:val="00837083"/>
    <w:rsid w:val="008375A0"/>
    <w:rsid w:val="00837C45"/>
    <w:rsid w:val="008406B4"/>
    <w:rsid w:val="008417D9"/>
    <w:rsid w:val="008418D2"/>
    <w:rsid w:val="00841986"/>
    <w:rsid w:val="00841B6E"/>
    <w:rsid w:val="00841CE4"/>
    <w:rsid w:val="00841E8D"/>
    <w:rsid w:val="00842033"/>
    <w:rsid w:val="008422C2"/>
    <w:rsid w:val="00842510"/>
    <w:rsid w:val="00842BB7"/>
    <w:rsid w:val="008434BF"/>
    <w:rsid w:val="008436B8"/>
    <w:rsid w:val="00843AC4"/>
    <w:rsid w:val="00843B1D"/>
    <w:rsid w:val="00843BA5"/>
    <w:rsid w:val="0084404F"/>
    <w:rsid w:val="0084424C"/>
    <w:rsid w:val="00844730"/>
    <w:rsid w:val="00844798"/>
    <w:rsid w:val="00844D0F"/>
    <w:rsid w:val="00845447"/>
    <w:rsid w:val="008457C2"/>
    <w:rsid w:val="0084582A"/>
    <w:rsid w:val="00845DC2"/>
    <w:rsid w:val="00845E77"/>
    <w:rsid w:val="00845F87"/>
    <w:rsid w:val="00846006"/>
    <w:rsid w:val="0084643A"/>
    <w:rsid w:val="00846555"/>
    <w:rsid w:val="00846DCA"/>
    <w:rsid w:val="00846F83"/>
    <w:rsid w:val="00846FF9"/>
    <w:rsid w:val="00847118"/>
    <w:rsid w:val="00847376"/>
    <w:rsid w:val="00847D04"/>
    <w:rsid w:val="00847D66"/>
    <w:rsid w:val="00850058"/>
    <w:rsid w:val="0085013F"/>
    <w:rsid w:val="008505C6"/>
    <w:rsid w:val="008508B9"/>
    <w:rsid w:val="00850E4D"/>
    <w:rsid w:val="00851376"/>
    <w:rsid w:val="00851693"/>
    <w:rsid w:val="0085187A"/>
    <w:rsid w:val="008518C1"/>
    <w:rsid w:val="00851A93"/>
    <w:rsid w:val="00851BEA"/>
    <w:rsid w:val="00851D07"/>
    <w:rsid w:val="008520EB"/>
    <w:rsid w:val="008525A9"/>
    <w:rsid w:val="00852FD0"/>
    <w:rsid w:val="008532F6"/>
    <w:rsid w:val="00853530"/>
    <w:rsid w:val="00853988"/>
    <w:rsid w:val="00853B54"/>
    <w:rsid w:val="00853F9D"/>
    <w:rsid w:val="008540B6"/>
    <w:rsid w:val="008540EE"/>
    <w:rsid w:val="0085423E"/>
    <w:rsid w:val="0085457E"/>
    <w:rsid w:val="008548B0"/>
    <w:rsid w:val="008548E4"/>
    <w:rsid w:val="00854DC9"/>
    <w:rsid w:val="008550C6"/>
    <w:rsid w:val="00855553"/>
    <w:rsid w:val="0085567C"/>
    <w:rsid w:val="008556CA"/>
    <w:rsid w:val="00855D9C"/>
    <w:rsid w:val="00856075"/>
    <w:rsid w:val="008563A3"/>
    <w:rsid w:val="00857011"/>
    <w:rsid w:val="00857750"/>
    <w:rsid w:val="008579B5"/>
    <w:rsid w:val="00857A82"/>
    <w:rsid w:val="00857D41"/>
    <w:rsid w:val="0086031A"/>
    <w:rsid w:val="008603F2"/>
    <w:rsid w:val="0086093A"/>
    <w:rsid w:val="00860B5F"/>
    <w:rsid w:val="0086100E"/>
    <w:rsid w:val="008611BC"/>
    <w:rsid w:val="00861880"/>
    <w:rsid w:val="008619A1"/>
    <w:rsid w:val="00861AB3"/>
    <w:rsid w:val="00861D82"/>
    <w:rsid w:val="00861D92"/>
    <w:rsid w:val="008620C0"/>
    <w:rsid w:val="00862253"/>
    <w:rsid w:val="008623E8"/>
    <w:rsid w:val="008627EF"/>
    <w:rsid w:val="0086287A"/>
    <w:rsid w:val="008629F3"/>
    <w:rsid w:val="00862A94"/>
    <w:rsid w:val="00862EC5"/>
    <w:rsid w:val="00863057"/>
    <w:rsid w:val="008633D2"/>
    <w:rsid w:val="00863802"/>
    <w:rsid w:val="00863ED4"/>
    <w:rsid w:val="0086456A"/>
    <w:rsid w:val="00864B4E"/>
    <w:rsid w:val="008656E8"/>
    <w:rsid w:val="0086571B"/>
    <w:rsid w:val="008657F3"/>
    <w:rsid w:val="00865CB9"/>
    <w:rsid w:val="00865D33"/>
    <w:rsid w:val="00865D59"/>
    <w:rsid w:val="00866186"/>
    <w:rsid w:val="008664EC"/>
    <w:rsid w:val="008668F6"/>
    <w:rsid w:val="00866E89"/>
    <w:rsid w:val="0086721D"/>
    <w:rsid w:val="008679AD"/>
    <w:rsid w:val="00867A6D"/>
    <w:rsid w:val="00870345"/>
    <w:rsid w:val="008706BD"/>
    <w:rsid w:val="0087074B"/>
    <w:rsid w:val="00870C22"/>
    <w:rsid w:val="008710B2"/>
    <w:rsid w:val="00871404"/>
    <w:rsid w:val="00871537"/>
    <w:rsid w:val="00871ACF"/>
    <w:rsid w:val="00871D0C"/>
    <w:rsid w:val="00871F5C"/>
    <w:rsid w:val="008721DA"/>
    <w:rsid w:val="0087259A"/>
    <w:rsid w:val="00872A19"/>
    <w:rsid w:val="00872A3D"/>
    <w:rsid w:val="00872C7C"/>
    <w:rsid w:val="00872EDC"/>
    <w:rsid w:val="008737A5"/>
    <w:rsid w:val="00873836"/>
    <w:rsid w:val="00873E0F"/>
    <w:rsid w:val="00873E8E"/>
    <w:rsid w:val="00873F92"/>
    <w:rsid w:val="00874327"/>
    <w:rsid w:val="008743BC"/>
    <w:rsid w:val="0087448F"/>
    <w:rsid w:val="00874731"/>
    <w:rsid w:val="0087479F"/>
    <w:rsid w:val="00874C92"/>
    <w:rsid w:val="00874D26"/>
    <w:rsid w:val="00874DE8"/>
    <w:rsid w:val="0087517E"/>
    <w:rsid w:val="008762FF"/>
    <w:rsid w:val="00876822"/>
    <w:rsid w:val="00876A9F"/>
    <w:rsid w:val="00876D3C"/>
    <w:rsid w:val="0087702F"/>
    <w:rsid w:val="008770D9"/>
    <w:rsid w:val="008771AD"/>
    <w:rsid w:val="0087747E"/>
    <w:rsid w:val="00877CD0"/>
    <w:rsid w:val="00880696"/>
    <w:rsid w:val="0088084D"/>
    <w:rsid w:val="00880BC8"/>
    <w:rsid w:val="00881157"/>
    <w:rsid w:val="00881512"/>
    <w:rsid w:val="00881B88"/>
    <w:rsid w:val="0088252D"/>
    <w:rsid w:val="008828EF"/>
    <w:rsid w:val="00882A03"/>
    <w:rsid w:val="008833C1"/>
    <w:rsid w:val="00883532"/>
    <w:rsid w:val="00883628"/>
    <w:rsid w:val="0088368C"/>
    <w:rsid w:val="00883C00"/>
    <w:rsid w:val="00884DB2"/>
    <w:rsid w:val="00885009"/>
    <w:rsid w:val="00885450"/>
    <w:rsid w:val="00885553"/>
    <w:rsid w:val="00885737"/>
    <w:rsid w:val="00885974"/>
    <w:rsid w:val="00885C06"/>
    <w:rsid w:val="00885C84"/>
    <w:rsid w:val="00885CA7"/>
    <w:rsid w:val="00885E54"/>
    <w:rsid w:val="0088619A"/>
    <w:rsid w:val="008862DF"/>
    <w:rsid w:val="0088679A"/>
    <w:rsid w:val="00886814"/>
    <w:rsid w:val="00886C58"/>
    <w:rsid w:val="0088761F"/>
    <w:rsid w:val="00887BD0"/>
    <w:rsid w:val="00887C19"/>
    <w:rsid w:val="00887EBB"/>
    <w:rsid w:val="008902F5"/>
    <w:rsid w:val="00890650"/>
    <w:rsid w:val="008909B7"/>
    <w:rsid w:val="00890C56"/>
    <w:rsid w:val="00890E36"/>
    <w:rsid w:val="00890FA9"/>
    <w:rsid w:val="0089119C"/>
    <w:rsid w:val="008914B5"/>
    <w:rsid w:val="00891AD0"/>
    <w:rsid w:val="00891F36"/>
    <w:rsid w:val="00892079"/>
    <w:rsid w:val="008920FB"/>
    <w:rsid w:val="00892723"/>
    <w:rsid w:val="008927C7"/>
    <w:rsid w:val="00892822"/>
    <w:rsid w:val="0089296E"/>
    <w:rsid w:val="00892A41"/>
    <w:rsid w:val="00892C71"/>
    <w:rsid w:val="0089369B"/>
    <w:rsid w:val="00893713"/>
    <w:rsid w:val="0089378F"/>
    <w:rsid w:val="008937CE"/>
    <w:rsid w:val="00893C2C"/>
    <w:rsid w:val="00893C7B"/>
    <w:rsid w:val="00893DA3"/>
    <w:rsid w:val="00893DFD"/>
    <w:rsid w:val="00893EF9"/>
    <w:rsid w:val="00894134"/>
    <w:rsid w:val="008943B4"/>
    <w:rsid w:val="00894BAA"/>
    <w:rsid w:val="00894D26"/>
    <w:rsid w:val="00895389"/>
    <w:rsid w:val="00895D38"/>
    <w:rsid w:val="00895FA2"/>
    <w:rsid w:val="00896099"/>
    <w:rsid w:val="008961B7"/>
    <w:rsid w:val="008961E1"/>
    <w:rsid w:val="008962C4"/>
    <w:rsid w:val="0089655A"/>
    <w:rsid w:val="00896807"/>
    <w:rsid w:val="00896F65"/>
    <w:rsid w:val="00897145"/>
    <w:rsid w:val="0089759E"/>
    <w:rsid w:val="008978A1"/>
    <w:rsid w:val="00897A10"/>
    <w:rsid w:val="00897B40"/>
    <w:rsid w:val="00897BCA"/>
    <w:rsid w:val="00897C0D"/>
    <w:rsid w:val="00897C86"/>
    <w:rsid w:val="00897E12"/>
    <w:rsid w:val="008A0437"/>
    <w:rsid w:val="008A0E12"/>
    <w:rsid w:val="008A0EC3"/>
    <w:rsid w:val="008A11C5"/>
    <w:rsid w:val="008A21D5"/>
    <w:rsid w:val="008A2501"/>
    <w:rsid w:val="008A25E3"/>
    <w:rsid w:val="008A27CC"/>
    <w:rsid w:val="008A2AA5"/>
    <w:rsid w:val="008A2B89"/>
    <w:rsid w:val="008A2F89"/>
    <w:rsid w:val="008A30E2"/>
    <w:rsid w:val="008A3473"/>
    <w:rsid w:val="008A34E6"/>
    <w:rsid w:val="008A3EB0"/>
    <w:rsid w:val="008A41EF"/>
    <w:rsid w:val="008A4748"/>
    <w:rsid w:val="008A4985"/>
    <w:rsid w:val="008A49F0"/>
    <w:rsid w:val="008A4A5F"/>
    <w:rsid w:val="008A4B90"/>
    <w:rsid w:val="008A5256"/>
    <w:rsid w:val="008A5C86"/>
    <w:rsid w:val="008A5EA2"/>
    <w:rsid w:val="008A633B"/>
    <w:rsid w:val="008A63C6"/>
    <w:rsid w:val="008A68C9"/>
    <w:rsid w:val="008A6B26"/>
    <w:rsid w:val="008A6C80"/>
    <w:rsid w:val="008A6D79"/>
    <w:rsid w:val="008A71DF"/>
    <w:rsid w:val="008A72C5"/>
    <w:rsid w:val="008A72E6"/>
    <w:rsid w:val="008A75D0"/>
    <w:rsid w:val="008A76BD"/>
    <w:rsid w:val="008A7874"/>
    <w:rsid w:val="008A7E0F"/>
    <w:rsid w:val="008B08E2"/>
    <w:rsid w:val="008B0C96"/>
    <w:rsid w:val="008B0EF3"/>
    <w:rsid w:val="008B10ED"/>
    <w:rsid w:val="008B12F5"/>
    <w:rsid w:val="008B1393"/>
    <w:rsid w:val="008B1402"/>
    <w:rsid w:val="008B192D"/>
    <w:rsid w:val="008B1BBB"/>
    <w:rsid w:val="008B1BD3"/>
    <w:rsid w:val="008B1C0B"/>
    <w:rsid w:val="008B1C8D"/>
    <w:rsid w:val="008B1E57"/>
    <w:rsid w:val="008B20E5"/>
    <w:rsid w:val="008B212F"/>
    <w:rsid w:val="008B21E9"/>
    <w:rsid w:val="008B26CE"/>
    <w:rsid w:val="008B2863"/>
    <w:rsid w:val="008B2D49"/>
    <w:rsid w:val="008B31CA"/>
    <w:rsid w:val="008B3941"/>
    <w:rsid w:val="008B3961"/>
    <w:rsid w:val="008B410C"/>
    <w:rsid w:val="008B41A1"/>
    <w:rsid w:val="008B426B"/>
    <w:rsid w:val="008B450E"/>
    <w:rsid w:val="008B4804"/>
    <w:rsid w:val="008B4B92"/>
    <w:rsid w:val="008B4CCC"/>
    <w:rsid w:val="008B5010"/>
    <w:rsid w:val="008B5082"/>
    <w:rsid w:val="008B5196"/>
    <w:rsid w:val="008B5210"/>
    <w:rsid w:val="008B55C7"/>
    <w:rsid w:val="008B59E8"/>
    <w:rsid w:val="008B5ACB"/>
    <w:rsid w:val="008B60FC"/>
    <w:rsid w:val="008B6765"/>
    <w:rsid w:val="008B67FB"/>
    <w:rsid w:val="008B67FC"/>
    <w:rsid w:val="008B6888"/>
    <w:rsid w:val="008B6D87"/>
    <w:rsid w:val="008B6EC0"/>
    <w:rsid w:val="008B744E"/>
    <w:rsid w:val="008B751D"/>
    <w:rsid w:val="008B7669"/>
    <w:rsid w:val="008B793B"/>
    <w:rsid w:val="008B7C48"/>
    <w:rsid w:val="008B7DF4"/>
    <w:rsid w:val="008B7F49"/>
    <w:rsid w:val="008C0121"/>
    <w:rsid w:val="008C056E"/>
    <w:rsid w:val="008C0A49"/>
    <w:rsid w:val="008C0C3D"/>
    <w:rsid w:val="008C169A"/>
    <w:rsid w:val="008C1A53"/>
    <w:rsid w:val="008C1BB7"/>
    <w:rsid w:val="008C1FE0"/>
    <w:rsid w:val="008C2225"/>
    <w:rsid w:val="008C249A"/>
    <w:rsid w:val="008C294B"/>
    <w:rsid w:val="008C2AE9"/>
    <w:rsid w:val="008C2BC6"/>
    <w:rsid w:val="008C2CB2"/>
    <w:rsid w:val="008C2FB8"/>
    <w:rsid w:val="008C3431"/>
    <w:rsid w:val="008C3892"/>
    <w:rsid w:val="008C3C05"/>
    <w:rsid w:val="008C4927"/>
    <w:rsid w:val="008C4928"/>
    <w:rsid w:val="008C4E94"/>
    <w:rsid w:val="008C5146"/>
    <w:rsid w:val="008C5228"/>
    <w:rsid w:val="008C5543"/>
    <w:rsid w:val="008C5B54"/>
    <w:rsid w:val="008C5D8E"/>
    <w:rsid w:val="008C5F47"/>
    <w:rsid w:val="008C6103"/>
    <w:rsid w:val="008C6414"/>
    <w:rsid w:val="008C65D3"/>
    <w:rsid w:val="008C6927"/>
    <w:rsid w:val="008C6949"/>
    <w:rsid w:val="008C6EAF"/>
    <w:rsid w:val="008C710F"/>
    <w:rsid w:val="008C74AB"/>
    <w:rsid w:val="008C7CE8"/>
    <w:rsid w:val="008C7DB1"/>
    <w:rsid w:val="008D046B"/>
    <w:rsid w:val="008D0B4C"/>
    <w:rsid w:val="008D0C63"/>
    <w:rsid w:val="008D0EC6"/>
    <w:rsid w:val="008D1157"/>
    <w:rsid w:val="008D1265"/>
    <w:rsid w:val="008D13F5"/>
    <w:rsid w:val="008D15BE"/>
    <w:rsid w:val="008D1A69"/>
    <w:rsid w:val="008D1C18"/>
    <w:rsid w:val="008D1FC9"/>
    <w:rsid w:val="008D21E0"/>
    <w:rsid w:val="008D21FF"/>
    <w:rsid w:val="008D2A0D"/>
    <w:rsid w:val="008D2A95"/>
    <w:rsid w:val="008D2DB3"/>
    <w:rsid w:val="008D2E8E"/>
    <w:rsid w:val="008D3224"/>
    <w:rsid w:val="008D33B3"/>
    <w:rsid w:val="008D3477"/>
    <w:rsid w:val="008D3AF6"/>
    <w:rsid w:val="008D3FA1"/>
    <w:rsid w:val="008D4062"/>
    <w:rsid w:val="008D43AD"/>
    <w:rsid w:val="008D4432"/>
    <w:rsid w:val="008D4727"/>
    <w:rsid w:val="008D4768"/>
    <w:rsid w:val="008D4C94"/>
    <w:rsid w:val="008D5095"/>
    <w:rsid w:val="008D54E7"/>
    <w:rsid w:val="008D6267"/>
    <w:rsid w:val="008D65CF"/>
    <w:rsid w:val="008D68B9"/>
    <w:rsid w:val="008D6B07"/>
    <w:rsid w:val="008D6DA9"/>
    <w:rsid w:val="008D7B84"/>
    <w:rsid w:val="008E0137"/>
    <w:rsid w:val="008E075C"/>
    <w:rsid w:val="008E07BC"/>
    <w:rsid w:val="008E0960"/>
    <w:rsid w:val="008E0A49"/>
    <w:rsid w:val="008E0B0A"/>
    <w:rsid w:val="008E11CA"/>
    <w:rsid w:val="008E1471"/>
    <w:rsid w:val="008E1700"/>
    <w:rsid w:val="008E1764"/>
    <w:rsid w:val="008E1940"/>
    <w:rsid w:val="008E1C42"/>
    <w:rsid w:val="008E20A5"/>
    <w:rsid w:val="008E2248"/>
    <w:rsid w:val="008E25ED"/>
    <w:rsid w:val="008E2A39"/>
    <w:rsid w:val="008E2FC3"/>
    <w:rsid w:val="008E3511"/>
    <w:rsid w:val="008E3759"/>
    <w:rsid w:val="008E3B2C"/>
    <w:rsid w:val="008E3EC0"/>
    <w:rsid w:val="008E3F0E"/>
    <w:rsid w:val="008E449B"/>
    <w:rsid w:val="008E50F6"/>
    <w:rsid w:val="008E5415"/>
    <w:rsid w:val="008E5A1F"/>
    <w:rsid w:val="008E5C00"/>
    <w:rsid w:val="008E5F39"/>
    <w:rsid w:val="008E6171"/>
    <w:rsid w:val="008E69E2"/>
    <w:rsid w:val="008E6A8E"/>
    <w:rsid w:val="008E6E7A"/>
    <w:rsid w:val="008E6E95"/>
    <w:rsid w:val="008E6F74"/>
    <w:rsid w:val="008E70F2"/>
    <w:rsid w:val="008E7255"/>
    <w:rsid w:val="008E75D4"/>
    <w:rsid w:val="008E78CE"/>
    <w:rsid w:val="008E7E47"/>
    <w:rsid w:val="008F019E"/>
    <w:rsid w:val="008F02C2"/>
    <w:rsid w:val="008F0CBE"/>
    <w:rsid w:val="008F0E82"/>
    <w:rsid w:val="008F12CF"/>
    <w:rsid w:val="008F1612"/>
    <w:rsid w:val="008F18E7"/>
    <w:rsid w:val="008F1912"/>
    <w:rsid w:val="008F19CD"/>
    <w:rsid w:val="008F1D5D"/>
    <w:rsid w:val="008F1E69"/>
    <w:rsid w:val="008F1F46"/>
    <w:rsid w:val="008F1F8A"/>
    <w:rsid w:val="008F1FF5"/>
    <w:rsid w:val="008F22D6"/>
    <w:rsid w:val="008F2394"/>
    <w:rsid w:val="008F2478"/>
    <w:rsid w:val="008F25BE"/>
    <w:rsid w:val="008F267F"/>
    <w:rsid w:val="008F26BF"/>
    <w:rsid w:val="008F3479"/>
    <w:rsid w:val="008F3526"/>
    <w:rsid w:val="008F3BAB"/>
    <w:rsid w:val="008F3C41"/>
    <w:rsid w:val="008F3E0A"/>
    <w:rsid w:val="008F425A"/>
    <w:rsid w:val="008F45C9"/>
    <w:rsid w:val="008F4711"/>
    <w:rsid w:val="008F4C7F"/>
    <w:rsid w:val="008F4EFD"/>
    <w:rsid w:val="008F51B9"/>
    <w:rsid w:val="008F58F5"/>
    <w:rsid w:val="008F5B40"/>
    <w:rsid w:val="008F5E5A"/>
    <w:rsid w:val="008F5E8B"/>
    <w:rsid w:val="008F5EB7"/>
    <w:rsid w:val="008F5FB3"/>
    <w:rsid w:val="008F60E8"/>
    <w:rsid w:val="008F66DC"/>
    <w:rsid w:val="008F68ED"/>
    <w:rsid w:val="008F696E"/>
    <w:rsid w:val="008F69CB"/>
    <w:rsid w:val="008F707B"/>
    <w:rsid w:val="008F753A"/>
    <w:rsid w:val="008F7553"/>
    <w:rsid w:val="008F7FA4"/>
    <w:rsid w:val="00900920"/>
    <w:rsid w:val="00900A2F"/>
    <w:rsid w:val="00900A4B"/>
    <w:rsid w:val="00900AF1"/>
    <w:rsid w:val="009016E2"/>
    <w:rsid w:val="00901A4C"/>
    <w:rsid w:val="00901E07"/>
    <w:rsid w:val="009023CC"/>
    <w:rsid w:val="00902609"/>
    <w:rsid w:val="0090270B"/>
    <w:rsid w:val="00902C7F"/>
    <w:rsid w:val="00902D39"/>
    <w:rsid w:val="00902EDB"/>
    <w:rsid w:val="00902F13"/>
    <w:rsid w:val="00902F2B"/>
    <w:rsid w:val="0090300E"/>
    <w:rsid w:val="009032C1"/>
    <w:rsid w:val="00903DB9"/>
    <w:rsid w:val="00903DD0"/>
    <w:rsid w:val="009041DC"/>
    <w:rsid w:val="009042DB"/>
    <w:rsid w:val="00904343"/>
    <w:rsid w:val="00904BD6"/>
    <w:rsid w:val="00904F36"/>
    <w:rsid w:val="00905478"/>
    <w:rsid w:val="0090550F"/>
    <w:rsid w:val="00905C12"/>
    <w:rsid w:val="00905E77"/>
    <w:rsid w:val="0090610F"/>
    <w:rsid w:val="00906DAC"/>
    <w:rsid w:val="00906DB0"/>
    <w:rsid w:val="00906E1D"/>
    <w:rsid w:val="00906E40"/>
    <w:rsid w:val="00907063"/>
    <w:rsid w:val="009072E5"/>
    <w:rsid w:val="009074C8"/>
    <w:rsid w:val="009076E8"/>
    <w:rsid w:val="00907E52"/>
    <w:rsid w:val="00907F68"/>
    <w:rsid w:val="00910381"/>
    <w:rsid w:val="009105A9"/>
    <w:rsid w:val="0091063B"/>
    <w:rsid w:val="00910C0B"/>
    <w:rsid w:val="00910D7B"/>
    <w:rsid w:val="009111E6"/>
    <w:rsid w:val="009111EC"/>
    <w:rsid w:val="00911503"/>
    <w:rsid w:val="009115E7"/>
    <w:rsid w:val="00911823"/>
    <w:rsid w:val="009119A7"/>
    <w:rsid w:val="00911AD8"/>
    <w:rsid w:val="00911AF7"/>
    <w:rsid w:val="00911C5A"/>
    <w:rsid w:val="00911DA9"/>
    <w:rsid w:val="00911E56"/>
    <w:rsid w:val="0091217C"/>
    <w:rsid w:val="009121A0"/>
    <w:rsid w:val="00912B46"/>
    <w:rsid w:val="00912FB7"/>
    <w:rsid w:val="0091315E"/>
    <w:rsid w:val="009133C6"/>
    <w:rsid w:val="0091348F"/>
    <w:rsid w:val="009137EA"/>
    <w:rsid w:val="00913D8D"/>
    <w:rsid w:val="0091441A"/>
    <w:rsid w:val="009147F9"/>
    <w:rsid w:val="009148CF"/>
    <w:rsid w:val="00914ADF"/>
    <w:rsid w:val="00914ECD"/>
    <w:rsid w:val="00915037"/>
    <w:rsid w:val="009154A4"/>
    <w:rsid w:val="009155FB"/>
    <w:rsid w:val="0091583A"/>
    <w:rsid w:val="009158F7"/>
    <w:rsid w:val="00915FF9"/>
    <w:rsid w:val="0091623A"/>
    <w:rsid w:val="00916621"/>
    <w:rsid w:val="00916739"/>
    <w:rsid w:val="00916903"/>
    <w:rsid w:val="009169CB"/>
    <w:rsid w:val="00916BD3"/>
    <w:rsid w:val="00916E0F"/>
    <w:rsid w:val="009177D4"/>
    <w:rsid w:val="009179E9"/>
    <w:rsid w:val="00920132"/>
    <w:rsid w:val="00920256"/>
    <w:rsid w:val="0092041F"/>
    <w:rsid w:val="009206C5"/>
    <w:rsid w:val="00920889"/>
    <w:rsid w:val="00920930"/>
    <w:rsid w:val="009209D4"/>
    <w:rsid w:val="00920A58"/>
    <w:rsid w:val="00920A8C"/>
    <w:rsid w:val="00920AB3"/>
    <w:rsid w:val="00920C3E"/>
    <w:rsid w:val="00921832"/>
    <w:rsid w:val="009219E0"/>
    <w:rsid w:val="00921AB4"/>
    <w:rsid w:val="00921AE1"/>
    <w:rsid w:val="00921F39"/>
    <w:rsid w:val="00921F55"/>
    <w:rsid w:val="00922964"/>
    <w:rsid w:val="00922D48"/>
    <w:rsid w:val="00922FC4"/>
    <w:rsid w:val="009237F8"/>
    <w:rsid w:val="009238E7"/>
    <w:rsid w:val="00924764"/>
    <w:rsid w:val="00924C64"/>
    <w:rsid w:val="00924E1D"/>
    <w:rsid w:val="00925367"/>
    <w:rsid w:val="0092573F"/>
    <w:rsid w:val="00925A19"/>
    <w:rsid w:val="00926755"/>
    <w:rsid w:val="00926943"/>
    <w:rsid w:val="00926AA0"/>
    <w:rsid w:val="00926BAE"/>
    <w:rsid w:val="00926D4F"/>
    <w:rsid w:val="00927033"/>
    <w:rsid w:val="009271A8"/>
    <w:rsid w:val="00927236"/>
    <w:rsid w:val="00927354"/>
    <w:rsid w:val="009275F3"/>
    <w:rsid w:val="00927610"/>
    <w:rsid w:val="0092784A"/>
    <w:rsid w:val="00927D83"/>
    <w:rsid w:val="00927ED8"/>
    <w:rsid w:val="0093053F"/>
    <w:rsid w:val="00930569"/>
    <w:rsid w:val="00930CDA"/>
    <w:rsid w:val="00930F4D"/>
    <w:rsid w:val="0093120D"/>
    <w:rsid w:val="009316D4"/>
    <w:rsid w:val="00931D6C"/>
    <w:rsid w:val="00931E9D"/>
    <w:rsid w:val="00932942"/>
    <w:rsid w:val="00932AC8"/>
    <w:rsid w:val="00932C5D"/>
    <w:rsid w:val="0093313B"/>
    <w:rsid w:val="00933700"/>
    <w:rsid w:val="00933810"/>
    <w:rsid w:val="00933DAD"/>
    <w:rsid w:val="00933EE9"/>
    <w:rsid w:val="00933FCE"/>
    <w:rsid w:val="00934070"/>
    <w:rsid w:val="009348E3"/>
    <w:rsid w:val="00934959"/>
    <w:rsid w:val="009349BE"/>
    <w:rsid w:val="00934A2C"/>
    <w:rsid w:val="00934B4C"/>
    <w:rsid w:val="00934CFF"/>
    <w:rsid w:val="00934DFB"/>
    <w:rsid w:val="00935013"/>
    <w:rsid w:val="0093501B"/>
    <w:rsid w:val="009355D3"/>
    <w:rsid w:val="00935A2B"/>
    <w:rsid w:val="00935CDE"/>
    <w:rsid w:val="009366E0"/>
    <w:rsid w:val="0093685A"/>
    <w:rsid w:val="00936B61"/>
    <w:rsid w:val="00937426"/>
    <w:rsid w:val="00937BCD"/>
    <w:rsid w:val="00940A21"/>
    <w:rsid w:val="00940AFA"/>
    <w:rsid w:val="00940CAA"/>
    <w:rsid w:val="00940DF6"/>
    <w:rsid w:val="009411A4"/>
    <w:rsid w:val="0094120E"/>
    <w:rsid w:val="009413D3"/>
    <w:rsid w:val="00941485"/>
    <w:rsid w:val="00941659"/>
    <w:rsid w:val="00941EBA"/>
    <w:rsid w:val="009424DA"/>
    <w:rsid w:val="0094275B"/>
    <w:rsid w:val="009429BC"/>
    <w:rsid w:val="00942AFA"/>
    <w:rsid w:val="00942C1C"/>
    <w:rsid w:val="00942EC2"/>
    <w:rsid w:val="0094302B"/>
    <w:rsid w:val="00943397"/>
    <w:rsid w:val="00943552"/>
    <w:rsid w:val="0094444C"/>
    <w:rsid w:val="0094464C"/>
    <w:rsid w:val="00944AD5"/>
    <w:rsid w:val="00944C1F"/>
    <w:rsid w:val="00944C59"/>
    <w:rsid w:val="00944F05"/>
    <w:rsid w:val="00944FF3"/>
    <w:rsid w:val="009450F2"/>
    <w:rsid w:val="0094547C"/>
    <w:rsid w:val="009459EF"/>
    <w:rsid w:val="00945A76"/>
    <w:rsid w:val="00945C70"/>
    <w:rsid w:val="00945C77"/>
    <w:rsid w:val="00945DD3"/>
    <w:rsid w:val="009462B9"/>
    <w:rsid w:val="009463B5"/>
    <w:rsid w:val="0094696E"/>
    <w:rsid w:val="00946B9A"/>
    <w:rsid w:val="00946EFD"/>
    <w:rsid w:val="009470BC"/>
    <w:rsid w:val="00947E15"/>
    <w:rsid w:val="009500D7"/>
    <w:rsid w:val="009502A2"/>
    <w:rsid w:val="009503D9"/>
    <w:rsid w:val="009507D3"/>
    <w:rsid w:val="009508AA"/>
    <w:rsid w:val="00950B7F"/>
    <w:rsid w:val="00950E0E"/>
    <w:rsid w:val="00950EFE"/>
    <w:rsid w:val="00951933"/>
    <w:rsid w:val="00951AE2"/>
    <w:rsid w:val="00951E65"/>
    <w:rsid w:val="00952062"/>
    <w:rsid w:val="009520EF"/>
    <w:rsid w:val="00952260"/>
    <w:rsid w:val="0095229E"/>
    <w:rsid w:val="00952305"/>
    <w:rsid w:val="0095245A"/>
    <w:rsid w:val="00952502"/>
    <w:rsid w:val="0095257D"/>
    <w:rsid w:val="009529DA"/>
    <w:rsid w:val="00952AE7"/>
    <w:rsid w:val="00952DC7"/>
    <w:rsid w:val="00952EDD"/>
    <w:rsid w:val="00952FD1"/>
    <w:rsid w:val="00953A76"/>
    <w:rsid w:val="0095411D"/>
    <w:rsid w:val="009546E1"/>
    <w:rsid w:val="00954991"/>
    <w:rsid w:val="00954C30"/>
    <w:rsid w:val="00954DFF"/>
    <w:rsid w:val="00954F42"/>
    <w:rsid w:val="009552C9"/>
    <w:rsid w:val="009556DC"/>
    <w:rsid w:val="00955814"/>
    <w:rsid w:val="0095595C"/>
    <w:rsid w:val="00955960"/>
    <w:rsid w:val="00955AA1"/>
    <w:rsid w:val="00955E73"/>
    <w:rsid w:val="009567A7"/>
    <w:rsid w:val="00956842"/>
    <w:rsid w:val="0095700E"/>
    <w:rsid w:val="00957655"/>
    <w:rsid w:val="00957AEE"/>
    <w:rsid w:val="00957B4A"/>
    <w:rsid w:val="00957E2C"/>
    <w:rsid w:val="00957F02"/>
    <w:rsid w:val="00960215"/>
    <w:rsid w:val="00960AF4"/>
    <w:rsid w:val="00960DD5"/>
    <w:rsid w:val="00960E4F"/>
    <w:rsid w:val="009610C2"/>
    <w:rsid w:val="00961148"/>
    <w:rsid w:val="009614D1"/>
    <w:rsid w:val="009616BB"/>
    <w:rsid w:val="00961AAB"/>
    <w:rsid w:val="00961AE8"/>
    <w:rsid w:val="0096203E"/>
    <w:rsid w:val="009624B0"/>
    <w:rsid w:val="00962A16"/>
    <w:rsid w:val="009631F3"/>
    <w:rsid w:val="009633F4"/>
    <w:rsid w:val="0096395A"/>
    <w:rsid w:val="0096442B"/>
    <w:rsid w:val="00964BBE"/>
    <w:rsid w:val="00964CF3"/>
    <w:rsid w:val="00964E61"/>
    <w:rsid w:val="00964FF0"/>
    <w:rsid w:val="00965364"/>
    <w:rsid w:val="00965692"/>
    <w:rsid w:val="00965CE1"/>
    <w:rsid w:val="00965FF1"/>
    <w:rsid w:val="009661AF"/>
    <w:rsid w:val="0096646F"/>
    <w:rsid w:val="00966665"/>
    <w:rsid w:val="009666D9"/>
    <w:rsid w:val="00966BE2"/>
    <w:rsid w:val="00966E2C"/>
    <w:rsid w:val="00967024"/>
    <w:rsid w:val="00967045"/>
    <w:rsid w:val="0096706E"/>
    <w:rsid w:val="009672CB"/>
    <w:rsid w:val="009673BF"/>
    <w:rsid w:val="00967A97"/>
    <w:rsid w:val="00967DAD"/>
    <w:rsid w:val="00970B4C"/>
    <w:rsid w:val="00970B97"/>
    <w:rsid w:val="009712C6"/>
    <w:rsid w:val="009716EE"/>
    <w:rsid w:val="00971902"/>
    <w:rsid w:val="009719FA"/>
    <w:rsid w:val="00971ADF"/>
    <w:rsid w:val="00972061"/>
    <w:rsid w:val="00972406"/>
    <w:rsid w:val="00972540"/>
    <w:rsid w:val="00972864"/>
    <w:rsid w:val="00972CBA"/>
    <w:rsid w:val="00972DE0"/>
    <w:rsid w:val="00972E9F"/>
    <w:rsid w:val="00973118"/>
    <w:rsid w:val="00973315"/>
    <w:rsid w:val="009736A2"/>
    <w:rsid w:val="00973E7C"/>
    <w:rsid w:val="009743BC"/>
    <w:rsid w:val="00974482"/>
    <w:rsid w:val="00974685"/>
    <w:rsid w:val="00974C38"/>
    <w:rsid w:val="00974EC9"/>
    <w:rsid w:val="0097544B"/>
    <w:rsid w:val="00975A4E"/>
    <w:rsid w:val="00975C4E"/>
    <w:rsid w:val="00975D3B"/>
    <w:rsid w:val="00975E4C"/>
    <w:rsid w:val="00975F13"/>
    <w:rsid w:val="00976577"/>
    <w:rsid w:val="00976633"/>
    <w:rsid w:val="0097688E"/>
    <w:rsid w:val="00976904"/>
    <w:rsid w:val="00976CBA"/>
    <w:rsid w:val="00976CCE"/>
    <w:rsid w:val="009772CA"/>
    <w:rsid w:val="0097742E"/>
    <w:rsid w:val="00977594"/>
    <w:rsid w:val="00977AE2"/>
    <w:rsid w:val="00977B1C"/>
    <w:rsid w:val="00977F70"/>
    <w:rsid w:val="00980503"/>
    <w:rsid w:val="00980597"/>
    <w:rsid w:val="009805DC"/>
    <w:rsid w:val="00980820"/>
    <w:rsid w:val="00980904"/>
    <w:rsid w:val="0098098C"/>
    <w:rsid w:val="00980B7F"/>
    <w:rsid w:val="00980E04"/>
    <w:rsid w:val="00980EDD"/>
    <w:rsid w:val="00981174"/>
    <w:rsid w:val="00981A32"/>
    <w:rsid w:val="00981E2F"/>
    <w:rsid w:val="00981FBA"/>
    <w:rsid w:val="00982114"/>
    <w:rsid w:val="009821A0"/>
    <w:rsid w:val="0098225D"/>
    <w:rsid w:val="009827F4"/>
    <w:rsid w:val="00982A48"/>
    <w:rsid w:val="00982BBB"/>
    <w:rsid w:val="00982C0F"/>
    <w:rsid w:val="00982DA4"/>
    <w:rsid w:val="0098327B"/>
    <w:rsid w:val="0098338E"/>
    <w:rsid w:val="00983D55"/>
    <w:rsid w:val="00983EFD"/>
    <w:rsid w:val="00984198"/>
    <w:rsid w:val="009848D3"/>
    <w:rsid w:val="00984E1B"/>
    <w:rsid w:val="00985199"/>
    <w:rsid w:val="009851CF"/>
    <w:rsid w:val="009853D7"/>
    <w:rsid w:val="00985B24"/>
    <w:rsid w:val="00985C1C"/>
    <w:rsid w:val="00985C55"/>
    <w:rsid w:val="00985D12"/>
    <w:rsid w:val="0098607C"/>
    <w:rsid w:val="00986095"/>
    <w:rsid w:val="00986489"/>
    <w:rsid w:val="009865B3"/>
    <w:rsid w:val="009867A2"/>
    <w:rsid w:val="00986E88"/>
    <w:rsid w:val="00987465"/>
    <w:rsid w:val="00987846"/>
    <w:rsid w:val="00987D95"/>
    <w:rsid w:val="00987F72"/>
    <w:rsid w:val="009901A9"/>
    <w:rsid w:val="0099057A"/>
    <w:rsid w:val="009907F7"/>
    <w:rsid w:val="00990CE5"/>
    <w:rsid w:val="00991017"/>
    <w:rsid w:val="0099106A"/>
    <w:rsid w:val="009910E7"/>
    <w:rsid w:val="00991613"/>
    <w:rsid w:val="009916FC"/>
    <w:rsid w:val="00991BFF"/>
    <w:rsid w:val="00991CC6"/>
    <w:rsid w:val="00991EC9"/>
    <w:rsid w:val="00992087"/>
    <w:rsid w:val="009922A2"/>
    <w:rsid w:val="009923C4"/>
    <w:rsid w:val="00992497"/>
    <w:rsid w:val="009927B2"/>
    <w:rsid w:val="00992B32"/>
    <w:rsid w:val="00992DBC"/>
    <w:rsid w:val="00992F83"/>
    <w:rsid w:val="0099354C"/>
    <w:rsid w:val="00993574"/>
    <w:rsid w:val="009937D9"/>
    <w:rsid w:val="00993864"/>
    <w:rsid w:val="00993A51"/>
    <w:rsid w:val="00993D2A"/>
    <w:rsid w:val="0099465A"/>
    <w:rsid w:val="00994F6B"/>
    <w:rsid w:val="00995022"/>
    <w:rsid w:val="009954A2"/>
    <w:rsid w:val="009957F8"/>
    <w:rsid w:val="00995985"/>
    <w:rsid w:val="009959A1"/>
    <w:rsid w:val="009959C9"/>
    <w:rsid w:val="00995AFE"/>
    <w:rsid w:val="00995B97"/>
    <w:rsid w:val="00995EDC"/>
    <w:rsid w:val="0099633B"/>
    <w:rsid w:val="00996486"/>
    <w:rsid w:val="00997BC5"/>
    <w:rsid w:val="00997F87"/>
    <w:rsid w:val="00997FDB"/>
    <w:rsid w:val="009A0323"/>
    <w:rsid w:val="009A03A9"/>
    <w:rsid w:val="009A092B"/>
    <w:rsid w:val="009A0E6B"/>
    <w:rsid w:val="009A17B9"/>
    <w:rsid w:val="009A19DA"/>
    <w:rsid w:val="009A1ABF"/>
    <w:rsid w:val="009A1B4C"/>
    <w:rsid w:val="009A1C21"/>
    <w:rsid w:val="009A22C5"/>
    <w:rsid w:val="009A2539"/>
    <w:rsid w:val="009A25F6"/>
    <w:rsid w:val="009A2F27"/>
    <w:rsid w:val="009A2F28"/>
    <w:rsid w:val="009A30F6"/>
    <w:rsid w:val="009A328C"/>
    <w:rsid w:val="009A38B0"/>
    <w:rsid w:val="009A3DB8"/>
    <w:rsid w:val="009A3DE2"/>
    <w:rsid w:val="009A4040"/>
    <w:rsid w:val="009A4AD3"/>
    <w:rsid w:val="009A4AE5"/>
    <w:rsid w:val="009A4B37"/>
    <w:rsid w:val="009A4D7E"/>
    <w:rsid w:val="009A4EC8"/>
    <w:rsid w:val="009A4F41"/>
    <w:rsid w:val="009A5088"/>
    <w:rsid w:val="009A5295"/>
    <w:rsid w:val="009A5646"/>
    <w:rsid w:val="009A56F1"/>
    <w:rsid w:val="009A585B"/>
    <w:rsid w:val="009A607F"/>
    <w:rsid w:val="009A6186"/>
    <w:rsid w:val="009A639B"/>
    <w:rsid w:val="009A640E"/>
    <w:rsid w:val="009A6866"/>
    <w:rsid w:val="009A69A0"/>
    <w:rsid w:val="009A6DA6"/>
    <w:rsid w:val="009A7220"/>
    <w:rsid w:val="009A738A"/>
    <w:rsid w:val="009A7A66"/>
    <w:rsid w:val="009A7DF4"/>
    <w:rsid w:val="009B017B"/>
    <w:rsid w:val="009B01B2"/>
    <w:rsid w:val="009B02F7"/>
    <w:rsid w:val="009B046F"/>
    <w:rsid w:val="009B0CD6"/>
    <w:rsid w:val="009B120B"/>
    <w:rsid w:val="009B13D5"/>
    <w:rsid w:val="009B1688"/>
    <w:rsid w:val="009B2438"/>
    <w:rsid w:val="009B2454"/>
    <w:rsid w:val="009B2623"/>
    <w:rsid w:val="009B27BC"/>
    <w:rsid w:val="009B2830"/>
    <w:rsid w:val="009B3386"/>
    <w:rsid w:val="009B342D"/>
    <w:rsid w:val="009B34FA"/>
    <w:rsid w:val="009B3595"/>
    <w:rsid w:val="009B381A"/>
    <w:rsid w:val="009B381B"/>
    <w:rsid w:val="009B3B35"/>
    <w:rsid w:val="009B3BD2"/>
    <w:rsid w:val="009B4027"/>
    <w:rsid w:val="009B4685"/>
    <w:rsid w:val="009B4994"/>
    <w:rsid w:val="009B4CA0"/>
    <w:rsid w:val="009B50A1"/>
    <w:rsid w:val="009B52CE"/>
    <w:rsid w:val="009B53F0"/>
    <w:rsid w:val="009B567C"/>
    <w:rsid w:val="009B5EF1"/>
    <w:rsid w:val="009B6281"/>
    <w:rsid w:val="009B62CA"/>
    <w:rsid w:val="009B6461"/>
    <w:rsid w:val="009B64BA"/>
    <w:rsid w:val="009B6585"/>
    <w:rsid w:val="009B6919"/>
    <w:rsid w:val="009B69E8"/>
    <w:rsid w:val="009B7119"/>
    <w:rsid w:val="009B7333"/>
    <w:rsid w:val="009B7B3D"/>
    <w:rsid w:val="009B7C38"/>
    <w:rsid w:val="009B7C50"/>
    <w:rsid w:val="009B7D05"/>
    <w:rsid w:val="009C028B"/>
    <w:rsid w:val="009C04E8"/>
    <w:rsid w:val="009C0618"/>
    <w:rsid w:val="009C0B42"/>
    <w:rsid w:val="009C0C08"/>
    <w:rsid w:val="009C0C46"/>
    <w:rsid w:val="009C1097"/>
    <w:rsid w:val="009C121B"/>
    <w:rsid w:val="009C1664"/>
    <w:rsid w:val="009C176D"/>
    <w:rsid w:val="009C1890"/>
    <w:rsid w:val="009C1A65"/>
    <w:rsid w:val="009C1C1B"/>
    <w:rsid w:val="009C23B6"/>
    <w:rsid w:val="009C244A"/>
    <w:rsid w:val="009C2D00"/>
    <w:rsid w:val="009C3942"/>
    <w:rsid w:val="009C3BA8"/>
    <w:rsid w:val="009C3C4B"/>
    <w:rsid w:val="009C3CC1"/>
    <w:rsid w:val="009C3D85"/>
    <w:rsid w:val="009C44EC"/>
    <w:rsid w:val="009C475A"/>
    <w:rsid w:val="009C48CD"/>
    <w:rsid w:val="009C4C5F"/>
    <w:rsid w:val="009C5407"/>
    <w:rsid w:val="009C545F"/>
    <w:rsid w:val="009C54CA"/>
    <w:rsid w:val="009C600C"/>
    <w:rsid w:val="009C6489"/>
    <w:rsid w:val="009C654E"/>
    <w:rsid w:val="009C6760"/>
    <w:rsid w:val="009C6A0D"/>
    <w:rsid w:val="009C6D3D"/>
    <w:rsid w:val="009C6F5F"/>
    <w:rsid w:val="009C74A3"/>
    <w:rsid w:val="009C777D"/>
    <w:rsid w:val="009C7839"/>
    <w:rsid w:val="009C7AEB"/>
    <w:rsid w:val="009C7BAA"/>
    <w:rsid w:val="009C7D64"/>
    <w:rsid w:val="009C7EA2"/>
    <w:rsid w:val="009C7F63"/>
    <w:rsid w:val="009D00FB"/>
    <w:rsid w:val="009D084E"/>
    <w:rsid w:val="009D1387"/>
    <w:rsid w:val="009D1822"/>
    <w:rsid w:val="009D1A08"/>
    <w:rsid w:val="009D1FF9"/>
    <w:rsid w:val="009D21A7"/>
    <w:rsid w:val="009D230B"/>
    <w:rsid w:val="009D2ECA"/>
    <w:rsid w:val="009D33B2"/>
    <w:rsid w:val="009D383D"/>
    <w:rsid w:val="009D38F5"/>
    <w:rsid w:val="009D3A41"/>
    <w:rsid w:val="009D3EF3"/>
    <w:rsid w:val="009D40A8"/>
    <w:rsid w:val="009D4171"/>
    <w:rsid w:val="009D42E6"/>
    <w:rsid w:val="009D45B5"/>
    <w:rsid w:val="009D4785"/>
    <w:rsid w:val="009D531E"/>
    <w:rsid w:val="009D5788"/>
    <w:rsid w:val="009D5933"/>
    <w:rsid w:val="009D595A"/>
    <w:rsid w:val="009D5F93"/>
    <w:rsid w:val="009D6A2A"/>
    <w:rsid w:val="009D6B77"/>
    <w:rsid w:val="009D6E78"/>
    <w:rsid w:val="009D74D7"/>
    <w:rsid w:val="009D7611"/>
    <w:rsid w:val="009D7750"/>
    <w:rsid w:val="009D7D3B"/>
    <w:rsid w:val="009E09DB"/>
    <w:rsid w:val="009E0B61"/>
    <w:rsid w:val="009E0B84"/>
    <w:rsid w:val="009E12CB"/>
    <w:rsid w:val="009E13FC"/>
    <w:rsid w:val="009E1888"/>
    <w:rsid w:val="009E1BAF"/>
    <w:rsid w:val="009E21ED"/>
    <w:rsid w:val="009E29E2"/>
    <w:rsid w:val="009E3012"/>
    <w:rsid w:val="009E3405"/>
    <w:rsid w:val="009E45CB"/>
    <w:rsid w:val="009E48AB"/>
    <w:rsid w:val="009E4975"/>
    <w:rsid w:val="009E4E45"/>
    <w:rsid w:val="009E4E91"/>
    <w:rsid w:val="009E4F7F"/>
    <w:rsid w:val="009E50CA"/>
    <w:rsid w:val="009E53DE"/>
    <w:rsid w:val="009E5525"/>
    <w:rsid w:val="009E5577"/>
    <w:rsid w:val="009E55C9"/>
    <w:rsid w:val="009E57C9"/>
    <w:rsid w:val="009E58B4"/>
    <w:rsid w:val="009E5B14"/>
    <w:rsid w:val="009E5DD1"/>
    <w:rsid w:val="009E5FE1"/>
    <w:rsid w:val="009E62FB"/>
    <w:rsid w:val="009E6362"/>
    <w:rsid w:val="009E63A1"/>
    <w:rsid w:val="009E6937"/>
    <w:rsid w:val="009E695C"/>
    <w:rsid w:val="009E6C3E"/>
    <w:rsid w:val="009E6CC1"/>
    <w:rsid w:val="009E719C"/>
    <w:rsid w:val="009E73E5"/>
    <w:rsid w:val="009E79F2"/>
    <w:rsid w:val="009E7C0B"/>
    <w:rsid w:val="009E7E3B"/>
    <w:rsid w:val="009F0308"/>
    <w:rsid w:val="009F0505"/>
    <w:rsid w:val="009F0DD7"/>
    <w:rsid w:val="009F0ED2"/>
    <w:rsid w:val="009F0F1C"/>
    <w:rsid w:val="009F0F41"/>
    <w:rsid w:val="009F1026"/>
    <w:rsid w:val="009F1235"/>
    <w:rsid w:val="009F156C"/>
    <w:rsid w:val="009F19B5"/>
    <w:rsid w:val="009F1D4D"/>
    <w:rsid w:val="009F20B4"/>
    <w:rsid w:val="009F2AF7"/>
    <w:rsid w:val="009F2C05"/>
    <w:rsid w:val="009F2EF7"/>
    <w:rsid w:val="009F3202"/>
    <w:rsid w:val="009F32C6"/>
    <w:rsid w:val="009F33BF"/>
    <w:rsid w:val="009F3834"/>
    <w:rsid w:val="009F3909"/>
    <w:rsid w:val="009F3CAF"/>
    <w:rsid w:val="009F40AE"/>
    <w:rsid w:val="009F42A4"/>
    <w:rsid w:val="009F4735"/>
    <w:rsid w:val="009F4EFC"/>
    <w:rsid w:val="009F50F4"/>
    <w:rsid w:val="009F51B6"/>
    <w:rsid w:val="009F5402"/>
    <w:rsid w:val="009F54CB"/>
    <w:rsid w:val="009F5C76"/>
    <w:rsid w:val="009F6313"/>
    <w:rsid w:val="009F6409"/>
    <w:rsid w:val="009F6745"/>
    <w:rsid w:val="009F6C1A"/>
    <w:rsid w:val="009F6CD8"/>
    <w:rsid w:val="009F72BB"/>
    <w:rsid w:val="009F7549"/>
    <w:rsid w:val="009F7C21"/>
    <w:rsid w:val="00A00055"/>
    <w:rsid w:val="00A00388"/>
    <w:rsid w:val="00A00BFD"/>
    <w:rsid w:val="00A00F81"/>
    <w:rsid w:val="00A0131C"/>
    <w:rsid w:val="00A01C60"/>
    <w:rsid w:val="00A01D16"/>
    <w:rsid w:val="00A01E78"/>
    <w:rsid w:val="00A025AC"/>
    <w:rsid w:val="00A027FA"/>
    <w:rsid w:val="00A02D02"/>
    <w:rsid w:val="00A03051"/>
    <w:rsid w:val="00A03143"/>
    <w:rsid w:val="00A0334E"/>
    <w:rsid w:val="00A033C9"/>
    <w:rsid w:val="00A033DA"/>
    <w:rsid w:val="00A0388F"/>
    <w:rsid w:val="00A03B41"/>
    <w:rsid w:val="00A03BD3"/>
    <w:rsid w:val="00A04AF7"/>
    <w:rsid w:val="00A04DDA"/>
    <w:rsid w:val="00A052AC"/>
    <w:rsid w:val="00A05477"/>
    <w:rsid w:val="00A05AC1"/>
    <w:rsid w:val="00A05DBE"/>
    <w:rsid w:val="00A0623D"/>
    <w:rsid w:val="00A06B30"/>
    <w:rsid w:val="00A06E28"/>
    <w:rsid w:val="00A06F16"/>
    <w:rsid w:val="00A06FDF"/>
    <w:rsid w:val="00A070F3"/>
    <w:rsid w:val="00A072D4"/>
    <w:rsid w:val="00A07646"/>
    <w:rsid w:val="00A07AF5"/>
    <w:rsid w:val="00A07C4A"/>
    <w:rsid w:val="00A07E5F"/>
    <w:rsid w:val="00A07F9F"/>
    <w:rsid w:val="00A07FF1"/>
    <w:rsid w:val="00A10383"/>
    <w:rsid w:val="00A104DF"/>
    <w:rsid w:val="00A1073E"/>
    <w:rsid w:val="00A10A00"/>
    <w:rsid w:val="00A10BE2"/>
    <w:rsid w:val="00A10D57"/>
    <w:rsid w:val="00A10E6B"/>
    <w:rsid w:val="00A1140C"/>
    <w:rsid w:val="00A1170C"/>
    <w:rsid w:val="00A118AE"/>
    <w:rsid w:val="00A11ADA"/>
    <w:rsid w:val="00A11AE1"/>
    <w:rsid w:val="00A11E23"/>
    <w:rsid w:val="00A11F33"/>
    <w:rsid w:val="00A12326"/>
    <w:rsid w:val="00A12867"/>
    <w:rsid w:val="00A129F4"/>
    <w:rsid w:val="00A12F23"/>
    <w:rsid w:val="00A13149"/>
    <w:rsid w:val="00A1346B"/>
    <w:rsid w:val="00A13596"/>
    <w:rsid w:val="00A13654"/>
    <w:rsid w:val="00A13976"/>
    <w:rsid w:val="00A139B1"/>
    <w:rsid w:val="00A13D36"/>
    <w:rsid w:val="00A1427C"/>
    <w:rsid w:val="00A14422"/>
    <w:rsid w:val="00A14B6C"/>
    <w:rsid w:val="00A14E15"/>
    <w:rsid w:val="00A15531"/>
    <w:rsid w:val="00A15BCA"/>
    <w:rsid w:val="00A15CA2"/>
    <w:rsid w:val="00A160DA"/>
    <w:rsid w:val="00A16B1B"/>
    <w:rsid w:val="00A16BBE"/>
    <w:rsid w:val="00A16D37"/>
    <w:rsid w:val="00A17003"/>
    <w:rsid w:val="00A17685"/>
    <w:rsid w:val="00A178DD"/>
    <w:rsid w:val="00A17C26"/>
    <w:rsid w:val="00A17EA3"/>
    <w:rsid w:val="00A20048"/>
    <w:rsid w:val="00A20353"/>
    <w:rsid w:val="00A20460"/>
    <w:rsid w:val="00A20DBC"/>
    <w:rsid w:val="00A211D2"/>
    <w:rsid w:val="00A219A8"/>
    <w:rsid w:val="00A21A95"/>
    <w:rsid w:val="00A21B9A"/>
    <w:rsid w:val="00A21C54"/>
    <w:rsid w:val="00A22014"/>
    <w:rsid w:val="00A2220D"/>
    <w:rsid w:val="00A22973"/>
    <w:rsid w:val="00A22FB4"/>
    <w:rsid w:val="00A23138"/>
    <w:rsid w:val="00A231BB"/>
    <w:rsid w:val="00A231C0"/>
    <w:rsid w:val="00A236D6"/>
    <w:rsid w:val="00A2380B"/>
    <w:rsid w:val="00A23D7A"/>
    <w:rsid w:val="00A24801"/>
    <w:rsid w:val="00A24910"/>
    <w:rsid w:val="00A24D4C"/>
    <w:rsid w:val="00A24E67"/>
    <w:rsid w:val="00A25072"/>
    <w:rsid w:val="00A2510D"/>
    <w:rsid w:val="00A2546A"/>
    <w:rsid w:val="00A2556A"/>
    <w:rsid w:val="00A25621"/>
    <w:rsid w:val="00A258AE"/>
    <w:rsid w:val="00A25E38"/>
    <w:rsid w:val="00A26681"/>
    <w:rsid w:val="00A26E51"/>
    <w:rsid w:val="00A26F8A"/>
    <w:rsid w:val="00A2742D"/>
    <w:rsid w:val="00A27D5F"/>
    <w:rsid w:val="00A27E84"/>
    <w:rsid w:val="00A307AC"/>
    <w:rsid w:val="00A3090A"/>
    <w:rsid w:val="00A30A66"/>
    <w:rsid w:val="00A30CA1"/>
    <w:rsid w:val="00A30DA9"/>
    <w:rsid w:val="00A3130D"/>
    <w:rsid w:val="00A31632"/>
    <w:rsid w:val="00A318BC"/>
    <w:rsid w:val="00A31A3B"/>
    <w:rsid w:val="00A3207B"/>
    <w:rsid w:val="00A322CA"/>
    <w:rsid w:val="00A328B3"/>
    <w:rsid w:val="00A32F4A"/>
    <w:rsid w:val="00A33729"/>
    <w:rsid w:val="00A33976"/>
    <w:rsid w:val="00A339A3"/>
    <w:rsid w:val="00A33F2C"/>
    <w:rsid w:val="00A33F57"/>
    <w:rsid w:val="00A341D1"/>
    <w:rsid w:val="00A342E5"/>
    <w:rsid w:val="00A344B3"/>
    <w:rsid w:val="00A34625"/>
    <w:rsid w:val="00A34A7E"/>
    <w:rsid w:val="00A357AB"/>
    <w:rsid w:val="00A357FF"/>
    <w:rsid w:val="00A35CBB"/>
    <w:rsid w:val="00A3607C"/>
    <w:rsid w:val="00A36098"/>
    <w:rsid w:val="00A36165"/>
    <w:rsid w:val="00A36289"/>
    <w:rsid w:val="00A36B39"/>
    <w:rsid w:val="00A36B9D"/>
    <w:rsid w:val="00A36D42"/>
    <w:rsid w:val="00A373D4"/>
    <w:rsid w:val="00A379DB"/>
    <w:rsid w:val="00A379F0"/>
    <w:rsid w:val="00A379F5"/>
    <w:rsid w:val="00A37B16"/>
    <w:rsid w:val="00A37FE6"/>
    <w:rsid w:val="00A405E8"/>
    <w:rsid w:val="00A40EE9"/>
    <w:rsid w:val="00A40FD2"/>
    <w:rsid w:val="00A411BD"/>
    <w:rsid w:val="00A41213"/>
    <w:rsid w:val="00A41959"/>
    <w:rsid w:val="00A41C72"/>
    <w:rsid w:val="00A41E12"/>
    <w:rsid w:val="00A424EE"/>
    <w:rsid w:val="00A4262F"/>
    <w:rsid w:val="00A426BF"/>
    <w:rsid w:val="00A427A2"/>
    <w:rsid w:val="00A42CF6"/>
    <w:rsid w:val="00A42D88"/>
    <w:rsid w:val="00A42DB5"/>
    <w:rsid w:val="00A42E23"/>
    <w:rsid w:val="00A430A3"/>
    <w:rsid w:val="00A430F9"/>
    <w:rsid w:val="00A43282"/>
    <w:rsid w:val="00A43286"/>
    <w:rsid w:val="00A43843"/>
    <w:rsid w:val="00A43D5D"/>
    <w:rsid w:val="00A43ED6"/>
    <w:rsid w:val="00A44165"/>
    <w:rsid w:val="00A443E5"/>
    <w:rsid w:val="00A44418"/>
    <w:rsid w:val="00A4449E"/>
    <w:rsid w:val="00A44E53"/>
    <w:rsid w:val="00A4583D"/>
    <w:rsid w:val="00A458BB"/>
    <w:rsid w:val="00A45C15"/>
    <w:rsid w:val="00A45D58"/>
    <w:rsid w:val="00A46904"/>
    <w:rsid w:val="00A46981"/>
    <w:rsid w:val="00A46BA2"/>
    <w:rsid w:val="00A46D04"/>
    <w:rsid w:val="00A46E74"/>
    <w:rsid w:val="00A46FDF"/>
    <w:rsid w:val="00A4737C"/>
    <w:rsid w:val="00A4761B"/>
    <w:rsid w:val="00A477D3"/>
    <w:rsid w:val="00A47911"/>
    <w:rsid w:val="00A47C5B"/>
    <w:rsid w:val="00A503DE"/>
    <w:rsid w:val="00A508E5"/>
    <w:rsid w:val="00A509E2"/>
    <w:rsid w:val="00A50A63"/>
    <w:rsid w:val="00A50B61"/>
    <w:rsid w:val="00A50B7B"/>
    <w:rsid w:val="00A50D2D"/>
    <w:rsid w:val="00A50EFF"/>
    <w:rsid w:val="00A50F2F"/>
    <w:rsid w:val="00A50FCF"/>
    <w:rsid w:val="00A51036"/>
    <w:rsid w:val="00A512A5"/>
    <w:rsid w:val="00A51744"/>
    <w:rsid w:val="00A523E7"/>
    <w:rsid w:val="00A52782"/>
    <w:rsid w:val="00A528D1"/>
    <w:rsid w:val="00A52A4A"/>
    <w:rsid w:val="00A52D34"/>
    <w:rsid w:val="00A53319"/>
    <w:rsid w:val="00A5335B"/>
    <w:rsid w:val="00A5337B"/>
    <w:rsid w:val="00A53982"/>
    <w:rsid w:val="00A53D16"/>
    <w:rsid w:val="00A53FBB"/>
    <w:rsid w:val="00A54597"/>
    <w:rsid w:val="00A54AB9"/>
    <w:rsid w:val="00A550B7"/>
    <w:rsid w:val="00A551AD"/>
    <w:rsid w:val="00A55219"/>
    <w:rsid w:val="00A55B8D"/>
    <w:rsid w:val="00A55C7B"/>
    <w:rsid w:val="00A55D0D"/>
    <w:rsid w:val="00A55EEF"/>
    <w:rsid w:val="00A57053"/>
    <w:rsid w:val="00A57F82"/>
    <w:rsid w:val="00A6028D"/>
    <w:rsid w:val="00A60593"/>
    <w:rsid w:val="00A60715"/>
    <w:rsid w:val="00A60DF4"/>
    <w:rsid w:val="00A610CD"/>
    <w:rsid w:val="00A6167F"/>
    <w:rsid w:val="00A619F4"/>
    <w:rsid w:val="00A61F90"/>
    <w:rsid w:val="00A62094"/>
    <w:rsid w:val="00A6209A"/>
    <w:rsid w:val="00A62487"/>
    <w:rsid w:val="00A62B85"/>
    <w:rsid w:val="00A62CF1"/>
    <w:rsid w:val="00A63437"/>
    <w:rsid w:val="00A635E2"/>
    <w:rsid w:val="00A637C7"/>
    <w:rsid w:val="00A63A0D"/>
    <w:rsid w:val="00A640EF"/>
    <w:rsid w:val="00A64457"/>
    <w:rsid w:val="00A64A93"/>
    <w:rsid w:val="00A64C4D"/>
    <w:rsid w:val="00A65056"/>
    <w:rsid w:val="00A65066"/>
    <w:rsid w:val="00A65569"/>
    <w:rsid w:val="00A65638"/>
    <w:rsid w:val="00A658E1"/>
    <w:rsid w:val="00A65AC3"/>
    <w:rsid w:val="00A66363"/>
    <w:rsid w:val="00A666C4"/>
    <w:rsid w:val="00A66A0A"/>
    <w:rsid w:val="00A66F3A"/>
    <w:rsid w:val="00A67020"/>
    <w:rsid w:val="00A671A3"/>
    <w:rsid w:val="00A67360"/>
    <w:rsid w:val="00A678CE"/>
    <w:rsid w:val="00A67FD8"/>
    <w:rsid w:val="00A706D2"/>
    <w:rsid w:val="00A7105A"/>
    <w:rsid w:val="00A7132D"/>
    <w:rsid w:val="00A7190E"/>
    <w:rsid w:val="00A71B59"/>
    <w:rsid w:val="00A72174"/>
    <w:rsid w:val="00A7230A"/>
    <w:rsid w:val="00A725D8"/>
    <w:rsid w:val="00A72791"/>
    <w:rsid w:val="00A72957"/>
    <w:rsid w:val="00A72D33"/>
    <w:rsid w:val="00A72EDD"/>
    <w:rsid w:val="00A731BF"/>
    <w:rsid w:val="00A7333A"/>
    <w:rsid w:val="00A73892"/>
    <w:rsid w:val="00A73921"/>
    <w:rsid w:val="00A73B2E"/>
    <w:rsid w:val="00A73B7E"/>
    <w:rsid w:val="00A7401D"/>
    <w:rsid w:val="00A7407B"/>
    <w:rsid w:val="00A7408E"/>
    <w:rsid w:val="00A740B9"/>
    <w:rsid w:val="00A74164"/>
    <w:rsid w:val="00A74A27"/>
    <w:rsid w:val="00A74AB4"/>
    <w:rsid w:val="00A75510"/>
    <w:rsid w:val="00A757DB"/>
    <w:rsid w:val="00A757F2"/>
    <w:rsid w:val="00A75A9C"/>
    <w:rsid w:val="00A75B29"/>
    <w:rsid w:val="00A76611"/>
    <w:rsid w:val="00A76794"/>
    <w:rsid w:val="00A76DB5"/>
    <w:rsid w:val="00A76DDE"/>
    <w:rsid w:val="00A77001"/>
    <w:rsid w:val="00A770A5"/>
    <w:rsid w:val="00A770F7"/>
    <w:rsid w:val="00A77576"/>
    <w:rsid w:val="00A77801"/>
    <w:rsid w:val="00A80459"/>
    <w:rsid w:val="00A804C0"/>
    <w:rsid w:val="00A80A6B"/>
    <w:rsid w:val="00A80D36"/>
    <w:rsid w:val="00A80F30"/>
    <w:rsid w:val="00A817B6"/>
    <w:rsid w:val="00A81D4D"/>
    <w:rsid w:val="00A81E6D"/>
    <w:rsid w:val="00A82364"/>
    <w:rsid w:val="00A82517"/>
    <w:rsid w:val="00A825A1"/>
    <w:rsid w:val="00A82EA7"/>
    <w:rsid w:val="00A83555"/>
    <w:rsid w:val="00A83678"/>
    <w:rsid w:val="00A837F7"/>
    <w:rsid w:val="00A8380C"/>
    <w:rsid w:val="00A83B24"/>
    <w:rsid w:val="00A83D29"/>
    <w:rsid w:val="00A83D2C"/>
    <w:rsid w:val="00A84096"/>
    <w:rsid w:val="00A842A0"/>
    <w:rsid w:val="00A84403"/>
    <w:rsid w:val="00A849C5"/>
    <w:rsid w:val="00A84A29"/>
    <w:rsid w:val="00A84D3B"/>
    <w:rsid w:val="00A84EEE"/>
    <w:rsid w:val="00A85477"/>
    <w:rsid w:val="00A85714"/>
    <w:rsid w:val="00A859F8"/>
    <w:rsid w:val="00A85C23"/>
    <w:rsid w:val="00A85F99"/>
    <w:rsid w:val="00A862F8"/>
    <w:rsid w:val="00A86548"/>
    <w:rsid w:val="00A8656B"/>
    <w:rsid w:val="00A866D0"/>
    <w:rsid w:val="00A86937"/>
    <w:rsid w:val="00A86D00"/>
    <w:rsid w:val="00A870AE"/>
    <w:rsid w:val="00A87156"/>
    <w:rsid w:val="00A87652"/>
    <w:rsid w:val="00A87819"/>
    <w:rsid w:val="00A9097D"/>
    <w:rsid w:val="00A90A31"/>
    <w:rsid w:val="00A90B35"/>
    <w:rsid w:val="00A912E1"/>
    <w:rsid w:val="00A912F8"/>
    <w:rsid w:val="00A91484"/>
    <w:rsid w:val="00A918C1"/>
    <w:rsid w:val="00A91B9E"/>
    <w:rsid w:val="00A91FCA"/>
    <w:rsid w:val="00A9258C"/>
    <w:rsid w:val="00A927C1"/>
    <w:rsid w:val="00A92B2D"/>
    <w:rsid w:val="00A92D19"/>
    <w:rsid w:val="00A930A2"/>
    <w:rsid w:val="00A93138"/>
    <w:rsid w:val="00A93522"/>
    <w:rsid w:val="00A9366F"/>
    <w:rsid w:val="00A93F13"/>
    <w:rsid w:val="00A93F39"/>
    <w:rsid w:val="00A94080"/>
    <w:rsid w:val="00A943B4"/>
    <w:rsid w:val="00A94E0E"/>
    <w:rsid w:val="00A9538F"/>
    <w:rsid w:val="00A95457"/>
    <w:rsid w:val="00A95535"/>
    <w:rsid w:val="00A9580A"/>
    <w:rsid w:val="00A95B5A"/>
    <w:rsid w:val="00A95C36"/>
    <w:rsid w:val="00A95C6E"/>
    <w:rsid w:val="00A95CBB"/>
    <w:rsid w:val="00A96001"/>
    <w:rsid w:val="00A96A88"/>
    <w:rsid w:val="00A972D1"/>
    <w:rsid w:val="00A978BF"/>
    <w:rsid w:val="00A97B33"/>
    <w:rsid w:val="00A97BA9"/>
    <w:rsid w:val="00A97FB6"/>
    <w:rsid w:val="00AA0751"/>
    <w:rsid w:val="00AA09A2"/>
    <w:rsid w:val="00AA09B7"/>
    <w:rsid w:val="00AA0C7D"/>
    <w:rsid w:val="00AA1294"/>
    <w:rsid w:val="00AA1455"/>
    <w:rsid w:val="00AA18B0"/>
    <w:rsid w:val="00AA26F7"/>
    <w:rsid w:val="00AA299D"/>
    <w:rsid w:val="00AA2DB7"/>
    <w:rsid w:val="00AA32A7"/>
    <w:rsid w:val="00AA3666"/>
    <w:rsid w:val="00AA380B"/>
    <w:rsid w:val="00AA3CC3"/>
    <w:rsid w:val="00AA3DE2"/>
    <w:rsid w:val="00AA3DF8"/>
    <w:rsid w:val="00AA42C4"/>
    <w:rsid w:val="00AA4463"/>
    <w:rsid w:val="00AA51E1"/>
    <w:rsid w:val="00AA556F"/>
    <w:rsid w:val="00AA56D0"/>
    <w:rsid w:val="00AA5754"/>
    <w:rsid w:val="00AA5943"/>
    <w:rsid w:val="00AA59DB"/>
    <w:rsid w:val="00AA609D"/>
    <w:rsid w:val="00AA61E8"/>
    <w:rsid w:val="00AA64DD"/>
    <w:rsid w:val="00AA652D"/>
    <w:rsid w:val="00AA7020"/>
    <w:rsid w:val="00AA7654"/>
    <w:rsid w:val="00AA78A9"/>
    <w:rsid w:val="00AA78EE"/>
    <w:rsid w:val="00AA7937"/>
    <w:rsid w:val="00AA7D06"/>
    <w:rsid w:val="00AA7DEB"/>
    <w:rsid w:val="00AB00C5"/>
    <w:rsid w:val="00AB0351"/>
    <w:rsid w:val="00AB0512"/>
    <w:rsid w:val="00AB0C45"/>
    <w:rsid w:val="00AB1190"/>
    <w:rsid w:val="00AB12CD"/>
    <w:rsid w:val="00AB1501"/>
    <w:rsid w:val="00AB15C9"/>
    <w:rsid w:val="00AB184F"/>
    <w:rsid w:val="00AB1A87"/>
    <w:rsid w:val="00AB1B78"/>
    <w:rsid w:val="00AB1C07"/>
    <w:rsid w:val="00AB1D5F"/>
    <w:rsid w:val="00AB1DE7"/>
    <w:rsid w:val="00AB21D6"/>
    <w:rsid w:val="00AB24EE"/>
    <w:rsid w:val="00AB259A"/>
    <w:rsid w:val="00AB2716"/>
    <w:rsid w:val="00AB2C4D"/>
    <w:rsid w:val="00AB2F76"/>
    <w:rsid w:val="00AB3046"/>
    <w:rsid w:val="00AB314E"/>
    <w:rsid w:val="00AB338C"/>
    <w:rsid w:val="00AB35F3"/>
    <w:rsid w:val="00AB36A9"/>
    <w:rsid w:val="00AB3B18"/>
    <w:rsid w:val="00AB40D0"/>
    <w:rsid w:val="00AB43F6"/>
    <w:rsid w:val="00AB446E"/>
    <w:rsid w:val="00AB48B7"/>
    <w:rsid w:val="00AB5770"/>
    <w:rsid w:val="00AB5E01"/>
    <w:rsid w:val="00AB60D9"/>
    <w:rsid w:val="00AB62FD"/>
    <w:rsid w:val="00AB6544"/>
    <w:rsid w:val="00AB66AE"/>
    <w:rsid w:val="00AB66BF"/>
    <w:rsid w:val="00AB6874"/>
    <w:rsid w:val="00AB6DE5"/>
    <w:rsid w:val="00AB7183"/>
    <w:rsid w:val="00AB766B"/>
    <w:rsid w:val="00AB76A6"/>
    <w:rsid w:val="00AB7D09"/>
    <w:rsid w:val="00AC00C7"/>
    <w:rsid w:val="00AC0121"/>
    <w:rsid w:val="00AC02FB"/>
    <w:rsid w:val="00AC0F57"/>
    <w:rsid w:val="00AC118D"/>
    <w:rsid w:val="00AC1248"/>
    <w:rsid w:val="00AC1293"/>
    <w:rsid w:val="00AC16B3"/>
    <w:rsid w:val="00AC18F1"/>
    <w:rsid w:val="00AC19CB"/>
    <w:rsid w:val="00AC1AD1"/>
    <w:rsid w:val="00AC204B"/>
    <w:rsid w:val="00AC2AC5"/>
    <w:rsid w:val="00AC2D36"/>
    <w:rsid w:val="00AC3102"/>
    <w:rsid w:val="00AC3301"/>
    <w:rsid w:val="00AC3617"/>
    <w:rsid w:val="00AC3E50"/>
    <w:rsid w:val="00AC4030"/>
    <w:rsid w:val="00AC41F0"/>
    <w:rsid w:val="00AC4863"/>
    <w:rsid w:val="00AC4BEC"/>
    <w:rsid w:val="00AC4DB7"/>
    <w:rsid w:val="00AC534C"/>
    <w:rsid w:val="00AC5508"/>
    <w:rsid w:val="00AC5AD5"/>
    <w:rsid w:val="00AC5ADF"/>
    <w:rsid w:val="00AC5B89"/>
    <w:rsid w:val="00AC5F68"/>
    <w:rsid w:val="00AC6BD1"/>
    <w:rsid w:val="00AC6C7A"/>
    <w:rsid w:val="00AC6DFA"/>
    <w:rsid w:val="00AC7152"/>
    <w:rsid w:val="00AC7163"/>
    <w:rsid w:val="00AC74B7"/>
    <w:rsid w:val="00AC750B"/>
    <w:rsid w:val="00AC766D"/>
    <w:rsid w:val="00AC787F"/>
    <w:rsid w:val="00AC7CE6"/>
    <w:rsid w:val="00AD0B73"/>
    <w:rsid w:val="00AD1142"/>
    <w:rsid w:val="00AD1157"/>
    <w:rsid w:val="00AD198B"/>
    <w:rsid w:val="00AD1AC2"/>
    <w:rsid w:val="00AD1D81"/>
    <w:rsid w:val="00AD1DB5"/>
    <w:rsid w:val="00AD20C3"/>
    <w:rsid w:val="00AD2972"/>
    <w:rsid w:val="00AD2C61"/>
    <w:rsid w:val="00AD2CA9"/>
    <w:rsid w:val="00AD2D8E"/>
    <w:rsid w:val="00AD2DA0"/>
    <w:rsid w:val="00AD2F8F"/>
    <w:rsid w:val="00AD31E9"/>
    <w:rsid w:val="00AD3494"/>
    <w:rsid w:val="00AD34CF"/>
    <w:rsid w:val="00AD3A22"/>
    <w:rsid w:val="00AD3BFB"/>
    <w:rsid w:val="00AD446C"/>
    <w:rsid w:val="00AD44F8"/>
    <w:rsid w:val="00AD452F"/>
    <w:rsid w:val="00AD4990"/>
    <w:rsid w:val="00AD4B34"/>
    <w:rsid w:val="00AD4D37"/>
    <w:rsid w:val="00AD532A"/>
    <w:rsid w:val="00AD534E"/>
    <w:rsid w:val="00AD562C"/>
    <w:rsid w:val="00AD5B3C"/>
    <w:rsid w:val="00AD68E8"/>
    <w:rsid w:val="00AD6A7C"/>
    <w:rsid w:val="00AD6F41"/>
    <w:rsid w:val="00AD7098"/>
    <w:rsid w:val="00AD7BB2"/>
    <w:rsid w:val="00AD7F25"/>
    <w:rsid w:val="00AD7F4B"/>
    <w:rsid w:val="00AD7FD7"/>
    <w:rsid w:val="00AE0023"/>
    <w:rsid w:val="00AE00E5"/>
    <w:rsid w:val="00AE02FB"/>
    <w:rsid w:val="00AE04A1"/>
    <w:rsid w:val="00AE05ED"/>
    <w:rsid w:val="00AE063F"/>
    <w:rsid w:val="00AE0CEB"/>
    <w:rsid w:val="00AE103A"/>
    <w:rsid w:val="00AE11E5"/>
    <w:rsid w:val="00AE128C"/>
    <w:rsid w:val="00AE15C0"/>
    <w:rsid w:val="00AE16D7"/>
    <w:rsid w:val="00AE16DB"/>
    <w:rsid w:val="00AE1770"/>
    <w:rsid w:val="00AE185A"/>
    <w:rsid w:val="00AE2101"/>
    <w:rsid w:val="00AE2112"/>
    <w:rsid w:val="00AE27F6"/>
    <w:rsid w:val="00AE2C5D"/>
    <w:rsid w:val="00AE2C77"/>
    <w:rsid w:val="00AE3479"/>
    <w:rsid w:val="00AE3A24"/>
    <w:rsid w:val="00AE3E62"/>
    <w:rsid w:val="00AE46DB"/>
    <w:rsid w:val="00AE48BB"/>
    <w:rsid w:val="00AE4924"/>
    <w:rsid w:val="00AE4D51"/>
    <w:rsid w:val="00AE502F"/>
    <w:rsid w:val="00AE5488"/>
    <w:rsid w:val="00AE6775"/>
    <w:rsid w:val="00AE68F1"/>
    <w:rsid w:val="00AE6AC2"/>
    <w:rsid w:val="00AE6B83"/>
    <w:rsid w:val="00AE6DE4"/>
    <w:rsid w:val="00AE6F59"/>
    <w:rsid w:val="00AE6F91"/>
    <w:rsid w:val="00AE73B1"/>
    <w:rsid w:val="00AE77C4"/>
    <w:rsid w:val="00AF02DF"/>
    <w:rsid w:val="00AF03CA"/>
    <w:rsid w:val="00AF05C1"/>
    <w:rsid w:val="00AF05F7"/>
    <w:rsid w:val="00AF076C"/>
    <w:rsid w:val="00AF0A62"/>
    <w:rsid w:val="00AF0DA1"/>
    <w:rsid w:val="00AF127A"/>
    <w:rsid w:val="00AF1EC1"/>
    <w:rsid w:val="00AF240F"/>
    <w:rsid w:val="00AF2553"/>
    <w:rsid w:val="00AF298E"/>
    <w:rsid w:val="00AF2A30"/>
    <w:rsid w:val="00AF3064"/>
    <w:rsid w:val="00AF3E3C"/>
    <w:rsid w:val="00AF423D"/>
    <w:rsid w:val="00AF425D"/>
    <w:rsid w:val="00AF4278"/>
    <w:rsid w:val="00AF44C3"/>
    <w:rsid w:val="00AF4BC2"/>
    <w:rsid w:val="00AF4C2C"/>
    <w:rsid w:val="00AF4D3A"/>
    <w:rsid w:val="00AF52A5"/>
    <w:rsid w:val="00AF53C6"/>
    <w:rsid w:val="00AF5571"/>
    <w:rsid w:val="00AF57C9"/>
    <w:rsid w:val="00AF596C"/>
    <w:rsid w:val="00AF5E7A"/>
    <w:rsid w:val="00AF5F6D"/>
    <w:rsid w:val="00AF60E0"/>
    <w:rsid w:val="00AF6575"/>
    <w:rsid w:val="00AF6A32"/>
    <w:rsid w:val="00AF6AFF"/>
    <w:rsid w:val="00AF72D7"/>
    <w:rsid w:val="00AF7627"/>
    <w:rsid w:val="00AF7667"/>
    <w:rsid w:val="00AF77AE"/>
    <w:rsid w:val="00AF7B8C"/>
    <w:rsid w:val="00AF7E11"/>
    <w:rsid w:val="00AF7F97"/>
    <w:rsid w:val="00B00247"/>
    <w:rsid w:val="00B00B50"/>
    <w:rsid w:val="00B00D24"/>
    <w:rsid w:val="00B00FAB"/>
    <w:rsid w:val="00B011F2"/>
    <w:rsid w:val="00B01464"/>
    <w:rsid w:val="00B01497"/>
    <w:rsid w:val="00B01851"/>
    <w:rsid w:val="00B0192B"/>
    <w:rsid w:val="00B01CCE"/>
    <w:rsid w:val="00B0203B"/>
    <w:rsid w:val="00B025E2"/>
    <w:rsid w:val="00B0260E"/>
    <w:rsid w:val="00B02C4E"/>
    <w:rsid w:val="00B02FBE"/>
    <w:rsid w:val="00B0318B"/>
    <w:rsid w:val="00B032ED"/>
    <w:rsid w:val="00B0341D"/>
    <w:rsid w:val="00B03A4D"/>
    <w:rsid w:val="00B04B7D"/>
    <w:rsid w:val="00B05B37"/>
    <w:rsid w:val="00B05E39"/>
    <w:rsid w:val="00B0644A"/>
    <w:rsid w:val="00B06C1C"/>
    <w:rsid w:val="00B06CFC"/>
    <w:rsid w:val="00B07000"/>
    <w:rsid w:val="00B077CE"/>
    <w:rsid w:val="00B07EBA"/>
    <w:rsid w:val="00B102E9"/>
    <w:rsid w:val="00B1069D"/>
    <w:rsid w:val="00B1083F"/>
    <w:rsid w:val="00B10BB6"/>
    <w:rsid w:val="00B10F4E"/>
    <w:rsid w:val="00B117A4"/>
    <w:rsid w:val="00B11988"/>
    <w:rsid w:val="00B11B2D"/>
    <w:rsid w:val="00B11BE3"/>
    <w:rsid w:val="00B12238"/>
    <w:rsid w:val="00B122BA"/>
    <w:rsid w:val="00B12686"/>
    <w:rsid w:val="00B12ACF"/>
    <w:rsid w:val="00B12FA9"/>
    <w:rsid w:val="00B13110"/>
    <w:rsid w:val="00B1311E"/>
    <w:rsid w:val="00B131AB"/>
    <w:rsid w:val="00B13D6E"/>
    <w:rsid w:val="00B144FB"/>
    <w:rsid w:val="00B1450E"/>
    <w:rsid w:val="00B14767"/>
    <w:rsid w:val="00B14E0A"/>
    <w:rsid w:val="00B14F28"/>
    <w:rsid w:val="00B14F30"/>
    <w:rsid w:val="00B151CC"/>
    <w:rsid w:val="00B152B3"/>
    <w:rsid w:val="00B15889"/>
    <w:rsid w:val="00B15D1A"/>
    <w:rsid w:val="00B160E9"/>
    <w:rsid w:val="00B163F4"/>
    <w:rsid w:val="00B164CA"/>
    <w:rsid w:val="00B164DE"/>
    <w:rsid w:val="00B1664E"/>
    <w:rsid w:val="00B16CD1"/>
    <w:rsid w:val="00B16EB9"/>
    <w:rsid w:val="00B171B3"/>
    <w:rsid w:val="00B1736D"/>
    <w:rsid w:val="00B17715"/>
    <w:rsid w:val="00B1773A"/>
    <w:rsid w:val="00B177BC"/>
    <w:rsid w:val="00B17D92"/>
    <w:rsid w:val="00B17FA3"/>
    <w:rsid w:val="00B20071"/>
    <w:rsid w:val="00B203F2"/>
    <w:rsid w:val="00B20412"/>
    <w:rsid w:val="00B20723"/>
    <w:rsid w:val="00B20D79"/>
    <w:rsid w:val="00B21524"/>
    <w:rsid w:val="00B21531"/>
    <w:rsid w:val="00B216D9"/>
    <w:rsid w:val="00B218E3"/>
    <w:rsid w:val="00B21948"/>
    <w:rsid w:val="00B21BE2"/>
    <w:rsid w:val="00B23283"/>
    <w:rsid w:val="00B233D9"/>
    <w:rsid w:val="00B23409"/>
    <w:rsid w:val="00B2426C"/>
    <w:rsid w:val="00B2495F"/>
    <w:rsid w:val="00B24991"/>
    <w:rsid w:val="00B25283"/>
    <w:rsid w:val="00B2572A"/>
    <w:rsid w:val="00B25CDF"/>
    <w:rsid w:val="00B25D62"/>
    <w:rsid w:val="00B262A4"/>
    <w:rsid w:val="00B26458"/>
    <w:rsid w:val="00B264BC"/>
    <w:rsid w:val="00B26584"/>
    <w:rsid w:val="00B266B7"/>
    <w:rsid w:val="00B266DC"/>
    <w:rsid w:val="00B26723"/>
    <w:rsid w:val="00B2694A"/>
    <w:rsid w:val="00B26AAC"/>
    <w:rsid w:val="00B26E3E"/>
    <w:rsid w:val="00B26EA8"/>
    <w:rsid w:val="00B26FB4"/>
    <w:rsid w:val="00B273C8"/>
    <w:rsid w:val="00B2753D"/>
    <w:rsid w:val="00B27827"/>
    <w:rsid w:val="00B27BCD"/>
    <w:rsid w:val="00B302C7"/>
    <w:rsid w:val="00B30539"/>
    <w:rsid w:val="00B30977"/>
    <w:rsid w:val="00B30CFD"/>
    <w:rsid w:val="00B30F4B"/>
    <w:rsid w:val="00B31195"/>
    <w:rsid w:val="00B314DB"/>
    <w:rsid w:val="00B316B5"/>
    <w:rsid w:val="00B316B6"/>
    <w:rsid w:val="00B31A96"/>
    <w:rsid w:val="00B31F46"/>
    <w:rsid w:val="00B31F88"/>
    <w:rsid w:val="00B32BEC"/>
    <w:rsid w:val="00B32E9B"/>
    <w:rsid w:val="00B33091"/>
    <w:rsid w:val="00B332F0"/>
    <w:rsid w:val="00B33E12"/>
    <w:rsid w:val="00B34535"/>
    <w:rsid w:val="00B34991"/>
    <w:rsid w:val="00B349D1"/>
    <w:rsid w:val="00B34ACE"/>
    <w:rsid w:val="00B34D89"/>
    <w:rsid w:val="00B34DF4"/>
    <w:rsid w:val="00B35161"/>
    <w:rsid w:val="00B356B0"/>
    <w:rsid w:val="00B36240"/>
    <w:rsid w:val="00B36D53"/>
    <w:rsid w:val="00B3701B"/>
    <w:rsid w:val="00B37176"/>
    <w:rsid w:val="00B3718B"/>
    <w:rsid w:val="00B37228"/>
    <w:rsid w:val="00B37446"/>
    <w:rsid w:val="00B40069"/>
    <w:rsid w:val="00B40090"/>
    <w:rsid w:val="00B401E0"/>
    <w:rsid w:val="00B4041B"/>
    <w:rsid w:val="00B4060E"/>
    <w:rsid w:val="00B40787"/>
    <w:rsid w:val="00B40DDA"/>
    <w:rsid w:val="00B40FB2"/>
    <w:rsid w:val="00B40FC2"/>
    <w:rsid w:val="00B4164E"/>
    <w:rsid w:val="00B41C05"/>
    <w:rsid w:val="00B41E18"/>
    <w:rsid w:val="00B4208B"/>
    <w:rsid w:val="00B4285E"/>
    <w:rsid w:val="00B42BA3"/>
    <w:rsid w:val="00B42BDB"/>
    <w:rsid w:val="00B42CE3"/>
    <w:rsid w:val="00B43021"/>
    <w:rsid w:val="00B4321D"/>
    <w:rsid w:val="00B434AA"/>
    <w:rsid w:val="00B435FD"/>
    <w:rsid w:val="00B43AE5"/>
    <w:rsid w:val="00B43CAB"/>
    <w:rsid w:val="00B43CB8"/>
    <w:rsid w:val="00B43D0C"/>
    <w:rsid w:val="00B43EA2"/>
    <w:rsid w:val="00B43FBF"/>
    <w:rsid w:val="00B442C7"/>
    <w:rsid w:val="00B44AF4"/>
    <w:rsid w:val="00B44C7C"/>
    <w:rsid w:val="00B44DD3"/>
    <w:rsid w:val="00B453F2"/>
    <w:rsid w:val="00B455A6"/>
    <w:rsid w:val="00B456B1"/>
    <w:rsid w:val="00B45759"/>
    <w:rsid w:val="00B458A8"/>
    <w:rsid w:val="00B46228"/>
    <w:rsid w:val="00B4632A"/>
    <w:rsid w:val="00B46398"/>
    <w:rsid w:val="00B46A0F"/>
    <w:rsid w:val="00B46E95"/>
    <w:rsid w:val="00B46F78"/>
    <w:rsid w:val="00B47278"/>
    <w:rsid w:val="00B473D0"/>
    <w:rsid w:val="00B474D7"/>
    <w:rsid w:val="00B476CE"/>
    <w:rsid w:val="00B502FA"/>
    <w:rsid w:val="00B503B1"/>
    <w:rsid w:val="00B50734"/>
    <w:rsid w:val="00B50D3F"/>
    <w:rsid w:val="00B50E37"/>
    <w:rsid w:val="00B51482"/>
    <w:rsid w:val="00B520E4"/>
    <w:rsid w:val="00B52769"/>
    <w:rsid w:val="00B528E6"/>
    <w:rsid w:val="00B530F1"/>
    <w:rsid w:val="00B5326D"/>
    <w:rsid w:val="00B5354B"/>
    <w:rsid w:val="00B53AD5"/>
    <w:rsid w:val="00B547BC"/>
    <w:rsid w:val="00B557CF"/>
    <w:rsid w:val="00B55CE1"/>
    <w:rsid w:val="00B56419"/>
    <w:rsid w:val="00B5652C"/>
    <w:rsid w:val="00B56769"/>
    <w:rsid w:val="00B56AC1"/>
    <w:rsid w:val="00B56B37"/>
    <w:rsid w:val="00B56CBE"/>
    <w:rsid w:val="00B56FE9"/>
    <w:rsid w:val="00B570E7"/>
    <w:rsid w:val="00B57E19"/>
    <w:rsid w:val="00B57F96"/>
    <w:rsid w:val="00B600EF"/>
    <w:rsid w:val="00B600F0"/>
    <w:rsid w:val="00B605C9"/>
    <w:rsid w:val="00B605E4"/>
    <w:rsid w:val="00B60964"/>
    <w:rsid w:val="00B60B0B"/>
    <w:rsid w:val="00B6113A"/>
    <w:rsid w:val="00B611B2"/>
    <w:rsid w:val="00B61680"/>
    <w:rsid w:val="00B6191C"/>
    <w:rsid w:val="00B61A09"/>
    <w:rsid w:val="00B61E91"/>
    <w:rsid w:val="00B61F31"/>
    <w:rsid w:val="00B61F6A"/>
    <w:rsid w:val="00B62D9D"/>
    <w:rsid w:val="00B62EFA"/>
    <w:rsid w:val="00B63484"/>
    <w:rsid w:val="00B6354D"/>
    <w:rsid w:val="00B636B5"/>
    <w:rsid w:val="00B63908"/>
    <w:rsid w:val="00B63922"/>
    <w:rsid w:val="00B64AE2"/>
    <w:rsid w:val="00B64B86"/>
    <w:rsid w:val="00B65B7D"/>
    <w:rsid w:val="00B65FAC"/>
    <w:rsid w:val="00B66131"/>
    <w:rsid w:val="00B663F0"/>
    <w:rsid w:val="00B6650F"/>
    <w:rsid w:val="00B66DDF"/>
    <w:rsid w:val="00B66F20"/>
    <w:rsid w:val="00B6720D"/>
    <w:rsid w:val="00B67696"/>
    <w:rsid w:val="00B67DA3"/>
    <w:rsid w:val="00B706EF"/>
    <w:rsid w:val="00B71751"/>
    <w:rsid w:val="00B71885"/>
    <w:rsid w:val="00B71BBE"/>
    <w:rsid w:val="00B7222E"/>
    <w:rsid w:val="00B72332"/>
    <w:rsid w:val="00B727DB"/>
    <w:rsid w:val="00B7294B"/>
    <w:rsid w:val="00B7294E"/>
    <w:rsid w:val="00B72977"/>
    <w:rsid w:val="00B72B38"/>
    <w:rsid w:val="00B72BCF"/>
    <w:rsid w:val="00B72C4A"/>
    <w:rsid w:val="00B73061"/>
    <w:rsid w:val="00B732CC"/>
    <w:rsid w:val="00B737A1"/>
    <w:rsid w:val="00B737FD"/>
    <w:rsid w:val="00B7425E"/>
    <w:rsid w:val="00B74930"/>
    <w:rsid w:val="00B74996"/>
    <w:rsid w:val="00B74A5E"/>
    <w:rsid w:val="00B74B77"/>
    <w:rsid w:val="00B74CF0"/>
    <w:rsid w:val="00B75126"/>
    <w:rsid w:val="00B752D3"/>
    <w:rsid w:val="00B75408"/>
    <w:rsid w:val="00B75A14"/>
    <w:rsid w:val="00B75A71"/>
    <w:rsid w:val="00B75DFE"/>
    <w:rsid w:val="00B767F5"/>
    <w:rsid w:val="00B769CB"/>
    <w:rsid w:val="00B76C0C"/>
    <w:rsid w:val="00B76D5E"/>
    <w:rsid w:val="00B76F8A"/>
    <w:rsid w:val="00B771FA"/>
    <w:rsid w:val="00B772CB"/>
    <w:rsid w:val="00B7769D"/>
    <w:rsid w:val="00B77911"/>
    <w:rsid w:val="00B77987"/>
    <w:rsid w:val="00B77FA9"/>
    <w:rsid w:val="00B80262"/>
    <w:rsid w:val="00B803AC"/>
    <w:rsid w:val="00B805BC"/>
    <w:rsid w:val="00B8064A"/>
    <w:rsid w:val="00B81169"/>
    <w:rsid w:val="00B8136C"/>
    <w:rsid w:val="00B8166D"/>
    <w:rsid w:val="00B81739"/>
    <w:rsid w:val="00B81742"/>
    <w:rsid w:val="00B819AD"/>
    <w:rsid w:val="00B81C16"/>
    <w:rsid w:val="00B81EAB"/>
    <w:rsid w:val="00B82744"/>
    <w:rsid w:val="00B8292A"/>
    <w:rsid w:val="00B8342B"/>
    <w:rsid w:val="00B83574"/>
    <w:rsid w:val="00B8368E"/>
    <w:rsid w:val="00B83C7C"/>
    <w:rsid w:val="00B83CD9"/>
    <w:rsid w:val="00B83ED3"/>
    <w:rsid w:val="00B84475"/>
    <w:rsid w:val="00B84561"/>
    <w:rsid w:val="00B84675"/>
    <w:rsid w:val="00B84D32"/>
    <w:rsid w:val="00B84D3D"/>
    <w:rsid w:val="00B84DDA"/>
    <w:rsid w:val="00B84FF0"/>
    <w:rsid w:val="00B850AA"/>
    <w:rsid w:val="00B851B0"/>
    <w:rsid w:val="00B85958"/>
    <w:rsid w:val="00B85B17"/>
    <w:rsid w:val="00B85D0F"/>
    <w:rsid w:val="00B86812"/>
    <w:rsid w:val="00B86C43"/>
    <w:rsid w:val="00B873B8"/>
    <w:rsid w:val="00B876EE"/>
    <w:rsid w:val="00B87ADF"/>
    <w:rsid w:val="00B87AF4"/>
    <w:rsid w:val="00B87DB6"/>
    <w:rsid w:val="00B9049C"/>
    <w:rsid w:val="00B906F3"/>
    <w:rsid w:val="00B90768"/>
    <w:rsid w:val="00B90CB4"/>
    <w:rsid w:val="00B90D86"/>
    <w:rsid w:val="00B90E79"/>
    <w:rsid w:val="00B90EC1"/>
    <w:rsid w:val="00B910C5"/>
    <w:rsid w:val="00B91154"/>
    <w:rsid w:val="00B91369"/>
    <w:rsid w:val="00B917C7"/>
    <w:rsid w:val="00B91CAC"/>
    <w:rsid w:val="00B91D22"/>
    <w:rsid w:val="00B91D9A"/>
    <w:rsid w:val="00B92358"/>
    <w:rsid w:val="00B9258D"/>
    <w:rsid w:val="00B92B20"/>
    <w:rsid w:val="00B92C9B"/>
    <w:rsid w:val="00B92D5A"/>
    <w:rsid w:val="00B92DA5"/>
    <w:rsid w:val="00B92F41"/>
    <w:rsid w:val="00B93439"/>
    <w:rsid w:val="00B9354E"/>
    <w:rsid w:val="00B93BDD"/>
    <w:rsid w:val="00B93FB0"/>
    <w:rsid w:val="00B93FE4"/>
    <w:rsid w:val="00B9432B"/>
    <w:rsid w:val="00B9434F"/>
    <w:rsid w:val="00B944F9"/>
    <w:rsid w:val="00B944FB"/>
    <w:rsid w:val="00B94589"/>
    <w:rsid w:val="00B94703"/>
    <w:rsid w:val="00B948CD"/>
    <w:rsid w:val="00B94B27"/>
    <w:rsid w:val="00B955AE"/>
    <w:rsid w:val="00B95C9D"/>
    <w:rsid w:val="00B95CD3"/>
    <w:rsid w:val="00B95DE5"/>
    <w:rsid w:val="00B95E11"/>
    <w:rsid w:val="00B95F34"/>
    <w:rsid w:val="00B961C3"/>
    <w:rsid w:val="00B96C30"/>
    <w:rsid w:val="00B96D63"/>
    <w:rsid w:val="00B96FC8"/>
    <w:rsid w:val="00B97310"/>
    <w:rsid w:val="00B975A6"/>
    <w:rsid w:val="00B97BAB"/>
    <w:rsid w:val="00BA031F"/>
    <w:rsid w:val="00BA04E9"/>
    <w:rsid w:val="00BA0A5E"/>
    <w:rsid w:val="00BA1C9C"/>
    <w:rsid w:val="00BA1D94"/>
    <w:rsid w:val="00BA1FD3"/>
    <w:rsid w:val="00BA234D"/>
    <w:rsid w:val="00BA24A2"/>
    <w:rsid w:val="00BA2600"/>
    <w:rsid w:val="00BA276C"/>
    <w:rsid w:val="00BA2DC2"/>
    <w:rsid w:val="00BA2F04"/>
    <w:rsid w:val="00BA2F4E"/>
    <w:rsid w:val="00BA32BC"/>
    <w:rsid w:val="00BA397F"/>
    <w:rsid w:val="00BA4052"/>
    <w:rsid w:val="00BA4224"/>
    <w:rsid w:val="00BA4589"/>
    <w:rsid w:val="00BA4746"/>
    <w:rsid w:val="00BA483C"/>
    <w:rsid w:val="00BA4C1D"/>
    <w:rsid w:val="00BA4E7D"/>
    <w:rsid w:val="00BA528B"/>
    <w:rsid w:val="00BA53BB"/>
    <w:rsid w:val="00BA573E"/>
    <w:rsid w:val="00BA5D29"/>
    <w:rsid w:val="00BA5E29"/>
    <w:rsid w:val="00BA6060"/>
    <w:rsid w:val="00BA619C"/>
    <w:rsid w:val="00BA6384"/>
    <w:rsid w:val="00BA63B3"/>
    <w:rsid w:val="00BA683E"/>
    <w:rsid w:val="00BA6B53"/>
    <w:rsid w:val="00BA6F6A"/>
    <w:rsid w:val="00BA7312"/>
    <w:rsid w:val="00BA73DD"/>
    <w:rsid w:val="00BA73E2"/>
    <w:rsid w:val="00BA76C8"/>
    <w:rsid w:val="00BA778F"/>
    <w:rsid w:val="00BA7859"/>
    <w:rsid w:val="00BA792D"/>
    <w:rsid w:val="00BA7B0C"/>
    <w:rsid w:val="00BA7C89"/>
    <w:rsid w:val="00BA7CCA"/>
    <w:rsid w:val="00BA7E1E"/>
    <w:rsid w:val="00BA7F1C"/>
    <w:rsid w:val="00BA7F2B"/>
    <w:rsid w:val="00BB0040"/>
    <w:rsid w:val="00BB01F4"/>
    <w:rsid w:val="00BB0213"/>
    <w:rsid w:val="00BB0839"/>
    <w:rsid w:val="00BB09C6"/>
    <w:rsid w:val="00BB0C60"/>
    <w:rsid w:val="00BB12CE"/>
    <w:rsid w:val="00BB15C3"/>
    <w:rsid w:val="00BB19E7"/>
    <w:rsid w:val="00BB1EBF"/>
    <w:rsid w:val="00BB1F5B"/>
    <w:rsid w:val="00BB1F6A"/>
    <w:rsid w:val="00BB208D"/>
    <w:rsid w:val="00BB23F0"/>
    <w:rsid w:val="00BB256D"/>
    <w:rsid w:val="00BB2B3F"/>
    <w:rsid w:val="00BB2D95"/>
    <w:rsid w:val="00BB2F42"/>
    <w:rsid w:val="00BB306F"/>
    <w:rsid w:val="00BB35E4"/>
    <w:rsid w:val="00BB369E"/>
    <w:rsid w:val="00BB4116"/>
    <w:rsid w:val="00BB4145"/>
    <w:rsid w:val="00BB4253"/>
    <w:rsid w:val="00BB495D"/>
    <w:rsid w:val="00BB49EB"/>
    <w:rsid w:val="00BB49F6"/>
    <w:rsid w:val="00BB4CC8"/>
    <w:rsid w:val="00BB4FB4"/>
    <w:rsid w:val="00BB52E6"/>
    <w:rsid w:val="00BB5322"/>
    <w:rsid w:val="00BB58D5"/>
    <w:rsid w:val="00BB5FC7"/>
    <w:rsid w:val="00BB6246"/>
    <w:rsid w:val="00BB658B"/>
    <w:rsid w:val="00BB664F"/>
    <w:rsid w:val="00BB6F7A"/>
    <w:rsid w:val="00BB742A"/>
    <w:rsid w:val="00BB7536"/>
    <w:rsid w:val="00BB776A"/>
    <w:rsid w:val="00BB79ED"/>
    <w:rsid w:val="00BB7C91"/>
    <w:rsid w:val="00BB7E95"/>
    <w:rsid w:val="00BC0622"/>
    <w:rsid w:val="00BC09CD"/>
    <w:rsid w:val="00BC0C0B"/>
    <w:rsid w:val="00BC1478"/>
    <w:rsid w:val="00BC175D"/>
    <w:rsid w:val="00BC18C9"/>
    <w:rsid w:val="00BC1967"/>
    <w:rsid w:val="00BC2339"/>
    <w:rsid w:val="00BC2AFC"/>
    <w:rsid w:val="00BC2D8D"/>
    <w:rsid w:val="00BC2EDB"/>
    <w:rsid w:val="00BC3590"/>
    <w:rsid w:val="00BC3AA1"/>
    <w:rsid w:val="00BC3BFC"/>
    <w:rsid w:val="00BC3C59"/>
    <w:rsid w:val="00BC4041"/>
    <w:rsid w:val="00BC4127"/>
    <w:rsid w:val="00BC433F"/>
    <w:rsid w:val="00BC4A2D"/>
    <w:rsid w:val="00BC4BE9"/>
    <w:rsid w:val="00BC4DAA"/>
    <w:rsid w:val="00BC4E19"/>
    <w:rsid w:val="00BC4F90"/>
    <w:rsid w:val="00BC5147"/>
    <w:rsid w:val="00BC57DB"/>
    <w:rsid w:val="00BC5941"/>
    <w:rsid w:val="00BC59C2"/>
    <w:rsid w:val="00BC5A13"/>
    <w:rsid w:val="00BC6005"/>
    <w:rsid w:val="00BC65A4"/>
    <w:rsid w:val="00BC668B"/>
    <w:rsid w:val="00BC668F"/>
    <w:rsid w:val="00BC6855"/>
    <w:rsid w:val="00BC6A1F"/>
    <w:rsid w:val="00BC6C67"/>
    <w:rsid w:val="00BC6DCB"/>
    <w:rsid w:val="00BC70E9"/>
    <w:rsid w:val="00BC7190"/>
    <w:rsid w:val="00BC7733"/>
    <w:rsid w:val="00BC7DEB"/>
    <w:rsid w:val="00BC7E4A"/>
    <w:rsid w:val="00BD0135"/>
    <w:rsid w:val="00BD01F4"/>
    <w:rsid w:val="00BD07CD"/>
    <w:rsid w:val="00BD09C0"/>
    <w:rsid w:val="00BD0C04"/>
    <w:rsid w:val="00BD0CF9"/>
    <w:rsid w:val="00BD0EB4"/>
    <w:rsid w:val="00BD1299"/>
    <w:rsid w:val="00BD2028"/>
    <w:rsid w:val="00BD23C2"/>
    <w:rsid w:val="00BD24F2"/>
    <w:rsid w:val="00BD2703"/>
    <w:rsid w:val="00BD2DF4"/>
    <w:rsid w:val="00BD3378"/>
    <w:rsid w:val="00BD33F7"/>
    <w:rsid w:val="00BD3A3F"/>
    <w:rsid w:val="00BD3C95"/>
    <w:rsid w:val="00BD3D92"/>
    <w:rsid w:val="00BD41AE"/>
    <w:rsid w:val="00BD41BB"/>
    <w:rsid w:val="00BD4730"/>
    <w:rsid w:val="00BD495B"/>
    <w:rsid w:val="00BD4A5B"/>
    <w:rsid w:val="00BD4B89"/>
    <w:rsid w:val="00BD51C3"/>
    <w:rsid w:val="00BD5584"/>
    <w:rsid w:val="00BD570C"/>
    <w:rsid w:val="00BD5712"/>
    <w:rsid w:val="00BD5A0F"/>
    <w:rsid w:val="00BD5A19"/>
    <w:rsid w:val="00BD5B6B"/>
    <w:rsid w:val="00BD5E95"/>
    <w:rsid w:val="00BD5F33"/>
    <w:rsid w:val="00BD6504"/>
    <w:rsid w:val="00BD66E0"/>
    <w:rsid w:val="00BD711F"/>
    <w:rsid w:val="00BD7265"/>
    <w:rsid w:val="00BD726E"/>
    <w:rsid w:val="00BD75AF"/>
    <w:rsid w:val="00BD7826"/>
    <w:rsid w:val="00BD7D1E"/>
    <w:rsid w:val="00BD7DCC"/>
    <w:rsid w:val="00BE025B"/>
    <w:rsid w:val="00BE047B"/>
    <w:rsid w:val="00BE0B95"/>
    <w:rsid w:val="00BE0CBC"/>
    <w:rsid w:val="00BE0D78"/>
    <w:rsid w:val="00BE0F76"/>
    <w:rsid w:val="00BE107F"/>
    <w:rsid w:val="00BE120D"/>
    <w:rsid w:val="00BE14D8"/>
    <w:rsid w:val="00BE167E"/>
    <w:rsid w:val="00BE1964"/>
    <w:rsid w:val="00BE1967"/>
    <w:rsid w:val="00BE19E0"/>
    <w:rsid w:val="00BE2AE0"/>
    <w:rsid w:val="00BE2FA0"/>
    <w:rsid w:val="00BE3101"/>
    <w:rsid w:val="00BE31DC"/>
    <w:rsid w:val="00BE33D4"/>
    <w:rsid w:val="00BE3526"/>
    <w:rsid w:val="00BE358A"/>
    <w:rsid w:val="00BE376B"/>
    <w:rsid w:val="00BE3D72"/>
    <w:rsid w:val="00BE3E56"/>
    <w:rsid w:val="00BE3FD6"/>
    <w:rsid w:val="00BE4112"/>
    <w:rsid w:val="00BE4A27"/>
    <w:rsid w:val="00BE4C47"/>
    <w:rsid w:val="00BE4DA0"/>
    <w:rsid w:val="00BE4F7C"/>
    <w:rsid w:val="00BE5987"/>
    <w:rsid w:val="00BE6435"/>
    <w:rsid w:val="00BE64AF"/>
    <w:rsid w:val="00BE65AE"/>
    <w:rsid w:val="00BE67F6"/>
    <w:rsid w:val="00BE6BF1"/>
    <w:rsid w:val="00BE6C00"/>
    <w:rsid w:val="00BE705C"/>
    <w:rsid w:val="00BE72B5"/>
    <w:rsid w:val="00BE73F9"/>
    <w:rsid w:val="00BE7794"/>
    <w:rsid w:val="00BE78F5"/>
    <w:rsid w:val="00BE7D95"/>
    <w:rsid w:val="00BF031D"/>
    <w:rsid w:val="00BF03D8"/>
    <w:rsid w:val="00BF0ACA"/>
    <w:rsid w:val="00BF111F"/>
    <w:rsid w:val="00BF180B"/>
    <w:rsid w:val="00BF1823"/>
    <w:rsid w:val="00BF1864"/>
    <w:rsid w:val="00BF1884"/>
    <w:rsid w:val="00BF1A40"/>
    <w:rsid w:val="00BF1B5A"/>
    <w:rsid w:val="00BF1D42"/>
    <w:rsid w:val="00BF2146"/>
    <w:rsid w:val="00BF23C2"/>
    <w:rsid w:val="00BF24DA"/>
    <w:rsid w:val="00BF2AEA"/>
    <w:rsid w:val="00BF339D"/>
    <w:rsid w:val="00BF3411"/>
    <w:rsid w:val="00BF3461"/>
    <w:rsid w:val="00BF34CC"/>
    <w:rsid w:val="00BF3DE7"/>
    <w:rsid w:val="00BF3DF6"/>
    <w:rsid w:val="00BF4CCB"/>
    <w:rsid w:val="00BF4D34"/>
    <w:rsid w:val="00BF5612"/>
    <w:rsid w:val="00BF5AF5"/>
    <w:rsid w:val="00BF5D7C"/>
    <w:rsid w:val="00BF61E1"/>
    <w:rsid w:val="00BF6533"/>
    <w:rsid w:val="00BF67FA"/>
    <w:rsid w:val="00BF6B82"/>
    <w:rsid w:val="00BF6E03"/>
    <w:rsid w:val="00BF6ED2"/>
    <w:rsid w:val="00BF6FD8"/>
    <w:rsid w:val="00BF7020"/>
    <w:rsid w:val="00BF717E"/>
    <w:rsid w:val="00BF71C4"/>
    <w:rsid w:val="00BF72EC"/>
    <w:rsid w:val="00BF77C1"/>
    <w:rsid w:val="00BF7A3B"/>
    <w:rsid w:val="00BF7D6D"/>
    <w:rsid w:val="00BF7F7C"/>
    <w:rsid w:val="00C0075D"/>
    <w:rsid w:val="00C007E5"/>
    <w:rsid w:val="00C00CE3"/>
    <w:rsid w:val="00C00E20"/>
    <w:rsid w:val="00C00ECB"/>
    <w:rsid w:val="00C0149A"/>
    <w:rsid w:val="00C01D45"/>
    <w:rsid w:val="00C01E60"/>
    <w:rsid w:val="00C0258D"/>
    <w:rsid w:val="00C0275D"/>
    <w:rsid w:val="00C029AF"/>
    <w:rsid w:val="00C02D36"/>
    <w:rsid w:val="00C02D73"/>
    <w:rsid w:val="00C02EA6"/>
    <w:rsid w:val="00C035E3"/>
    <w:rsid w:val="00C03680"/>
    <w:rsid w:val="00C03F9C"/>
    <w:rsid w:val="00C04314"/>
    <w:rsid w:val="00C04499"/>
    <w:rsid w:val="00C045F5"/>
    <w:rsid w:val="00C047D5"/>
    <w:rsid w:val="00C047D9"/>
    <w:rsid w:val="00C04983"/>
    <w:rsid w:val="00C04CBF"/>
    <w:rsid w:val="00C04DAE"/>
    <w:rsid w:val="00C04F37"/>
    <w:rsid w:val="00C05072"/>
    <w:rsid w:val="00C052ED"/>
    <w:rsid w:val="00C054DF"/>
    <w:rsid w:val="00C0580F"/>
    <w:rsid w:val="00C0593D"/>
    <w:rsid w:val="00C05AAD"/>
    <w:rsid w:val="00C05C0C"/>
    <w:rsid w:val="00C05EC5"/>
    <w:rsid w:val="00C05F10"/>
    <w:rsid w:val="00C060A9"/>
    <w:rsid w:val="00C06120"/>
    <w:rsid w:val="00C061B7"/>
    <w:rsid w:val="00C062C0"/>
    <w:rsid w:val="00C067C3"/>
    <w:rsid w:val="00C07082"/>
    <w:rsid w:val="00C071D4"/>
    <w:rsid w:val="00C1021C"/>
    <w:rsid w:val="00C104CC"/>
    <w:rsid w:val="00C1072B"/>
    <w:rsid w:val="00C10AFD"/>
    <w:rsid w:val="00C10C6B"/>
    <w:rsid w:val="00C10FED"/>
    <w:rsid w:val="00C11042"/>
    <w:rsid w:val="00C113F3"/>
    <w:rsid w:val="00C116E8"/>
    <w:rsid w:val="00C11A27"/>
    <w:rsid w:val="00C11B31"/>
    <w:rsid w:val="00C12378"/>
    <w:rsid w:val="00C12DEE"/>
    <w:rsid w:val="00C13281"/>
    <w:rsid w:val="00C1331C"/>
    <w:rsid w:val="00C135D0"/>
    <w:rsid w:val="00C13881"/>
    <w:rsid w:val="00C13D44"/>
    <w:rsid w:val="00C13EC3"/>
    <w:rsid w:val="00C14130"/>
    <w:rsid w:val="00C143A1"/>
    <w:rsid w:val="00C14978"/>
    <w:rsid w:val="00C14B28"/>
    <w:rsid w:val="00C14C7C"/>
    <w:rsid w:val="00C14D68"/>
    <w:rsid w:val="00C152A5"/>
    <w:rsid w:val="00C15A24"/>
    <w:rsid w:val="00C15A62"/>
    <w:rsid w:val="00C15E41"/>
    <w:rsid w:val="00C16451"/>
    <w:rsid w:val="00C16647"/>
    <w:rsid w:val="00C169C4"/>
    <w:rsid w:val="00C16DC0"/>
    <w:rsid w:val="00C173FA"/>
    <w:rsid w:val="00C174CA"/>
    <w:rsid w:val="00C17500"/>
    <w:rsid w:val="00C17777"/>
    <w:rsid w:val="00C17AFB"/>
    <w:rsid w:val="00C17B35"/>
    <w:rsid w:val="00C17BE7"/>
    <w:rsid w:val="00C17C8F"/>
    <w:rsid w:val="00C20C1C"/>
    <w:rsid w:val="00C20D9C"/>
    <w:rsid w:val="00C20E98"/>
    <w:rsid w:val="00C2104C"/>
    <w:rsid w:val="00C21762"/>
    <w:rsid w:val="00C21974"/>
    <w:rsid w:val="00C219CF"/>
    <w:rsid w:val="00C21E02"/>
    <w:rsid w:val="00C2207C"/>
    <w:rsid w:val="00C22335"/>
    <w:rsid w:val="00C2240A"/>
    <w:rsid w:val="00C22BEF"/>
    <w:rsid w:val="00C22D69"/>
    <w:rsid w:val="00C23131"/>
    <w:rsid w:val="00C232DE"/>
    <w:rsid w:val="00C233AC"/>
    <w:rsid w:val="00C2355D"/>
    <w:rsid w:val="00C236C1"/>
    <w:rsid w:val="00C23CB3"/>
    <w:rsid w:val="00C24060"/>
    <w:rsid w:val="00C24543"/>
    <w:rsid w:val="00C24624"/>
    <w:rsid w:val="00C247B9"/>
    <w:rsid w:val="00C24859"/>
    <w:rsid w:val="00C2499A"/>
    <w:rsid w:val="00C24A94"/>
    <w:rsid w:val="00C24CDF"/>
    <w:rsid w:val="00C24F21"/>
    <w:rsid w:val="00C2517B"/>
    <w:rsid w:val="00C25480"/>
    <w:rsid w:val="00C25607"/>
    <w:rsid w:val="00C256A2"/>
    <w:rsid w:val="00C2628F"/>
    <w:rsid w:val="00C265A1"/>
    <w:rsid w:val="00C26A02"/>
    <w:rsid w:val="00C26AD6"/>
    <w:rsid w:val="00C2728C"/>
    <w:rsid w:val="00C2766C"/>
    <w:rsid w:val="00C27A6A"/>
    <w:rsid w:val="00C300ED"/>
    <w:rsid w:val="00C30573"/>
    <w:rsid w:val="00C3095F"/>
    <w:rsid w:val="00C30AC4"/>
    <w:rsid w:val="00C30B9C"/>
    <w:rsid w:val="00C30D2D"/>
    <w:rsid w:val="00C317D2"/>
    <w:rsid w:val="00C3249B"/>
    <w:rsid w:val="00C32539"/>
    <w:rsid w:val="00C32962"/>
    <w:rsid w:val="00C329B6"/>
    <w:rsid w:val="00C331D7"/>
    <w:rsid w:val="00C33726"/>
    <w:rsid w:val="00C33A8F"/>
    <w:rsid w:val="00C33F62"/>
    <w:rsid w:val="00C34113"/>
    <w:rsid w:val="00C342D1"/>
    <w:rsid w:val="00C3457E"/>
    <w:rsid w:val="00C3495A"/>
    <w:rsid w:val="00C34A4C"/>
    <w:rsid w:val="00C34CEF"/>
    <w:rsid w:val="00C34E9B"/>
    <w:rsid w:val="00C35013"/>
    <w:rsid w:val="00C3530F"/>
    <w:rsid w:val="00C3534A"/>
    <w:rsid w:val="00C3552C"/>
    <w:rsid w:val="00C355E1"/>
    <w:rsid w:val="00C3601A"/>
    <w:rsid w:val="00C3612C"/>
    <w:rsid w:val="00C3617B"/>
    <w:rsid w:val="00C3623E"/>
    <w:rsid w:val="00C36D72"/>
    <w:rsid w:val="00C37495"/>
    <w:rsid w:val="00C37702"/>
    <w:rsid w:val="00C37D3B"/>
    <w:rsid w:val="00C37FDB"/>
    <w:rsid w:val="00C401C4"/>
    <w:rsid w:val="00C40219"/>
    <w:rsid w:val="00C405FE"/>
    <w:rsid w:val="00C40641"/>
    <w:rsid w:val="00C4082F"/>
    <w:rsid w:val="00C40A0A"/>
    <w:rsid w:val="00C40C74"/>
    <w:rsid w:val="00C40F4C"/>
    <w:rsid w:val="00C4102B"/>
    <w:rsid w:val="00C415F7"/>
    <w:rsid w:val="00C4160B"/>
    <w:rsid w:val="00C41985"/>
    <w:rsid w:val="00C41A67"/>
    <w:rsid w:val="00C41AD0"/>
    <w:rsid w:val="00C41D1E"/>
    <w:rsid w:val="00C41D81"/>
    <w:rsid w:val="00C41DDD"/>
    <w:rsid w:val="00C42BE7"/>
    <w:rsid w:val="00C433C4"/>
    <w:rsid w:val="00C437CD"/>
    <w:rsid w:val="00C439DF"/>
    <w:rsid w:val="00C43B41"/>
    <w:rsid w:val="00C43E22"/>
    <w:rsid w:val="00C440EB"/>
    <w:rsid w:val="00C441D8"/>
    <w:rsid w:val="00C44748"/>
    <w:rsid w:val="00C4519A"/>
    <w:rsid w:val="00C45415"/>
    <w:rsid w:val="00C45834"/>
    <w:rsid w:val="00C4584B"/>
    <w:rsid w:val="00C45D0C"/>
    <w:rsid w:val="00C45EB0"/>
    <w:rsid w:val="00C4633A"/>
    <w:rsid w:val="00C46451"/>
    <w:rsid w:val="00C46486"/>
    <w:rsid w:val="00C46810"/>
    <w:rsid w:val="00C46FA2"/>
    <w:rsid w:val="00C50392"/>
    <w:rsid w:val="00C50AE1"/>
    <w:rsid w:val="00C50E0A"/>
    <w:rsid w:val="00C512B7"/>
    <w:rsid w:val="00C51515"/>
    <w:rsid w:val="00C517D8"/>
    <w:rsid w:val="00C51884"/>
    <w:rsid w:val="00C51A9D"/>
    <w:rsid w:val="00C51AA5"/>
    <w:rsid w:val="00C51B12"/>
    <w:rsid w:val="00C51B54"/>
    <w:rsid w:val="00C51D13"/>
    <w:rsid w:val="00C52032"/>
    <w:rsid w:val="00C52A55"/>
    <w:rsid w:val="00C52E97"/>
    <w:rsid w:val="00C53067"/>
    <w:rsid w:val="00C531AE"/>
    <w:rsid w:val="00C53261"/>
    <w:rsid w:val="00C5332A"/>
    <w:rsid w:val="00C533FC"/>
    <w:rsid w:val="00C53834"/>
    <w:rsid w:val="00C53ADC"/>
    <w:rsid w:val="00C53B4B"/>
    <w:rsid w:val="00C54035"/>
    <w:rsid w:val="00C540FE"/>
    <w:rsid w:val="00C54598"/>
    <w:rsid w:val="00C554CF"/>
    <w:rsid w:val="00C55590"/>
    <w:rsid w:val="00C55DC5"/>
    <w:rsid w:val="00C56281"/>
    <w:rsid w:val="00C5660B"/>
    <w:rsid w:val="00C56633"/>
    <w:rsid w:val="00C56664"/>
    <w:rsid w:val="00C56BB7"/>
    <w:rsid w:val="00C573E1"/>
    <w:rsid w:val="00C578A4"/>
    <w:rsid w:val="00C604DB"/>
    <w:rsid w:val="00C60BA3"/>
    <w:rsid w:val="00C60EAA"/>
    <w:rsid w:val="00C60EEA"/>
    <w:rsid w:val="00C61082"/>
    <w:rsid w:val="00C61566"/>
    <w:rsid w:val="00C616B6"/>
    <w:rsid w:val="00C6179A"/>
    <w:rsid w:val="00C618CE"/>
    <w:rsid w:val="00C61CC5"/>
    <w:rsid w:val="00C62087"/>
    <w:rsid w:val="00C62141"/>
    <w:rsid w:val="00C62241"/>
    <w:rsid w:val="00C62AA8"/>
    <w:rsid w:val="00C62AE2"/>
    <w:rsid w:val="00C62CFF"/>
    <w:rsid w:val="00C62E4F"/>
    <w:rsid w:val="00C630D7"/>
    <w:rsid w:val="00C63412"/>
    <w:rsid w:val="00C6366B"/>
    <w:rsid w:val="00C639C6"/>
    <w:rsid w:val="00C639FB"/>
    <w:rsid w:val="00C63D51"/>
    <w:rsid w:val="00C6438A"/>
    <w:rsid w:val="00C64776"/>
    <w:rsid w:val="00C64BF2"/>
    <w:rsid w:val="00C65722"/>
    <w:rsid w:val="00C65B9E"/>
    <w:rsid w:val="00C65E14"/>
    <w:rsid w:val="00C66116"/>
    <w:rsid w:val="00C66284"/>
    <w:rsid w:val="00C66807"/>
    <w:rsid w:val="00C66B72"/>
    <w:rsid w:val="00C66E3D"/>
    <w:rsid w:val="00C67740"/>
    <w:rsid w:val="00C67A3B"/>
    <w:rsid w:val="00C7030F"/>
    <w:rsid w:val="00C709FD"/>
    <w:rsid w:val="00C710B8"/>
    <w:rsid w:val="00C7121C"/>
    <w:rsid w:val="00C713CE"/>
    <w:rsid w:val="00C713D2"/>
    <w:rsid w:val="00C71A49"/>
    <w:rsid w:val="00C71C0F"/>
    <w:rsid w:val="00C71F60"/>
    <w:rsid w:val="00C7235C"/>
    <w:rsid w:val="00C726E4"/>
    <w:rsid w:val="00C72736"/>
    <w:rsid w:val="00C7287F"/>
    <w:rsid w:val="00C72939"/>
    <w:rsid w:val="00C72BBD"/>
    <w:rsid w:val="00C73345"/>
    <w:rsid w:val="00C735AD"/>
    <w:rsid w:val="00C739D6"/>
    <w:rsid w:val="00C73D8E"/>
    <w:rsid w:val="00C73DCD"/>
    <w:rsid w:val="00C74342"/>
    <w:rsid w:val="00C746F6"/>
    <w:rsid w:val="00C74A29"/>
    <w:rsid w:val="00C751A0"/>
    <w:rsid w:val="00C7553C"/>
    <w:rsid w:val="00C75792"/>
    <w:rsid w:val="00C7582E"/>
    <w:rsid w:val="00C75FCA"/>
    <w:rsid w:val="00C7625C"/>
    <w:rsid w:val="00C762F5"/>
    <w:rsid w:val="00C7651F"/>
    <w:rsid w:val="00C768DE"/>
    <w:rsid w:val="00C769B0"/>
    <w:rsid w:val="00C76DF0"/>
    <w:rsid w:val="00C772D1"/>
    <w:rsid w:val="00C7755C"/>
    <w:rsid w:val="00C777AC"/>
    <w:rsid w:val="00C7781C"/>
    <w:rsid w:val="00C77960"/>
    <w:rsid w:val="00C77AF6"/>
    <w:rsid w:val="00C77BDE"/>
    <w:rsid w:val="00C80067"/>
    <w:rsid w:val="00C80704"/>
    <w:rsid w:val="00C8077D"/>
    <w:rsid w:val="00C80C86"/>
    <w:rsid w:val="00C80D43"/>
    <w:rsid w:val="00C817A5"/>
    <w:rsid w:val="00C819AF"/>
    <w:rsid w:val="00C81B10"/>
    <w:rsid w:val="00C81C21"/>
    <w:rsid w:val="00C825C1"/>
    <w:rsid w:val="00C8374B"/>
    <w:rsid w:val="00C8374C"/>
    <w:rsid w:val="00C8384D"/>
    <w:rsid w:val="00C83A04"/>
    <w:rsid w:val="00C83C2A"/>
    <w:rsid w:val="00C83F12"/>
    <w:rsid w:val="00C840FD"/>
    <w:rsid w:val="00C842DF"/>
    <w:rsid w:val="00C84377"/>
    <w:rsid w:val="00C84A25"/>
    <w:rsid w:val="00C84E0F"/>
    <w:rsid w:val="00C851E6"/>
    <w:rsid w:val="00C853B0"/>
    <w:rsid w:val="00C85A89"/>
    <w:rsid w:val="00C85B93"/>
    <w:rsid w:val="00C85E9A"/>
    <w:rsid w:val="00C861DF"/>
    <w:rsid w:val="00C86315"/>
    <w:rsid w:val="00C8646E"/>
    <w:rsid w:val="00C86F17"/>
    <w:rsid w:val="00C872FB"/>
    <w:rsid w:val="00C87A0A"/>
    <w:rsid w:val="00C87EB8"/>
    <w:rsid w:val="00C90FA6"/>
    <w:rsid w:val="00C90FF3"/>
    <w:rsid w:val="00C9157C"/>
    <w:rsid w:val="00C9176B"/>
    <w:rsid w:val="00C9192C"/>
    <w:rsid w:val="00C91F1F"/>
    <w:rsid w:val="00C91FAE"/>
    <w:rsid w:val="00C92164"/>
    <w:rsid w:val="00C9235D"/>
    <w:rsid w:val="00C92371"/>
    <w:rsid w:val="00C925E5"/>
    <w:rsid w:val="00C9263A"/>
    <w:rsid w:val="00C92774"/>
    <w:rsid w:val="00C92BBF"/>
    <w:rsid w:val="00C92DFD"/>
    <w:rsid w:val="00C9329D"/>
    <w:rsid w:val="00C9346A"/>
    <w:rsid w:val="00C93901"/>
    <w:rsid w:val="00C939C5"/>
    <w:rsid w:val="00C943C4"/>
    <w:rsid w:val="00C9443A"/>
    <w:rsid w:val="00C94480"/>
    <w:rsid w:val="00C94963"/>
    <w:rsid w:val="00C94A21"/>
    <w:rsid w:val="00C94D25"/>
    <w:rsid w:val="00C94D5E"/>
    <w:rsid w:val="00C94E03"/>
    <w:rsid w:val="00C95188"/>
    <w:rsid w:val="00C9567A"/>
    <w:rsid w:val="00C95E86"/>
    <w:rsid w:val="00C96C27"/>
    <w:rsid w:val="00C97568"/>
    <w:rsid w:val="00C97B5F"/>
    <w:rsid w:val="00CA02D4"/>
    <w:rsid w:val="00CA03F7"/>
    <w:rsid w:val="00CA0A77"/>
    <w:rsid w:val="00CA115B"/>
    <w:rsid w:val="00CA125A"/>
    <w:rsid w:val="00CA1392"/>
    <w:rsid w:val="00CA1713"/>
    <w:rsid w:val="00CA18FF"/>
    <w:rsid w:val="00CA19CA"/>
    <w:rsid w:val="00CA1CAE"/>
    <w:rsid w:val="00CA1CFC"/>
    <w:rsid w:val="00CA2443"/>
    <w:rsid w:val="00CA24E3"/>
    <w:rsid w:val="00CA2AED"/>
    <w:rsid w:val="00CA346B"/>
    <w:rsid w:val="00CA393B"/>
    <w:rsid w:val="00CA3FAB"/>
    <w:rsid w:val="00CA4050"/>
    <w:rsid w:val="00CA438E"/>
    <w:rsid w:val="00CA4570"/>
    <w:rsid w:val="00CA4A57"/>
    <w:rsid w:val="00CA4E81"/>
    <w:rsid w:val="00CA51DB"/>
    <w:rsid w:val="00CA52D8"/>
    <w:rsid w:val="00CA5384"/>
    <w:rsid w:val="00CA594D"/>
    <w:rsid w:val="00CA5CED"/>
    <w:rsid w:val="00CA6001"/>
    <w:rsid w:val="00CA6347"/>
    <w:rsid w:val="00CA646A"/>
    <w:rsid w:val="00CA69A5"/>
    <w:rsid w:val="00CA6A7E"/>
    <w:rsid w:val="00CA6B05"/>
    <w:rsid w:val="00CA736B"/>
    <w:rsid w:val="00CA7658"/>
    <w:rsid w:val="00CA77C5"/>
    <w:rsid w:val="00CA7D38"/>
    <w:rsid w:val="00CA7EA3"/>
    <w:rsid w:val="00CA7F5D"/>
    <w:rsid w:val="00CB0568"/>
    <w:rsid w:val="00CB09E7"/>
    <w:rsid w:val="00CB1284"/>
    <w:rsid w:val="00CB130D"/>
    <w:rsid w:val="00CB1367"/>
    <w:rsid w:val="00CB15BF"/>
    <w:rsid w:val="00CB1774"/>
    <w:rsid w:val="00CB1B22"/>
    <w:rsid w:val="00CB212D"/>
    <w:rsid w:val="00CB2365"/>
    <w:rsid w:val="00CB25B4"/>
    <w:rsid w:val="00CB2660"/>
    <w:rsid w:val="00CB268E"/>
    <w:rsid w:val="00CB269C"/>
    <w:rsid w:val="00CB330F"/>
    <w:rsid w:val="00CB33DA"/>
    <w:rsid w:val="00CB3766"/>
    <w:rsid w:val="00CB3D2A"/>
    <w:rsid w:val="00CB51F9"/>
    <w:rsid w:val="00CB56F2"/>
    <w:rsid w:val="00CB5B57"/>
    <w:rsid w:val="00CB6563"/>
    <w:rsid w:val="00CB6914"/>
    <w:rsid w:val="00CB6A15"/>
    <w:rsid w:val="00CB6BBC"/>
    <w:rsid w:val="00CB6CDB"/>
    <w:rsid w:val="00CB7019"/>
    <w:rsid w:val="00CB7174"/>
    <w:rsid w:val="00CB738A"/>
    <w:rsid w:val="00CB75DC"/>
    <w:rsid w:val="00CB768E"/>
    <w:rsid w:val="00CB7BF2"/>
    <w:rsid w:val="00CB7C44"/>
    <w:rsid w:val="00CC0526"/>
    <w:rsid w:val="00CC0C3B"/>
    <w:rsid w:val="00CC0E65"/>
    <w:rsid w:val="00CC1C27"/>
    <w:rsid w:val="00CC1D21"/>
    <w:rsid w:val="00CC201A"/>
    <w:rsid w:val="00CC2355"/>
    <w:rsid w:val="00CC2479"/>
    <w:rsid w:val="00CC25EE"/>
    <w:rsid w:val="00CC2889"/>
    <w:rsid w:val="00CC2CE0"/>
    <w:rsid w:val="00CC2F1C"/>
    <w:rsid w:val="00CC2FB9"/>
    <w:rsid w:val="00CC305E"/>
    <w:rsid w:val="00CC30CC"/>
    <w:rsid w:val="00CC3194"/>
    <w:rsid w:val="00CC31C5"/>
    <w:rsid w:val="00CC33E4"/>
    <w:rsid w:val="00CC40F6"/>
    <w:rsid w:val="00CC437D"/>
    <w:rsid w:val="00CC44AC"/>
    <w:rsid w:val="00CC4507"/>
    <w:rsid w:val="00CC4B7D"/>
    <w:rsid w:val="00CC4FB6"/>
    <w:rsid w:val="00CC4FCD"/>
    <w:rsid w:val="00CC54BA"/>
    <w:rsid w:val="00CC5619"/>
    <w:rsid w:val="00CC5A69"/>
    <w:rsid w:val="00CC5E90"/>
    <w:rsid w:val="00CC5E9E"/>
    <w:rsid w:val="00CC6286"/>
    <w:rsid w:val="00CC62A2"/>
    <w:rsid w:val="00CC636E"/>
    <w:rsid w:val="00CC6DEA"/>
    <w:rsid w:val="00CC6EEB"/>
    <w:rsid w:val="00CC7018"/>
    <w:rsid w:val="00CC7123"/>
    <w:rsid w:val="00CC73C1"/>
    <w:rsid w:val="00CC759E"/>
    <w:rsid w:val="00CC76D2"/>
    <w:rsid w:val="00CC7B6E"/>
    <w:rsid w:val="00CC7BE0"/>
    <w:rsid w:val="00CC7D0D"/>
    <w:rsid w:val="00CD03AA"/>
    <w:rsid w:val="00CD046C"/>
    <w:rsid w:val="00CD048F"/>
    <w:rsid w:val="00CD052A"/>
    <w:rsid w:val="00CD0721"/>
    <w:rsid w:val="00CD07FB"/>
    <w:rsid w:val="00CD0E69"/>
    <w:rsid w:val="00CD0EA6"/>
    <w:rsid w:val="00CD0FF4"/>
    <w:rsid w:val="00CD1071"/>
    <w:rsid w:val="00CD1103"/>
    <w:rsid w:val="00CD11B1"/>
    <w:rsid w:val="00CD186A"/>
    <w:rsid w:val="00CD1947"/>
    <w:rsid w:val="00CD1A1E"/>
    <w:rsid w:val="00CD1B0D"/>
    <w:rsid w:val="00CD21DC"/>
    <w:rsid w:val="00CD241B"/>
    <w:rsid w:val="00CD2990"/>
    <w:rsid w:val="00CD2A95"/>
    <w:rsid w:val="00CD395B"/>
    <w:rsid w:val="00CD39A2"/>
    <w:rsid w:val="00CD3E9E"/>
    <w:rsid w:val="00CD3EB1"/>
    <w:rsid w:val="00CD4108"/>
    <w:rsid w:val="00CD4338"/>
    <w:rsid w:val="00CD47F2"/>
    <w:rsid w:val="00CD49CE"/>
    <w:rsid w:val="00CD4B09"/>
    <w:rsid w:val="00CD4BA5"/>
    <w:rsid w:val="00CD4EAB"/>
    <w:rsid w:val="00CD584F"/>
    <w:rsid w:val="00CD5FF1"/>
    <w:rsid w:val="00CD6484"/>
    <w:rsid w:val="00CD66CD"/>
    <w:rsid w:val="00CD6740"/>
    <w:rsid w:val="00CD6F85"/>
    <w:rsid w:val="00CD72F1"/>
    <w:rsid w:val="00CD7C47"/>
    <w:rsid w:val="00CE02F4"/>
    <w:rsid w:val="00CE076C"/>
    <w:rsid w:val="00CE0F5A"/>
    <w:rsid w:val="00CE17C9"/>
    <w:rsid w:val="00CE1801"/>
    <w:rsid w:val="00CE245D"/>
    <w:rsid w:val="00CE2A89"/>
    <w:rsid w:val="00CE2FB5"/>
    <w:rsid w:val="00CE3116"/>
    <w:rsid w:val="00CE311B"/>
    <w:rsid w:val="00CE366D"/>
    <w:rsid w:val="00CE3D55"/>
    <w:rsid w:val="00CE421E"/>
    <w:rsid w:val="00CE434E"/>
    <w:rsid w:val="00CE44CE"/>
    <w:rsid w:val="00CE49A5"/>
    <w:rsid w:val="00CE4A64"/>
    <w:rsid w:val="00CE5199"/>
    <w:rsid w:val="00CE5305"/>
    <w:rsid w:val="00CE547B"/>
    <w:rsid w:val="00CE59DE"/>
    <w:rsid w:val="00CE5A44"/>
    <w:rsid w:val="00CE5D46"/>
    <w:rsid w:val="00CE62E0"/>
    <w:rsid w:val="00CE66D5"/>
    <w:rsid w:val="00CE672C"/>
    <w:rsid w:val="00CE69CE"/>
    <w:rsid w:val="00CE6B11"/>
    <w:rsid w:val="00CE6D06"/>
    <w:rsid w:val="00CE7C68"/>
    <w:rsid w:val="00CE7F4A"/>
    <w:rsid w:val="00CF012B"/>
    <w:rsid w:val="00CF02D8"/>
    <w:rsid w:val="00CF02DB"/>
    <w:rsid w:val="00CF0417"/>
    <w:rsid w:val="00CF0811"/>
    <w:rsid w:val="00CF102F"/>
    <w:rsid w:val="00CF17D4"/>
    <w:rsid w:val="00CF17DF"/>
    <w:rsid w:val="00CF1FAC"/>
    <w:rsid w:val="00CF21F2"/>
    <w:rsid w:val="00CF29AF"/>
    <w:rsid w:val="00CF29E2"/>
    <w:rsid w:val="00CF2B4C"/>
    <w:rsid w:val="00CF2D2D"/>
    <w:rsid w:val="00CF2E26"/>
    <w:rsid w:val="00CF3144"/>
    <w:rsid w:val="00CF351C"/>
    <w:rsid w:val="00CF45D6"/>
    <w:rsid w:val="00CF48A6"/>
    <w:rsid w:val="00CF4A54"/>
    <w:rsid w:val="00CF4AC1"/>
    <w:rsid w:val="00CF4EE8"/>
    <w:rsid w:val="00CF4F4B"/>
    <w:rsid w:val="00CF51D1"/>
    <w:rsid w:val="00CF5346"/>
    <w:rsid w:val="00CF55F9"/>
    <w:rsid w:val="00CF56FB"/>
    <w:rsid w:val="00CF5907"/>
    <w:rsid w:val="00CF5B9C"/>
    <w:rsid w:val="00CF5C49"/>
    <w:rsid w:val="00CF5C6A"/>
    <w:rsid w:val="00CF637A"/>
    <w:rsid w:val="00CF6754"/>
    <w:rsid w:val="00CF6787"/>
    <w:rsid w:val="00CF6DE7"/>
    <w:rsid w:val="00CF75D2"/>
    <w:rsid w:val="00CF791C"/>
    <w:rsid w:val="00CF7A42"/>
    <w:rsid w:val="00CF7E17"/>
    <w:rsid w:val="00D0014F"/>
    <w:rsid w:val="00D00383"/>
    <w:rsid w:val="00D0086F"/>
    <w:rsid w:val="00D00928"/>
    <w:rsid w:val="00D00A36"/>
    <w:rsid w:val="00D00C12"/>
    <w:rsid w:val="00D010CF"/>
    <w:rsid w:val="00D012EE"/>
    <w:rsid w:val="00D0175B"/>
    <w:rsid w:val="00D01BBD"/>
    <w:rsid w:val="00D01FD1"/>
    <w:rsid w:val="00D020E1"/>
    <w:rsid w:val="00D02555"/>
    <w:rsid w:val="00D0263C"/>
    <w:rsid w:val="00D02DB7"/>
    <w:rsid w:val="00D02DC3"/>
    <w:rsid w:val="00D032C7"/>
    <w:rsid w:val="00D03CA4"/>
    <w:rsid w:val="00D03E7E"/>
    <w:rsid w:val="00D03F26"/>
    <w:rsid w:val="00D04259"/>
    <w:rsid w:val="00D0429E"/>
    <w:rsid w:val="00D042AF"/>
    <w:rsid w:val="00D044BD"/>
    <w:rsid w:val="00D046C4"/>
    <w:rsid w:val="00D04F27"/>
    <w:rsid w:val="00D052B4"/>
    <w:rsid w:val="00D05314"/>
    <w:rsid w:val="00D05582"/>
    <w:rsid w:val="00D0580B"/>
    <w:rsid w:val="00D05894"/>
    <w:rsid w:val="00D059DE"/>
    <w:rsid w:val="00D062FF"/>
    <w:rsid w:val="00D063AD"/>
    <w:rsid w:val="00D066BF"/>
    <w:rsid w:val="00D068DE"/>
    <w:rsid w:val="00D0706F"/>
    <w:rsid w:val="00D078F2"/>
    <w:rsid w:val="00D07CD3"/>
    <w:rsid w:val="00D10067"/>
    <w:rsid w:val="00D108E9"/>
    <w:rsid w:val="00D10E07"/>
    <w:rsid w:val="00D10F5B"/>
    <w:rsid w:val="00D1165D"/>
    <w:rsid w:val="00D11A5E"/>
    <w:rsid w:val="00D11BF0"/>
    <w:rsid w:val="00D11DCC"/>
    <w:rsid w:val="00D123C8"/>
    <w:rsid w:val="00D1255D"/>
    <w:rsid w:val="00D12665"/>
    <w:rsid w:val="00D12796"/>
    <w:rsid w:val="00D12CAB"/>
    <w:rsid w:val="00D12EFE"/>
    <w:rsid w:val="00D138DE"/>
    <w:rsid w:val="00D13D09"/>
    <w:rsid w:val="00D13D37"/>
    <w:rsid w:val="00D13FCE"/>
    <w:rsid w:val="00D140FA"/>
    <w:rsid w:val="00D14699"/>
    <w:rsid w:val="00D149F1"/>
    <w:rsid w:val="00D14C91"/>
    <w:rsid w:val="00D14D4D"/>
    <w:rsid w:val="00D14D5F"/>
    <w:rsid w:val="00D14ECA"/>
    <w:rsid w:val="00D14F16"/>
    <w:rsid w:val="00D1502F"/>
    <w:rsid w:val="00D1514C"/>
    <w:rsid w:val="00D15239"/>
    <w:rsid w:val="00D15325"/>
    <w:rsid w:val="00D15433"/>
    <w:rsid w:val="00D158D0"/>
    <w:rsid w:val="00D15EC3"/>
    <w:rsid w:val="00D15F59"/>
    <w:rsid w:val="00D16137"/>
    <w:rsid w:val="00D162A1"/>
    <w:rsid w:val="00D163F2"/>
    <w:rsid w:val="00D16487"/>
    <w:rsid w:val="00D1653B"/>
    <w:rsid w:val="00D166BA"/>
    <w:rsid w:val="00D167FE"/>
    <w:rsid w:val="00D1696F"/>
    <w:rsid w:val="00D16EF6"/>
    <w:rsid w:val="00D17308"/>
    <w:rsid w:val="00D173C6"/>
    <w:rsid w:val="00D17482"/>
    <w:rsid w:val="00D174C3"/>
    <w:rsid w:val="00D17CC0"/>
    <w:rsid w:val="00D200F6"/>
    <w:rsid w:val="00D20226"/>
    <w:rsid w:val="00D202AC"/>
    <w:rsid w:val="00D20A44"/>
    <w:rsid w:val="00D20AB9"/>
    <w:rsid w:val="00D20BD7"/>
    <w:rsid w:val="00D20D0E"/>
    <w:rsid w:val="00D20FB9"/>
    <w:rsid w:val="00D2116F"/>
    <w:rsid w:val="00D211CE"/>
    <w:rsid w:val="00D21320"/>
    <w:rsid w:val="00D215AA"/>
    <w:rsid w:val="00D21876"/>
    <w:rsid w:val="00D21891"/>
    <w:rsid w:val="00D21966"/>
    <w:rsid w:val="00D21A95"/>
    <w:rsid w:val="00D21D43"/>
    <w:rsid w:val="00D21DB7"/>
    <w:rsid w:val="00D21F40"/>
    <w:rsid w:val="00D22010"/>
    <w:rsid w:val="00D226F1"/>
    <w:rsid w:val="00D2281E"/>
    <w:rsid w:val="00D22E8A"/>
    <w:rsid w:val="00D22EBA"/>
    <w:rsid w:val="00D22EE5"/>
    <w:rsid w:val="00D22FE8"/>
    <w:rsid w:val="00D2333E"/>
    <w:rsid w:val="00D2360B"/>
    <w:rsid w:val="00D236A7"/>
    <w:rsid w:val="00D2399B"/>
    <w:rsid w:val="00D239E9"/>
    <w:rsid w:val="00D23F78"/>
    <w:rsid w:val="00D2474D"/>
    <w:rsid w:val="00D248F7"/>
    <w:rsid w:val="00D24A7F"/>
    <w:rsid w:val="00D24EFB"/>
    <w:rsid w:val="00D251F2"/>
    <w:rsid w:val="00D254B6"/>
    <w:rsid w:val="00D25974"/>
    <w:rsid w:val="00D25DA5"/>
    <w:rsid w:val="00D25E53"/>
    <w:rsid w:val="00D26301"/>
    <w:rsid w:val="00D2665A"/>
    <w:rsid w:val="00D268B8"/>
    <w:rsid w:val="00D26A84"/>
    <w:rsid w:val="00D26D2F"/>
    <w:rsid w:val="00D26EFF"/>
    <w:rsid w:val="00D26FED"/>
    <w:rsid w:val="00D272D8"/>
    <w:rsid w:val="00D27665"/>
    <w:rsid w:val="00D27700"/>
    <w:rsid w:val="00D27AB7"/>
    <w:rsid w:val="00D27B53"/>
    <w:rsid w:val="00D302DD"/>
    <w:rsid w:val="00D304CB"/>
    <w:rsid w:val="00D306D1"/>
    <w:rsid w:val="00D306F3"/>
    <w:rsid w:val="00D308F8"/>
    <w:rsid w:val="00D30A0A"/>
    <w:rsid w:val="00D30DD0"/>
    <w:rsid w:val="00D31555"/>
    <w:rsid w:val="00D31642"/>
    <w:rsid w:val="00D31674"/>
    <w:rsid w:val="00D31D97"/>
    <w:rsid w:val="00D32002"/>
    <w:rsid w:val="00D32009"/>
    <w:rsid w:val="00D32082"/>
    <w:rsid w:val="00D3225E"/>
    <w:rsid w:val="00D324B3"/>
    <w:rsid w:val="00D329C8"/>
    <w:rsid w:val="00D32C8A"/>
    <w:rsid w:val="00D33614"/>
    <w:rsid w:val="00D33852"/>
    <w:rsid w:val="00D33903"/>
    <w:rsid w:val="00D33AF6"/>
    <w:rsid w:val="00D33E17"/>
    <w:rsid w:val="00D34291"/>
    <w:rsid w:val="00D343B8"/>
    <w:rsid w:val="00D34786"/>
    <w:rsid w:val="00D34E46"/>
    <w:rsid w:val="00D34E8F"/>
    <w:rsid w:val="00D34EC4"/>
    <w:rsid w:val="00D34F54"/>
    <w:rsid w:val="00D35040"/>
    <w:rsid w:val="00D35829"/>
    <w:rsid w:val="00D358AD"/>
    <w:rsid w:val="00D35966"/>
    <w:rsid w:val="00D35F36"/>
    <w:rsid w:val="00D35F98"/>
    <w:rsid w:val="00D3633F"/>
    <w:rsid w:val="00D363CB"/>
    <w:rsid w:val="00D364BB"/>
    <w:rsid w:val="00D367BC"/>
    <w:rsid w:val="00D3681A"/>
    <w:rsid w:val="00D36DC7"/>
    <w:rsid w:val="00D3710A"/>
    <w:rsid w:val="00D373D6"/>
    <w:rsid w:val="00D373F6"/>
    <w:rsid w:val="00D3796E"/>
    <w:rsid w:val="00D37B53"/>
    <w:rsid w:val="00D40168"/>
    <w:rsid w:val="00D4075D"/>
    <w:rsid w:val="00D409A3"/>
    <w:rsid w:val="00D41BBF"/>
    <w:rsid w:val="00D41CAE"/>
    <w:rsid w:val="00D41DC9"/>
    <w:rsid w:val="00D42D45"/>
    <w:rsid w:val="00D43055"/>
    <w:rsid w:val="00D43262"/>
    <w:rsid w:val="00D432DB"/>
    <w:rsid w:val="00D43429"/>
    <w:rsid w:val="00D43835"/>
    <w:rsid w:val="00D438B4"/>
    <w:rsid w:val="00D43A4E"/>
    <w:rsid w:val="00D43BBF"/>
    <w:rsid w:val="00D44110"/>
    <w:rsid w:val="00D44154"/>
    <w:rsid w:val="00D4485C"/>
    <w:rsid w:val="00D44D1C"/>
    <w:rsid w:val="00D455DD"/>
    <w:rsid w:val="00D45802"/>
    <w:rsid w:val="00D4610B"/>
    <w:rsid w:val="00D4628A"/>
    <w:rsid w:val="00D468EB"/>
    <w:rsid w:val="00D46A1F"/>
    <w:rsid w:val="00D46B2C"/>
    <w:rsid w:val="00D46D5C"/>
    <w:rsid w:val="00D47390"/>
    <w:rsid w:val="00D47537"/>
    <w:rsid w:val="00D47A8E"/>
    <w:rsid w:val="00D47E7A"/>
    <w:rsid w:val="00D500F8"/>
    <w:rsid w:val="00D5022E"/>
    <w:rsid w:val="00D503BF"/>
    <w:rsid w:val="00D506C4"/>
    <w:rsid w:val="00D50CF0"/>
    <w:rsid w:val="00D50D9E"/>
    <w:rsid w:val="00D50E69"/>
    <w:rsid w:val="00D51229"/>
    <w:rsid w:val="00D51387"/>
    <w:rsid w:val="00D51633"/>
    <w:rsid w:val="00D51F61"/>
    <w:rsid w:val="00D5202C"/>
    <w:rsid w:val="00D52150"/>
    <w:rsid w:val="00D522C4"/>
    <w:rsid w:val="00D524E7"/>
    <w:rsid w:val="00D526AC"/>
    <w:rsid w:val="00D52C6D"/>
    <w:rsid w:val="00D52D14"/>
    <w:rsid w:val="00D531E3"/>
    <w:rsid w:val="00D53744"/>
    <w:rsid w:val="00D538AD"/>
    <w:rsid w:val="00D5390E"/>
    <w:rsid w:val="00D53DEB"/>
    <w:rsid w:val="00D543A9"/>
    <w:rsid w:val="00D5477A"/>
    <w:rsid w:val="00D547E7"/>
    <w:rsid w:val="00D54D5C"/>
    <w:rsid w:val="00D550AF"/>
    <w:rsid w:val="00D55356"/>
    <w:rsid w:val="00D553E1"/>
    <w:rsid w:val="00D55868"/>
    <w:rsid w:val="00D55A37"/>
    <w:rsid w:val="00D5619A"/>
    <w:rsid w:val="00D5621D"/>
    <w:rsid w:val="00D5671A"/>
    <w:rsid w:val="00D57276"/>
    <w:rsid w:val="00D5747F"/>
    <w:rsid w:val="00D57732"/>
    <w:rsid w:val="00D57E70"/>
    <w:rsid w:val="00D6022F"/>
    <w:rsid w:val="00D60249"/>
    <w:rsid w:val="00D60299"/>
    <w:rsid w:val="00D603D4"/>
    <w:rsid w:val="00D60518"/>
    <w:rsid w:val="00D60CA1"/>
    <w:rsid w:val="00D60F3A"/>
    <w:rsid w:val="00D61041"/>
    <w:rsid w:val="00D612F9"/>
    <w:rsid w:val="00D6168B"/>
    <w:rsid w:val="00D616FB"/>
    <w:rsid w:val="00D618B6"/>
    <w:rsid w:val="00D61AB8"/>
    <w:rsid w:val="00D61CF7"/>
    <w:rsid w:val="00D620F0"/>
    <w:rsid w:val="00D6214E"/>
    <w:rsid w:val="00D625A3"/>
    <w:rsid w:val="00D6288F"/>
    <w:rsid w:val="00D62C33"/>
    <w:rsid w:val="00D62D3D"/>
    <w:rsid w:val="00D62EE3"/>
    <w:rsid w:val="00D63D41"/>
    <w:rsid w:val="00D63DC3"/>
    <w:rsid w:val="00D6401D"/>
    <w:rsid w:val="00D64185"/>
    <w:rsid w:val="00D64202"/>
    <w:rsid w:val="00D645AE"/>
    <w:rsid w:val="00D64741"/>
    <w:rsid w:val="00D64A85"/>
    <w:rsid w:val="00D64E6C"/>
    <w:rsid w:val="00D64FF2"/>
    <w:rsid w:val="00D64FFE"/>
    <w:rsid w:val="00D652B5"/>
    <w:rsid w:val="00D65495"/>
    <w:rsid w:val="00D65C57"/>
    <w:rsid w:val="00D65F09"/>
    <w:rsid w:val="00D66426"/>
    <w:rsid w:val="00D664FC"/>
    <w:rsid w:val="00D66A14"/>
    <w:rsid w:val="00D66B72"/>
    <w:rsid w:val="00D67008"/>
    <w:rsid w:val="00D6729B"/>
    <w:rsid w:val="00D67CC4"/>
    <w:rsid w:val="00D67F86"/>
    <w:rsid w:val="00D70810"/>
    <w:rsid w:val="00D71233"/>
    <w:rsid w:val="00D712D3"/>
    <w:rsid w:val="00D71422"/>
    <w:rsid w:val="00D7151E"/>
    <w:rsid w:val="00D71548"/>
    <w:rsid w:val="00D71A36"/>
    <w:rsid w:val="00D7233C"/>
    <w:rsid w:val="00D724ED"/>
    <w:rsid w:val="00D7257D"/>
    <w:rsid w:val="00D72582"/>
    <w:rsid w:val="00D72DC6"/>
    <w:rsid w:val="00D730DB"/>
    <w:rsid w:val="00D7337D"/>
    <w:rsid w:val="00D73BC8"/>
    <w:rsid w:val="00D73D84"/>
    <w:rsid w:val="00D745DD"/>
    <w:rsid w:val="00D7463D"/>
    <w:rsid w:val="00D74BA2"/>
    <w:rsid w:val="00D74D79"/>
    <w:rsid w:val="00D7519B"/>
    <w:rsid w:val="00D752E8"/>
    <w:rsid w:val="00D7531D"/>
    <w:rsid w:val="00D7558D"/>
    <w:rsid w:val="00D758B9"/>
    <w:rsid w:val="00D75997"/>
    <w:rsid w:val="00D75E0D"/>
    <w:rsid w:val="00D75FAD"/>
    <w:rsid w:val="00D7603D"/>
    <w:rsid w:val="00D7609D"/>
    <w:rsid w:val="00D76222"/>
    <w:rsid w:val="00D76409"/>
    <w:rsid w:val="00D76469"/>
    <w:rsid w:val="00D7682C"/>
    <w:rsid w:val="00D7684D"/>
    <w:rsid w:val="00D76A3C"/>
    <w:rsid w:val="00D76B90"/>
    <w:rsid w:val="00D77087"/>
    <w:rsid w:val="00D7724D"/>
    <w:rsid w:val="00D77E03"/>
    <w:rsid w:val="00D77E3E"/>
    <w:rsid w:val="00D80196"/>
    <w:rsid w:val="00D80402"/>
    <w:rsid w:val="00D80B10"/>
    <w:rsid w:val="00D80B7A"/>
    <w:rsid w:val="00D80BAC"/>
    <w:rsid w:val="00D810A9"/>
    <w:rsid w:val="00D810EB"/>
    <w:rsid w:val="00D81A40"/>
    <w:rsid w:val="00D81D92"/>
    <w:rsid w:val="00D81DB1"/>
    <w:rsid w:val="00D82062"/>
    <w:rsid w:val="00D8270C"/>
    <w:rsid w:val="00D828B3"/>
    <w:rsid w:val="00D82C1B"/>
    <w:rsid w:val="00D82E0E"/>
    <w:rsid w:val="00D82F90"/>
    <w:rsid w:val="00D832DD"/>
    <w:rsid w:val="00D8336D"/>
    <w:rsid w:val="00D83493"/>
    <w:rsid w:val="00D83533"/>
    <w:rsid w:val="00D837C5"/>
    <w:rsid w:val="00D8380E"/>
    <w:rsid w:val="00D84457"/>
    <w:rsid w:val="00D8456A"/>
    <w:rsid w:val="00D8460F"/>
    <w:rsid w:val="00D84D35"/>
    <w:rsid w:val="00D84F1F"/>
    <w:rsid w:val="00D85115"/>
    <w:rsid w:val="00D85BCD"/>
    <w:rsid w:val="00D85CDC"/>
    <w:rsid w:val="00D85D3C"/>
    <w:rsid w:val="00D85EAB"/>
    <w:rsid w:val="00D85EF7"/>
    <w:rsid w:val="00D85F52"/>
    <w:rsid w:val="00D86479"/>
    <w:rsid w:val="00D86926"/>
    <w:rsid w:val="00D86B6A"/>
    <w:rsid w:val="00D86C32"/>
    <w:rsid w:val="00D86C80"/>
    <w:rsid w:val="00D86DDC"/>
    <w:rsid w:val="00D870D0"/>
    <w:rsid w:val="00D871DD"/>
    <w:rsid w:val="00D87369"/>
    <w:rsid w:val="00D8739D"/>
    <w:rsid w:val="00D87686"/>
    <w:rsid w:val="00D878B9"/>
    <w:rsid w:val="00D878EC"/>
    <w:rsid w:val="00D87BF1"/>
    <w:rsid w:val="00D900B7"/>
    <w:rsid w:val="00D90284"/>
    <w:rsid w:val="00D906FD"/>
    <w:rsid w:val="00D90784"/>
    <w:rsid w:val="00D90CDF"/>
    <w:rsid w:val="00D90DC1"/>
    <w:rsid w:val="00D91193"/>
    <w:rsid w:val="00D91266"/>
    <w:rsid w:val="00D91882"/>
    <w:rsid w:val="00D91DF1"/>
    <w:rsid w:val="00D91E4A"/>
    <w:rsid w:val="00D91F0B"/>
    <w:rsid w:val="00D92701"/>
    <w:rsid w:val="00D927A3"/>
    <w:rsid w:val="00D928B6"/>
    <w:rsid w:val="00D9291F"/>
    <w:rsid w:val="00D92C49"/>
    <w:rsid w:val="00D92CC8"/>
    <w:rsid w:val="00D9324C"/>
    <w:rsid w:val="00D938BF"/>
    <w:rsid w:val="00D9413C"/>
    <w:rsid w:val="00D946C8"/>
    <w:rsid w:val="00D9479F"/>
    <w:rsid w:val="00D94887"/>
    <w:rsid w:val="00D94A3B"/>
    <w:rsid w:val="00D957DD"/>
    <w:rsid w:val="00D95A66"/>
    <w:rsid w:val="00D95CAC"/>
    <w:rsid w:val="00D95F84"/>
    <w:rsid w:val="00D961AB"/>
    <w:rsid w:val="00D967D0"/>
    <w:rsid w:val="00D96C19"/>
    <w:rsid w:val="00D96E10"/>
    <w:rsid w:val="00D96FDE"/>
    <w:rsid w:val="00D9739F"/>
    <w:rsid w:val="00D97446"/>
    <w:rsid w:val="00D974F6"/>
    <w:rsid w:val="00D9757F"/>
    <w:rsid w:val="00D9763D"/>
    <w:rsid w:val="00D9793C"/>
    <w:rsid w:val="00D97B6E"/>
    <w:rsid w:val="00DA05DA"/>
    <w:rsid w:val="00DA080E"/>
    <w:rsid w:val="00DA0ACA"/>
    <w:rsid w:val="00DA0B90"/>
    <w:rsid w:val="00DA0CF1"/>
    <w:rsid w:val="00DA10EA"/>
    <w:rsid w:val="00DA126C"/>
    <w:rsid w:val="00DA138B"/>
    <w:rsid w:val="00DA14C8"/>
    <w:rsid w:val="00DA14E2"/>
    <w:rsid w:val="00DA1993"/>
    <w:rsid w:val="00DA1CC1"/>
    <w:rsid w:val="00DA2039"/>
    <w:rsid w:val="00DA2351"/>
    <w:rsid w:val="00DA2675"/>
    <w:rsid w:val="00DA28AB"/>
    <w:rsid w:val="00DA2C92"/>
    <w:rsid w:val="00DA2FBF"/>
    <w:rsid w:val="00DA3047"/>
    <w:rsid w:val="00DA336F"/>
    <w:rsid w:val="00DA340F"/>
    <w:rsid w:val="00DA3641"/>
    <w:rsid w:val="00DA380D"/>
    <w:rsid w:val="00DA3C27"/>
    <w:rsid w:val="00DA3DFC"/>
    <w:rsid w:val="00DA3F22"/>
    <w:rsid w:val="00DA4372"/>
    <w:rsid w:val="00DA451E"/>
    <w:rsid w:val="00DA4592"/>
    <w:rsid w:val="00DA4692"/>
    <w:rsid w:val="00DA59AB"/>
    <w:rsid w:val="00DA5F5C"/>
    <w:rsid w:val="00DA5F77"/>
    <w:rsid w:val="00DA5FD7"/>
    <w:rsid w:val="00DA6D54"/>
    <w:rsid w:val="00DA7111"/>
    <w:rsid w:val="00DA719C"/>
    <w:rsid w:val="00DA72DA"/>
    <w:rsid w:val="00DA7A19"/>
    <w:rsid w:val="00DA7B5F"/>
    <w:rsid w:val="00DA7BF2"/>
    <w:rsid w:val="00DA7EE8"/>
    <w:rsid w:val="00DB00A0"/>
    <w:rsid w:val="00DB0A25"/>
    <w:rsid w:val="00DB11C3"/>
    <w:rsid w:val="00DB1255"/>
    <w:rsid w:val="00DB1335"/>
    <w:rsid w:val="00DB1657"/>
    <w:rsid w:val="00DB1767"/>
    <w:rsid w:val="00DB1843"/>
    <w:rsid w:val="00DB2188"/>
    <w:rsid w:val="00DB2856"/>
    <w:rsid w:val="00DB2A6D"/>
    <w:rsid w:val="00DB2B41"/>
    <w:rsid w:val="00DB32E8"/>
    <w:rsid w:val="00DB330D"/>
    <w:rsid w:val="00DB3563"/>
    <w:rsid w:val="00DB3618"/>
    <w:rsid w:val="00DB397C"/>
    <w:rsid w:val="00DB3EE1"/>
    <w:rsid w:val="00DB4292"/>
    <w:rsid w:val="00DB456A"/>
    <w:rsid w:val="00DB4A69"/>
    <w:rsid w:val="00DB50A5"/>
    <w:rsid w:val="00DB567E"/>
    <w:rsid w:val="00DB5A76"/>
    <w:rsid w:val="00DB5C1D"/>
    <w:rsid w:val="00DB66FC"/>
    <w:rsid w:val="00DB69E7"/>
    <w:rsid w:val="00DB6BC5"/>
    <w:rsid w:val="00DB6CA2"/>
    <w:rsid w:val="00DB7019"/>
    <w:rsid w:val="00DB7AEB"/>
    <w:rsid w:val="00DC0183"/>
    <w:rsid w:val="00DC01D2"/>
    <w:rsid w:val="00DC0482"/>
    <w:rsid w:val="00DC0551"/>
    <w:rsid w:val="00DC0767"/>
    <w:rsid w:val="00DC0D80"/>
    <w:rsid w:val="00DC11E7"/>
    <w:rsid w:val="00DC140D"/>
    <w:rsid w:val="00DC1A2E"/>
    <w:rsid w:val="00DC1B5B"/>
    <w:rsid w:val="00DC1D18"/>
    <w:rsid w:val="00DC1E9C"/>
    <w:rsid w:val="00DC2B87"/>
    <w:rsid w:val="00DC337C"/>
    <w:rsid w:val="00DC3981"/>
    <w:rsid w:val="00DC3F22"/>
    <w:rsid w:val="00DC4351"/>
    <w:rsid w:val="00DC435C"/>
    <w:rsid w:val="00DC435F"/>
    <w:rsid w:val="00DC499C"/>
    <w:rsid w:val="00DC5066"/>
    <w:rsid w:val="00DC51CC"/>
    <w:rsid w:val="00DC51DD"/>
    <w:rsid w:val="00DC562D"/>
    <w:rsid w:val="00DC5C29"/>
    <w:rsid w:val="00DC6095"/>
    <w:rsid w:val="00DC61EE"/>
    <w:rsid w:val="00DC672D"/>
    <w:rsid w:val="00DC6783"/>
    <w:rsid w:val="00DC67B2"/>
    <w:rsid w:val="00DC6B69"/>
    <w:rsid w:val="00DC6F0A"/>
    <w:rsid w:val="00DC6F6C"/>
    <w:rsid w:val="00DC6F7C"/>
    <w:rsid w:val="00DC7023"/>
    <w:rsid w:val="00DC769A"/>
    <w:rsid w:val="00DC7778"/>
    <w:rsid w:val="00DC7D32"/>
    <w:rsid w:val="00DC7E66"/>
    <w:rsid w:val="00DD02EE"/>
    <w:rsid w:val="00DD063E"/>
    <w:rsid w:val="00DD0888"/>
    <w:rsid w:val="00DD0BBA"/>
    <w:rsid w:val="00DD0E82"/>
    <w:rsid w:val="00DD1443"/>
    <w:rsid w:val="00DD167F"/>
    <w:rsid w:val="00DD1EEE"/>
    <w:rsid w:val="00DD20AE"/>
    <w:rsid w:val="00DD2142"/>
    <w:rsid w:val="00DD24ED"/>
    <w:rsid w:val="00DD2FAB"/>
    <w:rsid w:val="00DD31F9"/>
    <w:rsid w:val="00DD3D86"/>
    <w:rsid w:val="00DD3E65"/>
    <w:rsid w:val="00DD40D4"/>
    <w:rsid w:val="00DD410F"/>
    <w:rsid w:val="00DD4712"/>
    <w:rsid w:val="00DD4857"/>
    <w:rsid w:val="00DD49CF"/>
    <w:rsid w:val="00DD4AEE"/>
    <w:rsid w:val="00DD4C4D"/>
    <w:rsid w:val="00DD4FDE"/>
    <w:rsid w:val="00DD5394"/>
    <w:rsid w:val="00DD575F"/>
    <w:rsid w:val="00DD5895"/>
    <w:rsid w:val="00DD5B44"/>
    <w:rsid w:val="00DD5BBB"/>
    <w:rsid w:val="00DD65CF"/>
    <w:rsid w:val="00DD684B"/>
    <w:rsid w:val="00DD6B3B"/>
    <w:rsid w:val="00DD6D14"/>
    <w:rsid w:val="00DD6D40"/>
    <w:rsid w:val="00DD6D92"/>
    <w:rsid w:val="00DD6F74"/>
    <w:rsid w:val="00DD70D2"/>
    <w:rsid w:val="00DD730D"/>
    <w:rsid w:val="00DD74E6"/>
    <w:rsid w:val="00DE012D"/>
    <w:rsid w:val="00DE01BD"/>
    <w:rsid w:val="00DE0234"/>
    <w:rsid w:val="00DE02F3"/>
    <w:rsid w:val="00DE07D2"/>
    <w:rsid w:val="00DE07E4"/>
    <w:rsid w:val="00DE08F6"/>
    <w:rsid w:val="00DE09A1"/>
    <w:rsid w:val="00DE09A5"/>
    <w:rsid w:val="00DE0A59"/>
    <w:rsid w:val="00DE11FE"/>
    <w:rsid w:val="00DE1353"/>
    <w:rsid w:val="00DE21FB"/>
    <w:rsid w:val="00DE2229"/>
    <w:rsid w:val="00DE2387"/>
    <w:rsid w:val="00DE2562"/>
    <w:rsid w:val="00DE2654"/>
    <w:rsid w:val="00DE26A0"/>
    <w:rsid w:val="00DE2805"/>
    <w:rsid w:val="00DE2B9E"/>
    <w:rsid w:val="00DE2DCE"/>
    <w:rsid w:val="00DE30FA"/>
    <w:rsid w:val="00DE34D7"/>
    <w:rsid w:val="00DE3991"/>
    <w:rsid w:val="00DE4453"/>
    <w:rsid w:val="00DE449B"/>
    <w:rsid w:val="00DE499B"/>
    <w:rsid w:val="00DE4C67"/>
    <w:rsid w:val="00DE4D69"/>
    <w:rsid w:val="00DE4EC3"/>
    <w:rsid w:val="00DE545F"/>
    <w:rsid w:val="00DE54CA"/>
    <w:rsid w:val="00DE56F7"/>
    <w:rsid w:val="00DE610F"/>
    <w:rsid w:val="00DE643E"/>
    <w:rsid w:val="00DE6C28"/>
    <w:rsid w:val="00DE6CA6"/>
    <w:rsid w:val="00DE70AC"/>
    <w:rsid w:val="00DE710B"/>
    <w:rsid w:val="00DE7267"/>
    <w:rsid w:val="00DE792A"/>
    <w:rsid w:val="00DF01D3"/>
    <w:rsid w:val="00DF087C"/>
    <w:rsid w:val="00DF089D"/>
    <w:rsid w:val="00DF0C1C"/>
    <w:rsid w:val="00DF0F2C"/>
    <w:rsid w:val="00DF0FC5"/>
    <w:rsid w:val="00DF125F"/>
    <w:rsid w:val="00DF13ED"/>
    <w:rsid w:val="00DF1593"/>
    <w:rsid w:val="00DF1957"/>
    <w:rsid w:val="00DF1B4B"/>
    <w:rsid w:val="00DF1B7B"/>
    <w:rsid w:val="00DF1BCE"/>
    <w:rsid w:val="00DF203B"/>
    <w:rsid w:val="00DF21D9"/>
    <w:rsid w:val="00DF26AA"/>
    <w:rsid w:val="00DF2AF8"/>
    <w:rsid w:val="00DF2C04"/>
    <w:rsid w:val="00DF2CDA"/>
    <w:rsid w:val="00DF2D7E"/>
    <w:rsid w:val="00DF33E6"/>
    <w:rsid w:val="00DF34DF"/>
    <w:rsid w:val="00DF36A5"/>
    <w:rsid w:val="00DF3BCF"/>
    <w:rsid w:val="00DF417F"/>
    <w:rsid w:val="00DF41C7"/>
    <w:rsid w:val="00DF432E"/>
    <w:rsid w:val="00DF4797"/>
    <w:rsid w:val="00DF4976"/>
    <w:rsid w:val="00DF4BDC"/>
    <w:rsid w:val="00DF4DC3"/>
    <w:rsid w:val="00DF50FC"/>
    <w:rsid w:val="00DF5410"/>
    <w:rsid w:val="00DF5814"/>
    <w:rsid w:val="00DF5B6E"/>
    <w:rsid w:val="00DF5BDE"/>
    <w:rsid w:val="00DF5E7D"/>
    <w:rsid w:val="00DF6137"/>
    <w:rsid w:val="00DF640C"/>
    <w:rsid w:val="00DF6541"/>
    <w:rsid w:val="00DF6673"/>
    <w:rsid w:val="00DF66C9"/>
    <w:rsid w:val="00DF69B0"/>
    <w:rsid w:val="00DF6B3C"/>
    <w:rsid w:val="00DF6D65"/>
    <w:rsid w:val="00DF6EE0"/>
    <w:rsid w:val="00DF7034"/>
    <w:rsid w:val="00DF7740"/>
    <w:rsid w:val="00E0018F"/>
    <w:rsid w:val="00E00575"/>
    <w:rsid w:val="00E007B6"/>
    <w:rsid w:val="00E00943"/>
    <w:rsid w:val="00E00BED"/>
    <w:rsid w:val="00E00E8B"/>
    <w:rsid w:val="00E010A5"/>
    <w:rsid w:val="00E01699"/>
    <w:rsid w:val="00E01ACF"/>
    <w:rsid w:val="00E01F68"/>
    <w:rsid w:val="00E0225F"/>
    <w:rsid w:val="00E0238B"/>
    <w:rsid w:val="00E025B6"/>
    <w:rsid w:val="00E02D81"/>
    <w:rsid w:val="00E02F88"/>
    <w:rsid w:val="00E02F8F"/>
    <w:rsid w:val="00E03338"/>
    <w:rsid w:val="00E0340B"/>
    <w:rsid w:val="00E03579"/>
    <w:rsid w:val="00E03C99"/>
    <w:rsid w:val="00E03D10"/>
    <w:rsid w:val="00E03E6D"/>
    <w:rsid w:val="00E04281"/>
    <w:rsid w:val="00E04626"/>
    <w:rsid w:val="00E04B90"/>
    <w:rsid w:val="00E04EDB"/>
    <w:rsid w:val="00E050D2"/>
    <w:rsid w:val="00E05117"/>
    <w:rsid w:val="00E05283"/>
    <w:rsid w:val="00E0542D"/>
    <w:rsid w:val="00E054BE"/>
    <w:rsid w:val="00E05590"/>
    <w:rsid w:val="00E05839"/>
    <w:rsid w:val="00E05963"/>
    <w:rsid w:val="00E05DD4"/>
    <w:rsid w:val="00E060A0"/>
    <w:rsid w:val="00E060A5"/>
    <w:rsid w:val="00E06482"/>
    <w:rsid w:val="00E06575"/>
    <w:rsid w:val="00E06600"/>
    <w:rsid w:val="00E06907"/>
    <w:rsid w:val="00E06BB8"/>
    <w:rsid w:val="00E07283"/>
    <w:rsid w:val="00E073AA"/>
    <w:rsid w:val="00E07432"/>
    <w:rsid w:val="00E07651"/>
    <w:rsid w:val="00E07921"/>
    <w:rsid w:val="00E07A00"/>
    <w:rsid w:val="00E07BDD"/>
    <w:rsid w:val="00E07E9F"/>
    <w:rsid w:val="00E07EFC"/>
    <w:rsid w:val="00E07F44"/>
    <w:rsid w:val="00E07FFB"/>
    <w:rsid w:val="00E100AC"/>
    <w:rsid w:val="00E1010A"/>
    <w:rsid w:val="00E1010F"/>
    <w:rsid w:val="00E10211"/>
    <w:rsid w:val="00E1063D"/>
    <w:rsid w:val="00E10B87"/>
    <w:rsid w:val="00E11263"/>
    <w:rsid w:val="00E113FD"/>
    <w:rsid w:val="00E11C7C"/>
    <w:rsid w:val="00E11EFC"/>
    <w:rsid w:val="00E12008"/>
    <w:rsid w:val="00E129DA"/>
    <w:rsid w:val="00E12A83"/>
    <w:rsid w:val="00E12D6E"/>
    <w:rsid w:val="00E12FA4"/>
    <w:rsid w:val="00E13180"/>
    <w:rsid w:val="00E1329F"/>
    <w:rsid w:val="00E132E4"/>
    <w:rsid w:val="00E13503"/>
    <w:rsid w:val="00E1365D"/>
    <w:rsid w:val="00E138C0"/>
    <w:rsid w:val="00E13D83"/>
    <w:rsid w:val="00E140CF"/>
    <w:rsid w:val="00E14249"/>
    <w:rsid w:val="00E149A2"/>
    <w:rsid w:val="00E14A07"/>
    <w:rsid w:val="00E14F9B"/>
    <w:rsid w:val="00E151FF"/>
    <w:rsid w:val="00E1541F"/>
    <w:rsid w:val="00E15452"/>
    <w:rsid w:val="00E15B38"/>
    <w:rsid w:val="00E15E74"/>
    <w:rsid w:val="00E161B6"/>
    <w:rsid w:val="00E166A0"/>
    <w:rsid w:val="00E16752"/>
    <w:rsid w:val="00E168F4"/>
    <w:rsid w:val="00E16A50"/>
    <w:rsid w:val="00E16D17"/>
    <w:rsid w:val="00E16F81"/>
    <w:rsid w:val="00E17B93"/>
    <w:rsid w:val="00E202A3"/>
    <w:rsid w:val="00E20589"/>
    <w:rsid w:val="00E206A7"/>
    <w:rsid w:val="00E2077F"/>
    <w:rsid w:val="00E209A8"/>
    <w:rsid w:val="00E20E99"/>
    <w:rsid w:val="00E20EBA"/>
    <w:rsid w:val="00E21558"/>
    <w:rsid w:val="00E216FE"/>
    <w:rsid w:val="00E2197C"/>
    <w:rsid w:val="00E219C7"/>
    <w:rsid w:val="00E21F0D"/>
    <w:rsid w:val="00E22085"/>
    <w:rsid w:val="00E2257A"/>
    <w:rsid w:val="00E2265D"/>
    <w:rsid w:val="00E226AD"/>
    <w:rsid w:val="00E2332B"/>
    <w:rsid w:val="00E236F6"/>
    <w:rsid w:val="00E239AD"/>
    <w:rsid w:val="00E23E3D"/>
    <w:rsid w:val="00E23EAA"/>
    <w:rsid w:val="00E23FC1"/>
    <w:rsid w:val="00E240CF"/>
    <w:rsid w:val="00E24144"/>
    <w:rsid w:val="00E247B9"/>
    <w:rsid w:val="00E24D17"/>
    <w:rsid w:val="00E24E60"/>
    <w:rsid w:val="00E25154"/>
    <w:rsid w:val="00E25B14"/>
    <w:rsid w:val="00E26C3D"/>
    <w:rsid w:val="00E2717A"/>
    <w:rsid w:val="00E27259"/>
    <w:rsid w:val="00E279EF"/>
    <w:rsid w:val="00E27AAE"/>
    <w:rsid w:val="00E27B5E"/>
    <w:rsid w:val="00E27BCD"/>
    <w:rsid w:val="00E27C22"/>
    <w:rsid w:val="00E27E1F"/>
    <w:rsid w:val="00E27E20"/>
    <w:rsid w:val="00E27E70"/>
    <w:rsid w:val="00E30427"/>
    <w:rsid w:val="00E305A1"/>
    <w:rsid w:val="00E30B8F"/>
    <w:rsid w:val="00E31199"/>
    <w:rsid w:val="00E3130F"/>
    <w:rsid w:val="00E31324"/>
    <w:rsid w:val="00E3162A"/>
    <w:rsid w:val="00E3229C"/>
    <w:rsid w:val="00E3282D"/>
    <w:rsid w:val="00E32E6B"/>
    <w:rsid w:val="00E3337C"/>
    <w:rsid w:val="00E334EE"/>
    <w:rsid w:val="00E34447"/>
    <w:rsid w:val="00E34B4D"/>
    <w:rsid w:val="00E34B77"/>
    <w:rsid w:val="00E34E0F"/>
    <w:rsid w:val="00E34F67"/>
    <w:rsid w:val="00E34F86"/>
    <w:rsid w:val="00E35456"/>
    <w:rsid w:val="00E3569E"/>
    <w:rsid w:val="00E35C6A"/>
    <w:rsid w:val="00E35F4C"/>
    <w:rsid w:val="00E35F67"/>
    <w:rsid w:val="00E3618B"/>
    <w:rsid w:val="00E36321"/>
    <w:rsid w:val="00E3643F"/>
    <w:rsid w:val="00E36709"/>
    <w:rsid w:val="00E3711F"/>
    <w:rsid w:val="00E375F7"/>
    <w:rsid w:val="00E379FB"/>
    <w:rsid w:val="00E4004C"/>
    <w:rsid w:val="00E40449"/>
    <w:rsid w:val="00E404DA"/>
    <w:rsid w:val="00E40527"/>
    <w:rsid w:val="00E40EAA"/>
    <w:rsid w:val="00E41435"/>
    <w:rsid w:val="00E41873"/>
    <w:rsid w:val="00E41A17"/>
    <w:rsid w:val="00E41D6E"/>
    <w:rsid w:val="00E42408"/>
    <w:rsid w:val="00E424EB"/>
    <w:rsid w:val="00E42BC5"/>
    <w:rsid w:val="00E42C57"/>
    <w:rsid w:val="00E42DC6"/>
    <w:rsid w:val="00E42DD6"/>
    <w:rsid w:val="00E43157"/>
    <w:rsid w:val="00E43391"/>
    <w:rsid w:val="00E43532"/>
    <w:rsid w:val="00E443D8"/>
    <w:rsid w:val="00E44507"/>
    <w:rsid w:val="00E445C4"/>
    <w:rsid w:val="00E445FA"/>
    <w:rsid w:val="00E4495D"/>
    <w:rsid w:val="00E44A08"/>
    <w:rsid w:val="00E44DB4"/>
    <w:rsid w:val="00E44F1B"/>
    <w:rsid w:val="00E44FB5"/>
    <w:rsid w:val="00E4564E"/>
    <w:rsid w:val="00E45AAF"/>
    <w:rsid w:val="00E45D84"/>
    <w:rsid w:val="00E45EC1"/>
    <w:rsid w:val="00E461CE"/>
    <w:rsid w:val="00E4631D"/>
    <w:rsid w:val="00E46409"/>
    <w:rsid w:val="00E4688F"/>
    <w:rsid w:val="00E47085"/>
    <w:rsid w:val="00E47274"/>
    <w:rsid w:val="00E475CB"/>
    <w:rsid w:val="00E476E7"/>
    <w:rsid w:val="00E5027C"/>
    <w:rsid w:val="00E50985"/>
    <w:rsid w:val="00E5098A"/>
    <w:rsid w:val="00E509AD"/>
    <w:rsid w:val="00E50ACD"/>
    <w:rsid w:val="00E5125E"/>
    <w:rsid w:val="00E5183E"/>
    <w:rsid w:val="00E51922"/>
    <w:rsid w:val="00E51CFF"/>
    <w:rsid w:val="00E51F47"/>
    <w:rsid w:val="00E52120"/>
    <w:rsid w:val="00E52295"/>
    <w:rsid w:val="00E52778"/>
    <w:rsid w:val="00E52B0D"/>
    <w:rsid w:val="00E532BF"/>
    <w:rsid w:val="00E53522"/>
    <w:rsid w:val="00E53811"/>
    <w:rsid w:val="00E53D65"/>
    <w:rsid w:val="00E54256"/>
    <w:rsid w:val="00E54667"/>
    <w:rsid w:val="00E549E8"/>
    <w:rsid w:val="00E55180"/>
    <w:rsid w:val="00E555A6"/>
    <w:rsid w:val="00E55B5D"/>
    <w:rsid w:val="00E55C9B"/>
    <w:rsid w:val="00E55D70"/>
    <w:rsid w:val="00E56924"/>
    <w:rsid w:val="00E56990"/>
    <w:rsid w:val="00E569E4"/>
    <w:rsid w:val="00E56AA3"/>
    <w:rsid w:val="00E56BCF"/>
    <w:rsid w:val="00E571A2"/>
    <w:rsid w:val="00E57951"/>
    <w:rsid w:val="00E57D93"/>
    <w:rsid w:val="00E603FD"/>
    <w:rsid w:val="00E6041E"/>
    <w:rsid w:val="00E6079F"/>
    <w:rsid w:val="00E60984"/>
    <w:rsid w:val="00E60DCD"/>
    <w:rsid w:val="00E611C5"/>
    <w:rsid w:val="00E6134B"/>
    <w:rsid w:val="00E61536"/>
    <w:rsid w:val="00E6166A"/>
    <w:rsid w:val="00E61869"/>
    <w:rsid w:val="00E61BAE"/>
    <w:rsid w:val="00E61C86"/>
    <w:rsid w:val="00E620CE"/>
    <w:rsid w:val="00E620D3"/>
    <w:rsid w:val="00E622E6"/>
    <w:rsid w:val="00E625E8"/>
    <w:rsid w:val="00E626A4"/>
    <w:rsid w:val="00E6318B"/>
    <w:rsid w:val="00E632A1"/>
    <w:rsid w:val="00E6377D"/>
    <w:rsid w:val="00E638E9"/>
    <w:rsid w:val="00E63F00"/>
    <w:rsid w:val="00E64084"/>
    <w:rsid w:val="00E643A2"/>
    <w:rsid w:val="00E64439"/>
    <w:rsid w:val="00E6483B"/>
    <w:rsid w:val="00E64C50"/>
    <w:rsid w:val="00E64E6F"/>
    <w:rsid w:val="00E64F6D"/>
    <w:rsid w:val="00E65121"/>
    <w:rsid w:val="00E65231"/>
    <w:rsid w:val="00E65686"/>
    <w:rsid w:val="00E6583F"/>
    <w:rsid w:val="00E65D77"/>
    <w:rsid w:val="00E65EEA"/>
    <w:rsid w:val="00E65FD1"/>
    <w:rsid w:val="00E6608B"/>
    <w:rsid w:val="00E662EA"/>
    <w:rsid w:val="00E671D9"/>
    <w:rsid w:val="00E6751B"/>
    <w:rsid w:val="00E67768"/>
    <w:rsid w:val="00E67D4F"/>
    <w:rsid w:val="00E67FE0"/>
    <w:rsid w:val="00E7020F"/>
    <w:rsid w:val="00E70CA9"/>
    <w:rsid w:val="00E70FB6"/>
    <w:rsid w:val="00E70FC7"/>
    <w:rsid w:val="00E7107C"/>
    <w:rsid w:val="00E714AF"/>
    <w:rsid w:val="00E717A4"/>
    <w:rsid w:val="00E7199C"/>
    <w:rsid w:val="00E71AC7"/>
    <w:rsid w:val="00E71D82"/>
    <w:rsid w:val="00E720CA"/>
    <w:rsid w:val="00E72705"/>
    <w:rsid w:val="00E72790"/>
    <w:rsid w:val="00E73324"/>
    <w:rsid w:val="00E73349"/>
    <w:rsid w:val="00E73815"/>
    <w:rsid w:val="00E73DA2"/>
    <w:rsid w:val="00E73F34"/>
    <w:rsid w:val="00E746DB"/>
    <w:rsid w:val="00E74DC8"/>
    <w:rsid w:val="00E751DA"/>
    <w:rsid w:val="00E752DD"/>
    <w:rsid w:val="00E75431"/>
    <w:rsid w:val="00E75A4B"/>
    <w:rsid w:val="00E762E8"/>
    <w:rsid w:val="00E763FB"/>
    <w:rsid w:val="00E76506"/>
    <w:rsid w:val="00E767F0"/>
    <w:rsid w:val="00E77728"/>
    <w:rsid w:val="00E7788F"/>
    <w:rsid w:val="00E77E37"/>
    <w:rsid w:val="00E802E4"/>
    <w:rsid w:val="00E80377"/>
    <w:rsid w:val="00E80909"/>
    <w:rsid w:val="00E80D57"/>
    <w:rsid w:val="00E80FE4"/>
    <w:rsid w:val="00E81656"/>
    <w:rsid w:val="00E818CC"/>
    <w:rsid w:val="00E81B85"/>
    <w:rsid w:val="00E81BF2"/>
    <w:rsid w:val="00E821A1"/>
    <w:rsid w:val="00E822A7"/>
    <w:rsid w:val="00E82893"/>
    <w:rsid w:val="00E82B09"/>
    <w:rsid w:val="00E82CCE"/>
    <w:rsid w:val="00E82DD9"/>
    <w:rsid w:val="00E830D2"/>
    <w:rsid w:val="00E8354B"/>
    <w:rsid w:val="00E83602"/>
    <w:rsid w:val="00E83682"/>
    <w:rsid w:val="00E838BB"/>
    <w:rsid w:val="00E83941"/>
    <w:rsid w:val="00E83C3F"/>
    <w:rsid w:val="00E83E9D"/>
    <w:rsid w:val="00E83F5C"/>
    <w:rsid w:val="00E840EE"/>
    <w:rsid w:val="00E841AF"/>
    <w:rsid w:val="00E845BC"/>
    <w:rsid w:val="00E84727"/>
    <w:rsid w:val="00E849E5"/>
    <w:rsid w:val="00E84E07"/>
    <w:rsid w:val="00E84EB5"/>
    <w:rsid w:val="00E85662"/>
    <w:rsid w:val="00E85940"/>
    <w:rsid w:val="00E859ED"/>
    <w:rsid w:val="00E85D15"/>
    <w:rsid w:val="00E8629D"/>
    <w:rsid w:val="00E8652B"/>
    <w:rsid w:val="00E86A9C"/>
    <w:rsid w:val="00E86B98"/>
    <w:rsid w:val="00E86C9C"/>
    <w:rsid w:val="00E86D26"/>
    <w:rsid w:val="00E86EDA"/>
    <w:rsid w:val="00E8734C"/>
    <w:rsid w:val="00E8736B"/>
    <w:rsid w:val="00E8744A"/>
    <w:rsid w:val="00E87899"/>
    <w:rsid w:val="00E8789F"/>
    <w:rsid w:val="00E87FAB"/>
    <w:rsid w:val="00E90613"/>
    <w:rsid w:val="00E9074C"/>
    <w:rsid w:val="00E90AEF"/>
    <w:rsid w:val="00E90B04"/>
    <w:rsid w:val="00E90BF7"/>
    <w:rsid w:val="00E90E1F"/>
    <w:rsid w:val="00E9139D"/>
    <w:rsid w:val="00E914F2"/>
    <w:rsid w:val="00E918FD"/>
    <w:rsid w:val="00E91A0A"/>
    <w:rsid w:val="00E91BB5"/>
    <w:rsid w:val="00E91BED"/>
    <w:rsid w:val="00E91D64"/>
    <w:rsid w:val="00E92441"/>
    <w:rsid w:val="00E9247F"/>
    <w:rsid w:val="00E925A2"/>
    <w:rsid w:val="00E9272C"/>
    <w:rsid w:val="00E92B37"/>
    <w:rsid w:val="00E92C44"/>
    <w:rsid w:val="00E933DD"/>
    <w:rsid w:val="00E9378F"/>
    <w:rsid w:val="00E93945"/>
    <w:rsid w:val="00E93ACE"/>
    <w:rsid w:val="00E93FD8"/>
    <w:rsid w:val="00E9411E"/>
    <w:rsid w:val="00E943D5"/>
    <w:rsid w:val="00E94A36"/>
    <w:rsid w:val="00E94B2D"/>
    <w:rsid w:val="00E94F83"/>
    <w:rsid w:val="00E9542C"/>
    <w:rsid w:val="00E956AB"/>
    <w:rsid w:val="00E95B4B"/>
    <w:rsid w:val="00E95BE7"/>
    <w:rsid w:val="00E95C05"/>
    <w:rsid w:val="00E95E4E"/>
    <w:rsid w:val="00E960F8"/>
    <w:rsid w:val="00E9637B"/>
    <w:rsid w:val="00E9685E"/>
    <w:rsid w:val="00E96E07"/>
    <w:rsid w:val="00E96E1A"/>
    <w:rsid w:val="00E97A53"/>
    <w:rsid w:val="00E97B71"/>
    <w:rsid w:val="00E97C19"/>
    <w:rsid w:val="00EA00A7"/>
    <w:rsid w:val="00EA030C"/>
    <w:rsid w:val="00EA058D"/>
    <w:rsid w:val="00EA0A0E"/>
    <w:rsid w:val="00EA0A46"/>
    <w:rsid w:val="00EA0ACD"/>
    <w:rsid w:val="00EA0BB3"/>
    <w:rsid w:val="00EA0BBD"/>
    <w:rsid w:val="00EA10FA"/>
    <w:rsid w:val="00EA1360"/>
    <w:rsid w:val="00EA16D3"/>
    <w:rsid w:val="00EA16FC"/>
    <w:rsid w:val="00EA1A04"/>
    <w:rsid w:val="00EA1A54"/>
    <w:rsid w:val="00EA1BEE"/>
    <w:rsid w:val="00EA1C5F"/>
    <w:rsid w:val="00EA23B9"/>
    <w:rsid w:val="00EA2465"/>
    <w:rsid w:val="00EA2719"/>
    <w:rsid w:val="00EA290B"/>
    <w:rsid w:val="00EA3213"/>
    <w:rsid w:val="00EA33E8"/>
    <w:rsid w:val="00EA3915"/>
    <w:rsid w:val="00EA3CC1"/>
    <w:rsid w:val="00EA3D34"/>
    <w:rsid w:val="00EA434B"/>
    <w:rsid w:val="00EA4459"/>
    <w:rsid w:val="00EA4585"/>
    <w:rsid w:val="00EA458C"/>
    <w:rsid w:val="00EA4630"/>
    <w:rsid w:val="00EA4702"/>
    <w:rsid w:val="00EA4837"/>
    <w:rsid w:val="00EA5376"/>
    <w:rsid w:val="00EA53B4"/>
    <w:rsid w:val="00EA59B1"/>
    <w:rsid w:val="00EA59BB"/>
    <w:rsid w:val="00EA5C48"/>
    <w:rsid w:val="00EA5D1F"/>
    <w:rsid w:val="00EA5DBC"/>
    <w:rsid w:val="00EA609D"/>
    <w:rsid w:val="00EA640E"/>
    <w:rsid w:val="00EA6895"/>
    <w:rsid w:val="00EA68AD"/>
    <w:rsid w:val="00EA6DC0"/>
    <w:rsid w:val="00EA6E86"/>
    <w:rsid w:val="00EA7416"/>
    <w:rsid w:val="00EA7DA0"/>
    <w:rsid w:val="00EA7DAD"/>
    <w:rsid w:val="00EB0237"/>
    <w:rsid w:val="00EB0584"/>
    <w:rsid w:val="00EB0604"/>
    <w:rsid w:val="00EB0CC8"/>
    <w:rsid w:val="00EB0CE7"/>
    <w:rsid w:val="00EB0EBD"/>
    <w:rsid w:val="00EB1199"/>
    <w:rsid w:val="00EB1228"/>
    <w:rsid w:val="00EB1348"/>
    <w:rsid w:val="00EB151A"/>
    <w:rsid w:val="00EB17DA"/>
    <w:rsid w:val="00EB1949"/>
    <w:rsid w:val="00EB1CBD"/>
    <w:rsid w:val="00EB1F62"/>
    <w:rsid w:val="00EB1FA6"/>
    <w:rsid w:val="00EB24F9"/>
    <w:rsid w:val="00EB26AB"/>
    <w:rsid w:val="00EB26D3"/>
    <w:rsid w:val="00EB2AC2"/>
    <w:rsid w:val="00EB2D76"/>
    <w:rsid w:val="00EB2E3B"/>
    <w:rsid w:val="00EB38D2"/>
    <w:rsid w:val="00EB3952"/>
    <w:rsid w:val="00EB39AE"/>
    <w:rsid w:val="00EB3F5A"/>
    <w:rsid w:val="00EB3FAF"/>
    <w:rsid w:val="00EB413B"/>
    <w:rsid w:val="00EB454D"/>
    <w:rsid w:val="00EB47CE"/>
    <w:rsid w:val="00EB492B"/>
    <w:rsid w:val="00EB4966"/>
    <w:rsid w:val="00EB496A"/>
    <w:rsid w:val="00EB4985"/>
    <w:rsid w:val="00EB576A"/>
    <w:rsid w:val="00EB60D2"/>
    <w:rsid w:val="00EB613E"/>
    <w:rsid w:val="00EB6159"/>
    <w:rsid w:val="00EB65F1"/>
    <w:rsid w:val="00EB6964"/>
    <w:rsid w:val="00EB6AC1"/>
    <w:rsid w:val="00EB6BB4"/>
    <w:rsid w:val="00EB6DE1"/>
    <w:rsid w:val="00EB720C"/>
    <w:rsid w:val="00EB72F8"/>
    <w:rsid w:val="00EB7776"/>
    <w:rsid w:val="00EB7A5F"/>
    <w:rsid w:val="00EB7D08"/>
    <w:rsid w:val="00EB7D0E"/>
    <w:rsid w:val="00EC01D9"/>
    <w:rsid w:val="00EC1929"/>
    <w:rsid w:val="00EC219A"/>
    <w:rsid w:val="00EC25B8"/>
    <w:rsid w:val="00EC271E"/>
    <w:rsid w:val="00EC29CA"/>
    <w:rsid w:val="00EC2B04"/>
    <w:rsid w:val="00EC3009"/>
    <w:rsid w:val="00EC3420"/>
    <w:rsid w:val="00EC3939"/>
    <w:rsid w:val="00EC3F5A"/>
    <w:rsid w:val="00EC42C5"/>
    <w:rsid w:val="00EC4F40"/>
    <w:rsid w:val="00EC5548"/>
    <w:rsid w:val="00EC5757"/>
    <w:rsid w:val="00EC57CD"/>
    <w:rsid w:val="00EC5871"/>
    <w:rsid w:val="00EC5AE5"/>
    <w:rsid w:val="00EC5EC4"/>
    <w:rsid w:val="00EC5F21"/>
    <w:rsid w:val="00EC5FC9"/>
    <w:rsid w:val="00EC6162"/>
    <w:rsid w:val="00EC6275"/>
    <w:rsid w:val="00EC6C07"/>
    <w:rsid w:val="00EC6FCD"/>
    <w:rsid w:val="00EC70D0"/>
    <w:rsid w:val="00EC730A"/>
    <w:rsid w:val="00EC75CD"/>
    <w:rsid w:val="00EC7729"/>
    <w:rsid w:val="00EC7BA9"/>
    <w:rsid w:val="00ED08EB"/>
    <w:rsid w:val="00ED0F2A"/>
    <w:rsid w:val="00ED1116"/>
    <w:rsid w:val="00ED13EE"/>
    <w:rsid w:val="00ED1421"/>
    <w:rsid w:val="00ED14D5"/>
    <w:rsid w:val="00ED18DC"/>
    <w:rsid w:val="00ED1A3E"/>
    <w:rsid w:val="00ED1B04"/>
    <w:rsid w:val="00ED1C68"/>
    <w:rsid w:val="00ED211C"/>
    <w:rsid w:val="00ED233F"/>
    <w:rsid w:val="00ED248C"/>
    <w:rsid w:val="00ED2676"/>
    <w:rsid w:val="00ED2824"/>
    <w:rsid w:val="00ED295F"/>
    <w:rsid w:val="00ED2B97"/>
    <w:rsid w:val="00ED3118"/>
    <w:rsid w:val="00ED397F"/>
    <w:rsid w:val="00ED3B57"/>
    <w:rsid w:val="00ED3D04"/>
    <w:rsid w:val="00ED3D80"/>
    <w:rsid w:val="00ED4148"/>
    <w:rsid w:val="00ED4354"/>
    <w:rsid w:val="00ED4370"/>
    <w:rsid w:val="00ED4406"/>
    <w:rsid w:val="00ED46AA"/>
    <w:rsid w:val="00ED4911"/>
    <w:rsid w:val="00ED4F32"/>
    <w:rsid w:val="00ED52D6"/>
    <w:rsid w:val="00ED5656"/>
    <w:rsid w:val="00ED5DD7"/>
    <w:rsid w:val="00ED5FA0"/>
    <w:rsid w:val="00ED65C4"/>
    <w:rsid w:val="00ED67D0"/>
    <w:rsid w:val="00ED67F1"/>
    <w:rsid w:val="00ED69D3"/>
    <w:rsid w:val="00ED75BD"/>
    <w:rsid w:val="00ED75C6"/>
    <w:rsid w:val="00ED76BE"/>
    <w:rsid w:val="00ED7C53"/>
    <w:rsid w:val="00EE0032"/>
    <w:rsid w:val="00EE0747"/>
    <w:rsid w:val="00EE07CF"/>
    <w:rsid w:val="00EE0E65"/>
    <w:rsid w:val="00EE0EF2"/>
    <w:rsid w:val="00EE0F2E"/>
    <w:rsid w:val="00EE0F3C"/>
    <w:rsid w:val="00EE0F71"/>
    <w:rsid w:val="00EE1451"/>
    <w:rsid w:val="00EE1655"/>
    <w:rsid w:val="00EE1908"/>
    <w:rsid w:val="00EE1981"/>
    <w:rsid w:val="00EE1DD0"/>
    <w:rsid w:val="00EE1F51"/>
    <w:rsid w:val="00EE1FA5"/>
    <w:rsid w:val="00EE24F0"/>
    <w:rsid w:val="00EE2973"/>
    <w:rsid w:val="00EE2B90"/>
    <w:rsid w:val="00EE2B93"/>
    <w:rsid w:val="00EE2DD6"/>
    <w:rsid w:val="00EE2F4E"/>
    <w:rsid w:val="00EE35C8"/>
    <w:rsid w:val="00EE35D1"/>
    <w:rsid w:val="00EE37EB"/>
    <w:rsid w:val="00EE3881"/>
    <w:rsid w:val="00EE3C34"/>
    <w:rsid w:val="00EE3DFE"/>
    <w:rsid w:val="00EE3EEA"/>
    <w:rsid w:val="00EE40D7"/>
    <w:rsid w:val="00EE4181"/>
    <w:rsid w:val="00EE42B2"/>
    <w:rsid w:val="00EE4F2C"/>
    <w:rsid w:val="00EE51CE"/>
    <w:rsid w:val="00EE52BC"/>
    <w:rsid w:val="00EE5460"/>
    <w:rsid w:val="00EE56E1"/>
    <w:rsid w:val="00EE57CE"/>
    <w:rsid w:val="00EE597B"/>
    <w:rsid w:val="00EE5AB2"/>
    <w:rsid w:val="00EE5F30"/>
    <w:rsid w:val="00EE6199"/>
    <w:rsid w:val="00EE62E2"/>
    <w:rsid w:val="00EE661A"/>
    <w:rsid w:val="00EE6970"/>
    <w:rsid w:val="00EE6B5B"/>
    <w:rsid w:val="00EE6E06"/>
    <w:rsid w:val="00EE76D9"/>
    <w:rsid w:val="00EE78D4"/>
    <w:rsid w:val="00EE7AF3"/>
    <w:rsid w:val="00EE7DB5"/>
    <w:rsid w:val="00EE7DC6"/>
    <w:rsid w:val="00EF0086"/>
    <w:rsid w:val="00EF00BF"/>
    <w:rsid w:val="00EF019F"/>
    <w:rsid w:val="00EF041B"/>
    <w:rsid w:val="00EF0CFD"/>
    <w:rsid w:val="00EF0E20"/>
    <w:rsid w:val="00EF10AE"/>
    <w:rsid w:val="00EF1776"/>
    <w:rsid w:val="00EF1C4D"/>
    <w:rsid w:val="00EF1E60"/>
    <w:rsid w:val="00EF1FDC"/>
    <w:rsid w:val="00EF20EA"/>
    <w:rsid w:val="00EF25E4"/>
    <w:rsid w:val="00EF2CC9"/>
    <w:rsid w:val="00EF2E44"/>
    <w:rsid w:val="00EF32D3"/>
    <w:rsid w:val="00EF3628"/>
    <w:rsid w:val="00EF3789"/>
    <w:rsid w:val="00EF380F"/>
    <w:rsid w:val="00EF3997"/>
    <w:rsid w:val="00EF3AAC"/>
    <w:rsid w:val="00EF3ACE"/>
    <w:rsid w:val="00EF3D40"/>
    <w:rsid w:val="00EF3F5D"/>
    <w:rsid w:val="00EF45AD"/>
    <w:rsid w:val="00EF4A52"/>
    <w:rsid w:val="00EF4D4A"/>
    <w:rsid w:val="00EF5489"/>
    <w:rsid w:val="00EF5560"/>
    <w:rsid w:val="00EF55FC"/>
    <w:rsid w:val="00EF5F2C"/>
    <w:rsid w:val="00EF619B"/>
    <w:rsid w:val="00EF62E0"/>
    <w:rsid w:val="00EF667D"/>
    <w:rsid w:val="00EF6889"/>
    <w:rsid w:val="00EF6C7F"/>
    <w:rsid w:val="00EF6DE9"/>
    <w:rsid w:val="00EF7060"/>
    <w:rsid w:val="00EF7151"/>
    <w:rsid w:val="00EF73D7"/>
    <w:rsid w:val="00EF769D"/>
    <w:rsid w:val="00EF7710"/>
    <w:rsid w:val="00EF7AD6"/>
    <w:rsid w:val="00EF7B0E"/>
    <w:rsid w:val="00EF7C5E"/>
    <w:rsid w:val="00F00055"/>
    <w:rsid w:val="00F00323"/>
    <w:rsid w:val="00F0043F"/>
    <w:rsid w:val="00F00735"/>
    <w:rsid w:val="00F00B55"/>
    <w:rsid w:val="00F00B7C"/>
    <w:rsid w:val="00F014B7"/>
    <w:rsid w:val="00F01AC4"/>
    <w:rsid w:val="00F01E62"/>
    <w:rsid w:val="00F01FD3"/>
    <w:rsid w:val="00F02506"/>
    <w:rsid w:val="00F027CA"/>
    <w:rsid w:val="00F02865"/>
    <w:rsid w:val="00F02907"/>
    <w:rsid w:val="00F02932"/>
    <w:rsid w:val="00F02987"/>
    <w:rsid w:val="00F029B3"/>
    <w:rsid w:val="00F029FA"/>
    <w:rsid w:val="00F02A1C"/>
    <w:rsid w:val="00F02AA7"/>
    <w:rsid w:val="00F02AD1"/>
    <w:rsid w:val="00F031DF"/>
    <w:rsid w:val="00F03977"/>
    <w:rsid w:val="00F03B99"/>
    <w:rsid w:val="00F03DA3"/>
    <w:rsid w:val="00F040F9"/>
    <w:rsid w:val="00F0417F"/>
    <w:rsid w:val="00F04187"/>
    <w:rsid w:val="00F048F3"/>
    <w:rsid w:val="00F04F35"/>
    <w:rsid w:val="00F0509B"/>
    <w:rsid w:val="00F052DD"/>
    <w:rsid w:val="00F0549F"/>
    <w:rsid w:val="00F05E26"/>
    <w:rsid w:val="00F06515"/>
    <w:rsid w:val="00F065B7"/>
    <w:rsid w:val="00F065D0"/>
    <w:rsid w:val="00F06929"/>
    <w:rsid w:val="00F06BB9"/>
    <w:rsid w:val="00F06F36"/>
    <w:rsid w:val="00F07180"/>
    <w:rsid w:val="00F071A7"/>
    <w:rsid w:val="00F074EC"/>
    <w:rsid w:val="00F07980"/>
    <w:rsid w:val="00F07BE5"/>
    <w:rsid w:val="00F07E25"/>
    <w:rsid w:val="00F107B2"/>
    <w:rsid w:val="00F10A5F"/>
    <w:rsid w:val="00F10C14"/>
    <w:rsid w:val="00F10CEE"/>
    <w:rsid w:val="00F10D7E"/>
    <w:rsid w:val="00F10EF7"/>
    <w:rsid w:val="00F10F14"/>
    <w:rsid w:val="00F10F5F"/>
    <w:rsid w:val="00F10FDF"/>
    <w:rsid w:val="00F10FF9"/>
    <w:rsid w:val="00F11B32"/>
    <w:rsid w:val="00F11CDE"/>
    <w:rsid w:val="00F11CF8"/>
    <w:rsid w:val="00F121B8"/>
    <w:rsid w:val="00F123CE"/>
    <w:rsid w:val="00F125DF"/>
    <w:rsid w:val="00F12D3C"/>
    <w:rsid w:val="00F12E32"/>
    <w:rsid w:val="00F12E5C"/>
    <w:rsid w:val="00F13524"/>
    <w:rsid w:val="00F141E4"/>
    <w:rsid w:val="00F14659"/>
    <w:rsid w:val="00F146ED"/>
    <w:rsid w:val="00F149B4"/>
    <w:rsid w:val="00F14D01"/>
    <w:rsid w:val="00F14E7D"/>
    <w:rsid w:val="00F14F60"/>
    <w:rsid w:val="00F1510C"/>
    <w:rsid w:val="00F154CF"/>
    <w:rsid w:val="00F15C84"/>
    <w:rsid w:val="00F15FDD"/>
    <w:rsid w:val="00F1644E"/>
    <w:rsid w:val="00F168A4"/>
    <w:rsid w:val="00F16B1D"/>
    <w:rsid w:val="00F16B67"/>
    <w:rsid w:val="00F16E58"/>
    <w:rsid w:val="00F1755B"/>
    <w:rsid w:val="00F2057E"/>
    <w:rsid w:val="00F20ABD"/>
    <w:rsid w:val="00F20CC3"/>
    <w:rsid w:val="00F20CC7"/>
    <w:rsid w:val="00F212BC"/>
    <w:rsid w:val="00F214C9"/>
    <w:rsid w:val="00F2192C"/>
    <w:rsid w:val="00F219EA"/>
    <w:rsid w:val="00F21A79"/>
    <w:rsid w:val="00F21F6E"/>
    <w:rsid w:val="00F223D2"/>
    <w:rsid w:val="00F22E1E"/>
    <w:rsid w:val="00F22F20"/>
    <w:rsid w:val="00F236A9"/>
    <w:rsid w:val="00F23A63"/>
    <w:rsid w:val="00F23B3A"/>
    <w:rsid w:val="00F23C77"/>
    <w:rsid w:val="00F23DB8"/>
    <w:rsid w:val="00F23F87"/>
    <w:rsid w:val="00F24043"/>
    <w:rsid w:val="00F247A0"/>
    <w:rsid w:val="00F24CBD"/>
    <w:rsid w:val="00F250C7"/>
    <w:rsid w:val="00F253CC"/>
    <w:rsid w:val="00F2551C"/>
    <w:rsid w:val="00F256F3"/>
    <w:rsid w:val="00F2579B"/>
    <w:rsid w:val="00F2581A"/>
    <w:rsid w:val="00F25A1F"/>
    <w:rsid w:val="00F25A36"/>
    <w:rsid w:val="00F25AE2"/>
    <w:rsid w:val="00F25CD8"/>
    <w:rsid w:val="00F2600C"/>
    <w:rsid w:val="00F26A2B"/>
    <w:rsid w:val="00F26BDA"/>
    <w:rsid w:val="00F2702A"/>
    <w:rsid w:val="00F270F1"/>
    <w:rsid w:val="00F272C6"/>
    <w:rsid w:val="00F2770D"/>
    <w:rsid w:val="00F2796D"/>
    <w:rsid w:val="00F27A79"/>
    <w:rsid w:val="00F27EFA"/>
    <w:rsid w:val="00F3016F"/>
    <w:rsid w:val="00F301F1"/>
    <w:rsid w:val="00F3062D"/>
    <w:rsid w:val="00F30798"/>
    <w:rsid w:val="00F308DF"/>
    <w:rsid w:val="00F30E35"/>
    <w:rsid w:val="00F311C1"/>
    <w:rsid w:val="00F31266"/>
    <w:rsid w:val="00F31532"/>
    <w:rsid w:val="00F318EF"/>
    <w:rsid w:val="00F3246D"/>
    <w:rsid w:val="00F32627"/>
    <w:rsid w:val="00F328BD"/>
    <w:rsid w:val="00F32AE8"/>
    <w:rsid w:val="00F32FE2"/>
    <w:rsid w:val="00F330E4"/>
    <w:rsid w:val="00F33748"/>
    <w:rsid w:val="00F33955"/>
    <w:rsid w:val="00F3448A"/>
    <w:rsid w:val="00F3449A"/>
    <w:rsid w:val="00F34575"/>
    <w:rsid w:val="00F34712"/>
    <w:rsid w:val="00F34B5A"/>
    <w:rsid w:val="00F34E3D"/>
    <w:rsid w:val="00F351BB"/>
    <w:rsid w:val="00F353B3"/>
    <w:rsid w:val="00F35543"/>
    <w:rsid w:val="00F35678"/>
    <w:rsid w:val="00F3585A"/>
    <w:rsid w:val="00F35959"/>
    <w:rsid w:val="00F36342"/>
    <w:rsid w:val="00F363AB"/>
    <w:rsid w:val="00F367FD"/>
    <w:rsid w:val="00F3684D"/>
    <w:rsid w:val="00F3692A"/>
    <w:rsid w:val="00F36BBC"/>
    <w:rsid w:val="00F36BD1"/>
    <w:rsid w:val="00F36DD3"/>
    <w:rsid w:val="00F37106"/>
    <w:rsid w:val="00F3776F"/>
    <w:rsid w:val="00F37ACB"/>
    <w:rsid w:val="00F40146"/>
    <w:rsid w:val="00F4059E"/>
    <w:rsid w:val="00F405B0"/>
    <w:rsid w:val="00F40950"/>
    <w:rsid w:val="00F40D29"/>
    <w:rsid w:val="00F40F53"/>
    <w:rsid w:val="00F41724"/>
    <w:rsid w:val="00F417F4"/>
    <w:rsid w:val="00F42613"/>
    <w:rsid w:val="00F42707"/>
    <w:rsid w:val="00F428BF"/>
    <w:rsid w:val="00F42A0E"/>
    <w:rsid w:val="00F42AAE"/>
    <w:rsid w:val="00F43435"/>
    <w:rsid w:val="00F435E2"/>
    <w:rsid w:val="00F4360C"/>
    <w:rsid w:val="00F44049"/>
    <w:rsid w:val="00F4406D"/>
    <w:rsid w:val="00F4462C"/>
    <w:rsid w:val="00F446F9"/>
    <w:rsid w:val="00F44A15"/>
    <w:rsid w:val="00F44C09"/>
    <w:rsid w:val="00F44CA5"/>
    <w:rsid w:val="00F44D14"/>
    <w:rsid w:val="00F44FED"/>
    <w:rsid w:val="00F45089"/>
    <w:rsid w:val="00F45631"/>
    <w:rsid w:val="00F458B4"/>
    <w:rsid w:val="00F45942"/>
    <w:rsid w:val="00F45ADC"/>
    <w:rsid w:val="00F45B86"/>
    <w:rsid w:val="00F45BF1"/>
    <w:rsid w:val="00F46030"/>
    <w:rsid w:val="00F460BD"/>
    <w:rsid w:val="00F46421"/>
    <w:rsid w:val="00F46DCE"/>
    <w:rsid w:val="00F47077"/>
    <w:rsid w:val="00F476EA"/>
    <w:rsid w:val="00F479A9"/>
    <w:rsid w:val="00F50213"/>
    <w:rsid w:val="00F503E5"/>
    <w:rsid w:val="00F506DB"/>
    <w:rsid w:val="00F50950"/>
    <w:rsid w:val="00F50C83"/>
    <w:rsid w:val="00F50E2F"/>
    <w:rsid w:val="00F5120C"/>
    <w:rsid w:val="00F5126E"/>
    <w:rsid w:val="00F519CF"/>
    <w:rsid w:val="00F51C73"/>
    <w:rsid w:val="00F52036"/>
    <w:rsid w:val="00F5266C"/>
    <w:rsid w:val="00F52731"/>
    <w:rsid w:val="00F52B18"/>
    <w:rsid w:val="00F53704"/>
    <w:rsid w:val="00F537C8"/>
    <w:rsid w:val="00F53C26"/>
    <w:rsid w:val="00F53D74"/>
    <w:rsid w:val="00F540ED"/>
    <w:rsid w:val="00F54512"/>
    <w:rsid w:val="00F54740"/>
    <w:rsid w:val="00F547EE"/>
    <w:rsid w:val="00F54ECA"/>
    <w:rsid w:val="00F550DF"/>
    <w:rsid w:val="00F5519E"/>
    <w:rsid w:val="00F55253"/>
    <w:rsid w:val="00F5569F"/>
    <w:rsid w:val="00F557DF"/>
    <w:rsid w:val="00F558AE"/>
    <w:rsid w:val="00F55C40"/>
    <w:rsid w:val="00F55CAE"/>
    <w:rsid w:val="00F56089"/>
    <w:rsid w:val="00F560E0"/>
    <w:rsid w:val="00F56735"/>
    <w:rsid w:val="00F56791"/>
    <w:rsid w:val="00F56BA5"/>
    <w:rsid w:val="00F56C88"/>
    <w:rsid w:val="00F56E69"/>
    <w:rsid w:val="00F5742D"/>
    <w:rsid w:val="00F57702"/>
    <w:rsid w:val="00F57724"/>
    <w:rsid w:val="00F57825"/>
    <w:rsid w:val="00F57978"/>
    <w:rsid w:val="00F57B9F"/>
    <w:rsid w:val="00F57D68"/>
    <w:rsid w:val="00F607B9"/>
    <w:rsid w:val="00F60E22"/>
    <w:rsid w:val="00F60E5B"/>
    <w:rsid w:val="00F612CF"/>
    <w:rsid w:val="00F6165A"/>
    <w:rsid w:val="00F616AD"/>
    <w:rsid w:val="00F61A1A"/>
    <w:rsid w:val="00F61A58"/>
    <w:rsid w:val="00F61FE4"/>
    <w:rsid w:val="00F620F2"/>
    <w:rsid w:val="00F62282"/>
    <w:rsid w:val="00F62600"/>
    <w:rsid w:val="00F62748"/>
    <w:rsid w:val="00F62D1E"/>
    <w:rsid w:val="00F63CCB"/>
    <w:rsid w:val="00F640C5"/>
    <w:rsid w:val="00F6441A"/>
    <w:rsid w:val="00F648AC"/>
    <w:rsid w:val="00F649AD"/>
    <w:rsid w:val="00F64B8B"/>
    <w:rsid w:val="00F64DB1"/>
    <w:rsid w:val="00F6538D"/>
    <w:rsid w:val="00F653D2"/>
    <w:rsid w:val="00F65545"/>
    <w:rsid w:val="00F65569"/>
    <w:rsid w:val="00F659EC"/>
    <w:rsid w:val="00F666DF"/>
    <w:rsid w:val="00F66EB7"/>
    <w:rsid w:val="00F6703B"/>
    <w:rsid w:val="00F6731B"/>
    <w:rsid w:val="00F674F4"/>
    <w:rsid w:val="00F67A50"/>
    <w:rsid w:val="00F67B09"/>
    <w:rsid w:val="00F67C38"/>
    <w:rsid w:val="00F67CA7"/>
    <w:rsid w:val="00F67E93"/>
    <w:rsid w:val="00F70327"/>
    <w:rsid w:val="00F70722"/>
    <w:rsid w:val="00F711C6"/>
    <w:rsid w:val="00F711D8"/>
    <w:rsid w:val="00F7124D"/>
    <w:rsid w:val="00F71A9D"/>
    <w:rsid w:val="00F71D74"/>
    <w:rsid w:val="00F7244A"/>
    <w:rsid w:val="00F72BD4"/>
    <w:rsid w:val="00F72C14"/>
    <w:rsid w:val="00F73170"/>
    <w:rsid w:val="00F7320B"/>
    <w:rsid w:val="00F73584"/>
    <w:rsid w:val="00F73687"/>
    <w:rsid w:val="00F739DF"/>
    <w:rsid w:val="00F74290"/>
    <w:rsid w:val="00F746C3"/>
    <w:rsid w:val="00F74E0A"/>
    <w:rsid w:val="00F74F63"/>
    <w:rsid w:val="00F75766"/>
    <w:rsid w:val="00F75A47"/>
    <w:rsid w:val="00F75A6B"/>
    <w:rsid w:val="00F75F3C"/>
    <w:rsid w:val="00F76487"/>
    <w:rsid w:val="00F764FE"/>
    <w:rsid w:val="00F76E2B"/>
    <w:rsid w:val="00F771F0"/>
    <w:rsid w:val="00F779E6"/>
    <w:rsid w:val="00F77DF8"/>
    <w:rsid w:val="00F804AE"/>
    <w:rsid w:val="00F8067B"/>
    <w:rsid w:val="00F80A4F"/>
    <w:rsid w:val="00F81147"/>
    <w:rsid w:val="00F815A6"/>
    <w:rsid w:val="00F816DE"/>
    <w:rsid w:val="00F81873"/>
    <w:rsid w:val="00F81A2C"/>
    <w:rsid w:val="00F81BE3"/>
    <w:rsid w:val="00F82261"/>
    <w:rsid w:val="00F82DD5"/>
    <w:rsid w:val="00F82E43"/>
    <w:rsid w:val="00F837D4"/>
    <w:rsid w:val="00F83A86"/>
    <w:rsid w:val="00F83DA0"/>
    <w:rsid w:val="00F843AA"/>
    <w:rsid w:val="00F84D44"/>
    <w:rsid w:val="00F852F7"/>
    <w:rsid w:val="00F852FC"/>
    <w:rsid w:val="00F85337"/>
    <w:rsid w:val="00F85A52"/>
    <w:rsid w:val="00F860B1"/>
    <w:rsid w:val="00F866A6"/>
    <w:rsid w:val="00F869AF"/>
    <w:rsid w:val="00F869E0"/>
    <w:rsid w:val="00F87234"/>
    <w:rsid w:val="00F877C0"/>
    <w:rsid w:val="00F87E49"/>
    <w:rsid w:val="00F90217"/>
    <w:rsid w:val="00F9043B"/>
    <w:rsid w:val="00F90590"/>
    <w:rsid w:val="00F90767"/>
    <w:rsid w:val="00F90AEF"/>
    <w:rsid w:val="00F90C3E"/>
    <w:rsid w:val="00F90CAC"/>
    <w:rsid w:val="00F90CC2"/>
    <w:rsid w:val="00F90CE4"/>
    <w:rsid w:val="00F91160"/>
    <w:rsid w:val="00F91190"/>
    <w:rsid w:val="00F91542"/>
    <w:rsid w:val="00F917D1"/>
    <w:rsid w:val="00F91A90"/>
    <w:rsid w:val="00F91BBA"/>
    <w:rsid w:val="00F91BDC"/>
    <w:rsid w:val="00F92433"/>
    <w:rsid w:val="00F92850"/>
    <w:rsid w:val="00F93573"/>
    <w:rsid w:val="00F9375E"/>
    <w:rsid w:val="00F93F64"/>
    <w:rsid w:val="00F94216"/>
    <w:rsid w:val="00F9451A"/>
    <w:rsid w:val="00F94712"/>
    <w:rsid w:val="00F9491D"/>
    <w:rsid w:val="00F94A85"/>
    <w:rsid w:val="00F954CA"/>
    <w:rsid w:val="00F9568E"/>
    <w:rsid w:val="00F957AE"/>
    <w:rsid w:val="00F95A27"/>
    <w:rsid w:val="00F95AED"/>
    <w:rsid w:val="00F96160"/>
    <w:rsid w:val="00F96333"/>
    <w:rsid w:val="00F964F8"/>
    <w:rsid w:val="00F9653B"/>
    <w:rsid w:val="00F965F5"/>
    <w:rsid w:val="00F9666C"/>
    <w:rsid w:val="00F96778"/>
    <w:rsid w:val="00F97407"/>
    <w:rsid w:val="00F9741B"/>
    <w:rsid w:val="00F97516"/>
    <w:rsid w:val="00F97A52"/>
    <w:rsid w:val="00F97B39"/>
    <w:rsid w:val="00F97DCB"/>
    <w:rsid w:val="00F97E2D"/>
    <w:rsid w:val="00F97E62"/>
    <w:rsid w:val="00FA02EB"/>
    <w:rsid w:val="00FA0338"/>
    <w:rsid w:val="00FA0711"/>
    <w:rsid w:val="00FA08DD"/>
    <w:rsid w:val="00FA093F"/>
    <w:rsid w:val="00FA0B53"/>
    <w:rsid w:val="00FA0D48"/>
    <w:rsid w:val="00FA0E77"/>
    <w:rsid w:val="00FA174E"/>
    <w:rsid w:val="00FA1A07"/>
    <w:rsid w:val="00FA1A78"/>
    <w:rsid w:val="00FA1FAA"/>
    <w:rsid w:val="00FA1FBB"/>
    <w:rsid w:val="00FA20D3"/>
    <w:rsid w:val="00FA2595"/>
    <w:rsid w:val="00FA26BE"/>
    <w:rsid w:val="00FA2E9D"/>
    <w:rsid w:val="00FA35B3"/>
    <w:rsid w:val="00FA3664"/>
    <w:rsid w:val="00FA3858"/>
    <w:rsid w:val="00FA3987"/>
    <w:rsid w:val="00FA4035"/>
    <w:rsid w:val="00FA410D"/>
    <w:rsid w:val="00FA4293"/>
    <w:rsid w:val="00FA46B3"/>
    <w:rsid w:val="00FA46DA"/>
    <w:rsid w:val="00FA4AD3"/>
    <w:rsid w:val="00FA57A0"/>
    <w:rsid w:val="00FA5957"/>
    <w:rsid w:val="00FA5C21"/>
    <w:rsid w:val="00FA5EAE"/>
    <w:rsid w:val="00FA60B9"/>
    <w:rsid w:val="00FA65A6"/>
    <w:rsid w:val="00FA65BB"/>
    <w:rsid w:val="00FA66D9"/>
    <w:rsid w:val="00FA6A30"/>
    <w:rsid w:val="00FA6C23"/>
    <w:rsid w:val="00FA6DA6"/>
    <w:rsid w:val="00FA7068"/>
    <w:rsid w:val="00FA738F"/>
    <w:rsid w:val="00FA7494"/>
    <w:rsid w:val="00FA7605"/>
    <w:rsid w:val="00FA77B7"/>
    <w:rsid w:val="00FA7CE6"/>
    <w:rsid w:val="00FA7DA5"/>
    <w:rsid w:val="00FB05F9"/>
    <w:rsid w:val="00FB069F"/>
    <w:rsid w:val="00FB098E"/>
    <w:rsid w:val="00FB0A94"/>
    <w:rsid w:val="00FB1084"/>
    <w:rsid w:val="00FB1351"/>
    <w:rsid w:val="00FB14D9"/>
    <w:rsid w:val="00FB1666"/>
    <w:rsid w:val="00FB19D1"/>
    <w:rsid w:val="00FB1AC2"/>
    <w:rsid w:val="00FB1F06"/>
    <w:rsid w:val="00FB201C"/>
    <w:rsid w:val="00FB2096"/>
    <w:rsid w:val="00FB25B0"/>
    <w:rsid w:val="00FB2CF3"/>
    <w:rsid w:val="00FB2E57"/>
    <w:rsid w:val="00FB2ED7"/>
    <w:rsid w:val="00FB3A03"/>
    <w:rsid w:val="00FB3D94"/>
    <w:rsid w:val="00FB3F52"/>
    <w:rsid w:val="00FB3F5D"/>
    <w:rsid w:val="00FB4364"/>
    <w:rsid w:val="00FB43DD"/>
    <w:rsid w:val="00FB465A"/>
    <w:rsid w:val="00FB4BD3"/>
    <w:rsid w:val="00FB4EB8"/>
    <w:rsid w:val="00FB4F03"/>
    <w:rsid w:val="00FB509B"/>
    <w:rsid w:val="00FB52E5"/>
    <w:rsid w:val="00FB54A0"/>
    <w:rsid w:val="00FB57E4"/>
    <w:rsid w:val="00FB5AF0"/>
    <w:rsid w:val="00FB5E1B"/>
    <w:rsid w:val="00FB62CF"/>
    <w:rsid w:val="00FB6330"/>
    <w:rsid w:val="00FB6491"/>
    <w:rsid w:val="00FB64DE"/>
    <w:rsid w:val="00FB6512"/>
    <w:rsid w:val="00FB68F0"/>
    <w:rsid w:val="00FB6B56"/>
    <w:rsid w:val="00FB6EB6"/>
    <w:rsid w:val="00FB7137"/>
    <w:rsid w:val="00FB7604"/>
    <w:rsid w:val="00FB7B6A"/>
    <w:rsid w:val="00FC0F90"/>
    <w:rsid w:val="00FC1660"/>
    <w:rsid w:val="00FC171D"/>
    <w:rsid w:val="00FC1799"/>
    <w:rsid w:val="00FC1A0F"/>
    <w:rsid w:val="00FC2226"/>
    <w:rsid w:val="00FC23DE"/>
    <w:rsid w:val="00FC27FD"/>
    <w:rsid w:val="00FC2959"/>
    <w:rsid w:val="00FC2B0C"/>
    <w:rsid w:val="00FC30E2"/>
    <w:rsid w:val="00FC3301"/>
    <w:rsid w:val="00FC33C2"/>
    <w:rsid w:val="00FC3845"/>
    <w:rsid w:val="00FC3B9C"/>
    <w:rsid w:val="00FC3E44"/>
    <w:rsid w:val="00FC4122"/>
    <w:rsid w:val="00FC415B"/>
    <w:rsid w:val="00FC47E0"/>
    <w:rsid w:val="00FC488C"/>
    <w:rsid w:val="00FC4D1B"/>
    <w:rsid w:val="00FC551C"/>
    <w:rsid w:val="00FC563C"/>
    <w:rsid w:val="00FC5691"/>
    <w:rsid w:val="00FC5AF3"/>
    <w:rsid w:val="00FC6038"/>
    <w:rsid w:val="00FC6163"/>
    <w:rsid w:val="00FC634A"/>
    <w:rsid w:val="00FC6A29"/>
    <w:rsid w:val="00FC6A5B"/>
    <w:rsid w:val="00FC7319"/>
    <w:rsid w:val="00FC73F0"/>
    <w:rsid w:val="00FC75D1"/>
    <w:rsid w:val="00FC7D96"/>
    <w:rsid w:val="00FD0029"/>
    <w:rsid w:val="00FD05AE"/>
    <w:rsid w:val="00FD05B2"/>
    <w:rsid w:val="00FD0B6D"/>
    <w:rsid w:val="00FD0BD9"/>
    <w:rsid w:val="00FD0C3E"/>
    <w:rsid w:val="00FD0EFE"/>
    <w:rsid w:val="00FD0F00"/>
    <w:rsid w:val="00FD10D3"/>
    <w:rsid w:val="00FD11D8"/>
    <w:rsid w:val="00FD123A"/>
    <w:rsid w:val="00FD125C"/>
    <w:rsid w:val="00FD13DD"/>
    <w:rsid w:val="00FD17E0"/>
    <w:rsid w:val="00FD1971"/>
    <w:rsid w:val="00FD19B7"/>
    <w:rsid w:val="00FD1A5F"/>
    <w:rsid w:val="00FD1ABA"/>
    <w:rsid w:val="00FD1AFA"/>
    <w:rsid w:val="00FD1CEF"/>
    <w:rsid w:val="00FD1F8C"/>
    <w:rsid w:val="00FD1FD0"/>
    <w:rsid w:val="00FD21EF"/>
    <w:rsid w:val="00FD26A1"/>
    <w:rsid w:val="00FD27E6"/>
    <w:rsid w:val="00FD2E3F"/>
    <w:rsid w:val="00FD2FDF"/>
    <w:rsid w:val="00FD3174"/>
    <w:rsid w:val="00FD34DD"/>
    <w:rsid w:val="00FD38B9"/>
    <w:rsid w:val="00FD3AB2"/>
    <w:rsid w:val="00FD3C3B"/>
    <w:rsid w:val="00FD3D23"/>
    <w:rsid w:val="00FD44C4"/>
    <w:rsid w:val="00FD46A6"/>
    <w:rsid w:val="00FD4C4C"/>
    <w:rsid w:val="00FD4EC1"/>
    <w:rsid w:val="00FD4F75"/>
    <w:rsid w:val="00FD51B3"/>
    <w:rsid w:val="00FD532B"/>
    <w:rsid w:val="00FD54AD"/>
    <w:rsid w:val="00FD54DA"/>
    <w:rsid w:val="00FD5921"/>
    <w:rsid w:val="00FD60E3"/>
    <w:rsid w:val="00FD668F"/>
    <w:rsid w:val="00FD66F9"/>
    <w:rsid w:val="00FD6BD6"/>
    <w:rsid w:val="00FD70E8"/>
    <w:rsid w:val="00FD721F"/>
    <w:rsid w:val="00FD729D"/>
    <w:rsid w:val="00FD76F2"/>
    <w:rsid w:val="00FD7921"/>
    <w:rsid w:val="00FD79FD"/>
    <w:rsid w:val="00FD79FF"/>
    <w:rsid w:val="00FE0499"/>
    <w:rsid w:val="00FE0851"/>
    <w:rsid w:val="00FE0BC9"/>
    <w:rsid w:val="00FE0E59"/>
    <w:rsid w:val="00FE0EE6"/>
    <w:rsid w:val="00FE12C4"/>
    <w:rsid w:val="00FE15F2"/>
    <w:rsid w:val="00FE1849"/>
    <w:rsid w:val="00FE18F9"/>
    <w:rsid w:val="00FE1DFE"/>
    <w:rsid w:val="00FE1F1B"/>
    <w:rsid w:val="00FE1F8C"/>
    <w:rsid w:val="00FE273D"/>
    <w:rsid w:val="00FE29EC"/>
    <w:rsid w:val="00FE31D6"/>
    <w:rsid w:val="00FE3217"/>
    <w:rsid w:val="00FE350D"/>
    <w:rsid w:val="00FE376F"/>
    <w:rsid w:val="00FE3895"/>
    <w:rsid w:val="00FE4322"/>
    <w:rsid w:val="00FE45EF"/>
    <w:rsid w:val="00FE487F"/>
    <w:rsid w:val="00FE4928"/>
    <w:rsid w:val="00FE5017"/>
    <w:rsid w:val="00FE5044"/>
    <w:rsid w:val="00FE52B3"/>
    <w:rsid w:val="00FE5E14"/>
    <w:rsid w:val="00FE66A3"/>
    <w:rsid w:val="00FE6755"/>
    <w:rsid w:val="00FE6783"/>
    <w:rsid w:val="00FE6A28"/>
    <w:rsid w:val="00FE6B45"/>
    <w:rsid w:val="00FE6BB0"/>
    <w:rsid w:val="00FE6F27"/>
    <w:rsid w:val="00FE6F82"/>
    <w:rsid w:val="00FE70DE"/>
    <w:rsid w:val="00FE7413"/>
    <w:rsid w:val="00FE762A"/>
    <w:rsid w:val="00FF08C7"/>
    <w:rsid w:val="00FF09B0"/>
    <w:rsid w:val="00FF11B9"/>
    <w:rsid w:val="00FF149E"/>
    <w:rsid w:val="00FF14ED"/>
    <w:rsid w:val="00FF1520"/>
    <w:rsid w:val="00FF1BD8"/>
    <w:rsid w:val="00FF1F7E"/>
    <w:rsid w:val="00FF1FC9"/>
    <w:rsid w:val="00FF222C"/>
    <w:rsid w:val="00FF22DB"/>
    <w:rsid w:val="00FF2672"/>
    <w:rsid w:val="00FF2A34"/>
    <w:rsid w:val="00FF2E0B"/>
    <w:rsid w:val="00FF2FF7"/>
    <w:rsid w:val="00FF3195"/>
    <w:rsid w:val="00FF342C"/>
    <w:rsid w:val="00FF3556"/>
    <w:rsid w:val="00FF40D0"/>
    <w:rsid w:val="00FF4706"/>
    <w:rsid w:val="00FF4711"/>
    <w:rsid w:val="00FF48F6"/>
    <w:rsid w:val="00FF4B4F"/>
    <w:rsid w:val="00FF4D55"/>
    <w:rsid w:val="00FF4E38"/>
    <w:rsid w:val="00FF4F04"/>
    <w:rsid w:val="00FF5166"/>
    <w:rsid w:val="00FF522C"/>
    <w:rsid w:val="00FF5851"/>
    <w:rsid w:val="00FF5CBF"/>
    <w:rsid w:val="00FF5EE6"/>
    <w:rsid w:val="00FF65CA"/>
    <w:rsid w:val="00FF6923"/>
    <w:rsid w:val="00FF6B2C"/>
    <w:rsid w:val="00FF6C90"/>
    <w:rsid w:val="00FF7876"/>
    <w:rsid w:val="00FF7B79"/>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14:docId w14:val="2E57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sz w:val="24"/>
      <w:szCs w:val="24"/>
      <w:lang w:val="en-US" w:eastAsia="en-US"/>
    </w:rPr>
  </w:style>
  <w:style w:type="paragraph" w:styleId="Heading1">
    <w:name w:val="heading 1"/>
    <w:basedOn w:val="Normal"/>
    <w:next w:val="Normal"/>
    <w:link w:val="Heading1Char"/>
    <w:qFormat/>
    <w:rsid w:val="00E24E60"/>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uiPriority w:val="99"/>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
    <w:link w:val="ListParagraphChar"/>
    <w:uiPriority w:val="34"/>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B873B8"/>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uiPriority w:val="20"/>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List Paragraph11 Char"/>
    <w:link w:val="ListParagraph"/>
    <w:uiPriority w:val="34"/>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5"/>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526252"/>
    <w:pPr>
      <w:keepLines/>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lorfulList-Accent11">
    <w:name w:val="Colorful List - Accent 11"/>
    <w:uiPriority w:val="34"/>
    <w:qFormat/>
    <w:rsid w:val="00915FF9"/>
    <w:pPr>
      <w:ind w:left="720"/>
    </w:pPr>
    <w:rPr>
      <w:rFonts w:ascii="Cambria" w:eastAsia="Cambria" w:hAnsi="Cambria" w:cs="Cambria"/>
      <w:color w:val="000000"/>
      <w:sz w:val="24"/>
      <w:szCs w:val="24"/>
      <w:u w:color="000000"/>
      <w:lang w:val="en-US"/>
    </w:rPr>
  </w:style>
  <w:style w:type="character" w:customStyle="1" w:styleId="BodyTextIndentChar1">
    <w:name w:val="Body Text Indent Char1"/>
    <w:locked/>
    <w:rsid w:val="007F5661"/>
    <w:rPr>
      <w:rFonts w:eastAsia="Times New Roman"/>
      <w:color w:val="000000"/>
      <w:sz w:val="24"/>
      <w:szCs w:val="24"/>
      <w:u w:color="00000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0D388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1">
    <w:name w:val="1"/>
    <w:basedOn w:val="Normal"/>
    <w:uiPriority w:val="99"/>
    <w:rsid w:val="007708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section1">
    <w:name w:val="section1"/>
    <w:basedOn w:val="Normal"/>
    <w:rsid w:val="006D66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sz w:val="24"/>
      <w:szCs w:val="24"/>
      <w:lang w:val="en-US" w:eastAsia="en-US"/>
    </w:rPr>
  </w:style>
  <w:style w:type="paragraph" w:styleId="Heading1">
    <w:name w:val="heading 1"/>
    <w:basedOn w:val="Normal"/>
    <w:next w:val="Normal"/>
    <w:link w:val="Heading1Char"/>
    <w:qFormat/>
    <w:rsid w:val="00E24E60"/>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uiPriority w:val="99"/>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
    <w:link w:val="ListParagraphChar"/>
    <w:uiPriority w:val="34"/>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B873B8"/>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uiPriority w:val="20"/>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List Paragraph11 Char"/>
    <w:link w:val="ListParagraph"/>
    <w:uiPriority w:val="34"/>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5"/>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526252"/>
    <w:pPr>
      <w:keepLines/>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lorfulList-Accent11">
    <w:name w:val="Colorful List - Accent 11"/>
    <w:uiPriority w:val="34"/>
    <w:qFormat/>
    <w:rsid w:val="00915FF9"/>
    <w:pPr>
      <w:ind w:left="720"/>
    </w:pPr>
    <w:rPr>
      <w:rFonts w:ascii="Cambria" w:eastAsia="Cambria" w:hAnsi="Cambria" w:cs="Cambria"/>
      <w:color w:val="000000"/>
      <w:sz w:val="24"/>
      <w:szCs w:val="24"/>
      <w:u w:color="000000"/>
      <w:lang w:val="en-US"/>
    </w:rPr>
  </w:style>
  <w:style w:type="character" w:customStyle="1" w:styleId="BodyTextIndentChar1">
    <w:name w:val="Body Text Indent Char1"/>
    <w:locked/>
    <w:rsid w:val="007F5661"/>
    <w:rPr>
      <w:rFonts w:eastAsia="Times New Roman"/>
      <w:color w:val="000000"/>
      <w:sz w:val="24"/>
      <w:szCs w:val="24"/>
      <w:u w:color="00000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0D388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1">
    <w:name w:val="1"/>
    <w:basedOn w:val="Normal"/>
    <w:uiPriority w:val="99"/>
    <w:rsid w:val="007708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section1">
    <w:name w:val="section1"/>
    <w:basedOn w:val="Normal"/>
    <w:rsid w:val="006D66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4893">
      <w:bodyDiv w:val="1"/>
      <w:marLeft w:val="0"/>
      <w:marRight w:val="0"/>
      <w:marTop w:val="0"/>
      <w:marBottom w:val="0"/>
      <w:divBdr>
        <w:top w:val="none" w:sz="0" w:space="0" w:color="auto"/>
        <w:left w:val="none" w:sz="0" w:space="0" w:color="auto"/>
        <w:bottom w:val="none" w:sz="0" w:space="0" w:color="auto"/>
        <w:right w:val="none" w:sz="0" w:space="0" w:color="auto"/>
      </w:divBdr>
    </w:div>
    <w:div w:id="54475388">
      <w:bodyDiv w:val="1"/>
      <w:marLeft w:val="0"/>
      <w:marRight w:val="0"/>
      <w:marTop w:val="0"/>
      <w:marBottom w:val="0"/>
      <w:divBdr>
        <w:top w:val="none" w:sz="0" w:space="0" w:color="auto"/>
        <w:left w:val="none" w:sz="0" w:space="0" w:color="auto"/>
        <w:bottom w:val="none" w:sz="0" w:space="0" w:color="auto"/>
        <w:right w:val="none" w:sz="0" w:space="0" w:color="auto"/>
      </w:divBdr>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3612">
      <w:bodyDiv w:val="1"/>
      <w:marLeft w:val="0"/>
      <w:marRight w:val="0"/>
      <w:marTop w:val="0"/>
      <w:marBottom w:val="0"/>
      <w:divBdr>
        <w:top w:val="none" w:sz="0" w:space="0" w:color="auto"/>
        <w:left w:val="none" w:sz="0" w:space="0" w:color="auto"/>
        <w:bottom w:val="none" w:sz="0" w:space="0" w:color="auto"/>
        <w:right w:val="none" w:sz="0" w:space="0" w:color="auto"/>
      </w:divBdr>
    </w:div>
    <w:div w:id="128473114">
      <w:bodyDiv w:val="1"/>
      <w:marLeft w:val="0"/>
      <w:marRight w:val="0"/>
      <w:marTop w:val="0"/>
      <w:marBottom w:val="0"/>
      <w:divBdr>
        <w:top w:val="none" w:sz="0" w:space="0" w:color="auto"/>
        <w:left w:val="none" w:sz="0" w:space="0" w:color="auto"/>
        <w:bottom w:val="none" w:sz="0" w:space="0" w:color="auto"/>
        <w:right w:val="none" w:sz="0" w:space="0" w:color="auto"/>
      </w:divBdr>
    </w:div>
    <w:div w:id="165437421">
      <w:bodyDiv w:val="1"/>
      <w:marLeft w:val="0"/>
      <w:marRight w:val="0"/>
      <w:marTop w:val="0"/>
      <w:marBottom w:val="0"/>
      <w:divBdr>
        <w:top w:val="none" w:sz="0" w:space="0" w:color="auto"/>
        <w:left w:val="none" w:sz="0" w:space="0" w:color="auto"/>
        <w:bottom w:val="none" w:sz="0" w:space="0" w:color="auto"/>
        <w:right w:val="none" w:sz="0" w:space="0" w:color="auto"/>
      </w:divBdr>
    </w:div>
    <w:div w:id="168255243">
      <w:bodyDiv w:val="1"/>
      <w:marLeft w:val="0"/>
      <w:marRight w:val="0"/>
      <w:marTop w:val="0"/>
      <w:marBottom w:val="0"/>
      <w:divBdr>
        <w:top w:val="none" w:sz="0" w:space="0" w:color="auto"/>
        <w:left w:val="none" w:sz="0" w:space="0" w:color="auto"/>
        <w:bottom w:val="none" w:sz="0" w:space="0" w:color="auto"/>
        <w:right w:val="none" w:sz="0" w:space="0" w:color="auto"/>
      </w:divBdr>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301426123">
      <w:bodyDiv w:val="1"/>
      <w:marLeft w:val="0"/>
      <w:marRight w:val="0"/>
      <w:marTop w:val="0"/>
      <w:marBottom w:val="0"/>
      <w:divBdr>
        <w:top w:val="none" w:sz="0" w:space="0" w:color="auto"/>
        <w:left w:val="none" w:sz="0" w:space="0" w:color="auto"/>
        <w:bottom w:val="none" w:sz="0" w:space="0" w:color="auto"/>
        <w:right w:val="none" w:sz="0" w:space="0" w:color="auto"/>
      </w:divBdr>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91000965">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514079279">
      <w:bodyDiv w:val="1"/>
      <w:marLeft w:val="0"/>
      <w:marRight w:val="0"/>
      <w:marTop w:val="0"/>
      <w:marBottom w:val="0"/>
      <w:divBdr>
        <w:top w:val="none" w:sz="0" w:space="0" w:color="auto"/>
        <w:left w:val="none" w:sz="0" w:space="0" w:color="auto"/>
        <w:bottom w:val="none" w:sz="0" w:space="0" w:color="auto"/>
        <w:right w:val="none" w:sz="0" w:space="0" w:color="auto"/>
      </w:divBdr>
    </w:div>
    <w:div w:id="567038635">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746683242">
      <w:bodyDiv w:val="1"/>
      <w:marLeft w:val="0"/>
      <w:marRight w:val="0"/>
      <w:marTop w:val="0"/>
      <w:marBottom w:val="0"/>
      <w:divBdr>
        <w:top w:val="none" w:sz="0" w:space="0" w:color="auto"/>
        <w:left w:val="none" w:sz="0" w:space="0" w:color="auto"/>
        <w:bottom w:val="none" w:sz="0" w:space="0" w:color="auto"/>
        <w:right w:val="none" w:sz="0" w:space="0" w:color="auto"/>
      </w:divBdr>
    </w:div>
    <w:div w:id="765613130">
      <w:bodyDiv w:val="1"/>
      <w:marLeft w:val="0"/>
      <w:marRight w:val="0"/>
      <w:marTop w:val="0"/>
      <w:marBottom w:val="0"/>
      <w:divBdr>
        <w:top w:val="none" w:sz="0" w:space="0" w:color="auto"/>
        <w:left w:val="none" w:sz="0" w:space="0" w:color="auto"/>
        <w:bottom w:val="none" w:sz="0" w:space="0" w:color="auto"/>
        <w:right w:val="none" w:sz="0" w:space="0" w:color="auto"/>
      </w:divBdr>
    </w:div>
    <w:div w:id="779111432">
      <w:bodyDiv w:val="1"/>
      <w:marLeft w:val="0"/>
      <w:marRight w:val="0"/>
      <w:marTop w:val="0"/>
      <w:marBottom w:val="0"/>
      <w:divBdr>
        <w:top w:val="none" w:sz="0" w:space="0" w:color="auto"/>
        <w:left w:val="none" w:sz="0" w:space="0" w:color="auto"/>
        <w:bottom w:val="none" w:sz="0" w:space="0" w:color="auto"/>
        <w:right w:val="none" w:sz="0" w:space="0" w:color="auto"/>
      </w:divBdr>
    </w:div>
    <w:div w:id="804010748">
      <w:bodyDiv w:val="1"/>
      <w:marLeft w:val="0"/>
      <w:marRight w:val="0"/>
      <w:marTop w:val="0"/>
      <w:marBottom w:val="0"/>
      <w:divBdr>
        <w:top w:val="none" w:sz="0" w:space="0" w:color="auto"/>
        <w:left w:val="none" w:sz="0" w:space="0" w:color="auto"/>
        <w:bottom w:val="none" w:sz="0" w:space="0" w:color="auto"/>
        <w:right w:val="none" w:sz="0" w:space="0" w:color="auto"/>
      </w:divBdr>
    </w:div>
    <w:div w:id="862866816">
      <w:bodyDiv w:val="1"/>
      <w:marLeft w:val="0"/>
      <w:marRight w:val="0"/>
      <w:marTop w:val="0"/>
      <w:marBottom w:val="0"/>
      <w:divBdr>
        <w:top w:val="none" w:sz="0" w:space="0" w:color="auto"/>
        <w:left w:val="none" w:sz="0" w:space="0" w:color="auto"/>
        <w:bottom w:val="none" w:sz="0" w:space="0" w:color="auto"/>
        <w:right w:val="none" w:sz="0" w:space="0" w:color="auto"/>
      </w:divBdr>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888735094">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977">
      <w:bodyDiv w:val="1"/>
      <w:marLeft w:val="0"/>
      <w:marRight w:val="0"/>
      <w:marTop w:val="0"/>
      <w:marBottom w:val="0"/>
      <w:divBdr>
        <w:top w:val="none" w:sz="0" w:space="0" w:color="auto"/>
        <w:left w:val="none" w:sz="0" w:space="0" w:color="auto"/>
        <w:bottom w:val="none" w:sz="0" w:space="0" w:color="auto"/>
        <w:right w:val="none" w:sz="0" w:space="0" w:color="auto"/>
      </w:divBdr>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44467">
      <w:bodyDiv w:val="1"/>
      <w:marLeft w:val="0"/>
      <w:marRight w:val="0"/>
      <w:marTop w:val="0"/>
      <w:marBottom w:val="0"/>
      <w:divBdr>
        <w:top w:val="none" w:sz="0" w:space="0" w:color="auto"/>
        <w:left w:val="none" w:sz="0" w:space="0" w:color="auto"/>
        <w:bottom w:val="none" w:sz="0" w:space="0" w:color="auto"/>
        <w:right w:val="none" w:sz="0" w:space="0" w:color="auto"/>
      </w:divBdr>
    </w:div>
    <w:div w:id="1457138614">
      <w:bodyDiv w:val="1"/>
      <w:marLeft w:val="0"/>
      <w:marRight w:val="0"/>
      <w:marTop w:val="0"/>
      <w:marBottom w:val="0"/>
      <w:divBdr>
        <w:top w:val="none" w:sz="0" w:space="0" w:color="auto"/>
        <w:left w:val="none" w:sz="0" w:space="0" w:color="auto"/>
        <w:bottom w:val="none" w:sz="0" w:space="0" w:color="auto"/>
        <w:right w:val="none" w:sz="0" w:space="0" w:color="auto"/>
      </w:divBdr>
    </w:div>
    <w:div w:id="1468745761">
      <w:bodyDiv w:val="1"/>
      <w:marLeft w:val="0"/>
      <w:marRight w:val="0"/>
      <w:marTop w:val="0"/>
      <w:marBottom w:val="0"/>
      <w:divBdr>
        <w:top w:val="none" w:sz="0" w:space="0" w:color="auto"/>
        <w:left w:val="none" w:sz="0" w:space="0" w:color="auto"/>
        <w:bottom w:val="none" w:sz="0" w:space="0" w:color="auto"/>
        <w:right w:val="none" w:sz="0" w:space="0" w:color="auto"/>
      </w:divBdr>
    </w:div>
    <w:div w:id="1473256199">
      <w:bodyDiv w:val="1"/>
      <w:marLeft w:val="0"/>
      <w:marRight w:val="0"/>
      <w:marTop w:val="0"/>
      <w:marBottom w:val="0"/>
      <w:divBdr>
        <w:top w:val="none" w:sz="0" w:space="0" w:color="auto"/>
        <w:left w:val="none" w:sz="0" w:space="0" w:color="auto"/>
        <w:bottom w:val="none" w:sz="0" w:space="0" w:color="auto"/>
        <w:right w:val="none" w:sz="0" w:space="0" w:color="auto"/>
      </w:divBdr>
    </w:div>
    <w:div w:id="1477524889">
      <w:bodyDiv w:val="1"/>
      <w:marLeft w:val="0"/>
      <w:marRight w:val="0"/>
      <w:marTop w:val="0"/>
      <w:marBottom w:val="0"/>
      <w:divBdr>
        <w:top w:val="none" w:sz="0" w:space="0" w:color="auto"/>
        <w:left w:val="none" w:sz="0" w:space="0" w:color="auto"/>
        <w:bottom w:val="none" w:sz="0" w:space="0" w:color="auto"/>
        <w:right w:val="none" w:sz="0" w:space="0" w:color="auto"/>
      </w:divBdr>
    </w:div>
    <w:div w:id="1494101946">
      <w:bodyDiv w:val="1"/>
      <w:marLeft w:val="0"/>
      <w:marRight w:val="0"/>
      <w:marTop w:val="0"/>
      <w:marBottom w:val="0"/>
      <w:divBdr>
        <w:top w:val="none" w:sz="0" w:space="0" w:color="auto"/>
        <w:left w:val="none" w:sz="0" w:space="0" w:color="auto"/>
        <w:bottom w:val="none" w:sz="0" w:space="0" w:color="auto"/>
        <w:right w:val="none" w:sz="0" w:space="0" w:color="auto"/>
      </w:divBdr>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7893">
      <w:bodyDiv w:val="1"/>
      <w:marLeft w:val="0"/>
      <w:marRight w:val="0"/>
      <w:marTop w:val="0"/>
      <w:marBottom w:val="0"/>
      <w:divBdr>
        <w:top w:val="none" w:sz="0" w:space="0" w:color="auto"/>
        <w:left w:val="none" w:sz="0" w:space="0" w:color="auto"/>
        <w:bottom w:val="none" w:sz="0" w:space="0" w:color="auto"/>
        <w:right w:val="none" w:sz="0" w:space="0" w:color="auto"/>
      </w:divBdr>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1300066048">
                  <w:marLeft w:val="0"/>
                  <w:marRight w:val="0"/>
                  <w:marTop w:val="0"/>
                  <w:marBottom w:val="0"/>
                  <w:divBdr>
                    <w:top w:val="none" w:sz="0" w:space="0" w:color="auto"/>
                    <w:left w:val="none" w:sz="0" w:space="0" w:color="auto"/>
                    <w:bottom w:val="none" w:sz="0" w:space="0" w:color="auto"/>
                    <w:right w:val="none" w:sz="0" w:space="0" w:color="auto"/>
                  </w:divBdr>
                </w:div>
                <w:div w:id="207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4249">
      <w:bodyDiv w:val="1"/>
      <w:marLeft w:val="0"/>
      <w:marRight w:val="0"/>
      <w:marTop w:val="0"/>
      <w:marBottom w:val="0"/>
      <w:divBdr>
        <w:top w:val="none" w:sz="0" w:space="0" w:color="auto"/>
        <w:left w:val="none" w:sz="0" w:space="0" w:color="auto"/>
        <w:bottom w:val="none" w:sz="0" w:space="0" w:color="auto"/>
        <w:right w:val="none" w:sz="0" w:space="0" w:color="auto"/>
      </w:divBdr>
    </w:div>
    <w:div w:id="1954901013">
      <w:bodyDiv w:val="1"/>
      <w:marLeft w:val="0"/>
      <w:marRight w:val="0"/>
      <w:marTop w:val="0"/>
      <w:marBottom w:val="0"/>
      <w:divBdr>
        <w:top w:val="none" w:sz="0" w:space="0" w:color="auto"/>
        <w:left w:val="none" w:sz="0" w:space="0" w:color="auto"/>
        <w:bottom w:val="none" w:sz="0" w:space="0" w:color="auto"/>
        <w:right w:val="none" w:sz="0" w:space="0" w:color="auto"/>
      </w:divBdr>
    </w:div>
    <w:div w:id="1963267792">
      <w:bodyDiv w:val="1"/>
      <w:marLeft w:val="0"/>
      <w:marRight w:val="0"/>
      <w:marTop w:val="0"/>
      <w:marBottom w:val="0"/>
      <w:divBdr>
        <w:top w:val="none" w:sz="0" w:space="0" w:color="auto"/>
        <w:left w:val="none" w:sz="0" w:space="0" w:color="auto"/>
        <w:bottom w:val="none" w:sz="0" w:space="0" w:color="auto"/>
        <w:right w:val="none" w:sz="0" w:space="0" w:color="auto"/>
      </w:divBdr>
      <w:divsChild>
        <w:div w:id="165872867">
          <w:marLeft w:val="0"/>
          <w:marRight w:val="0"/>
          <w:marTop w:val="0"/>
          <w:marBottom w:val="0"/>
          <w:divBdr>
            <w:top w:val="none" w:sz="0" w:space="0" w:color="auto"/>
            <w:left w:val="none" w:sz="0" w:space="0" w:color="auto"/>
            <w:bottom w:val="none" w:sz="0" w:space="0" w:color="auto"/>
            <w:right w:val="none" w:sz="0" w:space="0" w:color="auto"/>
          </w:divBdr>
        </w:div>
        <w:div w:id="972365312">
          <w:marLeft w:val="0"/>
          <w:marRight w:val="0"/>
          <w:marTop w:val="0"/>
          <w:marBottom w:val="0"/>
          <w:divBdr>
            <w:top w:val="none" w:sz="0" w:space="0" w:color="auto"/>
            <w:left w:val="none" w:sz="0" w:space="0" w:color="auto"/>
            <w:bottom w:val="none" w:sz="0" w:space="0" w:color="auto"/>
            <w:right w:val="none" w:sz="0" w:space="0" w:color="auto"/>
          </w:divBdr>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2119">
      <w:bodyDiv w:val="1"/>
      <w:marLeft w:val="0"/>
      <w:marRight w:val="0"/>
      <w:marTop w:val="0"/>
      <w:marBottom w:val="0"/>
      <w:divBdr>
        <w:top w:val="none" w:sz="0" w:space="0" w:color="auto"/>
        <w:left w:val="none" w:sz="0" w:space="0" w:color="auto"/>
        <w:bottom w:val="none" w:sz="0" w:space="0" w:color="auto"/>
        <w:right w:val="none" w:sz="0" w:space="0" w:color="auto"/>
      </w:divBdr>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9AFF-A5BF-4CE0-8E8A-032EA11E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33</Pages>
  <Words>14915</Words>
  <Characters>85017</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Christian</cp:lastModifiedBy>
  <cp:revision>24</cp:revision>
  <cp:lastPrinted>2017-11-02T19:14:00Z</cp:lastPrinted>
  <dcterms:created xsi:type="dcterms:W3CDTF">2017-11-02T18:29:00Z</dcterms:created>
  <dcterms:modified xsi:type="dcterms:W3CDTF">2018-09-06T13:46:00Z</dcterms:modified>
</cp:coreProperties>
</file>