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2BD31" w14:textId="77777777" w:rsidR="00BF5961" w:rsidRPr="006A7DD8" w:rsidRDefault="00BF5961" w:rsidP="00BF5961">
      <w:pPr>
        <w:ind w:left="-360" w:right="-360"/>
        <w:jc w:val="center"/>
        <w:rPr>
          <w:rFonts w:ascii="Cambria" w:eastAsia="Times New Roman" w:hAnsi="Cambria" w:cs="Arial"/>
          <w:b/>
          <w:bCs/>
          <w:color w:val="000000"/>
          <w:sz w:val="22"/>
          <w:szCs w:val="22"/>
          <w:lang w:val="es-ES_tradnl"/>
        </w:rPr>
      </w:pPr>
      <w:bookmarkStart w:id="0" w:name="_GoBack"/>
      <w:bookmarkEnd w:id="0"/>
      <w:r w:rsidRPr="006A7DD8">
        <w:rPr>
          <w:rFonts w:ascii="Cambria" w:eastAsia="Times New Roman" w:hAnsi="Cambria" w:cs="Arial"/>
          <w:b/>
          <w:bCs/>
          <w:color w:val="000000"/>
          <w:sz w:val="22"/>
          <w:szCs w:val="22"/>
          <w:lang w:val="es-ES_tradnl"/>
        </w:rPr>
        <w:t>COMISIÓN INTERAMERICANA DE DERECHOS HUMANOS</w:t>
      </w:r>
    </w:p>
    <w:p w14:paraId="0F60B867" w14:textId="2C8EAC3B" w:rsidR="00BF5961" w:rsidRPr="006A7DD8" w:rsidRDefault="00BF5961" w:rsidP="00BF5961">
      <w:pPr>
        <w:ind w:left="-360" w:right="-360"/>
        <w:jc w:val="center"/>
        <w:rPr>
          <w:rFonts w:ascii="Cambria" w:eastAsia="Times New Roman" w:hAnsi="Cambria" w:cs="Arial"/>
          <w:b/>
          <w:bCs/>
          <w:color w:val="000000"/>
          <w:sz w:val="22"/>
          <w:szCs w:val="22"/>
          <w:lang w:val="es-ES_tradnl"/>
        </w:rPr>
      </w:pPr>
      <w:r w:rsidRPr="006A7DD8">
        <w:rPr>
          <w:rFonts w:ascii="Cambria" w:eastAsia="Times New Roman" w:hAnsi="Cambria" w:cs="Arial"/>
          <w:b/>
          <w:bCs/>
          <w:color w:val="000000"/>
          <w:sz w:val="22"/>
          <w:szCs w:val="22"/>
          <w:lang w:val="es-ES_tradnl"/>
        </w:rPr>
        <w:t xml:space="preserve">RESOLUCIÓN DE LEVANTAMIENTO DE MEDIDAS CAUTELARES </w:t>
      </w:r>
      <w:r w:rsidR="00211736">
        <w:rPr>
          <w:rFonts w:ascii="Cambria" w:eastAsia="Times New Roman" w:hAnsi="Cambria" w:cs="Arial"/>
          <w:b/>
          <w:bCs/>
          <w:color w:val="000000"/>
          <w:sz w:val="22"/>
          <w:szCs w:val="22"/>
          <w:lang w:val="es-ES_tradnl"/>
        </w:rPr>
        <w:t>28</w:t>
      </w:r>
      <w:r w:rsidRPr="006A7DD8">
        <w:rPr>
          <w:rFonts w:ascii="Cambria" w:eastAsia="Times New Roman" w:hAnsi="Cambria" w:cs="Arial"/>
          <w:b/>
          <w:bCs/>
          <w:color w:val="000000"/>
          <w:sz w:val="22"/>
          <w:szCs w:val="22"/>
          <w:lang w:val="es-ES_tradnl"/>
        </w:rPr>
        <w:t>/2018</w:t>
      </w:r>
    </w:p>
    <w:p w14:paraId="0C8EF25B" w14:textId="77777777" w:rsidR="00BF5961" w:rsidRPr="006A7DD8" w:rsidRDefault="00BF5961" w:rsidP="00BF5961">
      <w:pPr>
        <w:ind w:left="-360" w:right="-360"/>
        <w:jc w:val="center"/>
        <w:rPr>
          <w:rFonts w:ascii="Cambria" w:eastAsia="Times New Roman" w:hAnsi="Cambria" w:cs="Arial"/>
          <w:color w:val="000000"/>
          <w:sz w:val="22"/>
          <w:szCs w:val="22"/>
          <w:lang w:val="es-ES_tradnl"/>
        </w:rPr>
      </w:pPr>
    </w:p>
    <w:p w14:paraId="62F4439B" w14:textId="77777777" w:rsidR="00BF5961" w:rsidRPr="006A7DD8" w:rsidRDefault="00BF5961" w:rsidP="00BF5961">
      <w:pPr>
        <w:ind w:left="-360" w:right="-360"/>
        <w:jc w:val="center"/>
        <w:rPr>
          <w:rFonts w:ascii="Cambria" w:eastAsia="Times New Roman" w:hAnsi="Cambria" w:cs="Arial"/>
          <w:color w:val="000000"/>
          <w:sz w:val="22"/>
          <w:szCs w:val="22"/>
          <w:lang w:val="es-ES"/>
        </w:rPr>
      </w:pPr>
      <w:r w:rsidRPr="006A7DD8">
        <w:rPr>
          <w:rFonts w:ascii="Cambria" w:eastAsia="Times New Roman" w:hAnsi="Cambria" w:cs="Arial"/>
          <w:color w:val="000000"/>
          <w:sz w:val="22"/>
          <w:szCs w:val="22"/>
          <w:lang w:val="es-ES"/>
        </w:rPr>
        <w:t xml:space="preserve">Medida Cautelar No. </w:t>
      </w:r>
      <w:r w:rsidR="00073E02" w:rsidRPr="006A7DD8">
        <w:rPr>
          <w:rFonts w:ascii="Cambria" w:eastAsia="Times New Roman" w:hAnsi="Cambria" w:cs="Arial"/>
          <w:color w:val="000000"/>
          <w:sz w:val="22"/>
          <w:szCs w:val="22"/>
          <w:lang w:val="es-ES"/>
        </w:rPr>
        <w:t>61</w:t>
      </w:r>
      <w:r w:rsidRPr="006A7DD8">
        <w:rPr>
          <w:rFonts w:ascii="Cambria" w:eastAsia="Times New Roman" w:hAnsi="Cambria" w:cs="Arial"/>
          <w:color w:val="000000"/>
          <w:sz w:val="22"/>
          <w:szCs w:val="22"/>
          <w:lang w:val="es-ES"/>
        </w:rPr>
        <w:t>7-1</w:t>
      </w:r>
      <w:r w:rsidR="00073E02" w:rsidRPr="006A7DD8">
        <w:rPr>
          <w:rFonts w:ascii="Cambria" w:eastAsia="Times New Roman" w:hAnsi="Cambria" w:cs="Arial"/>
          <w:color w:val="000000"/>
          <w:sz w:val="22"/>
          <w:szCs w:val="22"/>
          <w:lang w:val="es-ES"/>
        </w:rPr>
        <w:t>5</w:t>
      </w:r>
    </w:p>
    <w:p w14:paraId="4FD27423" w14:textId="77777777" w:rsidR="00BF5961" w:rsidRPr="006A7DD8" w:rsidRDefault="00073E02" w:rsidP="00BF5961">
      <w:pPr>
        <w:ind w:left="-360" w:right="-360"/>
        <w:jc w:val="center"/>
        <w:rPr>
          <w:rFonts w:ascii="Cambria" w:eastAsia="Times New Roman" w:hAnsi="Cambria" w:cs="Arial"/>
          <w:color w:val="000000"/>
          <w:sz w:val="26"/>
          <w:szCs w:val="26"/>
          <w:lang w:val="es-ES_tradnl"/>
        </w:rPr>
      </w:pPr>
      <w:r w:rsidRPr="006A7DD8">
        <w:rPr>
          <w:rFonts w:ascii="Cambria" w:eastAsia="Calibri" w:hAnsi="Cambria" w:cs="Times New Roman"/>
          <w:sz w:val="26"/>
          <w:szCs w:val="26"/>
          <w:lang w:val="es-CO"/>
        </w:rPr>
        <w:t xml:space="preserve">Gómez Murillo y otros </w:t>
      </w:r>
      <w:r w:rsidR="00BF5961" w:rsidRPr="006A7DD8">
        <w:rPr>
          <w:rFonts w:ascii="Cambria" w:eastAsia="Times New Roman" w:hAnsi="Cambria" w:cs="Arial"/>
          <w:color w:val="000000"/>
          <w:sz w:val="26"/>
          <w:szCs w:val="26"/>
          <w:lang w:val="es-ES_tradnl"/>
        </w:rPr>
        <w:t xml:space="preserve">respecto de </w:t>
      </w:r>
      <w:r w:rsidRPr="006A7DD8">
        <w:rPr>
          <w:rFonts w:ascii="Cambria" w:eastAsia="Times New Roman" w:hAnsi="Cambria" w:cs="Arial"/>
          <w:color w:val="000000"/>
          <w:sz w:val="26"/>
          <w:szCs w:val="26"/>
          <w:lang w:val="es-ES_tradnl"/>
        </w:rPr>
        <w:t>Costa Rica</w:t>
      </w:r>
    </w:p>
    <w:p w14:paraId="57BE52F5" w14:textId="6F94DDCB" w:rsidR="00BF5961" w:rsidRPr="006A7DD8" w:rsidRDefault="00EA782F" w:rsidP="00BF5961">
      <w:pPr>
        <w:ind w:left="-360" w:right="-360"/>
        <w:jc w:val="center"/>
        <w:rPr>
          <w:rFonts w:ascii="Cambria" w:eastAsia="Times New Roman" w:hAnsi="Cambria" w:cs="Arial"/>
          <w:color w:val="000000"/>
          <w:sz w:val="22"/>
          <w:szCs w:val="22"/>
          <w:lang w:val="es-ES"/>
        </w:rPr>
      </w:pPr>
      <w:r>
        <w:rPr>
          <w:rFonts w:ascii="Cambria" w:eastAsia="Times New Roman" w:hAnsi="Cambria" w:cs="Arial"/>
          <w:color w:val="000000"/>
          <w:sz w:val="22"/>
          <w:szCs w:val="22"/>
          <w:lang w:val="es-ES"/>
        </w:rPr>
        <w:t>5</w:t>
      </w:r>
      <w:r w:rsidR="00BF5961" w:rsidRPr="006A7DD8">
        <w:rPr>
          <w:rFonts w:ascii="Cambria" w:eastAsia="Times New Roman" w:hAnsi="Cambria" w:cs="Arial"/>
          <w:color w:val="000000"/>
          <w:sz w:val="22"/>
          <w:szCs w:val="22"/>
          <w:lang w:val="es-ES"/>
        </w:rPr>
        <w:t xml:space="preserve"> de </w:t>
      </w:r>
      <w:r w:rsidR="00073E02" w:rsidRPr="006A7DD8">
        <w:rPr>
          <w:rFonts w:ascii="Cambria" w:eastAsia="Times New Roman" w:hAnsi="Cambria" w:cs="Arial"/>
          <w:color w:val="000000"/>
          <w:sz w:val="22"/>
          <w:szCs w:val="22"/>
          <w:lang w:val="es-ES"/>
        </w:rPr>
        <w:t>may</w:t>
      </w:r>
      <w:r w:rsidR="00BF5961" w:rsidRPr="006A7DD8">
        <w:rPr>
          <w:rFonts w:ascii="Cambria" w:eastAsia="Times New Roman" w:hAnsi="Cambria" w:cs="Arial"/>
          <w:color w:val="000000"/>
          <w:sz w:val="22"/>
          <w:szCs w:val="22"/>
          <w:lang w:val="es-ES"/>
        </w:rPr>
        <w:t>o de 2018</w:t>
      </w:r>
    </w:p>
    <w:p w14:paraId="3B815E97" w14:textId="77777777" w:rsidR="00BF5961" w:rsidRPr="006A7DD8" w:rsidRDefault="00BF5961" w:rsidP="00BF5961">
      <w:pPr>
        <w:ind w:left="-360" w:right="-360"/>
        <w:jc w:val="both"/>
        <w:rPr>
          <w:rFonts w:ascii="Cambria" w:eastAsia="Times New Roman" w:hAnsi="Cambria" w:cs="Arial"/>
          <w:color w:val="000000"/>
          <w:sz w:val="22"/>
          <w:szCs w:val="22"/>
          <w:lang w:val="es-ES"/>
        </w:rPr>
      </w:pPr>
    </w:p>
    <w:p w14:paraId="6D169BAC" w14:textId="77777777" w:rsidR="00BF5961" w:rsidRPr="006A7DD8" w:rsidRDefault="00BF5961" w:rsidP="00BF5961">
      <w:pPr>
        <w:numPr>
          <w:ilvl w:val="0"/>
          <w:numId w:val="39"/>
        </w:numPr>
        <w:spacing w:after="200" w:line="276" w:lineRule="auto"/>
        <w:ind w:left="1440" w:right="-360" w:hanging="540"/>
        <w:jc w:val="both"/>
        <w:rPr>
          <w:rFonts w:ascii="Cambria" w:eastAsia="Times New Roman" w:hAnsi="Cambria" w:cs="Arial"/>
          <w:b/>
          <w:bCs/>
          <w:color w:val="000000"/>
          <w:sz w:val="21"/>
          <w:szCs w:val="21"/>
          <w:lang w:val="es-ES_tradnl"/>
        </w:rPr>
      </w:pPr>
      <w:r w:rsidRPr="006A7DD8">
        <w:rPr>
          <w:rFonts w:ascii="Cambria" w:eastAsia="Times New Roman" w:hAnsi="Cambria" w:cs="Arial"/>
          <w:b/>
          <w:bCs/>
          <w:color w:val="000000"/>
          <w:sz w:val="21"/>
          <w:szCs w:val="21"/>
          <w:lang w:val="es-ES_tradnl"/>
        </w:rPr>
        <w:t>ANTECEDENTES</w:t>
      </w:r>
    </w:p>
    <w:p w14:paraId="175F0701" w14:textId="447B4D26" w:rsidR="00BF5961" w:rsidRPr="006A7DD8"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6A7DD8">
        <w:rPr>
          <w:rFonts w:ascii="Cambria" w:eastAsia="Calibri" w:hAnsi="Cambria" w:cs="Arial"/>
          <w:iCs/>
          <w:color w:val="000000"/>
          <w:sz w:val="21"/>
          <w:szCs w:val="21"/>
          <w:lang w:val="es-CO"/>
        </w:rPr>
        <w:t xml:space="preserve">El </w:t>
      </w:r>
      <w:r w:rsidR="00073E02" w:rsidRPr="006A7DD8">
        <w:rPr>
          <w:rFonts w:ascii="Cambria" w:eastAsia="Calibri" w:hAnsi="Cambria" w:cs="Arial"/>
          <w:iCs/>
          <w:color w:val="000000"/>
          <w:sz w:val="21"/>
          <w:szCs w:val="21"/>
          <w:lang w:val="es-CO"/>
        </w:rPr>
        <w:t>29 de enero de 2016, la CIDH decidió solicitar la adopción de medidas cautelares a favor de seis parejas</w:t>
      </w:r>
      <w:r w:rsidR="005B7492" w:rsidRPr="006A7DD8">
        <w:rPr>
          <w:rStyle w:val="FootnoteReference"/>
          <w:rFonts w:ascii="Cambria" w:eastAsia="Calibri" w:hAnsi="Cambria" w:cs="Arial"/>
          <w:iCs/>
          <w:color w:val="000000"/>
          <w:sz w:val="21"/>
          <w:szCs w:val="21"/>
          <w:lang w:val="es-CO"/>
        </w:rPr>
        <w:footnoteReference w:id="1"/>
      </w:r>
      <w:r w:rsidR="00073E02" w:rsidRPr="006A7DD8">
        <w:rPr>
          <w:rFonts w:ascii="Cambria" w:eastAsia="Calibri" w:hAnsi="Cambria" w:cs="Arial"/>
          <w:iCs/>
          <w:color w:val="000000"/>
          <w:sz w:val="21"/>
          <w:szCs w:val="21"/>
          <w:lang w:val="es-CO"/>
        </w:rPr>
        <w:t xml:space="preserve"> que, de acuerdo</w:t>
      </w:r>
      <w:r w:rsidR="0081316F">
        <w:rPr>
          <w:rFonts w:ascii="Cambria" w:eastAsia="Calibri" w:hAnsi="Cambria" w:cs="Arial"/>
          <w:iCs/>
          <w:color w:val="000000"/>
          <w:sz w:val="21"/>
          <w:szCs w:val="21"/>
          <w:lang w:val="es-CO"/>
        </w:rPr>
        <w:t xml:space="preserve"> a profesionales de la salud, t</w:t>
      </w:r>
      <w:r w:rsidR="0081316F" w:rsidRPr="006A7DD8">
        <w:rPr>
          <w:rFonts w:ascii="Cambria" w:eastAsia="Calibri" w:hAnsi="Cambria" w:cs="Arial"/>
          <w:iCs/>
          <w:color w:val="000000"/>
          <w:sz w:val="21"/>
          <w:szCs w:val="21"/>
          <w:lang w:val="es-CO"/>
        </w:rPr>
        <w:t>en</w:t>
      </w:r>
      <w:r w:rsidR="0081316F">
        <w:rPr>
          <w:rFonts w:ascii="Cambria" w:eastAsia="Calibri" w:hAnsi="Cambria" w:cs="Arial"/>
          <w:iCs/>
          <w:color w:val="000000"/>
          <w:sz w:val="21"/>
          <w:szCs w:val="21"/>
          <w:lang w:val="es-CO"/>
        </w:rPr>
        <w:t>ía</w:t>
      </w:r>
      <w:r w:rsidR="0081316F" w:rsidRPr="006A7DD8">
        <w:rPr>
          <w:rFonts w:ascii="Cambria" w:eastAsia="Calibri" w:hAnsi="Cambria" w:cs="Arial"/>
          <w:iCs/>
          <w:color w:val="000000"/>
          <w:sz w:val="21"/>
          <w:szCs w:val="21"/>
          <w:lang w:val="es-CO"/>
        </w:rPr>
        <w:t>n</w:t>
      </w:r>
      <w:r w:rsidR="00073E02" w:rsidRPr="006A7DD8">
        <w:rPr>
          <w:rFonts w:ascii="Cambria" w:eastAsia="Calibri" w:hAnsi="Cambria" w:cs="Arial"/>
          <w:iCs/>
          <w:color w:val="000000"/>
          <w:sz w:val="21"/>
          <w:szCs w:val="21"/>
          <w:lang w:val="es-CO"/>
        </w:rPr>
        <w:t xml:space="preserve"> problemas de infertilidad, en Costa Rica. La solicitud de medidas cautelares alega</w:t>
      </w:r>
      <w:r w:rsidR="00F32B63">
        <w:rPr>
          <w:rFonts w:ascii="Cambria" w:eastAsia="Calibri" w:hAnsi="Cambria" w:cs="Arial"/>
          <w:iCs/>
          <w:color w:val="000000"/>
          <w:sz w:val="21"/>
          <w:szCs w:val="21"/>
          <w:lang w:val="es-CO"/>
        </w:rPr>
        <w:t>ba</w:t>
      </w:r>
      <w:r w:rsidR="00073E02" w:rsidRPr="006A7DD8">
        <w:rPr>
          <w:rFonts w:ascii="Cambria" w:eastAsia="Calibri" w:hAnsi="Cambria" w:cs="Arial"/>
          <w:iCs/>
          <w:color w:val="000000"/>
          <w:sz w:val="21"/>
          <w:szCs w:val="21"/>
          <w:lang w:val="es-CO"/>
        </w:rPr>
        <w:t xml:space="preserve"> que las seis parejas beneficiadas por esta medida cautelar no </w:t>
      </w:r>
      <w:r w:rsidR="0081316F" w:rsidRPr="006A7DD8">
        <w:rPr>
          <w:rFonts w:ascii="Cambria" w:eastAsia="Calibri" w:hAnsi="Cambria" w:cs="Arial"/>
          <w:iCs/>
          <w:color w:val="000000"/>
          <w:sz w:val="21"/>
          <w:szCs w:val="21"/>
          <w:lang w:val="es-CO"/>
        </w:rPr>
        <w:t>ha</w:t>
      </w:r>
      <w:r w:rsidR="0081316F">
        <w:rPr>
          <w:rFonts w:ascii="Cambria" w:eastAsia="Calibri" w:hAnsi="Cambria" w:cs="Arial"/>
          <w:iCs/>
          <w:color w:val="000000"/>
          <w:sz w:val="21"/>
          <w:szCs w:val="21"/>
          <w:lang w:val="es-CO"/>
        </w:rPr>
        <w:t>bía</w:t>
      </w:r>
      <w:r w:rsidR="0081316F" w:rsidRPr="006A7DD8">
        <w:rPr>
          <w:rFonts w:ascii="Cambria" w:eastAsia="Calibri" w:hAnsi="Cambria" w:cs="Arial"/>
          <w:iCs/>
          <w:color w:val="000000"/>
          <w:sz w:val="21"/>
          <w:szCs w:val="21"/>
          <w:lang w:val="es-CO"/>
        </w:rPr>
        <w:t>n</w:t>
      </w:r>
      <w:r w:rsidR="00073E02" w:rsidRPr="006A7DD8">
        <w:rPr>
          <w:rFonts w:ascii="Cambria" w:eastAsia="Calibri" w:hAnsi="Cambria" w:cs="Arial"/>
          <w:iCs/>
          <w:color w:val="000000"/>
          <w:sz w:val="21"/>
          <w:szCs w:val="21"/>
          <w:lang w:val="es-CO"/>
        </w:rPr>
        <w:t xml:space="preserve"> podido recurrir a la técnica de fertilización in vitro (FIV) por motivo de la prohibición decretada por la Sala Constitucional de Costa Rica. Tras analizar los alegatos de hecho y de derecho, la Comisión </w:t>
      </w:r>
      <w:r w:rsidR="0081316F" w:rsidRPr="006A7DD8">
        <w:rPr>
          <w:rFonts w:ascii="Cambria" w:eastAsia="Calibri" w:hAnsi="Cambria" w:cs="Arial"/>
          <w:iCs/>
          <w:color w:val="000000"/>
          <w:sz w:val="21"/>
          <w:szCs w:val="21"/>
          <w:lang w:val="es-CO"/>
        </w:rPr>
        <w:t>consider</w:t>
      </w:r>
      <w:r w:rsidR="0081316F">
        <w:rPr>
          <w:rFonts w:ascii="Cambria" w:eastAsia="Calibri" w:hAnsi="Cambria" w:cs="Arial"/>
          <w:iCs/>
          <w:color w:val="000000"/>
          <w:sz w:val="21"/>
          <w:szCs w:val="21"/>
          <w:lang w:val="es-CO"/>
        </w:rPr>
        <w:t>ó</w:t>
      </w:r>
      <w:r w:rsidR="00073E02" w:rsidRPr="006A7DD8">
        <w:rPr>
          <w:rFonts w:ascii="Cambria" w:eastAsia="Calibri" w:hAnsi="Cambria" w:cs="Arial"/>
          <w:iCs/>
          <w:color w:val="000000"/>
          <w:sz w:val="21"/>
          <w:szCs w:val="21"/>
          <w:lang w:val="es-CO"/>
        </w:rPr>
        <w:t xml:space="preserve"> que la información, en principio, dem</w:t>
      </w:r>
      <w:r w:rsidR="0081316F">
        <w:rPr>
          <w:rFonts w:ascii="Cambria" w:eastAsia="Calibri" w:hAnsi="Cambria" w:cs="Arial"/>
          <w:iCs/>
          <w:color w:val="000000"/>
          <w:sz w:val="21"/>
          <w:szCs w:val="21"/>
          <w:lang w:val="es-CO"/>
        </w:rPr>
        <w:t>o</w:t>
      </w:r>
      <w:r w:rsidR="00073E02" w:rsidRPr="006A7DD8">
        <w:rPr>
          <w:rFonts w:ascii="Cambria" w:eastAsia="Calibri" w:hAnsi="Cambria" w:cs="Arial"/>
          <w:iCs/>
          <w:color w:val="000000"/>
          <w:sz w:val="21"/>
          <w:szCs w:val="21"/>
          <w:lang w:val="es-CO"/>
        </w:rPr>
        <w:t>stra</w:t>
      </w:r>
      <w:r w:rsidR="0081316F">
        <w:rPr>
          <w:rFonts w:ascii="Cambria" w:eastAsia="Calibri" w:hAnsi="Cambria" w:cs="Arial"/>
          <w:iCs/>
          <w:color w:val="000000"/>
          <w:sz w:val="21"/>
          <w:szCs w:val="21"/>
          <w:lang w:val="es-CO"/>
        </w:rPr>
        <w:t>ba</w:t>
      </w:r>
      <w:r w:rsidR="00073E02" w:rsidRPr="006A7DD8">
        <w:rPr>
          <w:rFonts w:ascii="Cambria" w:eastAsia="Calibri" w:hAnsi="Cambria" w:cs="Arial"/>
          <w:iCs/>
          <w:color w:val="000000"/>
          <w:sz w:val="21"/>
          <w:szCs w:val="21"/>
          <w:lang w:val="es-CO"/>
        </w:rPr>
        <w:t xml:space="preserve"> que las parejas identificadas en la solicitud de med</w:t>
      </w:r>
      <w:r w:rsidR="0081316F">
        <w:rPr>
          <w:rFonts w:ascii="Cambria" w:eastAsia="Calibri" w:hAnsi="Cambria" w:cs="Arial"/>
          <w:iCs/>
          <w:color w:val="000000"/>
          <w:sz w:val="21"/>
          <w:szCs w:val="21"/>
          <w:lang w:val="es-CO"/>
        </w:rPr>
        <w:t>ida cautelar se enco</w:t>
      </w:r>
      <w:r w:rsidR="00073E02" w:rsidRPr="006A7DD8">
        <w:rPr>
          <w:rFonts w:ascii="Cambria" w:eastAsia="Calibri" w:hAnsi="Cambria" w:cs="Arial"/>
          <w:iCs/>
          <w:color w:val="000000"/>
          <w:sz w:val="21"/>
          <w:szCs w:val="21"/>
          <w:lang w:val="es-CO"/>
        </w:rPr>
        <w:t>ntra</w:t>
      </w:r>
      <w:r w:rsidR="0081316F">
        <w:rPr>
          <w:rFonts w:ascii="Cambria" w:eastAsia="Calibri" w:hAnsi="Cambria" w:cs="Arial"/>
          <w:iCs/>
          <w:color w:val="000000"/>
          <w:sz w:val="21"/>
          <w:szCs w:val="21"/>
          <w:lang w:val="es-CO"/>
        </w:rPr>
        <w:t>ba</w:t>
      </w:r>
      <w:r w:rsidR="00073E02" w:rsidRPr="006A7DD8">
        <w:rPr>
          <w:rFonts w:ascii="Cambria" w:eastAsia="Calibri" w:hAnsi="Cambria" w:cs="Arial"/>
          <w:iCs/>
          <w:color w:val="000000"/>
          <w:sz w:val="21"/>
          <w:szCs w:val="21"/>
          <w:lang w:val="es-CO"/>
        </w:rPr>
        <w:t>n en una situación de gravedad y urgencia, ya que sus derechos estarían en riesgo de daño irreparable, en vista de la imposibilidad de acceder al tratamiento  FIV y ante los efectos que el transcurso del tiempo podría generar en el ejercicio de sus derechos. En consecuencia, de acuerdo con el Artículo 25 del Reglamento de la CIDH, la Comisión solicitó al Estado de Costa Rica que adopte las medidas necesarias para hacer accesible la técnica de FIV, de manera inmediata, a las parejas identificadas en la resolución de otorgamiento de esta medida cautelar; y que concierte las medidas a adoptarse con los beneficiarios y sus representantes</w:t>
      </w:r>
      <w:r w:rsidR="00CF508F" w:rsidRPr="006A7DD8">
        <w:rPr>
          <w:rStyle w:val="FootnoteReference"/>
          <w:rFonts w:ascii="Cambria" w:eastAsia="Calibri" w:hAnsi="Cambria" w:cs="Arial"/>
          <w:iCs/>
          <w:color w:val="000000"/>
          <w:sz w:val="21"/>
          <w:szCs w:val="21"/>
          <w:lang w:val="es-CO"/>
        </w:rPr>
        <w:footnoteReference w:id="2"/>
      </w:r>
      <w:r w:rsidR="00073E02" w:rsidRPr="006A7DD8">
        <w:rPr>
          <w:rFonts w:ascii="Cambria" w:eastAsia="Calibri" w:hAnsi="Cambria" w:cs="Arial"/>
          <w:iCs/>
          <w:color w:val="000000"/>
          <w:sz w:val="21"/>
          <w:szCs w:val="21"/>
          <w:lang w:val="es-CO"/>
        </w:rPr>
        <w:t>.</w:t>
      </w:r>
    </w:p>
    <w:p w14:paraId="339C6C09" w14:textId="77777777" w:rsidR="00BF5961" w:rsidRPr="006A7DD8" w:rsidRDefault="00BF5961" w:rsidP="001F4FA3">
      <w:pPr>
        <w:numPr>
          <w:ilvl w:val="0"/>
          <w:numId w:val="39"/>
        </w:numPr>
        <w:spacing w:after="200"/>
        <w:ind w:left="1418" w:right="-360" w:hanging="567"/>
        <w:jc w:val="both"/>
        <w:rPr>
          <w:rFonts w:ascii="Cambria" w:eastAsia="Times New Roman" w:hAnsi="Cambria" w:cs="Arial"/>
          <w:bCs/>
          <w:color w:val="000000"/>
          <w:sz w:val="21"/>
          <w:szCs w:val="21"/>
          <w:lang w:val="es-ES"/>
        </w:rPr>
      </w:pPr>
      <w:r w:rsidRPr="006A7DD8">
        <w:rPr>
          <w:rFonts w:ascii="Cambria" w:eastAsia="Calibri" w:hAnsi="Cambria" w:cs="Times New Roman"/>
          <w:b/>
          <w:color w:val="000000"/>
          <w:sz w:val="21"/>
          <w:szCs w:val="21"/>
          <w:lang w:val="es-ES"/>
        </w:rPr>
        <w:t>INFORMACIÓN APORTADA DURANTE LA VIGENCIA DE LA MEDIDA CAUTELAR</w:t>
      </w:r>
    </w:p>
    <w:p w14:paraId="12E9515D" w14:textId="77777777" w:rsidR="00BF5961" w:rsidRPr="006A7DD8"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6A7DD8">
        <w:rPr>
          <w:rFonts w:ascii="Cambria" w:eastAsia="Calibri" w:hAnsi="Cambria" w:cs="Arial"/>
          <w:iCs/>
          <w:color w:val="000000"/>
          <w:sz w:val="21"/>
          <w:szCs w:val="21"/>
          <w:lang w:val="es-ES"/>
        </w:rPr>
        <w:t xml:space="preserve">La Comisión ha dado seguimiento al presente asunto desde </w:t>
      </w:r>
      <w:r w:rsidR="006D0ACE" w:rsidRPr="006A7DD8">
        <w:rPr>
          <w:rFonts w:ascii="Cambria" w:eastAsia="Calibri" w:hAnsi="Cambria" w:cs="Arial"/>
          <w:iCs/>
          <w:color w:val="000000"/>
          <w:sz w:val="21"/>
          <w:szCs w:val="21"/>
          <w:lang w:val="es-ES"/>
        </w:rPr>
        <w:t>su otorgamiento</w:t>
      </w:r>
      <w:r w:rsidRPr="006A7DD8">
        <w:rPr>
          <w:rFonts w:ascii="Cambria" w:eastAsia="Calibri" w:hAnsi="Cambria" w:cs="Arial"/>
          <w:iCs/>
          <w:color w:val="000000"/>
          <w:sz w:val="21"/>
          <w:szCs w:val="21"/>
          <w:lang w:val="es-ES"/>
        </w:rPr>
        <w:t xml:space="preserve"> mediante solicitudes de información a las partes. </w:t>
      </w:r>
    </w:p>
    <w:p w14:paraId="1BE32A30" w14:textId="5950B2FB" w:rsidR="00D267F0" w:rsidRPr="006A7DD8"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6A7DD8">
        <w:rPr>
          <w:rFonts w:ascii="Cambria" w:eastAsia="Calibri" w:hAnsi="Cambria" w:cs="Arial"/>
          <w:iCs/>
          <w:color w:val="000000"/>
          <w:sz w:val="21"/>
          <w:szCs w:val="21"/>
          <w:lang w:val="es-ES"/>
        </w:rPr>
        <w:t xml:space="preserve">El </w:t>
      </w:r>
      <w:r w:rsidR="006D0ACE" w:rsidRPr="006A7DD8">
        <w:rPr>
          <w:rFonts w:ascii="Cambria" w:eastAsia="Calibri" w:hAnsi="Cambria" w:cs="Arial"/>
          <w:iCs/>
          <w:color w:val="000000"/>
          <w:sz w:val="21"/>
          <w:szCs w:val="21"/>
          <w:lang w:val="es-ES"/>
        </w:rPr>
        <w:t xml:space="preserve">26 de febrero de 2016, el Estado envió un informe mediante el que </w:t>
      </w:r>
      <w:r w:rsidR="005B7492" w:rsidRPr="006A7DD8">
        <w:rPr>
          <w:rFonts w:ascii="Cambria" w:eastAsia="Calibri" w:hAnsi="Cambria" w:cs="Arial"/>
          <w:iCs/>
          <w:color w:val="000000"/>
          <w:sz w:val="21"/>
          <w:szCs w:val="21"/>
          <w:lang w:val="es-ES"/>
        </w:rPr>
        <w:t>indicó</w:t>
      </w:r>
      <w:r w:rsidR="006D0ACE" w:rsidRPr="006A7DD8">
        <w:rPr>
          <w:rFonts w:ascii="Cambria" w:eastAsia="Calibri" w:hAnsi="Cambria" w:cs="Arial"/>
          <w:iCs/>
          <w:color w:val="000000"/>
          <w:sz w:val="21"/>
          <w:szCs w:val="21"/>
          <w:lang w:val="es-ES"/>
        </w:rPr>
        <w:t xml:space="preserve"> que el 19 de fe</w:t>
      </w:r>
      <w:r w:rsidR="005B7492" w:rsidRPr="006A7DD8">
        <w:rPr>
          <w:rFonts w:ascii="Cambria" w:eastAsia="Calibri" w:hAnsi="Cambria" w:cs="Arial"/>
          <w:iCs/>
          <w:color w:val="000000"/>
          <w:sz w:val="21"/>
          <w:szCs w:val="21"/>
          <w:lang w:val="es-ES"/>
        </w:rPr>
        <w:t>b</w:t>
      </w:r>
      <w:r w:rsidR="006D0ACE" w:rsidRPr="006A7DD8">
        <w:rPr>
          <w:rFonts w:ascii="Cambria" w:eastAsia="Calibri" w:hAnsi="Cambria" w:cs="Arial"/>
          <w:iCs/>
          <w:color w:val="000000"/>
          <w:sz w:val="21"/>
          <w:szCs w:val="21"/>
          <w:lang w:val="es-ES"/>
        </w:rPr>
        <w:t xml:space="preserve">rero </w:t>
      </w:r>
      <w:r w:rsidR="005B7492" w:rsidRPr="006A7DD8">
        <w:rPr>
          <w:rFonts w:ascii="Cambria" w:eastAsia="Calibri" w:hAnsi="Cambria" w:cs="Arial"/>
          <w:iCs/>
          <w:color w:val="000000"/>
          <w:sz w:val="21"/>
          <w:szCs w:val="21"/>
          <w:lang w:val="es-ES"/>
        </w:rPr>
        <w:t xml:space="preserve">de 2016 </w:t>
      </w:r>
      <w:r w:rsidR="006D0ACE" w:rsidRPr="006A7DD8">
        <w:rPr>
          <w:rFonts w:ascii="Cambria" w:eastAsia="Calibri" w:hAnsi="Cambria" w:cs="Arial"/>
          <w:iCs/>
          <w:color w:val="000000"/>
          <w:sz w:val="21"/>
          <w:szCs w:val="21"/>
          <w:lang w:val="es-ES"/>
        </w:rPr>
        <w:t xml:space="preserve">se sostuvo una reunión de concertación con la representación de las personas beneficiarias. Como resultado de dicha reunión, se </w:t>
      </w:r>
      <w:r w:rsidR="00030D76" w:rsidRPr="006A7DD8">
        <w:rPr>
          <w:rFonts w:ascii="Cambria" w:eastAsia="Calibri" w:hAnsi="Cambria" w:cs="Arial"/>
          <w:iCs/>
          <w:color w:val="000000"/>
          <w:sz w:val="21"/>
          <w:szCs w:val="21"/>
          <w:lang w:val="es-ES"/>
        </w:rPr>
        <w:t>acordó</w:t>
      </w:r>
      <w:r w:rsidR="006D0ACE" w:rsidRPr="006A7DD8">
        <w:rPr>
          <w:rFonts w:ascii="Cambria" w:eastAsia="Calibri" w:hAnsi="Cambria" w:cs="Arial"/>
          <w:iCs/>
          <w:color w:val="000000"/>
          <w:sz w:val="21"/>
          <w:szCs w:val="21"/>
          <w:lang w:val="es-ES"/>
        </w:rPr>
        <w:t xml:space="preserve">, entre otras, “invitar, en el momento oportuno, a los médicos </w:t>
      </w:r>
      <w:r w:rsidR="00030D76" w:rsidRPr="006A7DD8">
        <w:rPr>
          <w:rFonts w:ascii="Cambria" w:eastAsia="Calibri" w:hAnsi="Cambria" w:cs="Arial"/>
          <w:iCs/>
          <w:color w:val="000000"/>
          <w:sz w:val="21"/>
          <w:szCs w:val="21"/>
          <w:lang w:val="es-ES"/>
        </w:rPr>
        <w:t>tratantes d</w:t>
      </w:r>
      <w:r w:rsidR="006D0ACE" w:rsidRPr="006A7DD8">
        <w:rPr>
          <w:rFonts w:ascii="Cambria" w:eastAsia="Calibri" w:hAnsi="Cambria" w:cs="Arial"/>
          <w:iCs/>
          <w:color w:val="000000"/>
          <w:sz w:val="21"/>
          <w:szCs w:val="21"/>
          <w:lang w:val="es-ES"/>
        </w:rPr>
        <w:t>e</w:t>
      </w:r>
      <w:r w:rsidR="00030D76" w:rsidRPr="006A7DD8">
        <w:rPr>
          <w:rFonts w:ascii="Cambria" w:eastAsia="Calibri" w:hAnsi="Cambria" w:cs="Arial"/>
          <w:iCs/>
          <w:color w:val="000000"/>
          <w:sz w:val="21"/>
          <w:szCs w:val="21"/>
          <w:lang w:val="es-ES"/>
        </w:rPr>
        <w:t xml:space="preserve"> </w:t>
      </w:r>
      <w:r w:rsidR="006D0ACE" w:rsidRPr="006A7DD8">
        <w:rPr>
          <w:rFonts w:ascii="Cambria" w:eastAsia="Calibri" w:hAnsi="Cambria" w:cs="Arial"/>
          <w:iCs/>
          <w:color w:val="000000"/>
          <w:sz w:val="21"/>
          <w:szCs w:val="21"/>
          <w:lang w:val="es-ES"/>
        </w:rPr>
        <w:t xml:space="preserve">las </w:t>
      </w:r>
      <w:r w:rsidR="00030D76" w:rsidRPr="006A7DD8">
        <w:rPr>
          <w:rFonts w:ascii="Cambria" w:eastAsia="Calibri" w:hAnsi="Cambria" w:cs="Arial"/>
          <w:iCs/>
          <w:color w:val="000000"/>
          <w:sz w:val="21"/>
          <w:szCs w:val="21"/>
          <w:lang w:val="es-ES"/>
        </w:rPr>
        <w:t>víctimas</w:t>
      </w:r>
      <w:r w:rsidR="006D0ACE" w:rsidRPr="006A7DD8">
        <w:rPr>
          <w:rFonts w:ascii="Cambria" w:eastAsia="Calibri" w:hAnsi="Cambria" w:cs="Arial"/>
          <w:iCs/>
          <w:color w:val="000000"/>
          <w:sz w:val="21"/>
          <w:szCs w:val="21"/>
          <w:lang w:val="es-ES"/>
        </w:rPr>
        <w:t xml:space="preserve">, a efectos de que estos aporten el criterio técnico </w:t>
      </w:r>
      <w:r w:rsidR="005B7492" w:rsidRPr="006A7DD8">
        <w:rPr>
          <w:rFonts w:ascii="Cambria" w:eastAsia="Calibri" w:hAnsi="Cambria" w:cs="Arial"/>
          <w:iCs/>
          <w:color w:val="000000"/>
          <w:sz w:val="21"/>
          <w:szCs w:val="21"/>
          <w:lang w:val="es-ES"/>
        </w:rPr>
        <w:t>pertinente”</w:t>
      </w:r>
      <w:r w:rsidR="006D0ACE" w:rsidRPr="006A7DD8">
        <w:rPr>
          <w:rFonts w:ascii="Cambria" w:eastAsia="Calibri" w:hAnsi="Cambria" w:cs="Arial"/>
          <w:iCs/>
          <w:color w:val="000000"/>
          <w:sz w:val="21"/>
          <w:szCs w:val="21"/>
          <w:lang w:val="es-ES"/>
        </w:rPr>
        <w:t xml:space="preserve">; “invitar para la próxima reunión a las parejas beneficiarias”; </w:t>
      </w:r>
      <w:r w:rsidR="00D267F0" w:rsidRPr="006A7DD8">
        <w:rPr>
          <w:rFonts w:ascii="Cambria" w:eastAsia="Calibri" w:hAnsi="Cambria" w:cs="Arial"/>
          <w:iCs/>
          <w:color w:val="000000"/>
          <w:sz w:val="21"/>
          <w:szCs w:val="21"/>
          <w:lang w:val="es-ES"/>
        </w:rPr>
        <w:t>“determinar el estado de salud de las parejas, mediante certificación medica de su especialista tratante”; y “solicitarse a dichas parejas que manifiesten, de modo claro, si desean someterse a la técnica m</w:t>
      </w:r>
      <w:r w:rsidR="001A0BD7" w:rsidRPr="006A7DD8">
        <w:rPr>
          <w:rFonts w:ascii="Cambria" w:eastAsia="Calibri" w:hAnsi="Cambria" w:cs="Arial"/>
          <w:iCs/>
          <w:color w:val="000000"/>
          <w:sz w:val="21"/>
          <w:szCs w:val="21"/>
          <w:lang w:val="es-ES"/>
        </w:rPr>
        <w:t>é</w:t>
      </w:r>
      <w:r w:rsidR="00D267F0" w:rsidRPr="006A7DD8">
        <w:rPr>
          <w:rFonts w:ascii="Cambria" w:eastAsia="Calibri" w:hAnsi="Cambria" w:cs="Arial"/>
          <w:iCs/>
          <w:color w:val="000000"/>
          <w:sz w:val="21"/>
          <w:szCs w:val="21"/>
          <w:lang w:val="es-ES"/>
        </w:rPr>
        <w:t xml:space="preserve">dica de </w:t>
      </w:r>
      <w:r w:rsidR="005B7492" w:rsidRPr="006A7DD8">
        <w:rPr>
          <w:rFonts w:ascii="Cambria" w:eastAsia="Calibri" w:hAnsi="Cambria" w:cs="Arial"/>
          <w:iCs/>
          <w:color w:val="000000"/>
          <w:sz w:val="21"/>
          <w:szCs w:val="21"/>
          <w:lang w:val="es-ES"/>
        </w:rPr>
        <w:t>Fecundación</w:t>
      </w:r>
      <w:r w:rsidR="00D267F0" w:rsidRPr="006A7DD8">
        <w:rPr>
          <w:rFonts w:ascii="Cambria" w:eastAsia="Calibri" w:hAnsi="Cambria" w:cs="Arial"/>
          <w:iCs/>
          <w:color w:val="000000"/>
          <w:sz w:val="21"/>
          <w:szCs w:val="21"/>
          <w:lang w:val="es-ES"/>
        </w:rPr>
        <w:t xml:space="preserve"> in Vitro (FIV)</w:t>
      </w:r>
      <w:r w:rsidR="005B7492" w:rsidRPr="006A7DD8">
        <w:rPr>
          <w:rFonts w:ascii="Cambria" w:eastAsia="Calibri" w:hAnsi="Cambria" w:cs="Arial"/>
          <w:iCs/>
          <w:color w:val="000000"/>
          <w:sz w:val="21"/>
          <w:szCs w:val="21"/>
          <w:lang w:val="es-ES"/>
        </w:rPr>
        <w:t>”</w:t>
      </w:r>
      <w:r w:rsidR="00D267F0" w:rsidRPr="006A7DD8">
        <w:rPr>
          <w:rFonts w:ascii="Cambria" w:eastAsia="Calibri" w:hAnsi="Cambria" w:cs="Arial"/>
          <w:iCs/>
          <w:color w:val="000000"/>
          <w:sz w:val="21"/>
          <w:szCs w:val="21"/>
          <w:lang w:val="es-ES"/>
        </w:rPr>
        <w:t xml:space="preserve">. El </w:t>
      </w:r>
      <w:r w:rsidR="005B7492" w:rsidRPr="006A7DD8">
        <w:rPr>
          <w:rFonts w:ascii="Cambria" w:eastAsia="Calibri" w:hAnsi="Cambria" w:cs="Arial"/>
          <w:iCs/>
          <w:color w:val="000000"/>
          <w:sz w:val="21"/>
          <w:szCs w:val="21"/>
          <w:lang w:val="es-ES"/>
        </w:rPr>
        <w:t>E</w:t>
      </w:r>
      <w:r w:rsidR="00D267F0" w:rsidRPr="006A7DD8">
        <w:rPr>
          <w:rFonts w:ascii="Cambria" w:eastAsia="Calibri" w:hAnsi="Cambria" w:cs="Arial"/>
          <w:iCs/>
          <w:color w:val="000000"/>
          <w:sz w:val="21"/>
          <w:szCs w:val="21"/>
          <w:lang w:val="es-ES"/>
        </w:rPr>
        <w:t xml:space="preserve">stado informó que se continuarían con reuniones periódicas a fin de lograr la implementación de las medidas cautelares. </w:t>
      </w:r>
      <w:r w:rsidR="00D267F0" w:rsidRPr="0081316F">
        <w:rPr>
          <w:rFonts w:ascii="Cambria" w:eastAsia="Calibri" w:hAnsi="Cambria" w:cs="Arial"/>
          <w:iCs/>
          <w:sz w:val="21"/>
          <w:szCs w:val="21"/>
          <w:lang w:val="es-ES"/>
        </w:rPr>
        <w:t xml:space="preserve">El </w:t>
      </w:r>
      <w:r w:rsidR="00DD41FC" w:rsidRPr="0081316F">
        <w:rPr>
          <w:rFonts w:ascii="Cambria" w:eastAsia="Calibri" w:hAnsi="Cambria" w:cs="Arial"/>
          <w:iCs/>
          <w:sz w:val="21"/>
          <w:szCs w:val="21"/>
          <w:lang w:val="es-ES"/>
        </w:rPr>
        <w:t xml:space="preserve">15 de marzo de 2016, el </w:t>
      </w:r>
      <w:r w:rsidR="00D267F0" w:rsidRPr="0081316F">
        <w:rPr>
          <w:rFonts w:ascii="Cambria" w:eastAsia="Calibri" w:hAnsi="Cambria" w:cs="Arial"/>
          <w:iCs/>
          <w:sz w:val="21"/>
          <w:szCs w:val="21"/>
          <w:lang w:val="es-ES"/>
        </w:rPr>
        <w:t xml:space="preserve">informe </w:t>
      </w:r>
      <w:r w:rsidR="00DD41FC" w:rsidRPr="0081316F">
        <w:rPr>
          <w:rFonts w:ascii="Cambria" w:eastAsia="Calibri" w:hAnsi="Cambria" w:cs="Arial"/>
          <w:iCs/>
          <w:sz w:val="21"/>
          <w:szCs w:val="21"/>
          <w:lang w:val="es-ES"/>
        </w:rPr>
        <w:t xml:space="preserve">del Estado </w:t>
      </w:r>
      <w:r w:rsidR="00D267F0" w:rsidRPr="006A7DD8">
        <w:rPr>
          <w:rFonts w:ascii="Cambria" w:eastAsia="Calibri" w:hAnsi="Cambria" w:cs="Arial"/>
          <w:iCs/>
          <w:color w:val="000000"/>
          <w:sz w:val="21"/>
          <w:szCs w:val="21"/>
          <w:lang w:val="es-ES"/>
        </w:rPr>
        <w:t xml:space="preserve">fue trasladado a la representación para sus observaciones, pero </w:t>
      </w:r>
      <w:r w:rsidR="008D2081" w:rsidRPr="006A7DD8">
        <w:rPr>
          <w:rFonts w:ascii="Cambria" w:eastAsia="Calibri" w:hAnsi="Cambria" w:cs="Arial"/>
          <w:iCs/>
          <w:color w:val="000000"/>
          <w:sz w:val="21"/>
          <w:szCs w:val="21"/>
          <w:lang w:val="es-ES"/>
        </w:rPr>
        <w:t xml:space="preserve">hasta la fecha </w:t>
      </w:r>
      <w:r w:rsidR="00D267F0" w:rsidRPr="006A7DD8">
        <w:rPr>
          <w:rFonts w:ascii="Cambria" w:eastAsia="Calibri" w:hAnsi="Cambria" w:cs="Arial"/>
          <w:iCs/>
          <w:color w:val="000000"/>
          <w:sz w:val="21"/>
          <w:szCs w:val="21"/>
          <w:lang w:val="es-ES"/>
        </w:rPr>
        <w:t xml:space="preserve">las mismas no </w:t>
      </w:r>
      <w:r w:rsidR="008D2081" w:rsidRPr="006A7DD8">
        <w:rPr>
          <w:rFonts w:ascii="Cambria" w:eastAsia="Calibri" w:hAnsi="Cambria" w:cs="Arial"/>
          <w:iCs/>
          <w:color w:val="000000"/>
          <w:sz w:val="21"/>
          <w:szCs w:val="21"/>
          <w:lang w:val="es-ES"/>
        </w:rPr>
        <w:t xml:space="preserve">han sido </w:t>
      </w:r>
      <w:r w:rsidR="00D267F0" w:rsidRPr="006A7DD8">
        <w:rPr>
          <w:rFonts w:ascii="Cambria" w:eastAsia="Calibri" w:hAnsi="Cambria" w:cs="Arial"/>
          <w:iCs/>
          <w:color w:val="000000"/>
          <w:sz w:val="21"/>
          <w:szCs w:val="21"/>
          <w:lang w:val="es-ES"/>
        </w:rPr>
        <w:t xml:space="preserve">remitidas  a la CIDH. </w:t>
      </w:r>
    </w:p>
    <w:p w14:paraId="74D63F43" w14:textId="43D909A7" w:rsidR="00BF5961" w:rsidRPr="006A7DD8" w:rsidRDefault="00D267F0" w:rsidP="00213B5F">
      <w:pPr>
        <w:numPr>
          <w:ilvl w:val="0"/>
          <w:numId w:val="40"/>
        </w:numPr>
        <w:spacing w:after="200"/>
        <w:ind w:left="360" w:firstLine="360"/>
        <w:jc w:val="both"/>
        <w:rPr>
          <w:rFonts w:ascii="Cambria" w:eastAsia="Calibri" w:hAnsi="Cambria" w:cs="Arial"/>
          <w:iCs/>
          <w:color w:val="000000"/>
          <w:sz w:val="21"/>
          <w:szCs w:val="21"/>
          <w:lang w:val="es-ES"/>
        </w:rPr>
      </w:pPr>
      <w:r w:rsidRPr="006A7DD8">
        <w:rPr>
          <w:rFonts w:ascii="Cambria" w:eastAsia="Calibri" w:hAnsi="Cambria" w:cs="Arial"/>
          <w:iCs/>
          <w:color w:val="000000"/>
          <w:sz w:val="21"/>
          <w:szCs w:val="21"/>
          <w:lang w:val="es-ES"/>
        </w:rPr>
        <w:lastRenderedPageBreak/>
        <w:t xml:space="preserve">El </w:t>
      </w:r>
      <w:r w:rsidR="008D2081" w:rsidRPr="006A7DD8">
        <w:rPr>
          <w:rFonts w:ascii="Cambria" w:eastAsia="Calibri" w:hAnsi="Cambria" w:cs="Arial"/>
          <w:iCs/>
          <w:color w:val="000000"/>
          <w:sz w:val="21"/>
          <w:szCs w:val="21"/>
          <w:lang w:val="es-ES"/>
        </w:rPr>
        <w:t>26 de junio de 2017, el Estado envió</w:t>
      </w:r>
      <w:r w:rsidR="00A37932" w:rsidRPr="006A7DD8">
        <w:rPr>
          <w:rFonts w:ascii="Cambria" w:eastAsia="Calibri" w:hAnsi="Cambria" w:cs="Arial"/>
          <w:iCs/>
          <w:color w:val="000000"/>
          <w:sz w:val="21"/>
          <w:szCs w:val="21"/>
          <w:lang w:val="es-ES"/>
        </w:rPr>
        <w:t xml:space="preserve"> una comunicación mediante la que señaló que el 29 de noviembre de 2016 la Corte Interamericana de Derechos Humanos (“la Corte” o “la Corte IDH”) </w:t>
      </w:r>
      <w:r w:rsidR="005B7492" w:rsidRPr="006A7DD8">
        <w:rPr>
          <w:rFonts w:ascii="Cambria" w:eastAsia="Calibri" w:hAnsi="Cambria" w:cs="Arial"/>
          <w:iCs/>
          <w:color w:val="000000"/>
          <w:sz w:val="21"/>
          <w:szCs w:val="21"/>
          <w:lang w:val="es-ES"/>
        </w:rPr>
        <w:t xml:space="preserve">homólogo un </w:t>
      </w:r>
      <w:r w:rsidR="00A37932" w:rsidRPr="006A7DD8">
        <w:rPr>
          <w:rFonts w:ascii="Cambria" w:eastAsia="Calibri" w:hAnsi="Cambria" w:cs="Arial"/>
          <w:iCs/>
          <w:color w:val="000000"/>
          <w:sz w:val="21"/>
          <w:szCs w:val="21"/>
          <w:lang w:val="es-ES"/>
        </w:rPr>
        <w:t>“</w:t>
      </w:r>
      <w:r w:rsidR="00A37932" w:rsidRPr="006A7DD8">
        <w:rPr>
          <w:rFonts w:ascii="Cambria" w:eastAsia="Calibri" w:hAnsi="Cambria" w:cs="Arial"/>
          <w:i/>
          <w:iCs/>
          <w:color w:val="000000"/>
          <w:sz w:val="21"/>
          <w:szCs w:val="21"/>
          <w:lang w:val="es-ES"/>
        </w:rPr>
        <w:t>Acuerdo de arreglo amistoso entre el Estado de Costa Rica y la parte demandante</w:t>
      </w:r>
      <w:r w:rsidR="00A37932" w:rsidRPr="006A7DD8">
        <w:rPr>
          <w:rFonts w:ascii="Cambria" w:eastAsia="Calibri" w:hAnsi="Cambria" w:cs="Arial"/>
          <w:iCs/>
          <w:color w:val="000000"/>
          <w:sz w:val="21"/>
          <w:szCs w:val="21"/>
          <w:lang w:val="es-ES"/>
        </w:rPr>
        <w:t>”, y con ello se habrían homologado “las medidas de reparación acordadas por las partes dentro del Caso Gómez Murillo y Otros vs. Costa Rica”. En este sentido, el Estado resaltó que la Corte en su decisión indico que “</w:t>
      </w:r>
      <w:r w:rsidR="00872051" w:rsidRPr="006A7DD8">
        <w:rPr>
          <w:rFonts w:ascii="Cambria" w:eastAsia="Calibri" w:hAnsi="Cambria" w:cs="Arial"/>
          <w:i/>
          <w:iCs/>
          <w:color w:val="000000"/>
          <w:sz w:val="21"/>
          <w:szCs w:val="21"/>
          <w:lang w:val="es-ES"/>
        </w:rPr>
        <w:t xml:space="preserve">el acuerdo de arreglo suscrito entre el representante a nombre de las víctimas y el </w:t>
      </w:r>
      <w:r w:rsidR="001A0BD7" w:rsidRPr="006A7DD8">
        <w:rPr>
          <w:rFonts w:ascii="Cambria" w:eastAsia="Calibri" w:hAnsi="Cambria" w:cs="Arial"/>
          <w:i/>
          <w:iCs/>
          <w:color w:val="000000"/>
          <w:sz w:val="21"/>
          <w:szCs w:val="21"/>
          <w:lang w:val="es-ES"/>
        </w:rPr>
        <w:t>E</w:t>
      </w:r>
      <w:r w:rsidR="00872051" w:rsidRPr="006A7DD8">
        <w:rPr>
          <w:rFonts w:ascii="Cambria" w:eastAsia="Calibri" w:hAnsi="Cambria" w:cs="Arial"/>
          <w:i/>
          <w:iCs/>
          <w:color w:val="000000"/>
          <w:sz w:val="21"/>
          <w:szCs w:val="21"/>
          <w:lang w:val="es-ES"/>
        </w:rPr>
        <w:t>stado ha sido homologado por la presente sentencia, razón por la cual cualquier controversia o diferencia que se suscite será decidida por este tribunal</w:t>
      </w:r>
      <w:r w:rsidR="00A37932" w:rsidRPr="006A7DD8">
        <w:rPr>
          <w:rFonts w:ascii="Cambria" w:eastAsia="Calibri" w:hAnsi="Cambria" w:cs="Arial"/>
          <w:iCs/>
          <w:color w:val="000000"/>
          <w:sz w:val="21"/>
          <w:szCs w:val="21"/>
          <w:lang w:val="es-ES"/>
        </w:rPr>
        <w:t>”.</w:t>
      </w:r>
      <w:r w:rsidR="00872051" w:rsidRPr="006A7DD8">
        <w:rPr>
          <w:rFonts w:ascii="Cambria" w:eastAsia="Calibri" w:hAnsi="Cambria" w:cs="Arial"/>
          <w:iCs/>
          <w:color w:val="000000"/>
          <w:sz w:val="21"/>
          <w:szCs w:val="21"/>
          <w:lang w:val="es-ES"/>
        </w:rPr>
        <w:t xml:space="preserve"> Con base en lo anterior, el Estado </w:t>
      </w:r>
      <w:r w:rsidR="00030D76" w:rsidRPr="006A7DD8">
        <w:rPr>
          <w:rFonts w:ascii="Cambria" w:eastAsia="Calibri" w:hAnsi="Cambria" w:cs="Arial"/>
          <w:iCs/>
          <w:color w:val="000000"/>
          <w:sz w:val="21"/>
          <w:szCs w:val="21"/>
          <w:lang w:val="es-ES"/>
        </w:rPr>
        <w:t>solicitó</w:t>
      </w:r>
      <w:r w:rsidR="00872051" w:rsidRPr="006A7DD8">
        <w:rPr>
          <w:rFonts w:ascii="Cambria" w:eastAsia="Calibri" w:hAnsi="Cambria" w:cs="Arial"/>
          <w:iCs/>
          <w:color w:val="000000"/>
          <w:sz w:val="21"/>
          <w:szCs w:val="21"/>
          <w:lang w:val="es-ES"/>
        </w:rPr>
        <w:t xml:space="preserve"> “dejar sin efecto las medidas cautelares vigentes y proceder a su archivo”.  Con el propósito de contar con las observaciones de la representación sobre la solicitud de levantamiento de Estado, el 24 de agosto de 2017 </w:t>
      </w:r>
      <w:r w:rsidR="005B7492" w:rsidRPr="006A7DD8">
        <w:rPr>
          <w:rFonts w:ascii="Cambria" w:eastAsia="Calibri" w:hAnsi="Cambria" w:cs="Arial"/>
          <w:iCs/>
          <w:color w:val="000000"/>
          <w:sz w:val="21"/>
          <w:szCs w:val="21"/>
          <w:lang w:val="es-ES"/>
        </w:rPr>
        <w:t>la CIDH</w:t>
      </w:r>
      <w:r w:rsidR="00872051" w:rsidRPr="006A7DD8">
        <w:rPr>
          <w:rFonts w:ascii="Cambria" w:eastAsia="Calibri" w:hAnsi="Cambria" w:cs="Arial"/>
          <w:iCs/>
          <w:color w:val="000000"/>
          <w:sz w:val="21"/>
          <w:szCs w:val="21"/>
          <w:lang w:val="es-ES"/>
        </w:rPr>
        <w:t xml:space="preserve"> </w:t>
      </w:r>
      <w:r w:rsidR="00030D76" w:rsidRPr="006A7DD8">
        <w:rPr>
          <w:rFonts w:ascii="Cambria" w:eastAsia="Calibri" w:hAnsi="Cambria" w:cs="Arial"/>
          <w:iCs/>
          <w:color w:val="000000"/>
          <w:sz w:val="21"/>
          <w:szCs w:val="21"/>
          <w:lang w:val="es-ES"/>
        </w:rPr>
        <w:t>procedió</w:t>
      </w:r>
      <w:r w:rsidR="00872051" w:rsidRPr="006A7DD8">
        <w:rPr>
          <w:rFonts w:ascii="Cambria" w:eastAsia="Calibri" w:hAnsi="Cambria" w:cs="Arial"/>
          <w:iCs/>
          <w:color w:val="000000"/>
          <w:sz w:val="21"/>
          <w:szCs w:val="21"/>
          <w:lang w:val="es-ES"/>
        </w:rPr>
        <w:t xml:space="preserve"> a trasladar el escrito del Estado a la representación y se le </w:t>
      </w:r>
      <w:r w:rsidR="005B7492" w:rsidRPr="006A7DD8">
        <w:rPr>
          <w:rFonts w:ascii="Cambria" w:eastAsia="Calibri" w:hAnsi="Cambria" w:cs="Arial"/>
          <w:iCs/>
          <w:color w:val="000000"/>
          <w:sz w:val="21"/>
          <w:szCs w:val="21"/>
          <w:lang w:val="es-ES"/>
        </w:rPr>
        <w:t>preguntó</w:t>
      </w:r>
      <w:r w:rsidR="00872051" w:rsidRPr="006A7DD8">
        <w:rPr>
          <w:rFonts w:ascii="Cambria" w:eastAsia="Calibri" w:hAnsi="Cambria" w:cs="Arial"/>
          <w:iCs/>
          <w:color w:val="000000"/>
          <w:sz w:val="21"/>
          <w:szCs w:val="21"/>
          <w:lang w:val="es-ES"/>
        </w:rPr>
        <w:t xml:space="preserve"> sobre su posición acerca de la solicitud de levantamiento. Esta solicitud de información fue reiterada el 17 de </w:t>
      </w:r>
      <w:r w:rsidR="009A700A">
        <w:rPr>
          <w:rFonts w:ascii="Cambria" w:eastAsia="Calibri" w:hAnsi="Cambria" w:cs="Arial"/>
          <w:iCs/>
          <w:color w:val="000000"/>
          <w:sz w:val="21"/>
          <w:szCs w:val="21"/>
          <w:lang w:val="es-ES"/>
        </w:rPr>
        <w:t>octubre</w:t>
      </w:r>
      <w:r w:rsidR="00872051" w:rsidRPr="006A7DD8">
        <w:rPr>
          <w:rFonts w:ascii="Cambria" w:eastAsia="Calibri" w:hAnsi="Cambria" w:cs="Arial"/>
          <w:iCs/>
          <w:color w:val="000000"/>
          <w:sz w:val="21"/>
          <w:szCs w:val="21"/>
          <w:lang w:val="es-ES"/>
        </w:rPr>
        <w:t xml:space="preserve"> de 2017, pero hasta la fecha</w:t>
      </w:r>
      <w:r w:rsidR="00213B5F" w:rsidRPr="006A7DD8">
        <w:rPr>
          <w:rFonts w:ascii="Cambria" w:eastAsia="Calibri" w:hAnsi="Cambria" w:cs="Arial"/>
          <w:iCs/>
          <w:color w:val="000000"/>
          <w:sz w:val="21"/>
          <w:szCs w:val="21"/>
          <w:lang w:val="es-ES"/>
        </w:rPr>
        <w:t xml:space="preserve"> la </w:t>
      </w:r>
      <w:r w:rsidR="0010799C" w:rsidRPr="006A7DD8">
        <w:rPr>
          <w:rFonts w:ascii="Cambria" w:eastAsia="Calibri" w:hAnsi="Cambria" w:cs="Arial"/>
          <w:iCs/>
          <w:color w:val="000000"/>
          <w:sz w:val="21"/>
          <w:szCs w:val="21"/>
          <w:lang w:val="es-ES"/>
        </w:rPr>
        <w:t>Comisión</w:t>
      </w:r>
      <w:r w:rsidR="00872051" w:rsidRPr="006A7DD8">
        <w:rPr>
          <w:rFonts w:ascii="Cambria" w:eastAsia="Calibri" w:hAnsi="Cambria" w:cs="Arial"/>
          <w:iCs/>
          <w:color w:val="000000"/>
          <w:sz w:val="21"/>
          <w:szCs w:val="21"/>
          <w:lang w:val="es-ES"/>
        </w:rPr>
        <w:t xml:space="preserve"> no ha recibido una respuesta </w:t>
      </w:r>
      <w:r w:rsidR="0010799C" w:rsidRPr="006A7DD8">
        <w:rPr>
          <w:rFonts w:ascii="Cambria" w:eastAsia="Calibri" w:hAnsi="Cambria" w:cs="Arial"/>
          <w:iCs/>
          <w:color w:val="000000"/>
          <w:sz w:val="21"/>
          <w:szCs w:val="21"/>
          <w:lang w:val="es-ES"/>
        </w:rPr>
        <w:t xml:space="preserve">por parte </w:t>
      </w:r>
      <w:r w:rsidR="00872051" w:rsidRPr="006A7DD8">
        <w:rPr>
          <w:rFonts w:ascii="Cambria" w:eastAsia="Calibri" w:hAnsi="Cambria" w:cs="Arial"/>
          <w:iCs/>
          <w:color w:val="000000"/>
          <w:sz w:val="21"/>
          <w:szCs w:val="21"/>
          <w:lang w:val="es-ES"/>
        </w:rPr>
        <w:t>de la representación</w:t>
      </w:r>
      <w:r w:rsidR="00BF5961" w:rsidRPr="006A7DD8">
        <w:rPr>
          <w:rFonts w:ascii="Cambria" w:eastAsia="Calibri" w:hAnsi="Cambria" w:cs="Arial"/>
          <w:iCs/>
          <w:color w:val="000000"/>
          <w:sz w:val="21"/>
          <w:szCs w:val="21"/>
          <w:lang w:val="es-ES"/>
        </w:rPr>
        <w:t xml:space="preserve">. </w:t>
      </w:r>
    </w:p>
    <w:p w14:paraId="5A45E6A6" w14:textId="77777777" w:rsidR="00BF5961" w:rsidRPr="006A7DD8" w:rsidRDefault="00BF5961" w:rsidP="00BF5961">
      <w:pPr>
        <w:numPr>
          <w:ilvl w:val="0"/>
          <w:numId w:val="39"/>
        </w:numPr>
        <w:spacing w:after="200" w:line="276" w:lineRule="auto"/>
        <w:ind w:left="1170" w:right="-360"/>
        <w:jc w:val="both"/>
        <w:rPr>
          <w:rFonts w:ascii="Cambria" w:eastAsia="Times New Roman" w:hAnsi="Cambria" w:cs="Arial"/>
          <w:b/>
          <w:bCs/>
          <w:color w:val="000000"/>
          <w:sz w:val="21"/>
          <w:szCs w:val="21"/>
          <w:lang w:val="es-ES"/>
        </w:rPr>
      </w:pPr>
      <w:r w:rsidRPr="006A7DD8">
        <w:rPr>
          <w:rFonts w:ascii="Cambria" w:eastAsia="Times New Roman" w:hAnsi="Cambria" w:cs="Arial"/>
          <w:b/>
          <w:bCs/>
          <w:color w:val="000000"/>
          <w:sz w:val="21"/>
          <w:szCs w:val="21"/>
          <w:lang w:val="es-ES"/>
        </w:rPr>
        <w:t>ANÁLISIS DE LOS REQUISITOS DE URGENCIA, GRAVEDAD Y DAÑO IRREPARABLE</w:t>
      </w:r>
    </w:p>
    <w:p w14:paraId="46AE4B24" w14:textId="77777777" w:rsidR="00BF5961" w:rsidRPr="006A7DD8"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6A7DD8">
        <w:rPr>
          <w:rFonts w:ascii="Cambria" w:eastAsia="Times New Roman" w:hAnsi="Cambria" w:cs="Arial"/>
          <w:bCs/>
          <w:color w:val="000000"/>
          <w:sz w:val="21"/>
          <w:szCs w:val="21"/>
          <w:lang w:val="es-ES"/>
        </w:rPr>
        <w:t>El mecanismo de medidas cautelares es parte de la función de la Comisión para supervisar el cumplimiento con las obligaciones de derechos humanos establecidas en la Carta de la Organización de Estados Americanos, y en el caso de los Estados Miembros que todavía no han ratificado la Convención Americana, la Declaración de los Derechos y Deberes del Hombre. Estas funciones generales de supervisión están establecidas en el Artículo 18 del Estatuto de la Comisión. El mecanismo de medidas cautelares es descrito en el Artículo 25 del Reglamento de la Comisión. De conformidad con este artículo, la Comisión otorga medidas cautelares en situaciones que son graves y urgentes, y en las cuales tales medidas son necesarias para prevenir un daño irreparable a las personas.</w:t>
      </w:r>
    </w:p>
    <w:p w14:paraId="27857FF1" w14:textId="77777777" w:rsidR="00BF5961" w:rsidRPr="006A7DD8"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6A7DD8">
        <w:rPr>
          <w:rFonts w:ascii="Cambria" w:eastAsia="Times New Roman" w:hAnsi="Cambria" w:cs="Arial"/>
          <w:bCs/>
          <w:color w:val="000000"/>
          <w:sz w:val="21"/>
          <w:szCs w:val="21"/>
          <w:lang w:val="es-ES"/>
        </w:rPr>
        <w:t>La Comisión Interamericana y la Corte Interamericana de Derechos Humanos han establecido repetidamente que las medidas cautelares y provisionales tienen un doble carácter, uno cautelar y otro tutelar. Respecto a su carácter tutelar, las medidas buscan evitar un daño irreparable y preservar el ejercicio de los derechos humanos. Con respecto a su carácter cautelar, las medidas tienen por objeto preservar una situación jurídica mientras está siendo considerada por la CIDH. En tal sentido, para los efectos de tomar una decisión, y de acuerdo con el Artículo 25.2 del Reglamento, la Comisión considera que:</w:t>
      </w:r>
    </w:p>
    <w:p w14:paraId="478A0E8D" w14:textId="77777777" w:rsidR="00BF5961" w:rsidRPr="006A7DD8" w:rsidRDefault="00BF5961" w:rsidP="00BF5961">
      <w:pPr>
        <w:ind w:left="720"/>
        <w:jc w:val="both"/>
        <w:rPr>
          <w:rFonts w:ascii="Cambria" w:eastAsia="Calibri" w:hAnsi="Cambria" w:cs="Arial"/>
          <w:iCs/>
          <w:color w:val="000000"/>
          <w:sz w:val="21"/>
          <w:szCs w:val="21"/>
          <w:lang w:val="es-ES"/>
        </w:rPr>
      </w:pPr>
    </w:p>
    <w:p w14:paraId="165D1470" w14:textId="77777777" w:rsidR="00BF5961" w:rsidRPr="006A7DD8" w:rsidRDefault="00BF5961" w:rsidP="00BF5961">
      <w:pPr>
        <w:numPr>
          <w:ilvl w:val="0"/>
          <w:numId w:val="38"/>
        </w:numPr>
        <w:tabs>
          <w:tab w:val="left" w:pos="1418"/>
        </w:tabs>
        <w:spacing w:after="200"/>
        <w:ind w:left="1418" w:right="630" w:hanging="284"/>
        <w:jc w:val="both"/>
        <w:rPr>
          <w:rFonts w:ascii="Cambria" w:eastAsia="Times New Roman" w:hAnsi="Cambria" w:cs="Arial"/>
          <w:bCs/>
          <w:color w:val="000000"/>
          <w:sz w:val="20"/>
          <w:szCs w:val="20"/>
          <w:lang w:val="es-ES"/>
        </w:rPr>
      </w:pPr>
      <w:r w:rsidRPr="006A7DD8">
        <w:rPr>
          <w:rFonts w:ascii="Cambria" w:eastAsia="Times New Roman" w:hAnsi="Cambria" w:cs="Arial"/>
          <w:bCs/>
          <w:color w:val="000000"/>
          <w:sz w:val="20"/>
          <w:szCs w:val="20"/>
          <w:lang w:val="es-ES"/>
        </w:rPr>
        <w:t>la “gravedad de la situación” implica el serio impacto que una acción u omisión puede tener sobre un derecho protegido o sobre el efecto eventual de una decisión pendiente en un caso o petición ante los órganos del Sistema Interamericano;</w:t>
      </w:r>
    </w:p>
    <w:p w14:paraId="0BE5BEAB" w14:textId="77777777" w:rsidR="00BF5961" w:rsidRPr="006A7DD8" w:rsidRDefault="00BF5961" w:rsidP="00BF5961">
      <w:pPr>
        <w:numPr>
          <w:ilvl w:val="0"/>
          <w:numId w:val="38"/>
        </w:numPr>
        <w:tabs>
          <w:tab w:val="left" w:pos="1418"/>
        </w:tabs>
        <w:spacing w:after="200"/>
        <w:ind w:left="1418" w:right="630" w:hanging="284"/>
        <w:jc w:val="both"/>
        <w:rPr>
          <w:rFonts w:ascii="Cambria" w:eastAsia="Times New Roman" w:hAnsi="Cambria" w:cs="Arial"/>
          <w:bCs/>
          <w:color w:val="000000"/>
          <w:sz w:val="20"/>
          <w:szCs w:val="20"/>
          <w:lang w:val="es-ES"/>
        </w:rPr>
      </w:pPr>
      <w:r w:rsidRPr="006A7DD8">
        <w:rPr>
          <w:rFonts w:ascii="Cambria" w:eastAsia="Times New Roman" w:hAnsi="Cambria" w:cs="Arial"/>
          <w:bCs/>
          <w:color w:val="000000"/>
          <w:sz w:val="20"/>
          <w:szCs w:val="20"/>
          <w:lang w:val="es-ES"/>
        </w:rPr>
        <w:t>la “urgencia de la situación” se determina por medio de la información aportada, indicando el riesgo o la amenaza que puedan ser inminentes y materializarse, requiriendo de esa manera una acción preventiva o tutelar; y</w:t>
      </w:r>
    </w:p>
    <w:p w14:paraId="07D05F85" w14:textId="77777777" w:rsidR="00BF5961" w:rsidRPr="006A7DD8" w:rsidRDefault="00BF5961" w:rsidP="00BF5961">
      <w:pPr>
        <w:numPr>
          <w:ilvl w:val="0"/>
          <w:numId w:val="38"/>
        </w:numPr>
        <w:tabs>
          <w:tab w:val="left" w:pos="1418"/>
        </w:tabs>
        <w:spacing w:after="200"/>
        <w:ind w:left="1418" w:right="630" w:hanging="284"/>
        <w:jc w:val="both"/>
        <w:rPr>
          <w:rFonts w:ascii="Cambria" w:eastAsia="Times New Roman" w:hAnsi="Cambria" w:cs="Arial"/>
          <w:bCs/>
          <w:color w:val="000000"/>
          <w:sz w:val="20"/>
          <w:szCs w:val="20"/>
          <w:lang w:val="es-ES"/>
        </w:rPr>
      </w:pPr>
      <w:r w:rsidRPr="006A7DD8">
        <w:rPr>
          <w:rFonts w:ascii="Cambria" w:eastAsia="Times New Roman" w:hAnsi="Cambria" w:cs="Arial"/>
          <w:bCs/>
          <w:color w:val="000000"/>
          <w:sz w:val="20"/>
          <w:szCs w:val="20"/>
          <w:lang w:val="es-ES"/>
        </w:rPr>
        <w:t>el “daño irreparable” consiste en la afectación sobre derechos que, por su propia naturaleza, no son susceptibles de reparación, restauración o adecuada indemnización.</w:t>
      </w:r>
    </w:p>
    <w:p w14:paraId="5FED2A09" w14:textId="77777777" w:rsidR="00BF5961" w:rsidRPr="006A7DD8"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6A7DD8">
        <w:rPr>
          <w:rFonts w:ascii="Cambria" w:eastAsia="Times New Roman" w:hAnsi="Cambria" w:cs="Times New Roman"/>
          <w:color w:val="000000"/>
          <w:sz w:val="21"/>
          <w:szCs w:val="21"/>
          <w:lang w:val="es-ES"/>
        </w:rPr>
        <w:t xml:space="preserve">Con respecto a lo anterior, el Artículo 25.7 del Reglamento de la Comisión establece que “las decisiones de otorgamiento, ampliación, modificación o levantamiento de medidas cautelares, deben ser adoptado a través de resoluciones razonadas”. El Artículo 25.9 establece que “la Comisión </w:t>
      </w:r>
      <w:r w:rsidRPr="006A7DD8">
        <w:rPr>
          <w:rFonts w:ascii="Cambria" w:eastAsia="Times New Roman" w:hAnsi="Cambria" w:cs="Times New Roman"/>
          <w:color w:val="000000"/>
          <w:sz w:val="21"/>
          <w:szCs w:val="21"/>
          <w:lang w:val="es-ES"/>
        </w:rPr>
        <w:lastRenderedPageBreak/>
        <w:t>deberá evaluar periódicamente, por iniciativa propia o por solicitud de las partes, si mantener, modificar o levantar medidas cautelares vigentes”. Al respecto, la Comisión debe evaluar si la situación de gravedad, urgencia y la posible generación de un daño irreparable, que llevó a la adopción de las medidas cautelares, persiste todavía.</w:t>
      </w:r>
    </w:p>
    <w:p w14:paraId="2872885E" w14:textId="3BCDAF94" w:rsidR="00BF5961" w:rsidRPr="006A7DD8"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6A7DD8">
        <w:rPr>
          <w:rFonts w:ascii="Cambria" w:eastAsia="Times New Roman" w:hAnsi="Cambria" w:cs="Times New Roman"/>
          <w:color w:val="000000"/>
          <w:sz w:val="21"/>
          <w:szCs w:val="21"/>
          <w:lang w:val="es-ES"/>
        </w:rPr>
        <w:t>La Comisión observa que las presentes medidas cautelares fueron otorgadas el 2</w:t>
      </w:r>
      <w:r w:rsidR="00213B5F" w:rsidRPr="006A7DD8">
        <w:rPr>
          <w:rFonts w:ascii="Cambria" w:eastAsia="Times New Roman" w:hAnsi="Cambria" w:cs="Times New Roman"/>
          <w:color w:val="000000"/>
          <w:sz w:val="21"/>
          <w:szCs w:val="21"/>
          <w:lang w:val="es-ES"/>
        </w:rPr>
        <w:t>9</w:t>
      </w:r>
      <w:r w:rsidRPr="006A7DD8">
        <w:rPr>
          <w:rFonts w:ascii="Cambria" w:eastAsia="Times New Roman" w:hAnsi="Cambria" w:cs="Times New Roman"/>
          <w:color w:val="000000"/>
          <w:sz w:val="21"/>
          <w:szCs w:val="21"/>
          <w:lang w:val="es-ES"/>
        </w:rPr>
        <w:t xml:space="preserve"> de </w:t>
      </w:r>
      <w:r w:rsidR="00213B5F" w:rsidRPr="006A7DD8">
        <w:rPr>
          <w:rFonts w:ascii="Cambria" w:eastAsia="Times New Roman" w:hAnsi="Cambria" w:cs="Times New Roman"/>
          <w:color w:val="000000"/>
          <w:sz w:val="21"/>
          <w:szCs w:val="21"/>
          <w:lang w:val="es-ES"/>
        </w:rPr>
        <w:t>ener</w:t>
      </w:r>
      <w:r w:rsidRPr="006A7DD8">
        <w:rPr>
          <w:rFonts w:ascii="Cambria" w:eastAsia="Times New Roman" w:hAnsi="Cambria" w:cs="Times New Roman"/>
          <w:color w:val="000000"/>
          <w:sz w:val="21"/>
          <w:szCs w:val="21"/>
          <w:lang w:val="es-ES"/>
        </w:rPr>
        <w:t>o de</w:t>
      </w:r>
      <w:r w:rsidR="00213B5F" w:rsidRPr="006A7DD8">
        <w:rPr>
          <w:rFonts w:ascii="Cambria" w:eastAsia="Times New Roman" w:hAnsi="Cambria" w:cs="Times New Roman"/>
          <w:color w:val="000000"/>
          <w:sz w:val="21"/>
          <w:szCs w:val="21"/>
          <w:lang w:val="es-ES"/>
        </w:rPr>
        <w:t>l</w:t>
      </w:r>
      <w:r w:rsidRPr="006A7DD8">
        <w:rPr>
          <w:rFonts w:ascii="Cambria" w:eastAsia="Times New Roman" w:hAnsi="Cambria" w:cs="Times New Roman"/>
          <w:color w:val="000000"/>
          <w:sz w:val="21"/>
          <w:szCs w:val="21"/>
          <w:lang w:val="es-ES"/>
        </w:rPr>
        <w:t xml:space="preserve"> 201</w:t>
      </w:r>
      <w:r w:rsidR="00213B5F" w:rsidRPr="006A7DD8">
        <w:rPr>
          <w:rFonts w:ascii="Cambria" w:eastAsia="Times New Roman" w:hAnsi="Cambria" w:cs="Times New Roman"/>
          <w:color w:val="000000"/>
          <w:sz w:val="21"/>
          <w:szCs w:val="21"/>
          <w:lang w:val="es-ES"/>
        </w:rPr>
        <w:t>6</w:t>
      </w:r>
      <w:r w:rsidRPr="006A7DD8">
        <w:rPr>
          <w:rFonts w:ascii="Cambria" w:eastAsia="Times New Roman" w:hAnsi="Cambria" w:cs="Times New Roman"/>
          <w:color w:val="000000"/>
          <w:sz w:val="21"/>
          <w:szCs w:val="21"/>
          <w:lang w:val="es-ES"/>
        </w:rPr>
        <w:t xml:space="preserve"> con el </w:t>
      </w:r>
      <w:r w:rsidR="00213B5F" w:rsidRPr="006A7DD8">
        <w:rPr>
          <w:rFonts w:ascii="Cambria" w:eastAsia="Times New Roman" w:hAnsi="Cambria" w:cs="Times New Roman"/>
          <w:color w:val="000000"/>
          <w:sz w:val="21"/>
          <w:szCs w:val="21"/>
          <w:lang w:val="es-ES"/>
        </w:rPr>
        <w:t xml:space="preserve">propósito de </w:t>
      </w:r>
      <w:r w:rsidR="00213B5F" w:rsidRPr="006A7DD8">
        <w:rPr>
          <w:rFonts w:ascii="Cambria" w:eastAsia="Times New Roman" w:hAnsi="Cambria" w:cs="Times New Roman"/>
          <w:iCs/>
          <w:color w:val="000000"/>
          <w:sz w:val="21"/>
          <w:szCs w:val="21"/>
          <w:lang w:val="es-CO"/>
        </w:rPr>
        <w:t xml:space="preserve">que el Estado adopte las medidas necesarias para hacer accesible la técnica de FIV, de manera inmediata, a las </w:t>
      </w:r>
      <w:r w:rsidR="00E46303" w:rsidRPr="006A7DD8">
        <w:rPr>
          <w:rFonts w:ascii="Cambria" w:eastAsia="Times New Roman" w:hAnsi="Cambria" w:cs="Times New Roman"/>
          <w:iCs/>
          <w:color w:val="000000"/>
          <w:sz w:val="21"/>
          <w:szCs w:val="21"/>
          <w:lang w:val="es-CO"/>
        </w:rPr>
        <w:t xml:space="preserve">siguientes </w:t>
      </w:r>
      <w:r w:rsidR="00213B5F" w:rsidRPr="006A7DD8">
        <w:rPr>
          <w:rFonts w:ascii="Cambria" w:eastAsia="Times New Roman" w:hAnsi="Cambria" w:cs="Times New Roman"/>
          <w:iCs/>
          <w:color w:val="000000"/>
          <w:sz w:val="21"/>
          <w:szCs w:val="21"/>
          <w:lang w:val="es-CO"/>
        </w:rPr>
        <w:t>parejas</w:t>
      </w:r>
      <w:r w:rsidR="00E46303" w:rsidRPr="006A7DD8">
        <w:rPr>
          <w:rFonts w:ascii="Cambria" w:eastAsia="Times New Roman" w:hAnsi="Cambria" w:cs="Times New Roman"/>
          <w:iCs/>
          <w:color w:val="000000"/>
          <w:sz w:val="21"/>
          <w:szCs w:val="21"/>
          <w:lang w:val="es-CO"/>
        </w:rPr>
        <w:t xml:space="preserve">: </w:t>
      </w:r>
      <w:r w:rsidR="00E46303" w:rsidRPr="006A7DD8">
        <w:rPr>
          <w:rFonts w:ascii="Cambria" w:hAnsi="Cambria"/>
          <w:i/>
          <w:sz w:val="21"/>
          <w:szCs w:val="21"/>
          <w:lang w:val="es-CO"/>
        </w:rPr>
        <w:t>Daniel Gerardo Gómez Murillo y Aída Marcela Garita Sánchez; Roberto Pérez Gutiérrez y Silvia María Sosa Ulate; Luis Miguel Cruz Comparaz y Raquel Sanvicente Rojas; Randall Alberto Torres Quirós y Geanina Isela Marín Rankin; Carlos Edgardo López Vega y Albania Elizondo Rodríguez; Miguel Acuña Cartín y Patricia Núñez</w:t>
      </w:r>
      <w:r w:rsidRPr="006A7DD8">
        <w:rPr>
          <w:rFonts w:ascii="Cambria" w:eastAsia="Times New Roman" w:hAnsi="Cambria" w:cs="Times New Roman"/>
          <w:color w:val="000000"/>
          <w:sz w:val="21"/>
          <w:szCs w:val="21"/>
          <w:lang w:val="es-ES"/>
        </w:rPr>
        <w:t xml:space="preserve">.  </w:t>
      </w:r>
      <w:r w:rsidR="003E3600" w:rsidRPr="006A7DD8">
        <w:rPr>
          <w:rFonts w:ascii="Cambria" w:eastAsia="Times New Roman" w:hAnsi="Cambria" w:cs="Times New Roman"/>
          <w:color w:val="000000"/>
          <w:sz w:val="21"/>
          <w:szCs w:val="21"/>
          <w:lang w:val="es-ES"/>
        </w:rPr>
        <w:t xml:space="preserve">En su resolución de otorgamiento de medidas de medidas </w:t>
      </w:r>
      <w:r w:rsidR="00833F24" w:rsidRPr="006A7DD8">
        <w:rPr>
          <w:rFonts w:ascii="Cambria" w:eastAsia="Times New Roman" w:hAnsi="Cambria" w:cs="Times New Roman"/>
          <w:color w:val="000000"/>
          <w:sz w:val="21"/>
          <w:szCs w:val="21"/>
          <w:lang w:val="es-ES"/>
        </w:rPr>
        <w:t xml:space="preserve">cautelares, la CIDH </w:t>
      </w:r>
      <w:r w:rsidR="0010799C" w:rsidRPr="006A7DD8">
        <w:rPr>
          <w:rFonts w:ascii="Cambria" w:eastAsia="Times New Roman" w:hAnsi="Cambria" w:cs="Times New Roman"/>
          <w:color w:val="000000"/>
          <w:sz w:val="21"/>
          <w:szCs w:val="21"/>
          <w:lang w:val="es-ES"/>
        </w:rPr>
        <w:t>tomó</w:t>
      </w:r>
      <w:r w:rsidR="00833F24" w:rsidRPr="006A7DD8">
        <w:rPr>
          <w:rFonts w:ascii="Cambria" w:eastAsia="Times New Roman" w:hAnsi="Cambria" w:cs="Times New Roman"/>
          <w:color w:val="000000"/>
          <w:sz w:val="21"/>
          <w:szCs w:val="21"/>
          <w:lang w:val="es-ES"/>
        </w:rPr>
        <w:t xml:space="preserve"> en consideración que las 6 parejas beneficiarias eran víctimas del informe de fondo 12.798, adoptado por la CIDH el 29 de enero de 2015. En dicho informe, entre otras</w:t>
      </w:r>
      <w:r w:rsidR="001A0BD7" w:rsidRPr="006A7DD8">
        <w:rPr>
          <w:rFonts w:ascii="Cambria" w:eastAsia="Times New Roman" w:hAnsi="Cambria" w:cs="Times New Roman"/>
          <w:color w:val="000000"/>
          <w:sz w:val="21"/>
          <w:szCs w:val="21"/>
          <w:lang w:val="es-ES"/>
        </w:rPr>
        <w:t xml:space="preserve"> recomendaciones</w:t>
      </w:r>
      <w:r w:rsidR="00833F24" w:rsidRPr="006A7DD8">
        <w:rPr>
          <w:rFonts w:ascii="Cambria" w:eastAsia="Times New Roman" w:hAnsi="Cambria" w:cs="Times New Roman"/>
          <w:color w:val="000000"/>
          <w:sz w:val="21"/>
          <w:szCs w:val="21"/>
          <w:lang w:val="es-ES"/>
        </w:rPr>
        <w:t xml:space="preserve">, la CIDH </w:t>
      </w:r>
      <w:r w:rsidR="001A0BD7" w:rsidRPr="006A7DD8">
        <w:rPr>
          <w:rFonts w:ascii="Cambria" w:eastAsia="Times New Roman" w:hAnsi="Cambria" w:cs="Times New Roman"/>
          <w:color w:val="000000"/>
          <w:sz w:val="21"/>
          <w:szCs w:val="21"/>
          <w:lang w:val="es-ES"/>
        </w:rPr>
        <w:t xml:space="preserve">solicitó al </w:t>
      </w:r>
      <w:r w:rsidR="00833F24" w:rsidRPr="006A7DD8">
        <w:rPr>
          <w:rFonts w:ascii="Cambria" w:eastAsia="Times New Roman" w:hAnsi="Cambria" w:cs="Times New Roman"/>
          <w:color w:val="000000"/>
          <w:sz w:val="21"/>
          <w:szCs w:val="21"/>
          <w:lang w:val="es-ES"/>
        </w:rPr>
        <w:t xml:space="preserve">Estado </w:t>
      </w:r>
      <w:r w:rsidR="001A0BD7" w:rsidRPr="006A7DD8">
        <w:rPr>
          <w:rFonts w:ascii="Cambria" w:eastAsia="Times New Roman" w:hAnsi="Cambria" w:cs="Times New Roman"/>
          <w:color w:val="000000"/>
          <w:sz w:val="21"/>
          <w:szCs w:val="21"/>
          <w:lang w:val="es-ES"/>
        </w:rPr>
        <w:t xml:space="preserve">de Costa Rica </w:t>
      </w:r>
      <w:r w:rsidR="00833F24" w:rsidRPr="006A7DD8">
        <w:rPr>
          <w:rFonts w:ascii="Cambria" w:eastAsia="Times New Roman" w:hAnsi="Cambria" w:cs="Times New Roman"/>
          <w:color w:val="000000"/>
          <w:sz w:val="21"/>
          <w:szCs w:val="21"/>
          <w:lang w:val="es-ES"/>
        </w:rPr>
        <w:t xml:space="preserve">“[l]evantar la prohibición de la fecundación in vitro en el país a </w:t>
      </w:r>
      <w:r w:rsidR="001C5AE7" w:rsidRPr="006A7DD8">
        <w:rPr>
          <w:rFonts w:ascii="Cambria" w:eastAsia="Times New Roman" w:hAnsi="Cambria" w:cs="Times New Roman"/>
          <w:color w:val="000000"/>
          <w:sz w:val="21"/>
          <w:szCs w:val="21"/>
          <w:lang w:val="es-ES"/>
        </w:rPr>
        <w:t>través</w:t>
      </w:r>
      <w:r w:rsidR="00833F24" w:rsidRPr="006A7DD8">
        <w:rPr>
          <w:rFonts w:ascii="Cambria" w:eastAsia="Times New Roman" w:hAnsi="Cambria" w:cs="Times New Roman"/>
          <w:color w:val="000000"/>
          <w:sz w:val="21"/>
          <w:szCs w:val="21"/>
          <w:lang w:val="es-ES"/>
        </w:rPr>
        <w:t xml:space="preserve"> de los procedimientos legales correspondientes”, y “reparar integralmente a las </w:t>
      </w:r>
      <w:r w:rsidR="00FE7B78" w:rsidRPr="006A7DD8">
        <w:rPr>
          <w:rFonts w:ascii="Cambria" w:eastAsia="Times New Roman" w:hAnsi="Cambria" w:cs="Times New Roman"/>
          <w:color w:val="000000"/>
          <w:sz w:val="21"/>
          <w:szCs w:val="21"/>
          <w:lang w:val="es-ES"/>
        </w:rPr>
        <w:t>víctimas</w:t>
      </w:r>
      <w:r w:rsidR="00833F24" w:rsidRPr="006A7DD8">
        <w:rPr>
          <w:rFonts w:ascii="Cambria" w:eastAsia="Times New Roman" w:hAnsi="Cambria" w:cs="Times New Roman"/>
          <w:color w:val="000000"/>
          <w:sz w:val="21"/>
          <w:szCs w:val="21"/>
          <w:lang w:val="es-ES"/>
        </w:rPr>
        <w:t xml:space="preserve"> del</w:t>
      </w:r>
      <w:r w:rsidR="00FE7B78" w:rsidRPr="006A7DD8">
        <w:rPr>
          <w:rFonts w:ascii="Cambria" w:eastAsia="Times New Roman" w:hAnsi="Cambria" w:cs="Times New Roman"/>
          <w:color w:val="000000"/>
          <w:sz w:val="21"/>
          <w:szCs w:val="21"/>
          <w:lang w:val="es-ES"/>
        </w:rPr>
        <w:t xml:space="preserve"> presente caso”</w:t>
      </w:r>
      <w:r w:rsidR="001C5AE7" w:rsidRPr="006A7DD8">
        <w:rPr>
          <w:rStyle w:val="FootnoteReference"/>
          <w:rFonts w:ascii="Cambria" w:eastAsia="Times New Roman" w:hAnsi="Cambria" w:cs="Times New Roman"/>
          <w:color w:val="000000"/>
          <w:sz w:val="21"/>
          <w:szCs w:val="21"/>
          <w:lang w:val="es-ES"/>
        </w:rPr>
        <w:footnoteReference w:id="3"/>
      </w:r>
      <w:r w:rsidR="00FE7B78" w:rsidRPr="006A7DD8">
        <w:rPr>
          <w:rFonts w:ascii="Cambria" w:eastAsia="Times New Roman" w:hAnsi="Cambria" w:cs="Times New Roman"/>
          <w:color w:val="000000"/>
          <w:sz w:val="21"/>
          <w:szCs w:val="21"/>
          <w:lang w:val="es-ES"/>
        </w:rPr>
        <w:t>.</w:t>
      </w:r>
      <w:r w:rsidR="00833F24" w:rsidRPr="006A7DD8">
        <w:rPr>
          <w:rFonts w:ascii="Cambria" w:eastAsia="Times New Roman" w:hAnsi="Cambria" w:cs="Times New Roman"/>
          <w:color w:val="000000"/>
          <w:sz w:val="21"/>
          <w:szCs w:val="21"/>
          <w:lang w:val="es-ES"/>
        </w:rPr>
        <w:t xml:space="preserve"> </w:t>
      </w:r>
      <w:r w:rsidR="00FE7B78" w:rsidRPr="006A7DD8">
        <w:rPr>
          <w:rFonts w:ascii="Cambria" w:eastAsia="Times New Roman" w:hAnsi="Cambria" w:cs="Times New Roman"/>
          <w:color w:val="000000"/>
          <w:sz w:val="21"/>
          <w:szCs w:val="21"/>
          <w:lang w:val="es-ES"/>
        </w:rPr>
        <w:t xml:space="preserve">Debido a la falta de cumplimiento con las recomendaciones de la CIDH, </w:t>
      </w:r>
      <w:r w:rsidR="001C5AE7" w:rsidRPr="006A7DD8">
        <w:rPr>
          <w:rFonts w:ascii="Cambria" w:eastAsia="Times New Roman" w:hAnsi="Cambria" w:cs="Times New Roman"/>
          <w:color w:val="000000"/>
          <w:sz w:val="21"/>
          <w:szCs w:val="21"/>
          <w:lang w:val="es-ES"/>
        </w:rPr>
        <w:t>e</w:t>
      </w:r>
      <w:r w:rsidR="00FE7B78" w:rsidRPr="006A7DD8">
        <w:rPr>
          <w:rFonts w:ascii="Cambria" w:eastAsia="Times New Roman" w:hAnsi="Cambria" w:cs="Times New Roman"/>
          <w:color w:val="000000"/>
          <w:sz w:val="21"/>
          <w:szCs w:val="21"/>
          <w:lang w:val="es-ES"/>
        </w:rPr>
        <w:t>l 18 de febrero de 2016 la Comisión sometió el caso a la Corte</w:t>
      </w:r>
      <w:r w:rsidR="00426475" w:rsidRPr="006A7DD8">
        <w:rPr>
          <w:rStyle w:val="FootnoteReference"/>
          <w:rFonts w:ascii="Cambria" w:eastAsia="Times New Roman" w:hAnsi="Cambria" w:cs="Times New Roman"/>
          <w:color w:val="000000"/>
          <w:sz w:val="21"/>
          <w:szCs w:val="21"/>
          <w:lang w:val="es-ES"/>
        </w:rPr>
        <w:footnoteReference w:id="4"/>
      </w:r>
      <w:r w:rsidR="00FE7B78" w:rsidRPr="006A7DD8">
        <w:rPr>
          <w:rFonts w:ascii="Cambria" w:eastAsia="Times New Roman" w:hAnsi="Cambria" w:cs="Times New Roman"/>
          <w:color w:val="000000"/>
          <w:sz w:val="21"/>
          <w:szCs w:val="21"/>
          <w:lang w:val="es-ES"/>
        </w:rPr>
        <w:t xml:space="preserve">. </w:t>
      </w:r>
    </w:p>
    <w:p w14:paraId="4CE6439B" w14:textId="55F048A7" w:rsidR="006A7644" w:rsidRPr="006A7DD8" w:rsidRDefault="00FE7B78" w:rsidP="00F24563">
      <w:pPr>
        <w:numPr>
          <w:ilvl w:val="0"/>
          <w:numId w:val="40"/>
        </w:numPr>
        <w:spacing w:after="200"/>
        <w:ind w:left="360" w:firstLine="360"/>
        <w:jc w:val="both"/>
        <w:rPr>
          <w:rFonts w:ascii="Cambria" w:eastAsia="Calibri" w:hAnsi="Cambria" w:cs="Arial"/>
          <w:iCs/>
          <w:color w:val="000000"/>
          <w:sz w:val="21"/>
          <w:szCs w:val="21"/>
          <w:lang w:val="es-ES"/>
        </w:rPr>
      </w:pPr>
      <w:r w:rsidRPr="006A7DD8">
        <w:rPr>
          <w:rFonts w:ascii="Cambria" w:eastAsia="Times New Roman" w:hAnsi="Cambria" w:cs="Times New Roman"/>
          <w:color w:val="000000"/>
          <w:sz w:val="21"/>
          <w:szCs w:val="21"/>
          <w:lang w:val="es-ES"/>
        </w:rPr>
        <w:t xml:space="preserve">El </w:t>
      </w:r>
      <w:r w:rsidR="00C511C3" w:rsidRPr="006A7DD8">
        <w:rPr>
          <w:rFonts w:ascii="Cambria" w:eastAsia="Times New Roman" w:hAnsi="Cambria" w:cs="Times New Roman"/>
          <w:color w:val="000000"/>
          <w:sz w:val="21"/>
          <w:szCs w:val="21"/>
          <w:lang w:val="es-ES"/>
        </w:rPr>
        <w:t xml:space="preserve">4 de agosto de 2016, las partes suscribieron un arreglo amistoso que fue sometido a la Corte. </w:t>
      </w:r>
      <w:r w:rsidR="001C5AE7" w:rsidRPr="006A7DD8">
        <w:rPr>
          <w:rFonts w:ascii="Cambria" w:eastAsia="Times New Roman" w:hAnsi="Cambria" w:cs="Times New Roman"/>
          <w:color w:val="000000"/>
          <w:sz w:val="21"/>
          <w:szCs w:val="21"/>
          <w:lang w:val="es-ES"/>
        </w:rPr>
        <w:t>Mediante su sentencia de 29 de noviembre de 2016, la Corte constat</w:t>
      </w:r>
      <w:r w:rsidR="0010799C" w:rsidRPr="006A7DD8">
        <w:rPr>
          <w:rFonts w:ascii="Cambria" w:eastAsia="Times New Roman" w:hAnsi="Cambria" w:cs="Times New Roman"/>
          <w:color w:val="000000"/>
          <w:sz w:val="21"/>
          <w:szCs w:val="21"/>
          <w:lang w:val="es-ES"/>
        </w:rPr>
        <w:t>ó</w:t>
      </w:r>
      <w:r w:rsidR="001C5AE7" w:rsidRPr="006A7DD8">
        <w:rPr>
          <w:rFonts w:ascii="Cambria" w:eastAsia="Times New Roman" w:hAnsi="Cambria" w:cs="Times New Roman"/>
          <w:color w:val="000000"/>
          <w:sz w:val="21"/>
          <w:szCs w:val="21"/>
          <w:lang w:val="es-ES"/>
        </w:rPr>
        <w:t xml:space="preserve"> que la</w:t>
      </w:r>
      <w:r w:rsidR="00C511C3" w:rsidRPr="006A7DD8">
        <w:rPr>
          <w:rFonts w:ascii="Cambria" w:eastAsia="Times New Roman" w:hAnsi="Cambria" w:cs="Times New Roman"/>
          <w:color w:val="000000"/>
          <w:sz w:val="21"/>
          <w:szCs w:val="21"/>
          <w:lang w:val="es-ES"/>
        </w:rPr>
        <w:t>s</w:t>
      </w:r>
      <w:r w:rsidR="001C5AE7" w:rsidRPr="006A7DD8">
        <w:rPr>
          <w:rFonts w:ascii="Cambria" w:eastAsia="Times New Roman" w:hAnsi="Cambria" w:cs="Times New Roman"/>
          <w:color w:val="000000"/>
          <w:sz w:val="21"/>
          <w:szCs w:val="21"/>
          <w:lang w:val="es-ES"/>
        </w:rPr>
        <w:t xml:space="preserve"> </w:t>
      </w:r>
      <w:r w:rsidR="00C511C3" w:rsidRPr="006A7DD8">
        <w:rPr>
          <w:rFonts w:ascii="Cambria" w:eastAsia="Times New Roman" w:hAnsi="Cambria" w:cs="Times New Roman"/>
          <w:color w:val="000000"/>
          <w:sz w:val="21"/>
          <w:szCs w:val="21"/>
          <w:lang w:val="es-ES"/>
        </w:rPr>
        <w:t xml:space="preserve">partes </w:t>
      </w:r>
      <w:r w:rsidR="001C5AE7" w:rsidRPr="006A7DD8">
        <w:rPr>
          <w:rFonts w:ascii="Cambria" w:eastAsia="Times New Roman" w:hAnsi="Cambria" w:cs="Times New Roman"/>
          <w:color w:val="000000"/>
          <w:sz w:val="21"/>
          <w:szCs w:val="21"/>
          <w:lang w:val="es-ES"/>
        </w:rPr>
        <w:t>llegaron</w:t>
      </w:r>
      <w:r w:rsidR="00C511C3" w:rsidRPr="006A7DD8">
        <w:rPr>
          <w:rFonts w:ascii="Cambria" w:eastAsia="Times New Roman" w:hAnsi="Cambria" w:cs="Times New Roman"/>
          <w:color w:val="000000"/>
          <w:sz w:val="21"/>
          <w:szCs w:val="21"/>
          <w:lang w:val="es-ES"/>
        </w:rPr>
        <w:t xml:space="preserve"> “a un Acuerdo de solución amistosa, que incluye el reconocimiento del Estado de los hechos y </w:t>
      </w:r>
      <w:r w:rsidR="001C5AE7" w:rsidRPr="006A7DD8">
        <w:rPr>
          <w:rFonts w:ascii="Cambria" w:eastAsia="Times New Roman" w:hAnsi="Cambria" w:cs="Times New Roman"/>
          <w:color w:val="000000"/>
          <w:sz w:val="21"/>
          <w:szCs w:val="21"/>
          <w:lang w:val="es-ES"/>
        </w:rPr>
        <w:t>violaciones</w:t>
      </w:r>
      <w:r w:rsidR="00C511C3" w:rsidRPr="006A7DD8">
        <w:rPr>
          <w:rFonts w:ascii="Cambria" w:eastAsia="Times New Roman" w:hAnsi="Cambria" w:cs="Times New Roman"/>
          <w:color w:val="000000"/>
          <w:sz w:val="21"/>
          <w:szCs w:val="21"/>
          <w:lang w:val="es-ES"/>
        </w:rPr>
        <w:t xml:space="preserve"> a derechos humanos aducidos por el representante y la </w:t>
      </w:r>
      <w:r w:rsidR="001C5AE7" w:rsidRPr="006A7DD8">
        <w:rPr>
          <w:rFonts w:ascii="Cambria" w:eastAsia="Times New Roman" w:hAnsi="Cambria" w:cs="Times New Roman"/>
          <w:color w:val="000000"/>
          <w:sz w:val="21"/>
          <w:szCs w:val="21"/>
          <w:lang w:val="es-ES"/>
        </w:rPr>
        <w:t>Comisión</w:t>
      </w:r>
      <w:r w:rsidR="001A0BD7" w:rsidRPr="006A7DD8">
        <w:rPr>
          <w:rFonts w:ascii="Cambria" w:eastAsia="Times New Roman" w:hAnsi="Cambria" w:cs="Times New Roman"/>
          <w:color w:val="000000"/>
          <w:sz w:val="21"/>
          <w:szCs w:val="21"/>
          <w:lang w:val="es-ES"/>
        </w:rPr>
        <w:t>”</w:t>
      </w:r>
      <w:r w:rsidR="00C511C3" w:rsidRPr="006A7DD8">
        <w:rPr>
          <w:rFonts w:ascii="Cambria" w:eastAsia="Times New Roman" w:hAnsi="Cambria" w:cs="Times New Roman"/>
          <w:color w:val="000000"/>
          <w:sz w:val="21"/>
          <w:szCs w:val="21"/>
          <w:lang w:val="es-ES"/>
        </w:rPr>
        <w:t>. Asimismo,</w:t>
      </w:r>
      <w:r w:rsidR="001A0BD7" w:rsidRPr="006A7DD8">
        <w:rPr>
          <w:rFonts w:ascii="Cambria" w:eastAsia="Times New Roman" w:hAnsi="Cambria" w:cs="Times New Roman"/>
          <w:color w:val="000000"/>
          <w:sz w:val="21"/>
          <w:szCs w:val="21"/>
          <w:lang w:val="es-ES"/>
        </w:rPr>
        <w:t xml:space="preserve"> según lo establece la sentencia</w:t>
      </w:r>
      <w:r w:rsidR="00C511C3" w:rsidRPr="006A7DD8">
        <w:rPr>
          <w:rFonts w:ascii="Cambria" w:eastAsia="Times New Roman" w:hAnsi="Cambria" w:cs="Times New Roman"/>
          <w:color w:val="000000"/>
          <w:sz w:val="21"/>
          <w:szCs w:val="21"/>
          <w:lang w:val="es-ES"/>
        </w:rPr>
        <w:t xml:space="preserve"> </w:t>
      </w:r>
      <w:r w:rsidR="001A0BD7" w:rsidRPr="006A7DD8">
        <w:rPr>
          <w:rFonts w:ascii="Cambria" w:eastAsia="Times New Roman" w:hAnsi="Cambria" w:cs="Times New Roman"/>
          <w:color w:val="000000"/>
          <w:sz w:val="21"/>
          <w:szCs w:val="21"/>
          <w:lang w:val="es-ES"/>
        </w:rPr>
        <w:t>“</w:t>
      </w:r>
      <w:r w:rsidR="00C511C3" w:rsidRPr="006A7DD8">
        <w:rPr>
          <w:rFonts w:ascii="Cambria" w:eastAsia="Times New Roman" w:hAnsi="Cambria" w:cs="Times New Roman"/>
          <w:color w:val="000000"/>
          <w:sz w:val="21"/>
          <w:szCs w:val="21"/>
          <w:lang w:val="es-ES"/>
        </w:rPr>
        <w:t xml:space="preserve">la </w:t>
      </w:r>
      <w:r w:rsidR="001C5AE7" w:rsidRPr="006A7DD8">
        <w:rPr>
          <w:rFonts w:ascii="Cambria" w:eastAsia="Times New Roman" w:hAnsi="Cambria" w:cs="Times New Roman"/>
          <w:color w:val="000000"/>
          <w:sz w:val="21"/>
          <w:szCs w:val="21"/>
          <w:lang w:val="es-ES"/>
        </w:rPr>
        <w:t>Comisión</w:t>
      </w:r>
      <w:r w:rsidR="00C511C3" w:rsidRPr="006A7DD8">
        <w:rPr>
          <w:rFonts w:ascii="Cambria" w:eastAsia="Times New Roman" w:hAnsi="Cambria" w:cs="Times New Roman"/>
          <w:color w:val="000000"/>
          <w:sz w:val="21"/>
          <w:szCs w:val="21"/>
          <w:lang w:val="es-ES"/>
        </w:rPr>
        <w:t xml:space="preserve"> Interamericana ha valorado el Acuerdo y ha considerado procedente su homologación, solicitada por las partes”</w:t>
      </w:r>
      <w:r w:rsidR="00426475" w:rsidRPr="006A7DD8">
        <w:rPr>
          <w:rStyle w:val="FootnoteReference"/>
          <w:rFonts w:ascii="Cambria" w:eastAsia="Times New Roman" w:hAnsi="Cambria" w:cs="Times New Roman"/>
          <w:color w:val="000000"/>
          <w:sz w:val="21"/>
          <w:szCs w:val="21"/>
          <w:lang w:val="es-ES"/>
        </w:rPr>
        <w:footnoteReference w:id="5"/>
      </w:r>
      <w:r w:rsidR="00C511C3" w:rsidRPr="006A7DD8">
        <w:rPr>
          <w:rFonts w:ascii="Cambria" w:eastAsia="Times New Roman" w:hAnsi="Cambria" w:cs="Times New Roman"/>
          <w:color w:val="000000"/>
          <w:sz w:val="21"/>
          <w:szCs w:val="21"/>
          <w:lang w:val="es-ES"/>
        </w:rPr>
        <w:t>.</w:t>
      </w:r>
      <w:r w:rsidR="001C5AE7" w:rsidRPr="006A7DD8">
        <w:rPr>
          <w:rFonts w:ascii="Cambria" w:eastAsia="Times New Roman" w:hAnsi="Cambria" w:cs="Times New Roman"/>
          <w:color w:val="000000"/>
          <w:sz w:val="21"/>
          <w:szCs w:val="21"/>
          <w:lang w:val="es-ES"/>
        </w:rPr>
        <w:t xml:space="preserve"> </w:t>
      </w:r>
      <w:r w:rsidR="001A0BD7" w:rsidRPr="006A7DD8">
        <w:rPr>
          <w:rFonts w:ascii="Cambria" w:eastAsia="Times New Roman" w:hAnsi="Cambria" w:cs="Times New Roman"/>
          <w:color w:val="000000"/>
          <w:sz w:val="21"/>
          <w:szCs w:val="21"/>
          <w:lang w:val="es-ES"/>
        </w:rPr>
        <w:t>L</w:t>
      </w:r>
      <w:r w:rsidR="00C511C3" w:rsidRPr="006A7DD8">
        <w:rPr>
          <w:rFonts w:ascii="Cambria" w:eastAsia="Times New Roman" w:hAnsi="Cambria" w:cs="Times New Roman"/>
          <w:color w:val="000000"/>
          <w:sz w:val="21"/>
          <w:szCs w:val="21"/>
          <w:lang w:val="es-ES"/>
        </w:rPr>
        <w:t>a Corte destac</w:t>
      </w:r>
      <w:r w:rsidR="00F24563" w:rsidRPr="006A7DD8">
        <w:rPr>
          <w:rFonts w:ascii="Cambria" w:eastAsia="Times New Roman" w:hAnsi="Cambria" w:cs="Times New Roman"/>
          <w:color w:val="000000"/>
          <w:sz w:val="21"/>
          <w:szCs w:val="21"/>
          <w:lang w:val="es-ES"/>
        </w:rPr>
        <w:t>ó</w:t>
      </w:r>
      <w:r w:rsidR="00C511C3" w:rsidRPr="006A7DD8">
        <w:rPr>
          <w:rFonts w:ascii="Cambria" w:eastAsia="Times New Roman" w:hAnsi="Cambria" w:cs="Times New Roman"/>
          <w:color w:val="000000"/>
          <w:sz w:val="21"/>
          <w:szCs w:val="21"/>
          <w:lang w:val="es-ES"/>
        </w:rPr>
        <w:t xml:space="preserve"> que en el </w:t>
      </w:r>
      <w:r w:rsidR="001A0BD7" w:rsidRPr="006A7DD8">
        <w:rPr>
          <w:rFonts w:ascii="Cambria" w:eastAsia="Times New Roman" w:hAnsi="Cambria" w:cs="Times New Roman"/>
          <w:color w:val="000000"/>
          <w:sz w:val="21"/>
          <w:szCs w:val="21"/>
          <w:lang w:val="es-ES"/>
        </w:rPr>
        <w:t>“</w:t>
      </w:r>
      <w:r w:rsidR="00C511C3" w:rsidRPr="006A7DD8">
        <w:rPr>
          <w:rFonts w:ascii="Cambria" w:eastAsia="Times New Roman" w:hAnsi="Cambria" w:cs="Times New Roman"/>
          <w:color w:val="000000"/>
          <w:sz w:val="21"/>
          <w:szCs w:val="21"/>
          <w:lang w:val="es-ES"/>
        </w:rPr>
        <w:t>Ac</w:t>
      </w:r>
      <w:r w:rsidR="00F24563" w:rsidRPr="006A7DD8">
        <w:rPr>
          <w:rFonts w:ascii="Cambria" w:eastAsia="Times New Roman" w:hAnsi="Cambria" w:cs="Times New Roman"/>
          <w:color w:val="000000"/>
          <w:sz w:val="21"/>
          <w:szCs w:val="21"/>
          <w:lang w:val="es-ES"/>
        </w:rPr>
        <w:t>uerdo</w:t>
      </w:r>
      <w:r w:rsidR="001A0BD7" w:rsidRPr="006A7DD8">
        <w:rPr>
          <w:rFonts w:ascii="Cambria" w:eastAsia="Times New Roman" w:hAnsi="Cambria" w:cs="Times New Roman"/>
          <w:color w:val="000000"/>
          <w:sz w:val="21"/>
          <w:szCs w:val="21"/>
          <w:lang w:val="es-ES"/>
        </w:rPr>
        <w:t>”</w:t>
      </w:r>
      <w:r w:rsidR="00F24563" w:rsidRPr="006A7DD8">
        <w:rPr>
          <w:rFonts w:ascii="Cambria" w:eastAsia="Times New Roman" w:hAnsi="Cambria" w:cs="Times New Roman"/>
          <w:color w:val="000000"/>
          <w:sz w:val="21"/>
          <w:szCs w:val="21"/>
          <w:lang w:val="es-ES"/>
        </w:rPr>
        <w:t xml:space="preserve"> la</w:t>
      </w:r>
      <w:r w:rsidR="00C511C3" w:rsidRPr="006A7DD8">
        <w:rPr>
          <w:rFonts w:ascii="Cambria" w:eastAsia="Times New Roman" w:hAnsi="Cambria" w:cs="Times New Roman"/>
          <w:color w:val="000000"/>
          <w:sz w:val="21"/>
          <w:szCs w:val="21"/>
          <w:lang w:val="es-ES"/>
        </w:rPr>
        <w:t>s</w:t>
      </w:r>
      <w:r w:rsidR="00F24563" w:rsidRPr="006A7DD8">
        <w:rPr>
          <w:rFonts w:ascii="Cambria" w:eastAsia="Times New Roman" w:hAnsi="Cambria" w:cs="Times New Roman"/>
          <w:color w:val="000000"/>
          <w:sz w:val="21"/>
          <w:szCs w:val="21"/>
          <w:lang w:val="es-ES"/>
        </w:rPr>
        <w:t xml:space="preserve"> </w:t>
      </w:r>
      <w:r w:rsidR="00C511C3" w:rsidRPr="006A7DD8">
        <w:rPr>
          <w:rFonts w:ascii="Cambria" w:eastAsia="Times New Roman" w:hAnsi="Cambria" w:cs="Times New Roman"/>
          <w:color w:val="000000"/>
          <w:sz w:val="21"/>
          <w:szCs w:val="21"/>
          <w:lang w:val="es-ES"/>
        </w:rPr>
        <w:t xml:space="preserve">partes convinieron, entre </w:t>
      </w:r>
      <w:r w:rsidR="001A0BD7" w:rsidRPr="006A7DD8">
        <w:rPr>
          <w:rFonts w:ascii="Cambria" w:eastAsia="Times New Roman" w:hAnsi="Cambria" w:cs="Times New Roman"/>
          <w:color w:val="000000"/>
          <w:sz w:val="21"/>
          <w:szCs w:val="21"/>
          <w:lang w:val="es-ES"/>
        </w:rPr>
        <w:t>otros aspectos</w:t>
      </w:r>
      <w:r w:rsidR="00C511C3" w:rsidRPr="006A7DD8">
        <w:rPr>
          <w:rFonts w:ascii="Cambria" w:eastAsia="Times New Roman" w:hAnsi="Cambria" w:cs="Times New Roman"/>
          <w:color w:val="000000"/>
          <w:sz w:val="21"/>
          <w:szCs w:val="21"/>
          <w:lang w:val="es-ES"/>
        </w:rPr>
        <w:t xml:space="preserve">, que: </w:t>
      </w:r>
      <w:r w:rsidR="00F24563" w:rsidRPr="006A7DD8">
        <w:rPr>
          <w:rFonts w:ascii="Cambria" w:eastAsia="Times New Roman" w:hAnsi="Cambria" w:cs="Times New Roman"/>
          <w:color w:val="000000"/>
          <w:sz w:val="21"/>
          <w:szCs w:val="21"/>
          <w:lang w:val="es-ES"/>
        </w:rPr>
        <w:t>“</w:t>
      </w:r>
      <w:r w:rsidR="00C511C3" w:rsidRPr="006A7DD8">
        <w:rPr>
          <w:rFonts w:ascii="Cambria" w:eastAsia="Times New Roman" w:hAnsi="Cambria" w:cs="Times New Roman"/>
          <w:color w:val="000000"/>
          <w:sz w:val="21"/>
          <w:szCs w:val="21"/>
          <w:lang w:val="es-CO"/>
        </w:rPr>
        <w:t>el Estado debe hacer efectiva la posibilidad de acceso a la técnica de fecundación in vitro en los ámbitos público y privado, de modo que todas las personas infértiles puedan, de acuerdo con su libre voluntad, y de acuerdo con lo que regula el Decreto 39210-MP-S, decidir si desean someterse a la referida, para procrear”</w:t>
      </w:r>
      <w:r w:rsidR="00DE775F" w:rsidRPr="006A7DD8">
        <w:rPr>
          <w:rStyle w:val="FootnoteReference"/>
          <w:rFonts w:ascii="Cambria" w:eastAsia="Times New Roman" w:hAnsi="Cambria" w:cs="Times New Roman"/>
          <w:color w:val="000000"/>
          <w:sz w:val="21"/>
          <w:szCs w:val="21"/>
          <w:lang w:val="es-CO"/>
        </w:rPr>
        <w:footnoteReference w:id="6"/>
      </w:r>
      <w:r w:rsidR="001A0BD7" w:rsidRPr="006A7DD8">
        <w:rPr>
          <w:rFonts w:ascii="Cambria" w:eastAsia="Times New Roman" w:hAnsi="Cambria" w:cs="Times New Roman"/>
          <w:color w:val="000000"/>
          <w:sz w:val="21"/>
          <w:szCs w:val="21"/>
          <w:lang w:val="es-CO"/>
        </w:rPr>
        <w:t xml:space="preserve">. </w:t>
      </w:r>
    </w:p>
    <w:p w14:paraId="38BC79C2" w14:textId="3472807B" w:rsidR="00F24563" w:rsidRPr="006A7DD8" w:rsidRDefault="006A7644" w:rsidP="00F24563">
      <w:pPr>
        <w:numPr>
          <w:ilvl w:val="0"/>
          <w:numId w:val="40"/>
        </w:numPr>
        <w:spacing w:after="200"/>
        <w:ind w:left="360" w:firstLine="360"/>
        <w:jc w:val="both"/>
        <w:rPr>
          <w:rFonts w:ascii="Cambria" w:eastAsia="Calibri" w:hAnsi="Cambria" w:cs="Arial"/>
          <w:iCs/>
          <w:color w:val="000000"/>
          <w:sz w:val="21"/>
          <w:szCs w:val="21"/>
          <w:lang w:val="es-ES"/>
        </w:rPr>
      </w:pPr>
      <w:r w:rsidRPr="006A7DD8">
        <w:rPr>
          <w:rFonts w:ascii="Cambria" w:eastAsia="Times New Roman" w:hAnsi="Cambria" w:cs="Times New Roman"/>
          <w:color w:val="000000"/>
          <w:sz w:val="21"/>
          <w:szCs w:val="21"/>
          <w:lang w:val="es-CO"/>
        </w:rPr>
        <w:t>P</w:t>
      </w:r>
      <w:r w:rsidR="00F24563" w:rsidRPr="006A7DD8">
        <w:rPr>
          <w:rFonts w:ascii="Cambria" w:eastAsia="Times New Roman" w:hAnsi="Cambria" w:cs="Times New Roman"/>
          <w:color w:val="000000"/>
          <w:sz w:val="21"/>
          <w:szCs w:val="21"/>
          <w:lang w:val="es-CO"/>
        </w:rPr>
        <w:t xml:space="preserve">ara dar efectivo cumplimiento a su deber de ofrecer la técnica de </w:t>
      </w:r>
      <w:r w:rsidR="0010799C" w:rsidRPr="006A7DD8">
        <w:rPr>
          <w:rFonts w:ascii="Cambria" w:eastAsia="Times New Roman" w:hAnsi="Cambria" w:cs="Times New Roman"/>
          <w:color w:val="000000"/>
          <w:sz w:val="21"/>
          <w:szCs w:val="21"/>
          <w:lang w:val="es-CO"/>
        </w:rPr>
        <w:t>fecundación</w:t>
      </w:r>
      <w:r w:rsidR="00F24563" w:rsidRPr="006A7DD8">
        <w:rPr>
          <w:rFonts w:ascii="Cambria" w:eastAsia="Times New Roman" w:hAnsi="Cambria" w:cs="Times New Roman"/>
          <w:color w:val="000000"/>
          <w:sz w:val="21"/>
          <w:szCs w:val="21"/>
          <w:lang w:val="es-CO"/>
        </w:rPr>
        <w:t xml:space="preserve"> in vitro </w:t>
      </w:r>
      <w:r w:rsidRPr="006A7DD8">
        <w:rPr>
          <w:rFonts w:ascii="Cambria" w:eastAsia="Times New Roman" w:hAnsi="Cambria" w:cs="Times New Roman"/>
          <w:color w:val="000000"/>
          <w:sz w:val="21"/>
          <w:szCs w:val="21"/>
          <w:lang w:val="es-CO"/>
        </w:rPr>
        <w:t>la Corte indicó que el Estado “</w:t>
      </w:r>
      <w:r w:rsidR="00F24563" w:rsidRPr="006A7DD8">
        <w:rPr>
          <w:rFonts w:ascii="Cambria" w:eastAsia="Times New Roman" w:hAnsi="Cambria" w:cs="Times New Roman"/>
          <w:color w:val="000000"/>
          <w:sz w:val="21"/>
          <w:szCs w:val="21"/>
          <w:lang w:val="es-CO"/>
        </w:rPr>
        <w:t>debe asegurar, a través de la Caja Costarricense del Seguro Social, que se cumplan en forma estricta las obligaciones y plazos establecidos en los artículos 7° y 14, así como en el Transitorio I, todos del Decreto Ejecutivo No. 39210-MP-S de 11 de septiembre de 2015</w:t>
      </w:r>
      <w:r w:rsidRPr="006A7DD8">
        <w:rPr>
          <w:rFonts w:ascii="Cambria" w:eastAsia="Times New Roman" w:hAnsi="Cambria" w:cs="Times New Roman"/>
          <w:color w:val="000000"/>
          <w:sz w:val="21"/>
          <w:szCs w:val="21"/>
          <w:lang w:val="es-CO"/>
        </w:rPr>
        <w:t>”</w:t>
      </w:r>
      <w:r w:rsidR="00F24563" w:rsidRPr="006A7DD8">
        <w:rPr>
          <w:rFonts w:ascii="Cambria" w:eastAsia="Times New Roman" w:hAnsi="Cambria" w:cs="Times New Roman"/>
          <w:color w:val="000000"/>
          <w:sz w:val="21"/>
          <w:szCs w:val="21"/>
          <w:lang w:val="es-CO"/>
        </w:rPr>
        <w:t>. Lo anterior</w:t>
      </w:r>
      <w:r w:rsidRPr="006A7DD8">
        <w:rPr>
          <w:rFonts w:ascii="Cambria" w:eastAsia="Times New Roman" w:hAnsi="Cambria" w:cs="Times New Roman"/>
          <w:color w:val="000000"/>
          <w:sz w:val="21"/>
          <w:szCs w:val="21"/>
          <w:lang w:val="es-CO"/>
        </w:rPr>
        <w:t>,</w:t>
      </w:r>
      <w:r w:rsidR="00F24563" w:rsidRPr="006A7DD8">
        <w:rPr>
          <w:rFonts w:ascii="Cambria" w:eastAsia="Times New Roman" w:hAnsi="Cambria" w:cs="Times New Roman"/>
          <w:color w:val="000000"/>
          <w:sz w:val="21"/>
          <w:szCs w:val="21"/>
          <w:lang w:val="es-CO"/>
        </w:rPr>
        <w:t xml:space="preserve"> </w:t>
      </w:r>
      <w:r w:rsidRPr="006A7DD8">
        <w:rPr>
          <w:rFonts w:ascii="Cambria" w:eastAsia="Times New Roman" w:hAnsi="Cambria" w:cs="Times New Roman"/>
          <w:color w:val="000000"/>
          <w:sz w:val="21"/>
          <w:szCs w:val="21"/>
          <w:lang w:val="es-CO"/>
        </w:rPr>
        <w:t xml:space="preserve">según lo solicitó la Corte, implicaría que a partir de dicha fecha </w:t>
      </w:r>
      <w:r w:rsidR="00F24563" w:rsidRPr="006A7DD8">
        <w:rPr>
          <w:rFonts w:ascii="Cambria" w:eastAsia="Times New Roman" w:hAnsi="Cambria" w:cs="Times New Roman"/>
          <w:color w:val="000000"/>
          <w:sz w:val="21"/>
          <w:szCs w:val="21"/>
          <w:lang w:val="es-CO"/>
        </w:rPr>
        <w:t xml:space="preserve">dicho tratamiento </w:t>
      </w:r>
      <w:r w:rsidRPr="006A7DD8">
        <w:rPr>
          <w:rFonts w:ascii="Cambria" w:eastAsia="Times New Roman" w:hAnsi="Cambria" w:cs="Times New Roman"/>
          <w:color w:val="000000"/>
          <w:sz w:val="21"/>
          <w:szCs w:val="21"/>
          <w:lang w:val="es-CO"/>
        </w:rPr>
        <w:t xml:space="preserve">debería haber </w:t>
      </w:r>
      <w:r w:rsidR="00F24563" w:rsidRPr="006A7DD8">
        <w:rPr>
          <w:rFonts w:ascii="Cambria" w:eastAsia="Times New Roman" w:hAnsi="Cambria" w:cs="Times New Roman"/>
          <w:color w:val="000000"/>
          <w:sz w:val="21"/>
          <w:szCs w:val="21"/>
          <w:lang w:val="es-CO"/>
        </w:rPr>
        <w:t>esta</w:t>
      </w:r>
      <w:r w:rsidRPr="006A7DD8">
        <w:rPr>
          <w:rFonts w:ascii="Cambria" w:eastAsia="Times New Roman" w:hAnsi="Cambria" w:cs="Times New Roman"/>
          <w:color w:val="000000"/>
          <w:sz w:val="21"/>
          <w:szCs w:val="21"/>
          <w:lang w:val="es-CO"/>
        </w:rPr>
        <w:t>do</w:t>
      </w:r>
      <w:r w:rsidR="00F24563" w:rsidRPr="006A7DD8">
        <w:rPr>
          <w:rFonts w:ascii="Cambria" w:eastAsia="Times New Roman" w:hAnsi="Cambria" w:cs="Times New Roman"/>
          <w:color w:val="000000"/>
          <w:sz w:val="21"/>
          <w:szCs w:val="21"/>
          <w:lang w:val="es-CO"/>
        </w:rPr>
        <w:t xml:space="preserve"> disponible dentro de los programas y tratamientos de infertilidad en su atención de salud, de conformidad con el deber de garantía con respecto al principio de no discriminación</w:t>
      </w:r>
      <w:r w:rsidR="00426475" w:rsidRPr="006A7DD8">
        <w:rPr>
          <w:rStyle w:val="FootnoteReference"/>
          <w:rFonts w:ascii="Cambria" w:eastAsia="Times New Roman" w:hAnsi="Cambria" w:cs="Times New Roman"/>
          <w:color w:val="000000"/>
          <w:sz w:val="21"/>
          <w:szCs w:val="21"/>
          <w:lang w:val="es-CO"/>
        </w:rPr>
        <w:footnoteReference w:id="7"/>
      </w:r>
      <w:r w:rsidR="00F24563" w:rsidRPr="006A7DD8">
        <w:rPr>
          <w:rFonts w:ascii="Cambria" w:eastAsia="Times New Roman" w:hAnsi="Cambria" w:cs="Times New Roman"/>
          <w:color w:val="000000"/>
          <w:sz w:val="21"/>
          <w:szCs w:val="21"/>
          <w:lang w:val="es-CO"/>
        </w:rPr>
        <w:t xml:space="preserve">. Con base en lo anterior, la Corte </w:t>
      </w:r>
      <w:r w:rsidR="00426475" w:rsidRPr="006A7DD8">
        <w:rPr>
          <w:rFonts w:ascii="Cambria" w:eastAsia="Times New Roman" w:hAnsi="Cambria" w:cs="Times New Roman"/>
          <w:color w:val="000000"/>
          <w:sz w:val="21"/>
          <w:szCs w:val="21"/>
          <w:lang w:val="es-CO"/>
        </w:rPr>
        <w:t>procedió</w:t>
      </w:r>
      <w:r w:rsidR="00F24563" w:rsidRPr="006A7DD8">
        <w:rPr>
          <w:rFonts w:ascii="Cambria" w:eastAsia="Times New Roman" w:hAnsi="Cambria" w:cs="Times New Roman"/>
          <w:color w:val="000000"/>
          <w:sz w:val="21"/>
          <w:szCs w:val="21"/>
          <w:lang w:val="es-CO"/>
        </w:rPr>
        <w:t xml:space="preserve"> a homologar el arreglo amistoso suscrito entre las partes, </w:t>
      </w:r>
      <w:r w:rsidR="00F24563" w:rsidRPr="006A7DD8">
        <w:rPr>
          <w:rFonts w:ascii="Cambria" w:eastAsia="Times New Roman" w:hAnsi="Cambria" w:cs="Times New Roman"/>
          <w:color w:val="000000"/>
          <w:sz w:val="21"/>
          <w:szCs w:val="21"/>
          <w:lang w:val="es-CO"/>
        </w:rPr>
        <w:lastRenderedPageBreak/>
        <w:t>“razón por la cual cualquier controversia o diferencia que se suscite será dilucidada por este Tribunal”</w:t>
      </w:r>
      <w:r w:rsidR="00426475" w:rsidRPr="006A7DD8">
        <w:rPr>
          <w:rStyle w:val="FootnoteReference"/>
          <w:rFonts w:ascii="Cambria" w:eastAsia="Times New Roman" w:hAnsi="Cambria" w:cs="Times New Roman"/>
          <w:color w:val="000000"/>
          <w:sz w:val="21"/>
          <w:szCs w:val="21"/>
          <w:lang w:val="es-CO"/>
        </w:rPr>
        <w:footnoteReference w:id="8"/>
      </w:r>
      <w:r w:rsidR="00F24563" w:rsidRPr="006A7DD8">
        <w:rPr>
          <w:rFonts w:ascii="Cambria" w:eastAsia="Times New Roman" w:hAnsi="Cambria" w:cs="Times New Roman"/>
          <w:color w:val="000000"/>
          <w:sz w:val="21"/>
          <w:szCs w:val="21"/>
          <w:lang w:val="es-CO"/>
        </w:rPr>
        <w:t>.</w:t>
      </w:r>
    </w:p>
    <w:p w14:paraId="3197E942" w14:textId="5049D1B7" w:rsidR="00515C15" w:rsidRPr="006A7DD8" w:rsidRDefault="006A7644">
      <w:pPr>
        <w:numPr>
          <w:ilvl w:val="0"/>
          <w:numId w:val="40"/>
        </w:numPr>
        <w:spacing w:after="200"/>
        <w:ind w:left="360" w:firstLine="360"/>
        <w:jc w:val="both"/>
        <w:rPr>
          <w:rFonts w:ascii="Cambria" w:eastAsia="Times New Roman" w:hAnsi="Cambria" w:cs="Times New Roman"/>
          <w:color w:val="000000"/>
          <w:sz w:val="21"/>
          <w:szCs w:val="21"/>
          <w:lang w:val="es-ES"/>
        </w:rPr>
      </w:pPr>
      <w:r w:rsidRPr="006A7DD8">
        <w:rPr>
          <w:rFonts w:ascii="Cambria" w:eastAsia="Times New Roman" w:hAnsi="Cambria" w:cs="Times New Roman"/>
          <w:color w:val="000000"/>
          <w:sz w:val="21"/>
          <w:szCs w:val="21"/>
          <w:lang w:val="es-ES"/>
        </w:rPr>
        <w:t xml:space="preserve">En lo que corresponde a las presentes medidas cautelares, la </w:t>
      </w:r>
      <w:r w:rsidR="004935BE" w:rsidRPr="006A7DD8">
        <w:rPr>
          <w:rFonts w:ascii="Cambria" w:eastAsia="Times New Roman" w:hAnsi="Cambria" w:cs="Times New Roman"/>
          <w:color w:val="000000"/>
          <w:sz w:val="21"/>
          <w:szCs w:val="21"/>
          <w:lang w:val="es-ES"/>
        </w:rPr>
        <w:t xml:space="preserve">CIDH toma nota que el Estado ha informado que en </w:t>
      </w:r>
      <w:r w:rsidR="00CB33FF" w:rsidRPr="006A7DD8">
        <w:rPr>
          <w:rFonts w:ascii="Cambria" w:eastAsia="Times New Roman" w:hAnsi="Cambria" w:cs="Times New Roman"/>
          <w:color w:val="000000"/>
          <w:sz w:val="21"/>
          <w:szCs w:val="21"/>
          <w:lang w:val="es-ES"/>
        </w:rPr>
        <w:t>vista</w:t>
      </w:r>
      <w:r w:rsidR="004935BE" w:rsidRPr="006A7DD8">
        <w:rPr>
          <w:rFonts w:ascii="Cambria" w:eastAsia="Times New Roman" w:hAnsi="Cambria" w:cs="Times New Roman"/>
          <w:color w:val="000000"/>
          <w:sz w:val="21"/>
          <w:szCs w:val="21"/>
          <w:lang w:val="es-ES"/>
        </w:rPr>
        <w:t xml:space="preserve"> de la homologación del </w:t>
      </w:r>
      <w:r w:rsidR="00585D82" w:rsidRPr="006A7DD8">
        <w:rPr>
          <w:rFonts w:ascii="Cambria" w:eastAsia="Times New Roman" w:hAnsi="Cambria" w:cs="Times New Roman"/>
          <w:color w:val="000000"/>
          <w:sz w:val="21"/>
          <w:szCs w:val="21"/>
          <w:lang w:val="es-ES"/>
        </w:rPr>
        <w:t>a</w:t>
      </w:r>
      <w:r w:rsidR="004935BE" w:rsidRPr="006A7DD8">
        <w:rPr>
          <w:rFonts w:ascii="Cambria" w:eastAsia="Times New Roman" w:hAnsi="Cambria" w:cs="Times New Roman"/>
          <w:color w:val="000000"/>
          <w:sz w:val="21"/>
          <w:szCs w:val="21"/>
          <w:lang w:val="es-ES"/>
        </w:rPr>
        <w:t>cuerdo de solución amistosa</w:t>
      </w:r>
      <w:r w:rsidR="00585D82" w:rsidRPr="006A7DD8">
        <w:rPr>
          <w:rFonts w:ascii="Cambria" w:eastAsia="Times New Roman" w:hAnsi="Cambria" w:cs="Times New Roman"/>
          <w:color w:val="000000"/>
          <w:sz w:val="21"/>
          <w:szCs w:val="21"/>
          <w:lang w:val="es-ES"/>
        </w:rPr>
        <w:t xml:space="preserve"> por parte de la Corte Interamericana</w:t>
      </w:r>
      <w:r w:rsidR="004935BE" w:rsidRPr="006A7DD8">
        <w:rPr>
          <w:rFonts w:ascii="Cambria" w:eastAsia="Times New Roman" w:hAnsi="Cambria" w:cs="Times New Roman"/>
          <w:color w:val="000000"/>
          <w:sz w:val="21"/>
          <w:szCs w:val="21"/>
          <w:lang w:val="es-ES"/>
        </w:rPr>
        <w:t xml:space="preserve">, la CIDH debería ponderar levantar las presentes medidas </w:t>
      </w:r>
      <w:r w:rsidR="00CB33FF" w:rsidRPr="006A7DD8">
        <w:rPr>
          <w:rFonts w:ascii="Cambria" w:eastAsia="Times New Roman" w:hAnsi="Cambria" w:cs="Times New Roman"/>
          <w:color w:val="000000"/>
          <w:sz w:val="21"/>
          <w:szCs w:val="21"/>
          <w:lang w:val="es-ES"/>
        </w:rPr>
        <w:t>cautelares.</w:t>
      </w:r>
      <w:r w:rsidR="004935BE" w:rsidRPr="006A7DD8">
        <w:rPr>
          <w:rFonts w:ascii="Cambria" w:eastAsia="Times New Roman" w:hAnsi="Cambria" w:cs="Times New Roman"/>
          <w:color w:val="000000"/>
          <w:sz w:val="21"/>
          <w:szCs w:val="21"/>
          <w:lang w:val="es-ES"/>
        </w:rPr>
        <w:t xml:space="preserve"> </w:t>
      </w:r>
    </w:p>
    <w:p w14:paraId="2BDC6464" w14:textId="460DF38B" w:rsidR="006A7644" w:rsidRPr="006A7DD8" w:rsidRDefault="006A7644">
      <w:pPr>
        <w:numPr>
          <w:ilvl w:val="0"/>
          <w:numId w:val="40"/>
        </w:numPr>
        <w:spacing w:after="200"/>
        <w:ind w:left="360" w:firstLine="360"/>
        <w:jc w:val="both"/>
        <w:rPr>
          <w:rFonts w:ascii="Cambria" w:eastAsia="Calibri" w:hAnsi="Cambria" w:cs="Arial"/>
          <w:iCs/>
          <w:color w:val="000000"/>
          <w:sz w:val="21"/>
          <w:szCs w:val="21"/>
          <w:lang w:val="es-ES"/>
        </w:rPr>
      </w:pPr>
      <w:r w:rsidRPr="006A7DD8">
        <w:rPr>
          <w:rFonts w:ascii="Cambria" w:eastAsia="Times New Roman" w:hAnsi="Cambria" w:cs="Times New Roman"/>
          <w:color w:val="000000"/>
          <w:sz w:val="21"/>
          <w:szCs w:val="21"/>
          <w:lang w:val="es-ES"/>
        </w:rPr>
        <w:t>En relación con lo anterior,  la</w:t>
      </w:r>
      <w:r w:rsidR="00585D82" w:rsidRPr="006A7DD8">
        <w:rPr>
          <w:rFonts w:ascii="Cambria" w:eastAsia="Times New Roman" w:hAnsi="Cambria" w:cs="Times New Roman"/>
          <w:color w:val="000000"/>
          <w:sz w:val="21"/>
          <w:szCs w:val="21"/>
          <w:lang w:val="es-ES"/>
        </w:rPr>
        <w:t xml:space="preserve"> Comisión nota </w:t>
      </w:r>
      <w:r w:rsidRPr="006A7DD8">
        <w:rPr>
          <w:rFonts w:ascii="Cambria" w:eastAsia="Times New Roman" w:hAnsi="Cambria" w:cs="Times New Roman"/>
          <w:color w:val="000000"/>
          <w:sz w:val="21"/>
          <w:szCs w:val="21"/>
          <w:lang w:val="es-ES"/>
        </w:rPr>
        <w:t xml:space="preserve">que </w:t>
      </w:r>
      <w:r w:rsidRPr="006A7DD8">
        <w:rPr>
          <w:rFonts w:ascii="Cambria" w:eastAsia="Times New Roman" w:hAnsi="Cambria" w:cs="Times New Roman"/>
          <w:color w:val="000000"/>
          <w:sz w:val="21"/>
          <w:szCs w:val="21"/>
          <w:lang w:val="es-CO"/>
        </w:rPr>
        <w:t xml:space="preserve">la Corte </w:t>
      </w:r>
      <w:r w:rsidR="00585D82" w:rsidRPr="006A7DD8">
        <w:rPr>
          <w:rFonts w:ascii="Cambria" w:eastAsia="Times New Roman" w:hAnsi="Cambria" w:cs="Times New Roman"/>
          <w:color w:val="000000"/>
          <w:sz w:val="21"/>
          <w:szCs w:val="21"/>
          <w:lang w:val="es-CO"/>
        </w:rPr>
        <w:t xml:space="preserve">en efecto homologó el acuerdo sustrito por el Estado </w:t>
      </w:r>
      <w:r w:rsidR="00515C15" w:rsidRPr="006A7DD8">
        <w:rPr>
          <w:rFonts w:ascii="Cambria" w:eastAsia="Times New Roman" w:hAnsi="Cambria" w:cs="Times New Roman"/>
          <w:color w:val="000000"/>
          <w:sz w:val="21"/>
          <w:szCs w:val="21"/>
          <w:lang w:val="es-CO"/>
        </w:rPr>
        <w:t xml:space="preserve">de Costa Rica </w:t>
      </w:r>
      <w:r w:rsidR="00585D82" w:rsidRPr="006A7DD8">
        <w:rPr>
          <w:rFonts w:ascii="Cambria" w:eastAsia="Times New Roman" w:hAnsi="Cambria" w:cs="Times New Roman"/>
          <w:color w:val="000000"/>
          <w:sz w:val="21"/>
          <w:szCs w:val="21"/>
          <w:lang w:val="es-CO"/>
        </w:rPr>
        <w:t xml:space="preserve">y los representantes, </w:t>
      </w:r>
      <w:r w:rsidR="00515C15" w:rsidRPr="006A7DD8">
        <w:rPr>
          <w:rFonts w:ascii="Cambria" w:eastAsia="Times New Roman" w:hAnsi="Cambria" w:cs="Times New Roman"/>
          <w:color w:val="000000"/>
          <w:sz w:val="21"/>
          <w:szCs w:val="21"/>
          <w:lang w:val="es-CO"/>
        </w:rPr>
        <w:t>específicamente en relación</w:t>
      </w:r>
      <w:r w:rsidR="00585D82" w:rsidRPr="006A7DD8">
        <w:rPr>
          <w:rFonts w:ascii="Cambria" w:eastAsia="Times New Roman" w:hAnsi="Cambria" w:cs="Times New Roman"/>
          <w:color w:val="000000"/>
          <w:sz w:val="21"/>
          <w:szCs w:val="21"/>
          <w:lang w:val="es-CO"/>
        </w:rPr>
        <w:t xml:space="preserve"> con las personas beneficiarias, determinando los parámetros en los cuales el Estado debe hacer efectiva la posibilidad de acceso a la técnica de fecundación in vitro. </w:t>
      </w:r>
      <w:r w:rsidR="00585D82" w:rsidRPr="006A7DD8">
        <w:rPr>
          <w:rFonts w:ascii="Cambria" w:eastAsia="Calibri" w:hAnsi="Cambria" w:cs="Arial"/>
          <w:iCs/>
          <w:color w:val="000000"/>
          <w:sz w:val="21"/>
          <w:szCs w:val="21"/>
          <w:lang w:val="es-ES"/>
        </w:rPr>
        <w:t xml:space="preserve">Como resultado de lo anterior, </w:t>
      </w:r>
      <w:r w:rsidRPr="006A7DD8">
        <w:rPr>
          <w:rFonts w:ascii="Cambria" w:eastAsia="Calibri" w:hAnsi="Cambria" w:cs="Arial"/>
          <w:iCs/>
          <w:color w:val="000000"/>
          <w:sz w:val="21"/>
          <w:szCs w:val="21"/>
          <w:lang w:val="es-CO"/>
        </w:rPr>
        <w:t xml:space="preserve">las personas beneficiarias </w:t>
      </w:r>
      <w:r w:rsidR="00585D82" w:rsidRPr="006A7DD8">
        <w:rPr>
          <w:rFonts w:ascii="Cambria" w:eastAsia="Calibri" w:hAnsi="Cambria" w:cs="Arial"/>
          <w:iCs/>
          <w:color w:val="000000"/>
          <w:sz w:val="21"/>
          <w:szCs w:val="21"/>
          <w:lang w:val="es-CO"/>
        </w:rPr>
        <w:t xml:space="preserve">tendrían </w:t>
      </w:r>
      <w:r w:rsidRPr="006A7DD8">
        <w:rPr>
          <w:rFonts w:ascii="Cambria" w:eastAsia="Calibri" w:hAnsi="Cambria" w:cs="Arial"/>
          <w:iCs/>
          <w:color w:val="000000"/>
          <w:sz w:val="21"/>
          <w:szCs w:val="21"/>
          <w:lang w:val="es-CO"/>
        </w:rPr>
        <w:t>a su disposición, en la ac</w:t>
      </w:r>
      <w:r w:rsidR="00585D82" w:rsidRPr="006A7DD8">
        <w:rPr>
          <w:rFonts w:ascii="Cambria" w:eastAsia="Calibri" w:hAnsi="Cambria" w:cs="Arial"/>
          <w:iCs/>
          <w:color w:val="000000"/>
          <w:sz w:val="21"/>
          <w:szCs w:val="21"/>
          <w:lang w:val="es-CO"/>
        </w:rPr>
        <w:t>tualidad, la supervisión de la S</w:t>
      </w:r>
      <w:r w:rsidRPr="006A7DD8">
        <w:rPr>
          <w:rFonts w:ascii="Cambria" w:eastAsia="Calibri" w:hAnsi="Cambria" w:cs="Arial"/>
          <w:iCs/>
          <w:color w:val="000000"/>
          <w:sz w:val="21"/>
          <w:szCs w:val="21"/>
          <w:lang w:val="es-CO"/>
        </w:rPr>
        <w:t xml:space="preserve">entencia </w:t>
      </w:r>
      <w:r w:rsidR="00585D82" w:rsidRPr="006A7DD8">
        <w:rPr>
          <w:rFonts w:ascii="Cambria" w:eastAsia="Calibri" w:hAnsi="Cambria" w:cs="Arial"/>
          <w:iCs/>
          <w:color w:val="000000"/>
          <w:sz w:val="21"/>
          <w:szCs w:val="21"/>
          <w:lang w:val="es-CO"/>
        </w:rPr>
        <w:t xml:space="preserve">de la Corte, </w:t>
      </w:r>
      <w:r w:rsidRPr="006A7DD8">
        <w:rPr>
          <w:rFonts w:ascii="Cambria" w:eastAsia="Calibri" w:hAnsi="Cambria" w:cs="Arial"/>
          <w:iCs/>
          <w:color w:val="000000"/>
          <w:sz w:val="21"/>
          <w:szCs w:val="21"/>
          <w:lang w:val="es-CO"/>
        </w:rPr>
        <w:t xml:space="preserve">como </w:t>
      </w:r>
      <w:r w:rsidR="00585D82" w:rsidRPr="006A7DD8">
        <w:rPr>
          <w:rFonts w:ascii="Cambria" w:eastAsia="Calibri" w:hAnsi="Cambria" w:cs="Arial"/>
          <w:iCs/>
          <w:color w:val="000000"/>
          <w:sz w:val="21"/>
          <w:szCs w:val="21"/>
          <w:lang w:val="es-CO"/>
        </w:rPr>
        <w:t xml:space="preserve">el </w:t>
      </w:r>
      <w:r w:rsidRPr="006A7DD8">
        <w:rPr>
          <w:rFonts w:ascii="Cambria" w:eastAsia="Calibri" w:hAnsi="Cambria" w:cs="Arial"/>
          <w:iCs/>
          <w:color w:val="000000"/>
          <w:sz w:val="21"/>
          <w:szCs w:val="21"/>
          <w:lang w:val="es-CO"/>
        </w:rPr>
        <w:t xml:space="preserve">mecanismo encargando de dar seguimiento </w:t>
      </w:r>
      <w:r w:rsidR="00585D82" w:rsidRPr="006A7DD8">
        <w:rPr>
          <w:rFonts w:ascii="Cambria" w:eastAsia="Calibri" w:hAnsi="Cambria" w:cs="Arial"/>
          <w:iCs/>
          <w:color w:val="000000"/>
          <w:sz w:val="21"/>
          <w:szCs w:val="21"/>
          <w:lang w:val="es-CO"/>
        </w:rPr>
        <w:t xml:space="preserve">a </w:t>
      </w:r>
      <w:r w:rsidRPr="006A7DD8">
        <w:rPr>
          <w:rFonts w:ascii="Cambria" w:eastAsia="Calibri" w:hAnsi="Cambria" w:cs="Arial"/>
          <w:iCs/>
          <w:color w:val="000000"/>
          <w:sz w:val="21"/>
          <w:szCs w:val="21"/>
          <w:lang w:val="es-CO"/>
        </w:rPr>
        <w:t>que se garanticen sus derechos convencionalmente protegidos</w:t>
      </w:r>
      <w:r w:rsidR="00585D82" w:rsidRPr="006A7DD8">
        <w:rPr>
          <w:rFonts w:ascii="Cambria" w:eastAsia="Calibri" w:hAnsi="Cambria" w:cs="Arial"/>
          <w:iCs/>
          <w:color w:val="000000"/>
          <w:sz w:val="21"/>
          <w:szCs w:val="21"/>
          <w:lang w:val="es-CO"/>
        </w:rPr>
        <w:t>, según lo establecido en el referido acuerdo de solución amistosa.</w:t>
      </w:r>
    </w:p>
    <w:p w14:paraId="41041AE2" w14:textId="77777777" w:rsidR="006A7644" w:rsidRPr="006A7DD8" w:rsidRDefault="00CB33FF">
      <w:pPr>
        <w:numPr>
          <w:ilvl w:val="0"/>
          <w:numId w:val="40"/>
        </w:numPr>
        <w:spacing w:after="200"/>
        <w:ind w:left="360" w:firstLine="360"/>
        <w:jc w:val="both"/>
        <w:rPr>
          <w:rFonts w:ascii="Cambria" w:eastAsia="Calibri" w:hAnsi="Cambria" w:cs="Arial"/>
          <w:iCs/>
          <w:color w:val="000000"/>
          <w:sz w:val="21"/>
          <w:szCs w:val="21"/>
          <w:lang w:val="es-ES"/>
        </w:rPr>
      </w:pPr>
      <w:r w:rsidRPr="006A7DD8">
        <w:rPr>
          <w:rFonts w:ascii="Cambria" w:eastAsia="Times New Roman" w:hAnsi="Cambria" w:cs="Times New Roman"/>
          <w:color w:val="000000"/>
          <w:sz w:val="21"/>
          <w:szCs w:val="21"/>
          <w:lang w:val="es-ES"/>
        </w:rPr>
        <w:t>Sobre el particular</w:t>
      </w:r>
      <w:r w:rsidR="004935BE" w:rsidRPr="006A7DD8">
        <w:rPr>
          <w:rFonts w:ascii="Cambria" w:eastAsia="Times New Roman" w:hAnsi="Cambria" w:cs="Times New Roman"/>
          <w:color w:val="000000"/>
          <w:sz w:val="21"/>
          <w:szCs w:val="21"/>
          <w:lang w:val="es-ES"/>
        </w:rPr>
        <w:t xml:space="preserve">, la CIDH ha buscado </w:t>
      </w:r>
      <w:r w:rsidRPr="006A7DD8">
        <w:rPr>
          <w:rFonts w:ascii="Cambria" w:eastAsia="Times New Roman" w:hAnsi="Cambria" w:cs="Times New Roman"/>
          <w:color w:val="000000"/>
          <w:sz w:val="21"/>
          <w:szCs w:val="21"/>
          <w:lang w:val="es-ES"/>
        </w:rPr>
        <w:t>contar con las observaciones d</w:t>
      </w:r>
      <w:r w:rsidR="004935BE" w:rsidRPr="006A7DD8">
        <w:rPr>
          <w:rFonts w:ascii="Cambria" w:eastAsia="Times New Roman" w:hAnsi="Cambria" w:cs="Times New Roman"/>
          <w:color w:val="000000"/>
          <w:sz w:val="21"/>
          <w:szCs w:val="21"/>
          <w:lang w:val="es-ES"/>
        </w:rPr>
        <w:t>e</w:t>
      </w:r>
      <w:r w:rsidRPr="006A7DD8">
        <w:rPr>
          <w:rFonts w:ascii="Cambria" w:eastAsia="Times New Roman" w:hAnsi="Cambria" w:cs="Times New Roman"/>
          <w:color w:val="000000"/>
          <w:sz w:val="21"/>
          <w:szCs w:val="21"/>
          <w:lang w:val="es-ES"/>
        </w:rPr>
        <w:t xml:space="preserve"> </w:t>
      </w:r>
      <w:r w:rsidR="004935BE" w:rsidRPr="006A7DD8">
        <w:rPr>
          <w:rFonts w:ascii="Cambria" w:eastAsia="Times New Roman" w:hAnsi="Cambria" w:cs="Times New Roman"/>
          <w:color w:val="000000"/>
          <w:sz w:val="21"/>
          <w:szCs w:val="21"/>
          <w:lang w:val="es-ES"/>
        </w:rPr>
        <w:t xml:space="preserve">la representación de las personas beneficiarias sobre la solicitud de levantamiento presentada por el Estado, pero hasta la fecha no se ha recibido </w:t>
      </w:r>
      <w:r w:rsidRPr="006A7DD8">
        <w:rPr>
          <w:rFonts w:ascii="Cambria" w:eastAsia="Times New Roman" w:hAnsi="Cambria" w:cs="Times New Roman"/>
          <w:color w:val="000000"/>
          <w:sz w:val="21"/>
          <w:szCs w:val="21"/>
          <w:lang w:val="es-ES"/>
        </w:rPr>
        <w:t>una respuesta al respecto</w:t>
      </w:r>
      <w:r w:rsidR="00585D82" w:rsidRPr="006A7DD8">
        <w:rPr>
          <w:rFonts w:ascii="Cambria" w:eastAsia="Times New Roman" w:hAnsi="Cambria" w:cs="Times New Roman"/>
          <w:color w:val="000000"/>
          <w:sz w:val="21"/>
          <w:szCs w:val="21"/>
          <w:lang w:val="es-ES"/>
        </w:rPr>
        <w:t>, no obstante la reiteración realizada</w:t>
      </w:r>
      <w:r w:rsidRPr="006A7DD8">
        <w:rPr>
          <w:rFonts w:ascii="Cambria" w:eastAsia="Times New Roman" w:hAnsi="Cambria" w:cs="Times New Roman"/>
          <w:color w:val="000000"/>
          <w:sz w:val="21"/>
          <w:szCs w:val="21"/>
          <w:lang w:val="es-ES"/>
        </w:rPr>
        <w:t xml:space="preserve">. </w:t>
      </w:r>
    </w:p>
    <w:p w14:paraId="55881FAD" w14:textId="7FF91B10" w:rsidR="00BF5961" w:rsidRPr="006A7DD8" w:rsidRDefault="006A7644" w:rsidP="001F4FA3">
      <w:pPr>
        <w:numPr>
          <w:ilvl w:val="0"/>
          <w:numId w:val="40"/>
        </w:numPr>
        <w:spacing w:after="200"/>
        <w:ind w:left="360" w:firstLine="360"/>
        <w:jc w:val="both"/>
        <w:rPr>
          <w:rFonts w:ascii="Cambria" w:eastAsia="Calibri" w:hAnsi="Cambria" w:cs="Arial"/>
          <w:iCs/>
          <w:color w:val="000000"/>
          <w:sz w:val="21"/>
          <w:szCs w:val="21"/>
          <w:lang w:val="es-ES"/>
        </w:rPr>
      </w:pPr>
      <w:r w:rsidRPr="006A7DD8">
        <w:rPr>
          <w:rFonts w:ascii="Cambria" w:eastAsia="Times New Roman" w:hAnsi="Cambria" w:cs="Times New Roman"/>
          <w:color w:val="000000"/>
          <w:sz w:val="21"/>
          <w:szCs w:val="21"/>
          <w:lang w:val="es-ES"/>
        </w:rPr>
        <w:t>E</w:t>
      </w:r>
      <w:r w:rsidR="00CB33FF" w:rsidRPr="006A7DD8">
        <w:rPr>
          <w:rFonts w:ascii="Cambria" w:eastAsia="Times New Roman" w:hAnsi="Cambria" w:cs="Times New Roman"/>
          <w:color w:val="000000"/>
          <w:sz w:val="21"/>
          <w:szCs w:val="21"/>
          <w:lang w:val="es-ES"/>
        </w:rPr>
        <w:t>l Reglamento de la CIDH establece que “</w:t>
      </w:r>
      <w:r w:rsidR="00CB33FF" w:rsidRPr="006A7DD8">
        <w:rPr>
          <w:rFonts w:ascii="Cambria" w:eastAsia="Times New Roman" w:hAnsi="Cambria" w:cs="Times New Roman"/>
          <w:color w:val="000000"/>
          <w:sz w:val="21"/>
          <w:szCs w:val="21"/>
          <w:lang w:val="es-CO"/>
        </w:rPr>
        <w:t>la Comisión podrá levantar o revisar una medida cautelar cuando los beneficiarios o sus representantes, en forma injustificada, se abstengan de dar respuesta satisfactoria a la Comisión sobre los requerimientos planteados por el Estado para su implementación”.</w:t>
      </w:r>
    </w:p>
    <w:p w14:paraId="623405F0" w14:textId="7133AED8" w:rsidR="00BF5961" w:rsidRPr="006A7DD8" w:rsidRDefault="00B922EE" w:rsidP="001F4FA3">
      <w:pPr>
        <w:numPr>
          <w:ilvl w:val="0"/>
          <w:numId w:val="40"/>
        </w:numPr>
        <w:spacing w:after="200"/>
        <w:ind w:left="360" w:firstLine="360"/>
        <w:jc w:val="both"/>
        <w:rPr>
          <w:rFonts w:ascii="Cambria" w:eastAsia="Calibri" w:hAnsi="Cambria" w:cs="Arial"/>
          <w:iCs/>
          <w:color w:val="000000"/>
          <w:sz w:val="21"/>
          <w:szCs w:val="21"/>
          <w:lang w:val="es-ES"/>
        </w:rPr>
      </w:pPr>
      <w:r w:rsidRPr="006A7DD8">
        <w:rPr>
          <w:rFonts w:ascii="Cambria" w:eastAsia="Times New Roman" w:hAnsi="Cambria" w:cs="Times New Roman"/>
          <w:color w:val="000000"/>
          <w:sz w:val="21"/>
          <w:szCs w:val="21"/>
          <w:lang w:val="es-ES"/>
        </w:rPr>
        <w:t xml:space="preserve">Con base en </w:t>
      </w:r>
      <w:r w:rsidR="00BF5961" w:rsidRPr="006A7DD8">
        <w:rPr>
          <w:rFonts w:ascii="Cambria" w:eastAsia="Times New Roman" w:hAnsi="Cambria" w:cs="Times New Roman"/>
          <w:color w:val="000000"/>
          <w:sz w:val="21"/>
          <w:szCs w:val="21"/>
          <w:lang w:val="es-ES"/>
        </w:rPr>
        <w:t xml:space="preserve">lo anterior, </w:t>
      </w:r>
      <w:r w:rsidR="00585D82" w:rsidRPr="006A7DD8">
        <w:rPr>
          <w:rFonts w:ascii="Cambria" w:eastAsia="Times New Roman" w:hAnsi="Cambria" w:cs="Times New Roman"/>
          <w:color w:val="000000"/>
          <w:sz w:val="21"/>
          <w:szCs w:val="21"/>
          <w:lang w:val="es-ES"/>
        </w:rPr>
        <w:t xml:space="preserve">ante el cambio de circunstancias y la falta de información que contradiga lo indicado por el Estado, </w:t>
      </w:r>
      <w:r w:rsidR="00BF5961" w:rsidRPr="006A7DD8">
        <w:rPr>
          <w:rFonts w:ascii="Cambria" w:eastAsia="Times New Roman" w:hAnsi="Cambria" w:cs="Times New Roman"/>
          <w:color w:val="000000"/>
          <w:sz w:val="21"/>
          <w:szCs w:val="21"/>
          <w:lang w:val="es-ES"/>
        </w:rPr>
        <w:t xml:space="preserve">la Comisión considera que </w:t>
      </w:r>
      <w:r w:rsidR="006A7DD8" w:rsidRPr="006A7DD8">
        <w:rPr>
          <w:rFonts w:ascii="Cambria" w:eastAsia="Times New Roman" w:hAnsi="Cambria" w:cs="Times New Roman"/>
          <w:color w:val="000000"/>
          <w:sz w:val="21"/>
          <w:szCs w:val="21"/>
          <w:lang w:val="es-ES"/>
        </w:rPr>
        <w:t xml:space="preserve">no cuenta con </w:t>
      </w:r>
      <w:r w:rsidR="006A7DD8">
        <w:rPr>
          <w:rFonts w:ascii="Cambria" w:eastAsia="Times New Roman" w:hAnsi="Cambria" w:cs="Times New Roman"/>
          <w:color w:val="000000"/>
          <w:sz w:val="21"/>
          <w:szCs w:val="21"/>
          <w:lang w:val="es-ES"/>
        </w:rPr>
        <w:t xml:space="preserve">suficientes </w:t>
      </w:r>
      <w:r w:rsidR="006A7DD8" w:rsidRPr="006A7DD8">
        <w:rPr>
          <w:rFonts w:ascii="Cambria" w:eastAsia="Times New Roman" w:hAnsi="Cambria" w:cs="Times New Roman"/>
          <w:color w:val="000000"/>
          <w:sz w:val="21"/>
          <w:szCs w:val="21"/>
          <w:lang w:val="es-ES"/>
        </w:rPr>
        <w:t xml:space="preserve">elementos para considerar </w:t>
      </w:r>
      <w:r w:rsidR="00BF5961" w:rsidRPr="006A7DD8">
        <w:rPr>
          <w:rFonts w:ascii="Cambria" w:eastAsia="Times New Roman" w:hAnsi="Cambria" w:cs="Times New Roman"/>
          <w:color w:val="000000"/>
          <w:sz w:val="21"/>
          <w:szCs w:val="21"/>
          <w:lang w:val="es-ES"/>
        </w:rPr>
        <w:t>reunidos los requisitos de gravedad, urgencia y riesgo de daño irreparable que dieron originalmente lugar a la adopción de las medidas cautelares, por lo que corresponde levantarlas</w:t>
      </w:r>
      <w:r w:rsidR="00BF5961" w:rsidRPr="006A7DD8">
        <w:rPr>
          <w:rFonts w:ascii="Cambria" w:eastAsia="Times New Roman" w:hAnsi="Cambria" w:cs="Times New Roman"/>
          <w:iCs/>
          <w:color w:val="000000"/>
          <w:sz w:val="21"/>
          <w:szCs w:val="21"/>
          <w:lang w:val="es-CO"/>
        </w:rPr>
        <w:t>.</w:t>
      </w:r>
    </w:p>
    <w:p w14:paraId="00D4BD14" w14:textId="77777777" w:rsidR="00BF5961" w:rsidRPr="006A7DD8" w:rsidRDefault="00BF5961" w:rsidP="00BF5961">
      <w:pPr>
        <w:numPr>
          <w:ilvl w:val="0"/>
          <w:numId w:val="39"/>
        </w:numPr>
        <w:spacing w:after="200" w:line="276" w:lineRule="auto"/>
        <w:ind w:left="1170" w:right="-360"/>
        <w:jc w:val="both"/>
        <w:rPr>
          <w:rFonts w:ascii="Cambria" w:eastAsia="Calibri" w:hAnsi="Cambria" w:cs="Arial"/>
          <w:b/>
          <w:iCs/>
          <w:color w:val="000000"/>
          <w:sz w:val="21"/>
          <w:szCs w:val="21"/>
          <w:lang w:val="es-ES"/>
        </w:rPr>
      </w:pPr>
      <w:r w:rsidRPr="006A7DD8">
        <w:rPr>
          <w:rFonts w:ascii="Cambria" w:eastAsia="Calibri" w:hAnsi="Cambria" w:cs="Arial"/>
          <w:b/>
          <w:iCs/>
          <w:color w:val="000000"/>
          <w:sz w:val="21"/>
          <w:szCs w:val="21"/>
          <w:lang w:val="es-ES"/>
        </w:rPr>
        <w:t>DECISION</w:t>
      </w:r>
    </w:p>
    <w:p w14:paraId="7C666986" w14:textId="77777777" w:rsidR="00BF5961" w:rsidRPr="006A7DD8"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6A7DD8">
        <w:rPr>
          <w:rFonts w:ascii="Cambria" w:eastAsia="Times New Roman" w:hAnsi="Cambria" w:cs="Times New Roman"/>
          <w:color w:val="000000"/>
          <w:sz w:val="21"/>
          <w:szCs w:val="21"/>
          <w:lang w:val="es-ES_tradnl"/>
        </w:rPr>
        <w:t>En vista del cambio de las circunstancias en que se encuentra</w:t>
      </w:r>
      <w:r w:rsidR="00B922EE" w:rsidRPr="006A7DD8">
        <w:rPr>
          <w:rFonts w:ascii="Cambria" w:eastAsia="Times New Roman" w:hAnsi="Cambria" w:cs="Times New Roman"/>
          <w:color w:val="000000"/>
          <w:sz w:val="21"/>
          <w:szCs w:val="21"/>
          <w:lang w:val="es-ES_tradnl"/>
        </w:rPr>
        <w:t>n las personas beneficiarias</w:t>
      </w:r>
      <w:r w:rsidRPr="006A7DD8">
        <w:rPr>
          <w:rFonts w:ascii="Cambria" w:eastAsia="Times New Roman" w:hAnsi="Cambria" w:cs="Times New Roman"/>
          <w:color w:val="000000"/>
          <w:sz w:val="21"/>
          <w:szCs w:val="21"/>
          <w:lang w:val="es-ES_tradnl"/>
        </w:rPr>
        <w:t xml:space="preserve">, la Comisión decide levantar la presente medida cautelar a favor de </w:t>
      </w:r>
      <w:r w:rsidRPr="006A7DD8">
        <w:rPr>
          <w:rFonts w:ascii="Cambria" w:eastAsia="Times New Roman" w:hAnsi="Cambria" w:cs="Times New Roman"/>
          <w:iCs/>
          <w:color w:val="000000"/>
          <w:sz w:val="21"/>
          <w:szCs w:val="21"/>
          <w:lang w:val="es-CO"/>
        </w:rPr>
        <w:t>Gómez</w:t>
      </w:r>
      <w:r w:rsidR="00CF508F" w:rsidRPr="006A7DD8">
        <w:rPr>
          <w:rFonts w:ascii="Cambria" w:eastAsia="Times New Roman" w:hAnsi="Cambria" w:cs="Times New Roman"/>
          <w:iCs/>
          <w:color w:val="000000"/>
          <w:sz w:val="21"/>
          <w:szCs w:val="21"/>
          <w:lang w:val="es-CO"/>
        </w:rPr>
        <w:t xml:space="preserve"> murillo y otros</w:t>
      </w:r>
      <w:r w:rsidRPr="006A7DD8">
        <w:rPr>
          <w:rFonts w:ascii="Cambria" w:eastAsia="Times New Roman" w:hAnsi="Cambria" w:cs="Arial"/>
          <w:color w:val="000000"/>
          <w:sz w:val="21"/>
          <w:szCs w:val="21"/>
          <w:lang w:val="es-ES_tradnl"/>
        </w:rPr>
        <w:t>.</w:t>
      </w:r>
    </w:p>
    <w:p w14:paraId="7FEB41E6" w14:textId="77777777" w:rsidR="00BF5961" w:rsidRPr="006A7DD8" w:rsidRDefault="00BF5961" w:rsidP="001F4FA3">
      <w:pPr>
        <w:numPr>
          <w:ilvl w:val="0"/>
          <w:numId w:val="40"/>
        </w:numPr>
        <w:spacing w:after="200"/>
        <w:ind w:left="360" w:firstLine="360"/>
        <w:jc w:val="both"/>
        <w:rPr>
          <w:rFonts w:ascii="Cambria" w:eastAsia="Calibri" w:hAnsi="Cambria" w:cs="Arial"/>
          <w:iCs/>
          <w:color w:val="000000"/>
          <w:sz w:val="21"/>
          <w:szCs w:val="21"/>
          <w:lang w:val="es-ES"/>
        </w:rPr>
      </w:pPr>
      <w:r w:rsidRPr="006A7DD8">
        <w:rPr>
          <w:rFonts w:ascii="Cambria" w:eastAsia="Times New Roman" w:hAnsi="Cambria" w:cs="Times New Roman"/>
          <w:color w:val="000000"/>
          <w:sz w:val="21"/>
          <w:szCs w:val="21"/>
          <w:lang w:val="es-ES_tradnl"/>
        </w:rPr>
        <w:t xml:space="preserve">La Comisión solicita en consecuencia a la Secretaría Ejecutiva de la CIDH notificar sobre esta resolución a la República de </w:t>
      </w:r>
      <w:r w:rsidR="00CF508F" w:rsidRPr="006A7DD8">
        <w:rPr>
          <w:rFonts w:ascii="Cambria" w:eastAsia="Times New Roman" w:hAnsi="Cambria" w:cs="Times New Roman"/>
          <w:color w:val="000000"/>
          <w:sz w:val="21"/>
          <w:szCs w:val="21"/>
          <w:lang w:val="es-ES_tradnl"/>
        </w:rPr>
        <w:t>Costa Rica</w:t>
      </w:r>
      <w:r w:rsidRPr="006A7DD8">
        <w:rPr>
          <w:rFonts w:ascii="Cambria" w:eastAsia="Times New Roman" w:hAnsi="Cambria" w:cs="Times New Roman"/>
          <w:color w:val="000000"/>
          <w:sz w:val="21"/>
          <w:szCs w:val="21"/>
          <w:lang w:val="es-ES_tradnl"/>
        </w:rPr>
        <w:t xml:space="preserve"> y </w:t>
      </w:r>
      <w:r w:rsidR="00CF508F" w:rsidRPr="006A7DD8">
        <w:rPr>
          <w:rFonts w:ascii="Cambria" w:eastAsia="Times New Roman" w:hAnsi="Cambria" w:cs="Times New Roman"/>
          <w:color w:val="000000"/>
          <w:sz w:val="21"/>
          <w:szCs w:val="21"/>
          <w:lang w:val="es-ES_tradnl"/>
        </w:rPr>
        <w:t xml:space="preserve">a </w:t>
      </w:r>
      <w:r w:rsidRPr="006A7DD8">
        <w:rPr>
          <w:rFonts w:ascii="Cambria" w:eastAsia="Times New Roman" w:hAnsi="Cambria" w:cs="Times New Roman"/>
          <w:color w:val="000000"/>
          <w:sz w:val="21"/>
          <w:szCs w:val="21"/>
          <w:lang w:val="es-ES_tradnl"/>
        </w:rPr>
        <w:t>l</w:t>
      </w:r>
      <w:r w:rsidR="00CF508F" w:rsidRPr="006A7DD8">
        <w:rPr>
          <w:rFonts w:ascii="Cambria" w:eastAsia="Times New Roman" w:hAnsi="Cambria" w:cs="Times New Roman"/>
          <w:color w:val="000000"/>
          <w:sz w:val="21"/>
          <w:szCs w:val="21"/>
          <w:lang w:val="es-ES_tradnl"/>
        </w:rPr>
        <w:t>a</w:t>
      </w:r>
      <w:r w:rsidRPr="006A7DD8">
        <w:rPr>
          <w:rFonts w:ascii="Cambria" w:eastAsia="Times New Roman" w:hAnsi="Cambria" w:cs="Times New Roman"/>
          <w:color w:val="000000"/>
          <w:sz w:val="21"/>
          <w:szCs w:val="21"/>
          <w:lang w:val="es-ES_tradnl"/>
        </w:rPr>
        <w:t xml:space="preserve"> representa</w:t>
      </w:r>
      <w:r w:rsidR="00CF508F" w:rsidRPr="006A7DD8">
        <w:rPr>
          <w:rFonts w:ascii="Cambria" w:eastAsia="Times New Roman" w:hAnsi="Cambria" w:cs="Times New Roman"/>
          <w:color w:val="000000"/>
          <w:sz w:val="21"/>
          <w:szCs w:val="21"/>
          <w:lang w:val="es-ES_tradnl"/>
        </w:rPr>
        <w:t>ció</w:t>
      </w:r>
      <w:r w:rsidRPr="006A7DD8">
        <w:rPr>
          <w:rFonts w:ascii="Cambria" w:eastAsia="Times New Roman" w:hAnsi="Cambria" w:cs="Times New Roman"/>
          <w:color w:val="000000"/>
          <w:sz w:val="21"/>
          <w:szCs w:val="21"/>
          <w:lang w:val="es-ES_tradnl"/>
        </w:rPr>
        <w:t>n.</w:t>
      </w:r>
    </w:p>
    <w:p w14:paraId="7F4C0279" w14:textId="5BCF3B3C" w:rsidR="00BF5961" w:rsidRPr="00ED2A31" w:rsidRDefault="00BF5961" w:rsidP="00ED2A31">
      <w:pPr>
        <w:numPr>
          <w:ilvl w:val="0"/>
          <w:numId w:val="40"/>
        </w:numPr>
        <w:spacing w:after="200"/>
        <w:ind w:left="360" w:firstLine="360"/>
        <w:jc w:val="both"/>
        <w:rPr>
          <w:rFonts w:ascii="Cambria" w:eastAsia="Calibri" w:hAnsi="Cambria" w:cs="Arial"/>
          <w:bCs/>
          <w:iCs/>
          <w:color w:val="000000"/>
          <w:sz w:val="21"/>
          <w:szCs w:val="21"/>
          <w:lang w:val="es-ES_tradnl"/>
        </w:rPr>
      </w:pPr>
      <w:r w:rsidRPr="006A7DD8">
        <w:rPr>
          <w:rFonts w:ascii="Cambria" w:eastAsia="Calibri" w:hAnsi="Cambria" w:cs="Arial"/>
          <w:iCs/>
          <w:color w:val="000000"/>
          <w:sz w:val="21"/>
          <w:szCs w:val="21"/>
          <w:lang w:val="es-ES"/>
        </w:rPr>
        <w:t xml:space="preserve">Aprobada el </w:t>
      </w:r>
      <w:r w:rsidR="00211736">
        <w:rPr>
          <w:rFonts w:ascii="Cambria" w:eastAsia="Calibri" w:hAnsi="Cambria" w:cs="Arial"/>
          <w:iCs/>
          <w:color w:val="000000"/>
          <w:sz w:val="21"/>
          <w:szCs w:val="21"/>
          <w:lang w:val="es-ES"/>
        </w:rPr>
        <w:t>5</w:t>
      </w:r>
      <w:r w:rsidRPr="006A7DD8">
        <w:rPr>
          <w:rFonts w:ascii="Cambria" w:eastAsia="Calibri" w:hAnsi="Cambria" w:cs="Arial"/>
          <w:iCs/>
          <w:color w:val="000000"/>
          <w:sz w:val="21"/>
          <w:szCs w:val="21"/>
          <w:lang w:val="es-ES"/>
        </w:rPr>
        <w:t xml:space="preserve"> de </w:t>
      </w:r>
      <w:r w:rsidR="00CF508F" w:rsidRPr="006A7DD8">
        <w:rPr>
          <w:rFonts w:ascii="Cambria" w:eastAsia="Calibri" w:hAnsi="Cambria" w:cs="Arial"/>
          <w:iCs/>
          <w:color w:val="000000"/>
          <w:sz w:val="21"/>
          <w:szCs w:val="21"/>
          <w:lang w:val="es-ES"/>
        </w:rPr>
        <w:t>may</w:t>
      </w:r>
      <w:r w:rsidRPr="006A7DD8">
        <w:rPr>
          <w:rFonts w:ascii="Cambria" w:eastAsia="Calibri" w:hAnsi="Cambria" w:cs="Arial"/>
          <w:iCs/>
          <w:color w:val="000000"/>
          <w:sz w:val="21"/>
          <w:szCs w:val="21"/>
          <w:lang w:val="es-ES"/>
        </w:rPr>
        <w:t xml:space="preserve">o de 2018 por: </w:t>
      </w:r>
      <w:r w:rsidR="00ED2A31" w:rsidRPr="00ED2A31">
        <w:rPr>
          <w:rFonts w:ascii="Cambria" w:eastAsia="Calibri" w:hAnsi="Cambria" w:cs="Arial"/>
          <w:iCs/>
          <w:color w:val="000000"/>
          <w:sz w:val="21"/>
          <w:szCs w:val="21"/>
          <w:lang w:val="es-MX"/>
        </w:rPr>
        <w:t xml:space="preserve">Margarette May Macaulay, Presidenta; </w:t>
      </w:r>
      <w:r w:rsidR="00ED2A31" w:rsidRPr="00ED2A31">
        <w:rPr>
          <w:rFonts w:ascii="Cambria" w:eastAsia="Calibri" w:hAnsi="Cambria" w:cs="Arial"/>
          <w:iCs/>
          <w:color w:val="000000"/>
          <w:sz w:val="21"/>
          <w:szCs w:val="21"/>
          <w:lang w:val="es-ES"/>
        </w:rPr>
        <w:t>Esmeralda Arosemena de Troitiño, Primera Vicepresidenta;</w:t>
      </w:r>
      <w:r w:rsidR="00ED2A31">
        <w:rPr>
          <w:rFonts w:ascii="Cambria" w:eastAsia="Calibri" w:hAnsi="Cambria" w:cs="Arial"/>
          <w:iCs/>
          <w:color w:val="000000"/>
          <w:sz w:val="21"/>
          <w:szCs w:val="21"/>
          <w:lang w:val="es-ES"/>
        </w:rPr>
        <w:t xml:space="preserve"> Luis Ernesto Vargas, Segundo Vicepresidente;</w:t>
      </w:r>
      <w:r w:rsidR="00ED2A31" w:rsidRPr="00ED2A31">
        <w:rPr>
          <w:rFonts w:ascii="Cambria" w:eastAsia="Calibri" w:hAnsi="Cambria" w:cs="Arial"/>
          <w:iCs/>
          <w:color w:val="000000"/>
          <w:sz w:val="21"/>
          <w:szCs w:val="21"/>
          <w:lang w:val="es-ES"/>
        </w:rPr>
        <w:t xml:space="preserve"> Francisco José Eguiguren Praeli, Joel Hernández, Antonia Urrejola y Flavia Piovesan, miembros de la CIDH.</w:t>
      </w:r>
    </w:p>
    <w:p w14:paraId="2207C7C8" w14:textId="77777777" w:rsidR="00BF5961" w:rsidRPr="00BF5961" w:rsidRDefault="00BF5961" w:rsidP="001F4FA3">
      <w:pPr>
        <w:jc w:val="center"/>
        <w:rPr>
          <w:rFonts w:ascii="Cambria" w:eastAsia="Calibri" w:hAnsi="Cambria" w:cs="Arial"/>
          <w:iCs/>
          <w:color w:val="000000"/>
          <w:sz w:val="21"/>
          <w:szCs w:val="21"/>
          <w:lang w:val="es-ES"/>
        </w:rPr>
      </w:pPr>
    </w:p>
    <w:p w14:paraId="1F8805D2" w14:textId="77777777" w:rsidR="00BF5961" w:rsidRPr="00BF5961" w:rsidRDefault="00BF5961" w:rsidP="001F4FA3">
      <w:pPr>
        <w:rPr>
          <w:rFonts w:ascii="Calibri" w:eastAsia="Calibri" w:hAnsi="Calibri" w:cs="Times New Roman"/>
          <w:sz w:val="22"/>
          <w:szCs w:val="22"/>
          <w:lang w:val="es-ES"/>
        </w:rPr>
      </w:pPr>
    </w:p>
    <w:p w14:paraId="40540BAD" w14:textId="77777777" w:rsidR="00A90C2D" w:rsidRDefault="00A90C2D" w:rsidP="00BF5961">
      <w:pPr>
        <w:rPr>
          <w:lang w:val="es-CO"/>
        </w:rPr>
      </w:pPr>
    </w:p>
    <w:p w14:paraId="7CDEADE3" w14:textId="77777777" w:rsidR="00ED2A31" w:rsidRDefault="00ED2A31" w:rsidP="00ED2A31">
      <w:pPr>
        <w:ind w:left="270" w:right="-360"/>
        <w:jc w:val="center"/>
        <w:rPr>
          <w:rFonts w:ascii="Cambria" w:eastAsia="Times New Roman" w:hAnsi="Cambria" w:cs="Times New Roman"/>
          <w:sz w:val="21"/>
          <w:szCs w:val="21"/>
          <w:lang w:val="es-ES_tradnl"/>
        </w:rPr>
      </w:pPr>
    </w:p>
    <w:p w14:paraId="05C1E730" w14:textId="77777777" w:rsidR="00ED2A31" w:rsidRDefault="00ED2A31" w:rsidP="00ED2A31">
      <w:pPr>
        <w:ind w:left="270" w:right="-360"/>
        <w:jc w:val="center"/>
        <w:rPr>
          <w:rFonts w:ascii="Cambria" w:eastAsia="Times New Roman" w:hAnsi="Cambria" w:cs="Times New Roman"/>
          <w:sz w:val="21"/>
          <w:szCs w:val="21"/>
          <w:lang w:val="es-ES_tradnl"/>
        </w:rPr>
      </w:pPr>
    </w:p>
    <w:p w14:paraId="7ACECA5E" w14:textId="77777777" w:rsidR="00ED2A31" w:rsidRDefault="00ED2A31" w:rsidP="00ED2A31">
      <w:pPr>
        <w:ind w:left="270" w:right="-360"/>
        <w:jc w:val="center"/>
        <w:rPr>
          <w:rFonts w:ascii="Cambria" w:eastAsia="Times New Roman" w:hAnsi="Cambria" w:cs="Times New Roman"/>
          <w:sz w:val="21"/>
          <w:szCs w:val="21"/>
          <w:lang w:val="es-ES_tradnl"/>
        </w:rPr>
      </w:pPr>
    </w:p>
    <w:p w14:paraId="50021660" w14:textId="77777777" w:rsidR="00ED2A31" w:rsidRPr="00ED2A31" w:rsidRDefault="00ED2A31" w:rsidP="00ED2A31">
      <w:pPr>
        <w:ind w:left="270" w:right="-360"/>
        <w:jc w:val="center"/>
        <w:rPr>
          <w:rFonts w:ascii="Cambria" w:eastAsia="Times New Roman" w:hAnsi="Cambria" w:cs="Times New Roman"/>
          <w:sz w:val="21"/>
          <w:szCs w:val="21"/>
          <w:lang w:val="es-ES_tradnl"/>
        </w:rPr>
      </w:pPr>
      <w:r w:rsidRPr="00ED2A31">
        <w:rPr>
          <w:rFonts w:ascii="Cambria" w:eastAsia="Times New Roman" w:hAnsi="Cambria" w:cs="Times New Roman"/>
          <w:sz w:val="21"/>
          <w:szCs w:val="21"/>
          <w:lang w:val="es-ES_tradnl"/>
        </w:rPr>
        <w:t>Elizabeth Abi-Mershed</w:t>
      </w:r>
    </w:p>
    <w:p w14:paraId="7B212E33" w14:textId="77777777" w:rsidR="00ED2A31" w:rsidRPr="00ED2A31" w:rsidRDefault="00ED2A31" w:rsidP="00ED2A31">
      <w:pPr>
        <w:ind w:left="270" w:right="-360"/>
        <w:jc w:val="center"/>
        <w:rPr>
          <w:rFonts w:ascii="Cambria" w:eastAsia="Times New Roman" w:hAnsi="Cambria" w:cs="Times New Roman"/>
          <w:sz w:val="21"/>
          <w:szCs w:val="21"/>
          <w:lang w:val="es-ES_tradnl"/>
        </w:rPr>
      </w:pPr>
      <w:r w:rsidRPr="00ED2A31">
        <w:rPr>
          <w:rFonts w:ascii="Cambria" w:eastAsia="Times New Roman" w:hAnsi="Cambria" w:cs="Times New Roman"/>
          <w:sz w:val="21"/>
          <w:szCs w:val="21"/>
          <w:lang w:val="es-ES_tradnl"/>
        </w:rPr>
        <w:t>Secretaria Ejecutiva Adjunta</w:t>
      </w:r>
    </w:p>
    <w:p w14:paraId="42F645C0" w14:textId="77777777" w:rsidR="00ED2A31" w:rsidRPr="00ED2A31" w:rsidRDefault="00ED2A31" w:rsidP="00ED2A31">
      <w:pPr>
        <w:ind w:left="-360" w:right="-360"/>
        <w:jc w:val="both"/>
        <w:rPr>
          <w:rFonts w:ascii="Cambria" w:eastAsia="Times New Roman" w:hAnsi="Cambria" w:cs="Times New Roman"/>
          <w:sz w:val="21"/>
          <w:szCs w:val="21"/>
          <w:lang w:val="es-CO"/>
        </w:rPr>
      </w:pPr>
    </w:p>
    <w:p w14:paraId="382044FD" w14:textId="77777777" w:rsidR="00ED2A31" w:rsidRPr="00AF7F45" w:rsidRDefault="00ED2A31" w:rsidP="00BF5961">
      <w:pPr>
        <w:rPr>
          <w:lang w:val="es-CO"/>
        </w:rPr>
      </w:pPr>
    </w:p>
    <w:sectPr w:rsidR="00ED2A31" w:rsidRPr="00AF7F45"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C6B39" w14:textId="77777777" w:rsidR="00045937" w:rsidRDefault="00045937" w:rsidP="00BF7D6A">
      <w:r>
        <w:separator/>
      </w:r>
    </w:p>
  </w:endnote>
  <w:endnote w:type="continuationSeparator" w:id="0">
    <w:p w14:paraId="11D7E143" w14:textId="77777777" w:rsidR="00045937" w:rsidRDefault="00045937"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C8A4" w14:textId="77777777" w:rsidR="006A7644" w:rsidRDefault="006A7644"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B205C" w14:textId="77777777" w:rsidR="006A7644" w:rsidRDefault="006A7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5C0EC" w14:textId="77777777" w:rsidR="006A7644" w:rsidRPr="00C522EB" w:rsidRDefault="006A7644"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9A51C5">
      <w:rPr>
        <w:rStyle w:val="PageNumber"/>
        <w:rFonts w:asciiTheme="majorHAnsi" w:hAnsiTheme="majorHAnsi"/>
        <w:noProof/>
        <w:sz w:val="16"/>
      </w:rPr>
      <w:t>- 1 -</w:t>
    </w:r>
    <w:r w:rsidRPr="00C522EB">
      <w:rPr>
        <w:rStyle w:val="PageNumber"/>
        <w:rFonts w:asciiTheme="majorHAnsi" w:hAnsiTheme="majorHAnsi"/>
        <w:sz w:val="16"/>
      </w:rPr>
      <w:fldChar w:fldCharType="end"/>
    </w:r>
  </w:p>
  <w:p w14:paraId="2AC6FC4C" w14:textId="77777777" w:rsidR="006A7644" w:rsidRDefault="006A7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FD512" w14:textId="77777777" w:rsidR="00045937" w:rsidRDefault="00045937" w:rsidP="00BF7D6A">
      <w:r>
        <w:separator/>
      </w:r>
    </w:p>
  </w:footnote>
  <w:footnote w:type="continuationSeparator" w:id="0">
    <w:p w14:paraId="35203A0C" w14:textId="77777777" w:rsidR="00045937" w:rsidRDefault="00045937" w:rsidP="00BF7D6A">
      <w:r>
        <w:continuationSeparator/>
      </w:r>
    </w:p>
  </w:footnote>
  <w:footnote w:id="1">
    <w:p w14:paraId="100467A0" w14:textId="77777777" w:rsidR="006A7644" w:rsidRPr="005B7492" w:rsidRDefault="006A7644" w:rsidP="00F53740">
      <w:pPr>
        <w:pStyle w:val="FootnoteText"/>
        <w:spacing w:after="0" w:line="240" w:lineRule="auto"/>
        <w:rPr>
          <w:lang w:val="es-CO"/>
        </w:rPr>
      </w:pPr>
      <w:r>
        <w:rPr>
          <w:rStyle w:val="FootnoteReference"/>
        </w:rPr>
        <w:footnoteRef/>
      </w:r>
      <w:r w:rsidRPr="005B7492">
        <w:rPr>
          <w:lang w:val="es-CO"/>
        </w:rPr>
        <w:t xml:space="preserve"> </w:t>
      </w:r>
      <w:r>
        <w:rPr>
          <w:lang w:val="es-CO"/>
        </w:rPr>
        <w:t xml:space="preserve">Los nombres de las personas beneficiarias son los siguientes: </w:t>
      </w:r>
      <w:r w:rsidRPr="005B7492">
        <w:rPr>
          <w:i/>
          <w:lang w:val="es-CO"/>
        </w:rPr>
        <w:t>Daniel Gerardo Gómez Murillo y Aída Marcela Garita Sánchez; Roberto Pérez Gutiérrez y Silvia María Sosa Ulate; Luis Miguel Cruz Comparaz y Raquel Sanvicente Rojas; Randall Alberto Torres Quirós y Geanina Isela Marín Rankin; Carlos Edgardo López Vega y Albania Elizondo Rodríguez; Miguel Acuña Cartín y Patricia Núñez</w:t>
      </w:r>
    </w:p>
  </w:footnote>
  <w:footnote w:id="2">
    <w:p w14:paraId="14080D24" w14:textId="77777777" w:rsidR="006A7644" w:rsidRPr="00CF508F" w:rsidRDefault="006A7644" w:rsidP="00F53740">
      <w:pPr>
        <w:pStyle w:val="FootnoteText"/>
        <w:spacing w:after="0" w:line="240" w:lineRule="auto"/>
        <w:rPr>
          <w:lang w:val="es-CO"/>
        </w:rPr>
      </w:pPr>
      <w:r>
        <w:rPr>
          <w:rStyle w:val="FootnoteReference"/>
        </w:rPr>
        <w:footnoteRef/>
      </w:r>
      <w:r w:rsidRPr="00CF508F">
        <w:rPr>
          <w:lang w:val="es-CO"/>
        </w:rPr>
        <w:t xml:space="preserve"> </w:t>
      </w:r>
      <w:r>
        <w:rPr>
          <w:lang w:val="es-CO"/>
        </w:rPr>
        <w:t xml:space="preserve">CIDH, Resolución de otorgamiento 3/2016, Medida Cautelar 617-15). Disponible en: </w:t>
      </w:r>
      <w:hyperlink r:id="rId1" w:history="1">
        <w:r w:rsidRPr="00FE7EEE">
          <w:rPr>
            <w:rStyle w:val="Hyperlink"/>
            <w:lang w:val="es-CO"/>
          </w:rPr>
          <w:t>http://www.oas.org/es/cidh/decisiones/pdf/2016/MC617-15-Es.pdf</w:t>
        </w:r>
      </w:hyperlink>
      <w:r>
        <w:rPr>
          <w:lang w:val="es-CO"/>
        </w:rPr>
        <w:t xml:space="preserve"> </w:t>
      </w:r>
    </w:p>
  </w:footnote>
  <w:footnote w:id="3">
    <w:p w14:paraId="13ECD168" w14:textId="77777777" w:rsidR="006A7644" w:rsidRPr="001C5AE7" w:rsidRDefault="006A7644" w:rsidP="00F53740">
      <w:pPr>
        <w:pStyle w:val="FootnoteText"/>
        <w:spacing w:after="0" w:line="240" w:lineRule="auto"/>
        <w:rPr>
          <w:lang w:val="es-CO"/>
        </w:rPr>
      </w:pPr>
      <w:r>
        <w:rPr>
          <w:rStyle w:val="FootnoteReference"/>
        </w:rPr>
        <w:footnoteRef/>
      </w:r>
      <w:r w:rsidRPr="001C5AE7">
        <w:rPr>
          <w:lang w:val="es-CO"/>
        </w:rPr>
        <w:t xml:space="preserve"> </w:t>
      </w:r>
      <w:r>
        <w:rPr>
          <w:lang w:val="es-CO"/>
        </w:rPr>
        <w:t xml:space="preserve">Corte IDH, Caso Gomez Murillo y otros vs. Costa Rica; Sentencia de 29 de Noviembre de 2016. Parr. 3. Disponible en: </w:t>
      </w:r>
      <w:hyperlink r:id="rId2" w:history="1">
        <w:r w:rsidRPr="00FE7EEE">
          <w:rPr>
            <w:rStyle w:val="Hyperlink"/>
            <w:lang w:val="es-CO"/>
          </w:rPr>
          <w:t>http://www.corteidh.or.cr/docs/casos/articulos/seriec_326_esp.pdf</w:t>
        </w:r>
      </w:hyperlink>
      <w:r>
        <w:rPr>
          <w:lang w:val="es-CO"/>
        </w:rPr>
        <w:t xml:space="preserve"> </w:t>
      </w:r>
    </w:p>
  </w:footnote>
  <w:footnote w:id="4">
    <w:p w14:paraId="7F2A4683" w14:textId="77777777" w:rsidR="006A7644" w:rsidRPr="00426475" w:rsidRDefault="006A7644" w:rsidP="00F53740">
      <w:pPr>
        <w:pStyle w:val="FootnoteText"/>
        <w:spacing w:after="0" w:line="240" w:lineRule="auto"/>
        <w:rPr>
          <w:lang w:val="es-CO"/>
        </w:rPr>
      </w:pPr>
      <w:r>
        <w:rPr>
          <w:rStyle w:val="FootnoteReference"/>
        </w:rPr>
        <w:footnoteRef/>
      </w:r>
      <w:r w:rsidRPr="00426475">
        <w:rPr>
          <w:lang w:val="es-CO"/>
        </w:rPr>
        <w:t xml:space="preserve"> Corte IDH, Caso Gomez Murillo y otros vs. Costa Rica; Sentencia de 29 de Noviembre de 2016. Parr. 3. Disponible en: </w:t>
      </w:r>
      <w:hyperlink r:id="rId3" w:history="1">
        <w:r w:rsidRPr="00426475">
          <w:rPr>
            <w:rStyle w:val="Hyperlink"/>
            <w:lang w:val="es-CO"/>
          </w:rPr>
          <w:t>http://www.corteidh.or.cr/docs/casos/articulos/seriec_326_esp.pdf</w:t>
        </w:r>
      </w:hyperlink>
    </w:p>
  </w:footnote>
  <w:footnote w:id="5">
    <w:p w14:paraId="13E01796" w14:textId="77777777" w:rsidR="006A7644" w:rsidRPr="00426475" w:rsidRDefault="006A7644" w:rsidP="00F53740">
      <w:pPr>
        <w:pStyle w:val="FootnoteText"/>
        <w:spacing w:after="0" w:line="240" w:lineRule="auto"/>
        <w:rPr>
          <w:lang w:val="es-CO"/>
        </w:rPr>
      </w:pPr>
      <w:r>
        <w:rPr>
          <w:rStyle w:val="FootnoteReference"/>
        </w:rPr>
        <w:footnoteRef/>
      </w:r>
      <w:r w:rsidRPr="00426475">
        <w:rPr>
          <w:lang w:val="es-CO"/>
        </w:rPr>
        <w:t xml:space="preserve"> Corte IDH, Caso Gomez Murillo y otros vs. Costa Rica; Sentencia de 29 de Noviembre de 2016. Parr. </w:t>
      </w:r>
      <w:r>
        <w:rPr>
          <w:lang w:val="es-CO"/>
        </w:rPr>
        <w:t>11</w:t>
      </w:r>
      <w:r w:rsidRPr="00426475">
        <w:rPr>
          <w:lang w:val="es-CO"/>
        </w:rPr>
        <w:t xml:space="preserve">. Disponible en: </w:t>
      </w:r>
      <w:hyperlink r:id="rId4" w:history="1">
        <w:r w:rsidRPr="00426475">
          <w:rPr>
            <w:rStyle w:val="Hyperlink"/>
            <w:lang w:val="es-CO"/>
          </w:rPr>
          <w:t>http://www.corteidh.or.cr/docs/casos/articulos/seriec_326_esp.pdf</w:t>
        </w:r>
      </w:hyperlink>
    </w:p>
  </w:footnote>
  <w:footnote w:id="6">
    <w:p w14:paraId="305EB605" w14:textId="29774A8C" w:rsidR="00DE775F" w:rsidRPr="00AF7F45" w:rsidRDefault="00DE775F">
      <w:pPr>
        <w:pStyle w:val="FootnoteText"/>
        <w:rPr>
          <w:lang w:val="es-CO"/>
        </w:rPr>
      </w:pPr>
      <w:r>
        <w:rPr>
          <w:rStyle w:val="FootnoteReference"/>
        </w:rPr>
        <w:footnoteRef/>
      </w:r>
      <w:r w:rsidRPr="00AF7F45">
        <w:rPr>
          <w:lang w:val="es-CO"/>
        </w:rPr>
        <w:t xml:space="preserve"> </w:t>
      </w:r>
      <w:r w:rsidR="002B429B" w:rsidRPr="002B429B">
        <w:rPr>
          <w:lang w:val="es-CO"/>
        </w:rPr>
        <w:t xml:space="preserve">Corte IDH, Caso Gomez Murillo y otros vs. Costa Rica; Sentencia de 29 de Noviembre de 2016. Parr. </w:t>
      </w:r>
      <w:r w:rsidR="002B429B">
        <w:rPr>
          <w:lang w:val="es-CO"/>
        </w:rPr>
        <w:t>5</w:t>
      </w:r>
      <w:r w:rsidR="002B429B" w:rsidRPr="002B429B">
        <w:rPr>
          <w:lang w:val="es-CO"/>
        </w:rPr>
        <w:t>3. Disponible</w:t>
      </w:r>
      <w:r w:rsidR="002B429B">
        <w:rPr>
          <w:lang w:val="es-CO"/>
        </w:rPr>
        <w:t xml:space="preserve"> en:</w:t>
      </w:r>
      <w:r w:rsidR="002B429B" w:rsidRPr="006A7DD8">
        <w:rPr>
          <w:lang w:val="es-ES_tradnl"/>
        </w:rPr>
        <w:t xml:space="preserve"> </w:t>
      </w:r>
      <w:r w:rsidR="002B429B" w:rsidRPr="002B429B">
        <w:rPr>
          <w:lang w:val="es-CO"/>
        </w:rPr>
        <w:t>http://www.corteidh.or.cr/docs/casos/articulos/seriec_326_esp.pdf</w:t>
      </w:r>
      <w:r w:rsidR="002B429B">
        <w:rPr>
          <w:lang w:val="es-CO"/>
        </w:rPr>
        <w:t xml:space="preserve"> </w:t>
      </w:r>
    </w:p>
  </w:footnote>
  <w:footnote w:id="7">
    <w:p w14:paraId="16F5A30C" w14:textId="77777777" w:rsidR="006A7644" w:rsidRPr="00426475" w:rsidRDefault="006A7644" w:rsidP="00F53740">
      <w:pPr>
        <w:pStyle w:val="FootnoteText"/>
        <w:spacing w:after="0" w:line="240" w:lineRule="auto"/>
        <w:rPr>
          <w:lang w:val="es-CO"/>
        </w:rPr>
      </w:pPr>
      <w:r>
        <w:rPr>
          <w:rStyle w:val="FootnoteReference"/>
        </w:rPr>
        <w:footnoteRef/>
      </w:r>
      <w:r w:rsidRPr="00426475">
        <w:rPr>
          <w:lang w:val="es-CO"/>
        </w:rPr>
        <w:t xml:space="preserve"> Corte IDH, Caso Gomez Murillo y otros vs. Costa Rica; Sentencia de 29 de Noviembre de 2016. Parr. </w:t>
      </w:r>
      <w:r>
        <w:rPr>
          <w:lang w:val="es-CO"/>
        </w:rPr>
        <w:t>29</w:t>
      </w:r>
      <w:r w:rsidRPr="00426475">
        <w:rPr>
          <w:lang w:val="es-CO"/>
        </w:rPr>
        <w:t xml:space="preserve">. Disponible en: </w:t>
      </w:r>
      <w:hyperlink r:id="rId5" w:history="1">
        <w:r w:rsidRPr="00426475">
          <w:rPr>
            <w:rStyle w:val="Hyperlink"/>
            <w:lang w:val="es-CO"/>
          </w:rPr>
          <w:t>http://www.corteidh.or.cr/docs/casos/articulos/seriec_326_esp.pdf</w:t>
        </w:r>
      </w:hyperlink>
    </w:p>
  </w:footnote>
  <w:footnote w:id="8">
    <w:p w14:paraId="687CB6C2" w14:textId="77777777" w:rsidR="006A7644" w:rsidRPr="00426475" w:rsidRDefault="006A7644">
      <w:pPr>
        <w:pStyle w:val="FootnoteText"/>
        <w:rPr>
          <w:lang w:val="es-CO"/>
        </w:rPr>
      </w:pPr>
      <w:r>
        <w:rPr>
          <w:rStyle w:val="FootnoteReference"/>
        </w:rPr>
        <w:footnoteRef/>
      </w:r>
      <w:r w:rsidRPr="00426475">
        <w:rPr>
          <w:lang w:val="es-CO"/>
        </w:rPr>
        <w:t xml:space="preserve"> Corte IDH, Caso Gomez Murillo y otros vs. Costa Rica; Sentencia de 29 de Noviembre de 2016. Parr. </w:t>
      </w:r>
      <w:r>
        <w:rPr>
          <w:lang w:val="es-CO"/>
        </w:rPr>
        <w:t>64</w:t>
      </w:r>
      <w:r w:rsidRPr="00426475">
        <w:rPr>
          <w:lang w:val="es-CO"/>
        </w:rPr>
        <w:t xml:space="preserve">. Disponible en: </w:t>
      </w:r>
      <w:hyperlink r:id="rId6" w:history="1">
        <w:r w:rsidRPr="00426475">
          <w:rPr>
            <w:rStyle w:val="Hyperlink"/>
            <w:lang w:val="es-CO"/>
          </w:rPr>
          <w:t>http://www.corteidh.or.cr/docs/casos/articulos/seriec_326_esp.pdf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0AFA7" w14:textId="77777777" w:rsidR="006A7644" w:rsidRPr="006A2671" w:rsidRDefault="006A7644"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lang w:val="es-UY" w:eastAsia="es-UY"/>
      </w:rPr>
      <w:drawing>
        <wp:inline distT="0" distB="0" distL="0" distR="0" wp14:anchorId="5F6BA63E" wp14:editId="3FD592F5">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lang w:val="es-UY" w:eastAsia="es-UY"/>
      </w:rPr>
      <w:drawing>
        <wp:inline distT="0" distB="0" distL="0" distR="0" wp14:anchorId="7F739332" wp14:editId="0FE2EF56">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14:paraId="76FF8F74" w14:textId="77777777" w:rsidR="006A7644" w:rsidRPr="006A2671" w:rsidRDefault="006A7644" w:rsidP="006A2671">
    <w:pPr>
      <w:pBdr>
        <w:bottom w:val="single" w:sz="6" w:space="1" w:color="auto"/>
      </w:pBdr>
      <w:tabs>
        <w:tab w:val="center" w:pos="4680"/>
        <w:tab w:val="right" w:pos="9360"/>
      </w:tabs>
      <w:rPr>
        <w:rFonts w:ascii="Calibri" w:eastAsia="Batang" w:hAnsi="Calibri" w:cs="Times New Roman"/>
        <w:sz w:val="22"/>
        <w:szCs w:val="22"/>
        <w:lang w:val="es-ES"/>
      </w:rPr>
    </w:pPr>
  </w:p>
  <w:p w14:paraId="452F43A9" w14:textId="77777777" w:rsidR="006A7644" w:rsidRDefault="006A7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EFE4B5F4"/>
    <w:lvl w:ilvl="0" w:tplc="D7C645B6">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E2E67"/>
    <w:multiLevelType w:val="hybridMultilevel"/>
    <w:tmpl w:val="652A8670"/>
    <w:lvl w:ilvl="0" w:tplc="33046F8A">
      <w:start w:val="1"/>
      <w:numFmt w:val="decimal"/>
      <w:lvlText w:val="%1."/>
      <w:lvlJc w:val="center"/>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476E3"/>
    <w:multiLevelType w:val="hybridMultilevel"/>
    <w:tmpl w:val="9604A102"/>
    <w:lvl w:ilvl="0" w:tplc="66D436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9B6E7B"/>
    <w:multiLevelType w:val="hybridMultilevel"/>
    <w:tmpl w:val="491405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73E95"/>
    <w:multiLevelType w:val="hybridMultilevel"/>
    <w:tmpl w:val="5854F52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414D8"/>
    <w:multiLevelType w:val="hybridMultilevel"/>
    <w:tmpl w:val="C40ED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B5386C"/>
    <w:multiLevelType w:val="hybridMultilevel"/>
    <w:tmpl w:val="C5389F2C"/>
    <w:lvl w:ilvl="0" w:tplc="D9B21C52">
      <w:start w:val="1"/>
      <w:numFmt w:val="decimal"/>
      <w:lvlText w:val="%1."/>
      <w:lvlJc w:val="center"/>
      <w:pPr>
        <w:ind w:left="720" w:hanging="360"/>
      </w:pPr>
      <w:rPr>
        <w:rFonts w:ascii="Cambria" w:hAnsi="Cambria"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852583"/>
    <w:multiLevelType w:val="hybridMultilevel"/>
    <w:tmpl w:val="0F0A5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901B7"/>
    <w:multiLevelType w:val="hybridMultilevel"/>
    <w:tmpl w:val="F3BAC83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C0F49"/>
    <w:multiLevelType w:val="hybridMultilevel"/>
    <w:tmpl w:val="DA34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5176B"/>
    <w:multiLevelType w:val="hybridMultilevel"/>
    <w:tmpl w:val="AB98893C"/>
    <w:lvl w:ilvl="0" w:tplc="CAE8D4E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C729B2"/>
    <w:multiLevelType w:val="hybridMultilevel"/>
    <w:tmpl w:val="7C2AFE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E2F8D"/>
    <w:multiLevelType w:val="hybridMultilevel"/>
    <w:tmpl w:val="C5AAB73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A0C9A"/>
    <w:multiLevelType w:val="hybridMultilevel"/>
    <w:tmpl w:val="65389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55186"/>
    <w:multiLevelType w:val="hybridMultilevel"/>
    <w:tmpl w:val="AB824E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9D156B"/>
    <w:multiLevelType w:val="hybridMultilevel"/>
    <w:tmpl w:val="2C901222"/>
    <w:lvl w:ilvl="0" w:tplc="0AA2348C">
      <w:start w:val="1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4F508C"/>
    <w:multiLevelType w:val="hybridMultilevel"/>
    <w:tmpl w:val="8C3C4E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16519F"/>
    <w:multiLevelType w:val="hybridMultilevel"/>
    <w:tmpl w:val="F5CE7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3B371A"/>
    <w:multiLevelType w:val="hybridMultilevel"/>
    <w:tmpl w:val="79F88CE6"/>
    <w:lvl w:ilvl="0" w:tplc="EDEC388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130B23"/>
    <w:multiLevelType w:val="hybridMultilevel"/>
    <w:tmpl w:val="B6CC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70F2B"/>
    <w:multiLevelType w:val="hybridMultilevel"/>
    <w:tmpl w:val="A370736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9">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4"/>
  </w:num>
  <w:num w:numId="3">
    <w:abstractNumId w:val="35"/>
  </w:num>
  <w:num w:numId="4">
    <w:abstractNumId w:val="17"/>
  </w:num>
  <w:num w:numId="5">
    <w:abstractNumId w:val="1"/>
  </w:num>
  <w:num w:numId="6">
    <w:abstractNumId w:val="13"/>
  </w:num>
  <w:num w:numId="7">
    <w:abstractNumId w:val="36"/>
  </w:num>
  <w:num w:numId="8">
    <w:abstractNumId w:val="31"/>
  </w:num>
  <w:num w:numId="9">
    <w:abstractNumId w:val="20"/>
  </w:num>
  <w:num w:numId="10">
    <w:abstractNumId w:val="19"/>
  </w:num>
  <w:num w:numId="11">
    <w:abstractNumId w:val="33"/>
  </w:num>
  <w:num w:numId="12">
    <w:abstractNumId w:val="37"/>
  </w:num>
  <w:num w:numId="13">
    <w:abstractNumId w:val="40"/>
  </w:num>
  <w:num w:numId="14">
    <w:abstractNumId w:val="39"/>
  </w:num>
  <w:num w:numId="15">
    <w:abstractNumId w:val="25"/>
  </w:num>
  <w:num w:numId="16">
    <w:abstractNumId w:val="0"/>
  </w:num>
  <w:num w:numId="17">
    <w:abstractNumId w:val="26"/>
  </w:num>
  <w:num w:numId="18">
    <w:abstractNumId w:val="29"/>
  </w:num>
  <w:num w:numId="19">
    <w:abstractNumId w:val="21"/>
  </w:num>
  <w:num w:numId="20">
    <w:abstractNumId w:val="18"/>
  </w:num>
  <w:num w:numId="21">
    <w:abstractNumId w:val="22"/>
  </w:num>
  <w:num w:numId="22">
    <w:abstractNumId w:val="9"/>
  </w:num>
  <w:num w:numId="23">
    <w:abstractNumId w:val="16"/>
  </w:num>
  <w:num w:numId="24">
    <w:abstractNumId w:val="27"/>
  </w:num>
  <w:num w:numId="25">
    <w:abstractNumId w:val="7"/>
  </w:num>
  <w:num w:numId="26">
    <w:abstractNumId w:val="38"/>
  </w:num>
  <w:num w:numId="27">
    <w:abstractNumId w:val="23"/>
  </w:num>
  <w:num w:numId="28">
    <w:abstractNumId w:val="11"/>
  </w:num>
  <w:num w:numId="29">
    <w:abstractNumId w:val="3"/>
  </w:num>
  <w:num w:numId="30">
    <w:abstractNumId w:val="32"/>
  </w:num>
  <w:num w:numId="31">
    <w:abstractNumId w:val="8"/>
  </w:num>
  <w:num w:numId="32">
    <w:abstractNumId w:val="10"/>
  </w:num>
  <w:num w:numId="33">
    <w:abstractNumId w:val="30"/>
  </w:num>
  <w:num w:numId="34">
    <w:abstractNumId w:val="6"/>
  </w:num>
  <w:num w:numId="35">
    <w:abstractNumId w:val="5"/>
  </w:num>
  <w:num w:numId="36">
    <w:abstractNumId w:val="24"/>
  </w:num>
  <w:num w:numId="37">
    <w:abstractNumId w:val="28"/>
  </w:num>
  <w:num w:numId="38">
    <w:abstractNumId w:val="15"/>
  </w:num>
  <w:num w:numId="39">
    <w:abstractNumId w:val="14"/>
  </w:num>
  <w:num w:numId="40">
    <w:abstractNumId w:val="1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70E1"/>
    <w:rsid w:val="00007A86"/>
    <w:rsid w:val="00007FC4"/>
    <w:rsid w:val="00010DD1"/>
    <w:rsid w:val="000121A7"/>
    <w:rsid w:val="00013C90"/>
    <w:rsid w:val="00017B08"/>
    <w:rsid w:val="0002059F"/>
    <w:rsid w:val="00024D95"/>
    <w:rsid w:val="00030D76"/>
    <w:rsid w:val="00031CD4"/>
    <w:rsid w:val="00037B2A"/>
    <w:rsid w:val="00040879"/>
    <w:rsid w:val="00045937"/>
    <w:rsid w:val="000505C9"/>
    <w:rsid w:val="000551C7"/>
    <w:rsid w:val="00055745"/>
    <w:rsid w:val="000562F8"/>
    <w:rsid w:val="00057A18"/>
    <w:rsid w:val="00060CF5"/>
    <w:rsid w:val="00066234"/>
    <w:rsid w:val="000674AB"/>
    <w:rsid w:val="0007123C"/>
    <w:rsid w:val="00073E02"/>
    <w:rsid w:val="00074CF6"/>
    <w:rsid w:val="000837BC"/>
    <w:rsid w:val="00094445"/>
    <w:rsid w:val="00096A6C"/>
    <w:rsid w:val="000A1D59"/>
    <w:rsid w:val="000A2DDB"/>
    <w:rsid w:val="000C1753"/>
    <w:rsid w:val="000C526A"/>
    <w:rsid w:val="000D138E"/>
    <w:rsid w:val="000D43FA"/>
    <w:rsid w:val="000D5FBA"/>
    <w:rsid w:val="000E02EE"/>
    <w:rsid w:val="000E341D"/>
    <w:rsid w:val="000E485A"/>
    <w:rsid w:val="00106A58"/>
    <w:rsid w:val="00106F1B"/>
    <w:rsid w:val="001071AA"/>
    <w:rsid w:val="0010799C"/>
    <w:rsid w:val="00111207"/>
    <w:rsid w:val="0012048E"/>
    <w:rsid w:val="001264A5"/>
    <w:rsid w:val="0013376C"/>
    <w:rsid w:val="0013479C"/>
    <w:rsid w:val="001375B4"/>
    <w:rsid w:val="001410E6"/>
    <w:rsid w:val="001443A5"/>
    <w:rsid w:val="00162C89"/>
    <w:rsid w:val="00164519"/>
    <w:rsid w:val="00166B8C"/>
    <w:rsid w:val="001900C4"/>
    <w:rsid w:val="00193DD5"/>
    <w:rsid w:val="001A0BD7"/>
    <w:rsid w:val="001A2B2B"/>
    <w:rsid w:val="001A37A6"/>
    <w:rsid w:val="001A565E"/>
    <w:rsid w:val="001B5C3A"/>
    <w:rsid w:val="001B6118"/>
    <w:rsid w:val="001C0616"/>
    <w:rsid w:val="001C5AE7"/>
    <w:rsid w:val="001D08C6"/>
    <w:rsid w:val="001F431F"/>
    <w:rsid w:val="001F45D3"/>
    <w:rsid w:val="001F4FA3"/>
    <w:rsid w:val="001F774A"/>
    <w:rsid w:val="002058C7"/>
    <w:rsid w:val="00211736"/>
    <w:rsid w:val="00213B5F"/>
    <w:rsid w:val="00214C77"/>
    <w:rsid w:val="00215E2E"/>
    <w:rsid w:val="00222851"/>
    <w:rsid w:val="00232B64"/>
    <w:rsid w:val="00233596"/>
    <w:rsid w:val="00252F21"/>
    <w:rsid w:val="0026756C"/>
    <w:rsid w:val="002678B2"/>
    <w:rsid w:val="0027606C"/>
    <w:rsid w:val="002776A1"/>
    <w:rsid w:val="002840D0"/>
    <w:rsid w:val="002855E4"/>
    <w:rsid w:val="002934AE"/>
    <w:rsid w:val="00293E98"/>
    <w:rsid w:val="002A2043"/>
    <w:rsid w:val="002A2528"/>
    <w:rsid w:val="002A4F5E"/>
    <w:rsid w:val="002A6E25"/>
    <w:rsid w:val="002B429B"/>
    <w:rsid w:val="002C1B38"/>
    <w:rsid w:val="002C5B4A"/>
    <w:rsid w:val="002C6DA8"/>
    <w:rsid w:val="002D4ADD"/>
    <w:rsid w:val="002E3965"/>
    <w:rsid w:val="002F2562"/>
    <w:rsid w:val="002F2E43"/>
    <w:rsid w:val="00306BB2"/>
    <w:rsid w:val="00315DBF"/>
    <w:rsid w:val="00324411"/>
    <w:rsid w:val="00324B25"/>
    <w:rsid w:val="00327E7C"/>
    <w:rsid w:val="003412A1"/>
    <w:rsid w:val="003506B1"/>
    <w:rsid w:val="00361CBD"/>
    <w:rsid w:val="003646D0"/>
    <w:rsid w:val="00364A9E"/>
    <w:rsid w:val="00373416"/>
    <w:rsid w:val="00377C04"/>
    <w:rsid w:val="00384BB1"/>
    <w:rsid w:val="00385EBF"/>
    <w:rsid w:val="003970C5"/>
    <w:rsid w:val="003A5783"/>
    <w:rsid w:val="003B2B56"/>
    <w:rsid w:val="003B525E"/>
    <w:rsid w:val="003C1774"/>
    <w:rsid w:val="003C2E2F"/>
    <w:rsid w:val="003C7353"/>
    <w:rsid w:val="003D6B59"/>
    <w:rsid w:val="003E3600"/>
    <w:rsid w:val="003E3E26"/>
    <w:rsid w:val="003E7947"/>
    <w:rsid w:val="003F49D1"/>
    <w:rsid w:val="00402226"/>
    <w:rsid w:val="00402839"/>
    <w:rsid w:val="0041473A"/>
    <w:rsid w:val="00426475"/>
    <w:rsid w:val="00434230"/>
    <w:rsid w:val="004400A8"/>
    <w:rsid w:val="00440145"/>
    <w:rsid w:val="00470F1B"/>
    <w:rsid w:val="0047459E"/>
    <w:rsid w:val="00482F11"/>
    <w:rsid w:val="004908C5"/>
    <w:rsid w:val="00492CBA"/>
    <w:rsid w:val="004935BE"/>
    <w:rsid w:val="004951D2"/>
    <w:rsid w:val="004A1671"/>
    <w:rsid w:val="004A3B1F"/>
    <w:rsid w:val="004A548E"/>
    <w:rsid w:val="004B2A8C"/>
    <w:rsid w:val="004B33AC"/>
    <w:rsid w:val="004B3480"/>
    <w:rsid w:val="004B442D"/>
    <w:rsid w:val="004B63CB"/>
    <w:rsid w:val="004C241A"/>
    <w:rsid w:val="004C6CDB"/>
    <w:rsid w:val="004D64AA"/>
    <w:rsid w:val="004E2945"/>
    <w:rsid w:val="004E33D0"/>
    <w:rsid w:val="004F2DC3"/>
    <w:rsid w:val="00500F43"/>
    <w:rsid w:val="005017AF"/>
    <w:rsid w:val="00503CB9"/>
    <w:rsid w:val="00504CC5"/>
    <w:rsid w:val="0050651A"/>
    <w:rsid w:val="00506A08"/>
    <w:rsid w:val="005140DB"/>
    <w:rsid w:val="00515471"/>
    <w:rsid w:val="00515C15"/>
    <w:rsid w:val="005300D7"/>
    <w:rsid w:val="00534DE7"/>
    <w:rsid w:val="0055086A"/>
    <w:rsid w:val="00550EFF"/>
    <w:rsid w:val="005544F0"/>
    <w:rsid w:val="00564F1B"/>
    <w:rsid w:val="00565926"/>
    <w:rsid w:val="00566776"/>
    <w:rsid w:val="005676A3"/>
    <w:rsid w:val="00585D82"/>
    <w:rsid w:val="00586786"/>
    <w:rsid w:val="00591283"/>
    <w:rsid w:val="005A153B"/>
    <w:rsid w:val="005B3449"/>
    <w:rsid w:val="005B5BBA"/>
    <w:rsid w:val="005B6C42"/>
    <w:rsid w:val="005B7492"/>
    <w:rsid w:val="005D4C0B"/>
    <w:rsid w:val="005E04CB"/>
    <w:rsid w:val="005E295E"/>
    <w:rsid w:val="005E3B58"/>
    <w:rsid w:val="00603D9D"/>
    <w:rsid w:val="00604BD0"/>
    <w:rsid w:val="006069E0"/>
    <w:rsid w:val="0062180D"/>
    <w:rsid w:val="006274AB"/>
    <w:rsid w:val="006415E6"/>
    <w:rsid w:val="0065075B"/>
    <w:rsid w:val="006512ED"/>
    <w:rsid w:val="00655A39"/>
    <w:rsid w:val="0066116C"/>
    <w:rsid w:val="00661850"/>
    <w:rsid w:val="0066486F"/>
    <w:rsid w:val="00692B74"/>
    <w:rsid w:val="00693D8D"/>
    <w:rsid w:val="006A2671"/>
    <w:rsid w:val="006A7644"/>
    <w:rsid w:val="006A76DB"/>
    <w:rsid w:val="006A7DD8"/>
    <w:rsid w:val="006B2872"/>
    <w:rsid w:val="006B6DF8"/>
    <w:rsid w:val="006C08C0"/>
    <w:rsid w:val="006C13B7"/>
    <w:rsid w:val="006D0ACE"/>
    <w:rsid w:val="006E3A11"/>
    <w:rsid w:val="00701D7F"/>
    <w:rsid w:val="007037E7"/>
    <w:rsid w:val="00713A30"/>
    <w:rsid w:val="00717EB0"/>
    <w:rsid w:val="00720F4F"/>
    <w:rsid w:val="007212FE"/>
    <w:rsid w:val="00723E9B"/>
    <w:rsid w:val="007242C5"/>
    <w:rsid w:val="00727FC4"/>
    <w:rsid w:val="0073061A"/>
    <w:rsid w:val="007319C8"/>
    <w:rsid w:val="00732085"/>
    <w:rsid w:val="007368DB"/>
    <w:rsid w:val="00741876"/>
    <w:rsid w:val="00747AF6"/>
    <w:rsid w:val="00750048"/>
    <w:rsid w:val="00762197"/>
    <w:rsid w:val="007807D0"/>
    <w:rsid w:val="00781FC9"/>
    <w:rsid w:val="007908F0"/>
    <w:rsid w:val="007A6EF6"/>
    <w:rsid w:val="007B6CD5"/>
    <w:rsid w:val="007B74E9"/>
    <w:rsid w:val="007B7780"/>
    <w:rsid w:val="007D0F45"/>
    <w:rsid w:val="007D1FE8"/>
    <w:rsid w:val="007D290E"/>
    <w:rsid w:val="007E26A9"/>
    <w:rsid w:val="007E3013"/>
    <w:rsid w:val="007E3213"/>
    <w:rsid w:val="00810658"/>
    <w:rsid w:val="0081316F"/>
    <w:rsid w:val="00817419"/>
    <w:rsid w:val="00823ADA"/>
    <w:rsid w:val="008326AC"/>
    <w:rsid w:val="00833F24"/>
    <w:rsid w:val="00840C90"/>
    <w:rsid w:val="00845537"/>
    <w:rsid w:val="00852145"/>
    <w:rsid w:val="00862069"/>
    <w:rsid w:val="00864549"/>
    <w:rsid w:val="00872051"/>
    <w:rsid w:val="00872A42"/>
    <w:rsid w:val="00895D95"/>
    <w:rsid w:val="0089740E"/>
    <w:rsid w:val="008B59B3"/>
    <w:rsid w:val="008B5EAC"/>
    <w:rsid w:val="008B6783"/>
    <w:rsid w:val="008C393C"/>
    <w:rsid w:val="008C4F5B"/>
    <w:rsid w:val="008D2081"/>
    <w:rsid w:val="008E14F2"/>
    <w:rsid w:val="008E1700"/>
    <w:rsid w:val="008E2BB1"/>
    <w:rsid w:val="008F10CE"/>
    <w:rsid w:val="008F2F4A"/>
    <w:rsid w:val="008F3AB3"/>
    <w:rsid w:val="009026C8"/>
    <w:rsid w:val="00903923"/>
    <w:rsid w:val="00923DFE"/>
    <w:rsid w:val="00937659"/>
    <w:rsid w:val="00954493"/>
    <w:rsid w:val="00954BB9"/>
    <w:rsid w:val="009575E3"/>
    <w:rsid w:val="009617D9"/>
    <w:rsid w:val="009621A7"/>
    <w:rsid w:val="0097190F"/>
    <w:rsid w:val="00977079"/>
    <w:rsid w:val="0098611A"/>
    <w:rsid w:val="00986B69"/>
    <w:rsid w:val="009926FE"/>
    <w:rsid w:val="009A2EF0"/>
    <w:rsid w:val="009A3FA2"/>
    <w:rsid w:val="009A51C5"/>
    <w:rsid w:val="009A5571"/>
    <w:rsid w:val="009A5C37"/>
    <w:rsid w:val="009A700A"/>
    <w:rsid w:val="009B1EEC"/>
    <w:rsid w:val="009C1FEF"/>
    <w:rsid w:val="009C5881"/>
    <w:rsid w:val="009D0EB7"/>
    <w:rsid w:val="009D533D"/>
    <w:rsid w:val="009F1EB6"/>
    <w:rsid w:val="009F2A9B"/>
    <w:rsid w:val="009F3684"/>
    <w:rsid w:val="00A01D5F"/>
    <w:rsid w:val="00A06FD9"/>
    <w:rsid w:val="00A127A8"/>
    <w:rsid w:val="00A17A82"/>
    <w:rsid w:val="00A216B8"/>
    <w:rsid w:val="00A2549D"/>
    <w:rsid w:val="00A27B73"/>
    <w:rsid w:val="00A357DA"/>
    <w:rsid w:val="00A37932"/>
    <w:rsid w:val="00A41014"/>
    <w:rsid w:val="00A46838"/>
    <w:rsid w:val="00A53FC6"/>
    <w:rsid w:val="00A620B6"/>
    <w:rsid w:val="00A704A2"/>
    <w:rsid w:val="00A762CE"/>
    <w:rsid w:val="00A858AE"/>
    <w:rsid w:val="00A8596A"/>
    <w:rsid w:val="00A8691F"/>
    <w:rsid w:val="00A8746F"/>
    <w:rsid w:val="00A90C2D"/>
    <w:rsid w:val="00A93915"/>
    <w:rsid w:val="00A94D9B"/>
    <w:rsid w:val="00A9768A"/>
    <w:rsid w:val="00AB4FF2"/>
    <w:rsid w:val="00AC75B9"/>
    <w:rsid w:val="00AE13B0"/>
    <w:rsid w:val="00AE40EE"/>
    <w:rsid w:val="00AE6014"/>
    <w:rsid w:val="00AF66D8"/>
    <w:rsid w:val="00AF7F45"/>
    <w:rsid w:val="00B079E8"/>
    <w:rsid w:val="00B147D9"/>
    <w:rsid w:val="00B2177F"/>
    <w:rsid w:val="00B25585"/>
    <w:rsid w:val="00B25804"/>
    <w:rsid w:val="00B32DE0"/>
    <w:rsid w:val="00B36798"/>
    <w:rsid w:val="00B3735F"/>
    <w:rsid w:val="00B41F82"/>
    <w:rsid w:val="00B4337B"/>
    <w:rsid w:val="00B44B4A"/>
    <w:rsid w:val="00B479E7"/>
    <w:rsid w:val="00B53BD4"/>
    <w:rsid w:val="00B65A0C"/>
    <w:rsid w:val="00B8428A"/>
    <w:rsid w:val="00B922EE"/>
    <w:rsid w:val="00B927E1"/>
    <w:rsid w:val="00B94D0D"/>
    <w:rsid w:val="00BA255D"/>
    <w:rsid w:val="00BB3BA6"/>
    <w:rsid w:val="00BB3E11"/>
    <w:rsid w:val="00BB7B00"/>
    <w:rsid w:val="00BC4064"/>
    <w:rsid w:val="00BC63A9"/>
    <w:rsid w:val="00BC6B3D"/>
    <w:rsid w:val="00BD796D"/>
    <w:rsid w:val="00BD7EC9"/>
    <w:rsid w:val="00BE7A61"/>
    <w:rsid w:val="00BF5961"/>
    <w:rsid w:val="00BF7D6A"/>
    <w:rsid w:val="00C02F32"/>
    <w:rsid w:val="00C11208"/>
    <w:rsid w:val="00C15036"/>
    <w:rsid w:val="00C15ECB"/>
    <w:rsid w:val="00C162B8"/>
    <w:rsid w:val="00C1673B"/>
    <w:rsid w:val="00C2666E"/>
    <w:rsid w:val="00C34F90"/>
    <w:rsid w:val="00C36B72"/>
    <w:rsid w:val="00C427E9"/>
    <w:rsid w:val="00C428DB"/>
    <w:rsid w:val="00C42D65"/>
    <w:rsid w:val="00C43609"/>
    <w:rsid w:val="00C50FD6"/>
    <w:rsid w:val="00C511C3"/>
    <w:rsid w:val="00C522EB"/>
    <w:rsid w:val="00C57327"/>
    <w:rsid w:val="00C57CAF"/>
    <w:rsid w:val="00C70392"/>
    <w:rsid w:val="00C72005"/>
    <w:rsid w:val="00C80267"/>
    <w:rsid w:val="00CA6090"/>
    <w:rsid w:val="00CB094E"/>
    <w:rsid w:val="00CB33FF"/>
    <w:rsid w:val="00CC3774"/>
    <w:rsid w:val="00CC56E0"/>
    <w:rsid w:val="00CC7812"/>
    <w:rsid w:val="00CD1171"/>
    <w:rsid w:val="00CD7F36"/>
    <w:rsid w:val="00CE0F9A"/>
    <w:rsid w:val="00CE4CD2"/>
    <w:rsid w:val="00CE7AA9"/>
    <w:rsid w:val="00CF508F"/>
    <w:rsid w:val="00D11575"/>
    <w:rsid w:val="00D13ED9"/>
    <w:rsid w:val="00D14319"/>
    <w:rsid w:val="00D1693B"/>
    <w:rsid w:val="00D267F0"/>
    <w:rsid w:val="00D30A9F"/>
    <w:rsid w:val="00D66847"/>
    <w:rsid w:val="00D66EE1"/>
    <w:rsid w:val="00D800B7"/>
    <w:rsid w:val="00D863D5"/>
    <w:rsid w:val="00D91611"/>
    <w:rsid w:val="00D93AD1"/>
    <w:rsid w:val="00D93CDE"/>
    <w:rsid w:val="00D95AA6"/>
    <w:rsid w:val="00D96FF9"/>
    <w:rsid w:val="00DC21F7"/>
    <w:rsid w:val="00DC6B07"/>
    <w:rsid w:val="00DD36FD"/>
    <w:rsid w:val="00DD41FC"/>
    <w:rsid w:val="00DD58AB"/>
    <w:rsid w:val="00DD696A"/>
    <w:rsid w:val="00DE08D4"/>
    <w:rsid w:val="00DE0DFA"/>
    <w:rsid w:val="00DE5AEB"/>
    <w:rsid w:val="00DE775F"/>
    <w:rsid w:val="00DF73E9"/>
    <w:rsid w:val="00E12093"/>
    <w:rsid w:val="00E1467B"/>
    <w:rsid w:val="00E16F18"/>
    <w:rsid w:val="00E254C2"/>
    <w:rsid w:val="00E46201"/>
    <w:rsid w:val="00E46303"/>
    <w:rsid w:val="00E52109"/>
    <w:rsid w:val="00E522D9"/>
    <w:rsid w:val="00E53847"/>
    <w:rsid w:val="00E62C87"/>
    <w:rsid w:val="00E631E8"/>
    <w:rsid w:val="00E6656D"/>
    <w:rsid w:val="00E80805"/>
    <w:rsid w:val="00E83BEC"/>
    <w:rsid w:val="00E84535"/>
    <w:rsid w:val="00E87006"/>
    <w:rsid w:val="00E9223C"/>
    <w:rsid w:val="00E96471"/>
    <w:rsid w:val="00E9696E"/>
    <w:rsid w:val="00E96C80"/>
    <w:rsid w:val="00EA3DE7"/>
    <w:rsid w:val="00EA462B"/>
    <w:rsid w:val="00EA782F"/>
    <w:rsid w:val="00EC710B"/>
    <w:rsid w:val="00ED2A31"/>
    <w:rsid w:val="00ED413B"/>
    <w:rsid w:val="00ED6093"/>
    <w:rsid w:val="00EF12F9"/>
    <w:rsid w:val="00EF6427"/>
    <w:rsid w:val="00EF765B"/>
    <w:rsid w:val="00F1008D"/>
    <w:rsid w:val="00F22460"/>
    <w:rsid w:val="00F24563"/>
    <w:rsid w:val="00F2752D"/>
    <w:rsid w:val="00F32B63"/>
    <w:rsid w:val="00F42057"/>
    <w:rsid w:val="00F53740"/>
    <w:rsid w:val="00F628B3"/>
    <w:rsid w:val="00F63E47"/>
    <w:rsid w:val="00F720AC"/>
    <w:rsid w:val="00F720EF"/>
    <w:rsid w:val="00F900B3"/>
    <w:rsid w:val="00F92B90"/>
    <w:rsid w:val="00F9381D"/>
    <w:rsid w:val="00FA5E3F"/>
    <w:rsid w:val="00FB269B"/>
    <w:rsid w:val="00FE7B78"/>
    <w:rsid w:val="00FF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89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 w:type="paragraph" w:customStyle="1" w:styleId="Char2">
    <w:name w:val="Char2"/>
    <w:basedOn w:val="Normal"/>
    <w:rsid w:val="00074CF6"/>
    <w:pPr>
      <w:spacing w:after="160" w:line="240" w:lineRule="exact"/>
    </w:pPr>
    <w:rPr>
      <w:rFonts w:ascii="Calibri" w:eastAsia="Batang" w:hAnsi="Calibri" w:cs="Times New Roman"/>
      <w:sz w:val="20"/>
      <w:szCs w:val="20"/>
      <w:vertAlign w:val="superscript"/>
    </w:rPr>
  </w:style>
  <w:style w:type="character" w:styleId="FollowedHyperlink">
    <w:name w:val="FollowedHyperlink"/>
    <w:basedOn w:val="DefaultParagraphFont"/>
    <w:uiPriority w:val="99"/>
    <w:semiHidden/>
    <w:unhideWhenUsed/>
    <w:rsid w:val="00DE775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 w:type="paragraph" w:customStyle="1" w:styleId="Char2">
    <w:name w:val="Char2"/>
    <w:basedOn w:val="Normal"/>
    <w:rsid w:val="00074CF6"/>
    <w:pPr>
      <w:spacing w:after="160" w:line="240" w:lineRule="exact"/>
    </w:pPr>
    <w:rPr>
      <w:rFonts w:ascii="Calibri" w:eastAsia="Batang" w:hAnsi="Calibri" w:cs="Times New Roman"/>
      <w:sz w:val="20"/>
      <w:szCs w:val="20"/>
      <w:vertAlign w:val="superscript"/>
    </w:rPr>
  </w:style>
  <w:style w:type="character" w:styleId="FollowedHyperlink">
    <w:name w:val="FollowedHyperlink"/>
    <w:basedOn w:val="DefaultParagraphFont"/>
    <w:uiPriority w:val="99"/>
    <w:semiHidden/>
    <w:unhideWhenUsed/>
    <w:rsid w:val="00DE77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758940410">
      <w:bodyDiv w:val="1"/>
      <w:marLeft w:val="0"/>
      <w:marRight w:val="0"/>
      <w:marTop w:val="0"/>
      <w:marBottom w:val="15"/>
      <w:divBdr>
        <w:top w:val="none" w:sz="0" w:space="0" w:color="auto"/>
        <w:left w:val="none" w:sz="0" w:space="0" w:color="auto"/>
        <w:bottom w:val="none" w:sz="0" w:space="0" w:color="auto"/>
        <w:right w:val="none" w:sz="0" w:space="0" w:color="auto"/>
      </w:divBdr>
      <w:divsChild>
        <w:div w:id="1326666921">
          <w:marLeft w:val="0"/>
          <w:marRight w:val="0"/>
          <w:marTop w:val="0"/>
          <w:marBottom w:val="375"/>
          <w:divBdr>
            <w:top w:val="none" w:sz="0" w:space="0" w:color="auto"/>
            <w:left w:val="none" w:sz="0" w:space="0" w:color="auto"/>
            <w:bottom w:val="none" w:sz="0" w:space="0" w:color="auto"/>
            <w:right w:val="none" w:sz="0" w:space="0" w:color="auto"/>
          </w:divBdr>
          <w:divsChild>
            <w:div w:id="1843004428">
              <w:marLeft w:val="0"/>
              <w:marRight w:val="0"/>
              <w:marTop w:val="0"/>
              <w:marBottom w:val="0"/>
              <w:divBdr>
                <w:top w:val="none" w:sz="0" w:space="0" w:color="auto"/>
                <w:left w:val="none" w:sz="0" w:space="0" w:color="auto"/>
                <w:bottom w:val="none" w:sz="0" w:space="0" w:color="auto"/>
                <w:right w:val="none" w:sz="0" w:space="0" w:color="auto"/>
              </w:divBdr>
              <w:divsChild>
                <w:div w:id="107360369">
                  <w:marLeft w:val="0"/>
                  <w:marRight w:val="0"/>
                  <w:marTop w:val="0"/>
                  <w:marBottom w:val="0"/>
                  <w:divBdr>
                    <w:top w:val="none" w:sz="0" w:space="0" w:color="auto"/>
                    <w:left w:val="none" w:sz="0" w:space="0" w:color="auto"/>
                    <w:bottom w:val="none" w:sz="0" w:space="0" w:color="auto"/>
                    <w:right w:val="none" w:sz="0" w:space="0" w:color="auto"/>
                  </w:divBdr>
                  <w:divsChild>
                    <w:div w:id="1879200394">
                      <w:marLeft w:val="0"/>
                      <w:marRight w:val="0"/>
                      <w:marTop w:val="0"/>
                      <w:marBottom w:val="0"/>
                      <w:divBdr>
                        <w:top w:val="none" w:sz="0" w:space="0" w:color="auto"/>
                        <w:left w:val="none" w:sz="0" w:space="0" w:color="auto"/>
                        <w:bottom w:val="none" w:sz="0" w:space="0" w:color="auto"/>
                        <w:right w:val="none" w:sz="0" w:space="0" w:color="auto"/>
                      </w:divBdr>
                      <w:divsChild>
                        <w:div w:id="672074912">
                          <w:marLeft w:val="0"/>
                          <w:marRight w:val="0"/>
                          <w:marTop w:val="0"/>
                          <w:marBottom w:val="0"/>
                          <w:divBdr>
                            <w:top w:val="none" w:sz="0" w:space="0" w:color="auto"/>
                            <w:left w:val="none" w:sz="0" w:space="0" w:color="auto"/>
                            <w:bottom w:val="none" w:sz="0" w:space="0" w:color="auto"/>
                            <w:right w:val="none" w:sz="0" w:space="0" w:color="auto"/>
                          </w:divBdr>
                          <w:divsChild>
                            <w:div w:id="373193754">
                              <w:marLeft w:val="0"/>
                              <w:marRight w:val="0"/>
                              <w:marTop w:val="0"/>
                              <w:marBottom w:val="0"/>
                              <w:divBdr>
                                <w:top w:val="none" w:sz="0" w:space="0" w:color="auto"/>
                                <w:left w:val="none" w:sz="0" w:space="0" w:color="auto"/>
                                <w:bottom w:val="none" w:sz="0" w:space="0" w:color="auto"/>
                                <w:right w:val="none" w:sz="0" w:space="0" w:color="auto"/>
                              </w:divBdr>
                              <w:divsChild>
                                <w:div w:id="100801311">
                                  <w:marLeft w:val="0"/>
                                  <w:marRight w:val="0"/>
                                  <w:marTop w:val="0"/>
                                  <w:marBottom w:val="0"/>
                                  <w:divBdr>
                                    <w:top w:val="none" w:sz="0" w:space="0" w:color="auto"/>
                                    <w:left w:val="none" w:sz="0" w:space="0" w:color="auto"/>
                                    <w:bottom w:val="none" w:sz="0" w:space="0" w:color="auto"/>
                                    <w:right w:val="none" w:sz="0" w:space="0" w:color="auto"/>
                                  </w:divBdr>
                                  <w:divsChild>
                                    <w:div w:id="262962545">
                                      <w:marLeft w:val="150"/>
                                      <w:marRight w:val="150"/>
                                      <w:marTop w:val="150"/>
                                      <w:marBottom w:val="150"/>
                                      <w:divBdr>
                                        <w:top w:val="none" w:sz="0" w:space="0" w:color="auto"/>
                                        <w:left w:val="none" w:sz="0" w:space="0" w:color="auto"/>
                                        <w:bottom w:val="none" w:sz="0" w:space="0" w:color="auto"/>
                                        <w:right w:val="none" w:sz="0" w:space="0" w:color="auto"/>
                                      </w:divBdr>
                                      <w:divsChild>
                                        <w:div w:id="2144107993">
                                          <w:marLeft w:val="0"/>
                                          <w:marRight w:val="0"/>
                                          <w:marTop w:val="0"/>
                                          <w:marBottom w:val="0"/>
                                          <w:divBdr>
                                            <w:top w:val="none" w:sz="0" w:space="0" w:color="auto"/>
                                            <w:left w:val="none" w:sz="0" w:space="0" w:color="auto"/>
                                            <w:bottom w:val="none" w:sz="0" w:space="0" w:color="auto"/>
                                            <w:right w:val="none" w:sz="0" w:space="0" w:color="auto"/>
                                          </w:divBdr>
                                          <w:divsChild>
                                            <w:div w:id="1680958858">
                                              <w:marLeft w:val="0"/>
                                              <w:marRight w:val="0"/>
                                              <w:marTop w:val="0"/>
                                              <w:marBottom w:val="0"/>
                                              <w:divBdr>
                                                <w:top w:val="none" w:sz="0" w:space="0" w:color="auto"/>
                                                <w:left w:val="none" w:sz="0" w:space="0" w:color="auto"/>
                                                <w:bottom w:val="none" w:sz="0" w:space="0" w:color="auto"/>
                                                <w:right w:val="none" w:sz="0" w:space="0" w:color="auto"/>
                                              </w:divBdr>
                                              <w:divsChild>
                                                <w:div w:id="1212307972">
                                                  <w:marLeft w:val="0"/>
                                                  <w:marRight w:val="0"/>
                                                  <w:marTop w:val="0"/>
                                                  <w:marBottom w:val="0"/>
                                                  <w:divBdr>
                                                    <w:top w:val="none" w:sz="0" w:space="0" w:color="auto"/>
                                                    <w:left w:val="none" w:sz="0" w:space="0" w:color="auto"/>
                                                    <w:bottom w:val="none" w:sz="0" w:space="0" w:color="auto"/>
                                                    <w:right w:val="none" w:sz="0" w:space="0" w:color="auto"/>
                                                  </w:divBdr>
                                                  <w:divsChild>
                                                    <w:div w:id="584657184">
                                                      <w:marLeft w:val="0"/>
                                                      <w:marRight w:val="0"/>
                                                      <w:marTop w:val="0"/>
                                                      <w:marBottom w:val="0"/>
                                                      <w:divBdr>
                                                        <w:top w:val="none" w:sz="0" w:space="0" w:color="auto"/>
                                                        <w:left w:val="none" w:sz="0" w:space="0" w:color="auto"/>
                                                        <w:bottom w:val="none" w:sz="0" w:space="0" w:color="auto"/>
                                                        <w:right w:val="none" w:sz="0" w:space="0" w:color="auto"/>
                                                      </w:divBdr>
                                                      <w:divsChild>
                                                        <w:div w:id="1575430087">
                                                          <w:marLeft w:val="0"/>
                                                          <w:marRight w:val="0"/>
                                                          <w:marTop w:val="0"/>
                                                          <w:marBottom w:val="0"/>
                                                          <w:divBdr>
                                                            <w:top w:val="none" w:sz="0" w:space="0" w:color="auto"/>
                                                            <w:left w:val="none" w:sz="0" w:space="0" w:color="auto"/>
                                                            <w:bottom w:val="none" w:sz="0" w:space="0" w:color="auto"/>
                                                            <w:right w:val="none" w:sz="0" w:space="0" w:color="auto"/>
                                                          </w:divBdr>
                                                          <w:divsChild>
                                                            <w:div w:id="1279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casos/articulos/seriec_326_esp.pdf" TargetMode="External"/><Relationship Id="rId2" Type="http://schemas.openxmlformats.org/officeDocument/2006/relationships/hyperlink" Target="http://www.corteidh.or.cr/docs/casos/articulos/seriec_326_esp.pdf" TargetMode="External"/><Relationship Id="rId1" Type="http://schemas.openxmlformats.org/officeDocument/2006/relationships/hyperlink" Target="http://www.oas.org/es/cidh/decisiones/pdf/2016/MC617-15-Es.pdf" TargetMode="External"/><Relationship Id="rId6" Type="http://schemas.openxmlformats.org/officeDocument/2006/relationships/hyperlink" Target="http://www.corteidh.or.cr/docs/casos/articulos/seriec_326_esp.pdf" TargetMode="External"/><Relationship Id="rId5" Type="http://schemas.openxmlformats.org/officeDocument/2006/relationships/hyperlink" Target="http://www.corteidh.or.cr/docs/casos/articulos/seriec_326_esp.pdf" TargetMode="External"/><Relationship Id="rId4" Type="http://schemas.openxmlformats.org/officeDocument/2006/relationships/hyperlink" Target="http://www.corteidh.or.cr/docs/casos/articulos/seriec_326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8EDA57-E86D-4B92-BB37-0AC4B9C6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1896</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Furugh Nahib</dc:creator>
  <cp:lastModifiedBy>Fontana, Maria Eva</cp:lastModifiedBy>
  <cp:revision>4</cp:revision>
  <cp:lastPrinted>2018-06-05T12:59:00Z</cp:lastPrinted>
  <dcterms:created xsi:type="dcterms:W3CDTF">2018-05-10T22:38:00Z</dcterms:created>
  <dcterms:modified xsi:type="dcterms:W3CDTF">2018-06-05T12:59:00Z</dcterms:modified>
</cp:coreProperties>
</file>