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750048" w:rsidRDefault="00E254C2" w:rsidP="00A94D9B">
      <w:pPr>
        <w:jc w:val="center"/>
        <w:rPr>
          <w:rFonts w:ascii="Cambria" w:hAnsi="Cambria"/>
          <w:b/>
          <w:sz w:val="22"/>
          <w:szCs w:val="21"/>
          <w:lang w:val="es-ES_tradnl"/>
        </w:rPr>
      </w:pPr>
      <w:bookmarkStart w:id="0" w:name="_GoBack"/>
      <w:bookmarkEnd w:id="0"/>
      <w:r w:rsidRPr="00750048">
        <w:rPr>
          <w:rFonts w:ascii="Cambria" w:hAnsi="Cambria"/>
          <w:b/>
          <w:sz w:val="22"/>
          <w:szCs w:val="21"/>
          <w:lang w:val="es-ES_tradnl"/>
        </w:rPr>
        <w:t>COMISIÓN INTERAMERICANA DE DERECHOS HUMANOS</w:t>
      </w:r>
    </w:p>
    <w:p w:rsidR="00E254C2" w:rsidRPr="00750048" w:rsidRDefault="00E254C2" w:rsidP="00A94D9B">
      <w:pPr>
        <w:jc w:val="center"/>
        <w:rPr>
          <w:rFonts w:ascii="Cambria" w:hAnsi="Cambria"/>
          <w:sz w:val="22"/>
          <w:szCs w:val="21"/>
          <w:lang w:val="es-ES_tradnl"/>
        </w:rPr>
      </w:pPr>
      <w:r w:rsidRPr="00750048">
        <w:rPr>
          <w:rFonts w:ascii="Cambria" w:hAnsi="Cambria"/>
          <w:b/>
          <w:sz w:val="22"/>
          <w:szCs w:val="21"/>
          <w:lang w:val="es-ES_tradnl"/>
        </w:rPr>
        <w:t xml:space="preserve">RESOLUCIÓN </w:t>
      </w:r>
      <w:r w:rsidR="00D26EB9">
        <w:rPr>
          <w:rFonts w:ascii="Cambria" w:hAnsi="Cambria"/>
          <w:b/>
          <w:sz w:val="22"/>
          <w:szCs w:val="21"/>
          <w:lang w:val="es-ES_tradnl"/>
        </w:rPr>
        <w:t>68</w:t>
      </w:r>
      <w:r w:rsidR="00DF630D">
        <w:rPr>
          <w:rFonts w:ascii="Cambria" w:hAnsi="Cambria"/>
          <w:b/>
          <w:sz w:val="22"/>
          <w:szCs w:val="21"/>
          <w:lang w:val="es-ES_tradnl"/>
        </w:rPr>
        <w:t>/2018</w:t>
      </w:r>
    </w:p>
    <w:p w:rsidR="004E33D0" w:rsidRPr="00750048" w:rsidRDefault="004E33D0" w:rsidP="00AE6014">
      <w:pPr>
        <w:jc w:val="center"/>
        <w:rPr>
          <w:rFonts w:ascii="Cambria" w:hAnsi="Cambria"/>
          <w:sz w:val="22"/>
          <w:szCs w:val="21"/>
          <w:lang w:val="es-CO"/>
        </w:rPr>
      </w:pPr>
      <w:r w:rsidRPr="00750048">
        <w:rPr>
          <w:rFonts w:ascii="Cambria" w:hAnsi="Cambria"/>
          <w:sz w:val="22"/>
          <w:szCs w:val="21"/>
          <w:lang w:val="es-CO"/>
        </w:rPr>
        <w:t xml:space="preserve">Medida cautelar No. </w:t>
      </w:r>
      <w:r w:rsidR="00DF630D">
        <w:rPr>
          <w:rFonts w:ascii="Cambria" w:hAnsi="Cambria"/>
          <w:sz w:val="22"/>
          <w:szCs w:val="21"/>
          <w:lang w:val="es-CO"/>
        </w:rPr>
        <w:t>454-18</w:t>
      </w:r>
    </w:p>
    <w:p w:rsidR="00AE6014" w:rsidRPr="00750048" w:rsidRDefault="00AE6014" w:rsidP="00A94D9B">
      <w:pPr>
        <w:jc w:val="center"/>
        <w:rPr>
          <w:rFonts w:ascii="Cambria" w:hAnsi="Cambria"/>
          <w:sz w:val="21"/>
          <w:szCs w:val="21"/>
          <w:lang w:val="es-CO"/>
        </w:rPr>
      </w:pPr>
    </w:p>
    <w:p w:rsidR="00E254C2" w:rsidRPr="00750048" w:rsidRDefault="00DF630D" w:rsidP="00A94D9B">
      <w:pPr>
        <w:jc w:val="center"/>
        <w:rPr>
          <w:rFonts w:ascii="Cambria" w:hAnsi="Cambria"/>
          <w:sz w:val="26"/>
          <w:szCs w:val="26"/>
          <w:lang w:val="es-CO"/>
        </w:rPr>
      </w:pPr>
      <w:r>
        <w:rPr>
          <w:rFonts w:ascii="Cambria" w:hAnsi="Cambria"/>
          <w:sz w:val="26"/>
          <w:szCs w:val="26"/>
          <w:lang w:val="es-CO"/>
        </w:rPr>
        <w:t>Marbeli Vivani González López</w:t>
      </w:r>
      <w:r w:rsidR="00E254C2" w:rsidRPr="00750048">
        <w:rPr>
          <w:rFonts w:ascii="Cambria" w:hAnsi="Cambria"/>
          <w:sz w:val="26"/>
          <w:szCs w:val="26"/>
          <w:lang w:val="es-CO"/>
        </w:rPr>
        <w:t xml:space="preserve"> </w:t>
      </w:r>
      <w:r w:rsidR="00A41014" w:rsidRPr="00750048">
        <w:rPr>
          <w:rFonts w:ascii="Cambria" w:hAnsi="Cambria"/>
          <w:sz w:val="26"/>
          <w:szCs w:val="26"/>
          <w:lang w:val="es-CO"/>
        </w:rPr>
        <w:t xml:space="preserve">y otros </w:t>
      </w:r>
      <w:r w:rsidR="00E254C2" w:rsidRPr="00750048">
        <w:rPr>
          <w:rFonts w:ascii="Cambria" w:hAnsi="Cambria"/>
          <w:sz w:val="26"/>
          <w:szCs w:val="26"/>
          <w:lang w:val="es-CO"/>
        </w:rPr>
        <w:t xml:space="preserve">respecto de </w:t>
      </w:r>
      <w:r w:rsidR="00252F21" w:rsidRPr="00750048">
        <w:rPr>
          <w:rFonts w:ascii="Cambria" w:hAnsi="Cambria"/>
          <w:sz w:val="26"/>
          <w:szCs w:val="26"/>
          <w:lang w:val="es-CO"/>
        </w:rPr>
        <w:t>México</w:t>
      </w:r>
      <w:r w:rsidR="00252F21" w:rsidRPr="00750048">
        <w:rPr>
          <w:rStyle w:val="FootnoteReference"/>
          <w:rFonts w:ascii="Cambria" w:hAnsi="Cambria"/>
          <w:sz w:val="26"/>
          <w:szCs w:val="26"/>
          <w:lang w:val="es-CO"/>
        </w:rPr>
        <w:footnoteReference w:id="1"/>
      </w:r>
    </w:p>
    <w:p w:rsidR="00377C04" w:rsidRPr="00750048" w:rsidRDefault="00D26EB9" w:rsidP="00A94D9B">
      <w:pPr>
        <w:jc w:val="center"/>
        <w:rPr>
          <w:rFonts w:ascii="Cambria" w:hAnsi="Cambria"/>
          <w:sz w:val="20"/>
          <w:szCs w:val="18"/>
          <w:lang w:val="pt-BR"/>
        </w:rPr>
      </w:pPr>
      <w:r>
        <w:rPr>
          <w:rFonts w:ascii="Cambria" w:hAnsi="Cambria"/>
          <w:sz w:val="20"/>
          <w:szCs w:val="18"/>
          <w:lang w:val="pt-BR"/>
        </w:rPr>
        <w:t>6</w:t>
      </w:r>
      <w:r w:rsidR="00377C04" w:rsidRPr="00750048">
        <w:rPr>
          <w:rFonts w:ascii="Cambria" w:hAnsi="Cambria"/>
          <w:sz w:val="20"/>
          <w:szCs w:val="18"/>
          <w:lang w:val="pt-BR"/>
        </w:rPr>
        <w:t xml:space="preserve"> de </w:t>
      </w:r>
      <w:r>
        <w:rPr>
          <w:rFonts w:ascii="Cambria" w:hAnsi="Cambria"/>
          <w:sz w:val="20"/>
          <w:szCs w:val="18"/>
          <w:lang w:val="pt-BR"/>
        </w:rPr>
        <w:t>septiembre</w:t>
      </w:r>
      <w:r w:rsidR="00DF630D">
        <w:rPr>
          <w:rFonts w:ascii="Cambria" w:hAnsi="Cambria"/>
          <w:sz w:val="20"/>
          <w:szCs w:val="18"/>
          <w:lang w:val="pt-BR"/>
        </w:rPr>
        <w:t xml:space="preserve"> de 2018</w:t>
      </w:r>
      <w:r w:rsidR="00377C04" w:rsidRPr="00750048">
        <w:rPr>
          <w:rFonts w:ascii="Cambria" w:hAnsi="Cambria"/>
          <w:sz w:val="20"/>
          <w:szCs w:val="18"/>
          <w:lang w:val="pt-BR"/>
        </w:rPr>
        <w:t xml:space="preserve"> </w:t>
      </w:r>
    </w:p>
    <w:p w:rsidR="00377C04" w:rsidRPr="00750048" w:rsidRDefault="00377C04" w:rsidP="00A94D9B">
      <w:pPr>
        <w:jc w:val="center"/>
        <w:rPr>
          <w:rFonts w:ascii="Cambria" w:hAnsi="Cambria"/>
          <w:sz w:val="21"/>
          <w:szCs w:val="21"/>
          <w:lang w:val="pt-BR"/>
        </w:rPr>
      </w:pPr>
    </w:p>
    <w:p w:rsidR="00377C04" w:rsidRPr="00750048" w:rsidRDefault="00377C04" w:rsidP="00A94D9B">
      <w:pPr>
        <w:pStyle w:val="ListParagraph"/>
        <w:numPr>
          <w:ilvl w:val="0"/>
          <w:numId w:val="2"/>
        </w:numPr>
        <w:ind w:left="0" w:firstLine="360"/>
        <w:jc w:val="both"/>
        <w:rPr>
          <w:rFonts w:ascii="Cambria" w:hAnsi="Cambria"/>
          <w:b/>
          <w:sz w:val="21"/>
          <w:szCs w:val="21"/>
          <w:lang w:val="es-ES_tradnl"/>
        </w:rPr>
      </w:pPr>
      <w:r w:rsidRPr="00750048">
        <w:rPr>
          <w:rFonts w:ascii="Cambria" w:hAnsi="Cambria"/>
          <w:b/>
          <w:sz w:val="21"/>
          <w:szCs w:val="21"/>
          <w:lang w:val="es-ES_tradnl"/>
        </w:rPr>
        <w:t>INTRODUCCIÓN</w:t>
      </w:r>
    </w:p>
    <w:p w:rsidR="00377C04" w:rsidRPr="00750048" w:rsidRDefault="00377C04" w:rsidP="00A94D9B">
      <w:pPr>
        <w:jc w:val="both"/>
        <w:rPr>
          <w:rFonts w:ascii="Cambria" w:hAnsi="Cambria"/>
          <w:sz w:val="21"/>
          <w:szCs w:val="21"/>
          <w:lang w:val="es-ES_tradnl"/>
        </w:rPr>
      </w:pPr>
    </w:p>
    <w:p w:rsidR="004B63CB" w:rsidRPr="00750048" w:rsidRDefault="00377C04" w:rsidP="00A94D9B">
      <w:pPr>
        <w:pStyle w:val="ListParagraph"/>
        <w:numPr>
          <w:ilvl w:val="0"/>
          <w:numId w:val="1"/>
        </w:numPr>
        <w:ind w:left="0" w:firstLine="360"/>
        <w:jc w:val="both"/>
        <w:rPr>
          <w:rFonts w:ascii="Cambria" w:hAnsi="Cambria"/>
          <w:sz w:val="21"/>
          <w:szCs w:val="21"/>
          <w:lang w:val="es-ES_tradnl"/>
        </w:rPr>
      </w:pPr>
      <w:r w:rsidRPr="00750048">
        <w:rPr>
          <w:rFonts w:ascii="Cambria" w:hAnsi="Cambria"/>
          <w:sz w:val="21"/>
          <w:szCs w:val="21"/>
          <w:lang w:val="es-ES_tradnl"/>
        </w:rPr>
        <w:t xml:space="preserve">El </w:t>
      </w:r>
      <w:r w:rsidR="00DF630D">
        <w:rPr>
          <w:rFonts w:ascii="Cambria" w:hAnsi="Cambria"/>
          <w:sz w:val="21"/>
          <w:szCs w:val="21"/>
          <w:lang w:val="es-ES_tradnl"/>
        </w:rPr>
        <w:t>15</w:t>
      </w:r>
      <w:r w:rsidRPr="00750048">
        <w:rPr>
          <w:rFonts w:ascii="Cambria" w:hAnsi="Cambria"/>
          <w:sz w:val="21"/>
          <w:szCs w:val="21"/>
          <w:lang w:val="es-ES_tradnl"/>
        </w:rPr>
        <w:t xml:space="preserve"> de </w:t>
      </w:r>
      <w:r w:rsidR="00D863D5" w:rsidRPr="00750048">
        <w:rPr>
          <w:rFonts w:ascii="Cambria" w:hAnsi="Cambria"/>
          <w:sz w:val="21"/>
          <w:szCs w:val="21"/>
          <w:lang w:val="es-ES_tradnl"/>
        </w:rPr>
        <w:t>mayo</w:t>
      </w:r>
      <w:r w:rsidR="00DF630D">
        <w:rPr>
          <w:rFonts w:ascii="Cambria" w:hAnsi="Cambria"/>
          <w:sz w:val="21"/>
          <w:szCs w:val="21"/>
          <w:lang w:val="es-ES_tradnl"/>
        </w:rPr>
        <w:t xml:space="preserve"> de 2018</w:t>
      </w:r>
      <w:r w:rsidRPr="00750048">
        <w:rPr>
          <w:rFonts w:ascii="Cambria" w:hAnsi="Cambria"/>
          <w:sz w:val="21"/>
          <w:szCs w:val="21"/>
          <w:lang w:val="es-ES_tradnl"/>
        </w:rPr>
        <w:t>, la Comisión Interamericana de Derechos Humanos (“la Comisión Interamericana”, “la Comisión” o “la CIDH”) recibió una solicitud de me</w:t>
      </w:r>
      <w:r w:rsidR="00DD696A" w:rsidRPr="00750048">
        <w:rPr>
          <w:rFonts w:ascii="Cambria" w:hAnsi="Cambria"/>
          <w:sz w:val="21"/>
          <w:szCs w:val="21"/>
          <w:lang w:val="es-ES_tradnl"/>
        </w:rPr>
        <w:t xml:space="preserve">didas cautelares </w:t>
      </w:r>
      <w:r w:rsidR="00A808A1">
        <w:rPr>
          <w:rFonts w:ascii="Cambria" w:hAnsi="Cambria"/>
          <w:sz w:val="21"/>
          <w:szCs w:val="21"/>
          <w:lang w:val="es-ES_tradnl"/>
        </w:rPr>
        <w:t>interpuesta</w:t>
      </w:r>
      <w:r w:rsidR="00DD696A" w:rsidRPr="00750048">
        <w:rPr>
          <w:rFonts w:ascii="Cambria" w:hAnsi="Cambria"/>
          <w:sz w:val="21"/>
          <w:szCs w:val="21"/>
          <w:lang w:val="es-ES_tradnl"/>
        </w:rPr>
        <w:t xml:space="preserve"> por </w:t>
      </w:r>
      <w:r w:rsidR="00A01D5F" w:rsidRPr="00750048">
        <w:rPr>
          <w:rFonts w:ascii="Cambria" w:hAnsi="Cambria"/>
          <w:sz w:val="21"/>
          <w:szCs w:val="21"/>
          <w:lang w:val="es-ES_tradnl"/>
        </w:rPr>
        <w:t>la organización no gubernamental “Centro de Derechos Humanos</w:t>
      </w:r>
      <w:r w:rsidR="00D863D5" w:rsidRPr="00750048">
        <w:rPr>
          <w:rFonts w:ascii="Cambria" w:hAnsi="Cambria"/>
          <w:sz w:val="21"/>
          <w:szCs w:val="21"/>
          <w:lang w:val="es-ES_tradnl"/>
        </w:rPr>
        <w:t xml:space="preserve"> </w:t>
      </w:r>
      <w:r w:rsidR="00A808A1">
        <w:rPr>
          <w:rFonts w:ascii="Cambria" w:hAnsi="Cambria"/>
          <w:sz w:val="21"/>
          <w:szCs w:val="21"/>
          <w:lang w:val="es-ES_tradnl"/>
        </w:rPr>
        <w:t>y Asesoría a Pueblos Indígenas (CEDHAPI)</w:t>
      </w:r>
      <w:r w:rsidR="00A01D5F" w:rsidRPr="00750048">
        <w:rPr>
          <w:rFonts w:ascii="Cambria" w:hAnsi="Cambria"/>
          <w:sz w:val="21"/>
          <w:szCs w:val="21"/>
          <w:lang w:val="es-ES_tradnl"/>
        </w:rPr>
        <w:t>”</w:t>
      </w:r>
      <w:r w:rsidR="00A808A1">
        <w:rPr>
          <w:rFonts w:ascii="Cambria" w:hAnsi="Cambria"/>
          <w:sz w:val="21"/>
          <w:szCs w:val="21"/>
          <w:lang w:val="es-ES_tradnl"/>
        </w:rPr>
        <w:t xml:space="preserve"> (</w:t>
      </w:r>
      <w:r w:rsidRPr="00750048">
        <w:rPr>
          <w:rFonts w:ascii="Cambria" w:hAnsi="Cambria"/>
          <w:sz w:val="21"/>
          <w:szCs w:val="21"/>
          <w:lang w:val="es-ES_tradnl"/>
        </w:rPr>
        <w:t>“los solicitantes”), instando a la Comisión que requiera a l</w:t>
      </w:r>
      <w:r w:rsidR="00252F21" w:rsidRPr="00750048">
        <w:rPr>
          <w:rFonts w:ascii="Cambria" w:hAnsi="Cambria"/>
          <w:sz w:val="21"/>
          <w:szCs w:val="21"/>
          <w:lang w:val="es-ES_tradnl"/>
        </w:rPr>
        <w:t>os Estados Unidos Mexicanos</w:t>
      </w:r>
      <w:r w:rsidRPr="00750048">
        <w:rPr>
          <w:rFonts w:ascii="Cambria" w:hAnsi="Cambria"/>
          <w:sz w:val="21"/>
          <w:szCs w:val="21"/>
          <w:lang w:val="es-ES_tradnl"/>
        </w:rPr>
        <w:t xml:space="preserve"> (“el Estado” o “</w:t>
      </w:r>
      <w:r w:rsidR="00252F21" w:rsidRPr="00750048">
        <w:rPr>
          <w:rFonts w:ascii="Cambria" w:hAnsi="Cambria"/>
          <w:sz w:val="21"/>
          <w:szCs w:val="21"/>
          <w:lang w:val="es-ES_tradnl"/>
        </w:rPr>
        <w:t>México</w:t>
      </w:r>
      <w:r w:rsidRPr="00750048">
        <w:rPr>
          <w:rFonts w:ascii="Cambria" w:hAnsi="Cambria"/>
          <w:sz w:val="21"/>
          <w:szCs w:val="21"/>
          <w:lang w:val="es-ES_tradnl"/>
        </w:rPr>
        <w:t xml:space="preserve">”) la adopción de las medidas necesarias para </w:t>
      </w:r>
      <w:r w:rsidR="00DD696A" w:rsidRPr="00750048">
        <w:rPr>
          <w:rFonts w:ascii="Cambria" w:hAnsi="Cambria"/>
          <w:sz w:val="21"/>
          <w:szCs w:val="21"/>
          <w:lang w:val="es-ES_tradnl"/>
        </w:rPr>
        <w:t xml:space="preserve">proteger los derechos a la vida e integridad personal </w:t>
      </w:r>
      <w:r w:rsidR="00252F21" w:rsidRPr="00750048">
        <w:rPr>
          <w:rFonts w:ascii="Cambria" w:hAnsi="Cambria"/>
          <w:sz w:val="21"/>
          <w:szCs w:val="21"/>
          <w:lang w:val="es-ES_tradnl"/>
        </w:rPr>
        <w:t xml:space="preserve">de </w:t>
      </w:r>
      <w:r w:rsidR="00A808A1">
        <w:rPr>
          <w:rFonts w:ascii="Cambria" w:hAnsi="Cambria"/>
          <w:sz w:val="21"/>
          <w:szCs w:val="21"/>
          <w:lang w:val="es-ES_tradnl"/>
        </w:rPr>
        <w:t xml:space="preserve">la señora Marbeli Vivani González López y otros familiares </w:t>
      </w:r>
      <w:r w:rsidR="00D863D5" w:rsidRPr="00750048">
        <w:rPr>
          <w:rFonts w:ascii="Cambria" w:hAnsi="Cambria"/>
          <w:sz w:val="21"/>
          <w:szCs w:val="21"/>
          <w:lang w:val="es-ES_tradnl"/>
        </w:rPr>
        <w:t>(</w:t>
      </w:r>
      <w:r w:rsidR="00A808A1">
        <w:rPr>
          <w:rFonts w:ascii="Cambria" w:hAnsi="Cambria"/>
          <w:sz w:val="21"/>
          <w:szCs w:val="21"/>
          <w:lang w:val="es-ES_tradnl"/>
        </w:rPr>
        <w:t>“los propuestos beneficiarios”)</w:t>
      </w:r>
      <w:r w:rsidRPr="00750048">
        <w:rPr>
          <w:rFonts w:ascii="Cambria" w:hAnsi="Cambria"/>
          <w:sz w:val="21"/>
          <w:szCs w:val="21"/>
          <w:lang w:val="es-ES_tradnl"/>
        </w:rPr>
        <w:t xml:space="preserve">. Según los solicitantes, </w:t>
      </w:r>
      <w:r w:rsidR="002058C7" w:rsidRPr="00750048">
        <w:rPr>
          <w:rFonts w:ascii="Cambria" w:hAnsi="Cambria"/>
          <w:sz w:val="21"/>
          <w:szCs w:val="21"/>
          <w:lang w:val="es-ES_tradnl"/>
        </w:rPr>
        <w:t xml:space="preserve">los propuestos beneficiarios se encuentran en una situación de grave riesgo </w:t>
      </w:r>
      <w:r w:rsidR="00A808A1">
        <w:rPr>
          <w:rFonts w:ascii="Cambria" w:hAnsi="Cambria"/>
          <w:sz w:val="21"/>
          <w:szCs w:val="21"/>
          <w:lang w:val="es-ES_tradnl"/>
        </w:rPr>
        <w:t xml:space="preserve">desde que el </w:t>
      </w:r>
      <w:r w:rsidR="00882229">
        <w:rPr>
          <w:rFonts w:ascii="Cambria" w:hAnsi="Cambria"/>
          <w:sz w:val="21"/>
          <w:szCs w:val="21"/>
          <w:lang w:val="es-ES_tradnl"/>
        </w:rPr>
        <w:t xml:space="preserve">26 de marzo de 2018 </w:t>
      </w:r>
      <w:r w:rsidR="00A808A1">
        <w:rPr>
          <w:rFonts w:ascii="Cambria" w:hAnsi="Cambria"/>
          <w:sz w:val="21"/>
          <w:szCs w:val="21"/>
          <w:lang w:val="es-ES_tradnl"/>
        </w:rPr>
        <w:t>fuera asesinada la señora Yaneth González López</w:t>
      </w:r>
      <w:r w:rsidR="00882229">
        <w:rPr>
          <w:rFonts w:ascii="Cambria" w:hAnsi="Cambria"/>
          <w:sz w:val="21"/>
          <w:szCs w:val="21"/>
          <w:lang w:val="es-ES_tradnl"/>
        </w:rPr>
        <w:t xml:space="preserve">, </w:t>
      </w:r>
      <w:r w:rsidR="00A808A1">
        <w:rPr>
          <w:rFonts w:ascii="Cambria" w:hAnsi="Cambria"/>
          <w:sz w:val="21"/>
          <w:szCs w:val="21"/>
          <w:lang w:val="es-ES_tradnl"/>
        </w:rPr>
        <w:t>tesorera municipal de Constancio del Rosario, Oaxaca</w:t>
      </w:r>
      <w:r w:rsidR="00A216B8" w:rsidRPr="00750048">
        <w:rPr>
          <w:rFonts w:ascii="Cambria" w:hAnsi="Cambria"/>
          <w:sz w:val="21"/>
          <w:szCs w:val="21"/>
          <w:lang w:val="es-ES_tradnl"/>
        </w:rPr>
        <w:t>.</w:t>
      </w:r>
      <w:r w:rsidR="00D863D5" w:rsidRPr="00750048">
        <w:rPr>
          <w:rFonts w:ascii="Cambria" w:hAnsi="Cambria"/>
          <w:sz w:val="21"/>
          <w:szCs w:val="21"/>
          <w:lang w:val="es-ES_tradnl"/>
        </w:rPr>
        <w:t xml:space="preserve"> </w:t>
      </w:r>
    </w:p>
    <w:p w:rsidR="004B63CB" w:rsidRPr="00750048" w:rsidRDefault="004B63CB" w:rsidP="00A94D9B">
      <w:pPr>
        <w:pStyle w:val="ListParagraph"/>
        <w:ind w:left="360"/>
        <w:jc w:val="both"/>
        <w:rPr>
          <w:rFonts w:ascii="Cambria" w:hAnsi="Cambria"/>
          <w:sz w:val="21"/>
          <w:szCs w:val="21"/>
          <w:lang w:val="es-ES_tradnl"/>
        </w:rPr>
      </w:pPr>
    </w:p>
    <w:p w:rsidR="00A216B8" w:rsidRPr="00750048" w:rsidRDefault="00882229" w:rsidP="00A216B8">
      <w:pPr>
        <w:pStyle w:val="ListParagraph"/>
        <w:numPr>
          <w:ilvl w:val="0"/>
          <w:numId w:val="1"/>
        </w:numPr>
        <w:ind w:left="0" w:firstLine="360"/>
        <w:jc w:val="both"/>
        <w:rPr>
          <w:rFonts w:ascii="Cambria" w:eastAsia="Times New Roman" w:hAnsi="Cambria" w:cs="Times New Roman"/>
          <w:color w:val="000000"/>
          <w:sz w:val="21"/>
          <w:szCs w:val="21"/>
          <w:lang w:val="es-CO"/>
        </w:rPr>
      </w:pPr>
      <w:r>
        <w:rPr>
          <w:rFonts w:ascii="Cambria" w:eastAsia="Times New Roman" w:hAnsi="Cambria" w:cs="Times New Roman"/>
          <w:color w:val="000000"/>
          <w:sz w:val="21"/>
          <w:szCs w:val="21"/>
          <w:lang w:val="es-CO"/>
        </w:rPr>
        <w:t xml:space="preserve">La Comisión solicitó información al Estado, conforme al artículo 25.5 del Reglamento, el 2 de agosto de 2018 con un plazo de siete días, recibiendo su respuesta el día 9. Por su parte, los solicitantes enviaron información adicional el 13 y 17 de agosto de 2018. </w:t>
      </w:r>
    </w:p>
    <w:p w:rsidR="00A17A82" w:rsidRPr="00750048" w:rsidRDefault="00A17A82" w:rsidP="00A94D9B">
      <w:pPr>
        <w:jc w:val="both"/>
        <w:rPr>
          <w:rFonts w:ascii="Cambria" w:hAnsi="Cambria"/>
          <w:sz w:val="21"/>
          <w:szCs w:val="21"/>
          <w:lang w:val="es-CO"/>
        </w:rPr>
      </w:pPr>
    </w:p>
    <w:p w:rsidR="004B63CB" w:rsidRPr="00750048" w:rsidRDefault="004B63CB" w:rsidP="00A94D9B">
      <w:pPr>
        <w:pStyle w:val="ListParagraph"/>
        <w:numPr>
          <w:ilvl w:val="0"/>
          <w:numId w:val="1"/>
        </w:numPr>
        <w:ind w:left="0" w:firstLine="360"/>
        <w:jc w:val="both"/>
        <w:rPr>
          <w:rFonts w:ascii="Cambria" w:hAnsi="Cambria"/>
          <w:sz w:val="21"/>
          <w:szCs w:val="21"/>
          <w:lang w:val="es-ES_tradnl"/>
        </w:rPr>
      </w:pPr>
      <w:r w:rsidRPr="00750048">
        <w:rPr>
          <w:rFonts w:ascii="Cambria" w:hAnsi="Cambria"/>
          <w:sz w:val="21"/>
          <w:szCs w:val="21"/>
          <w:lang w:val="es-ES_tradnl"/>
        </w:rPr>
        <w:t xml:space="preserve">Tras analizar las alegaciones de hecho y de derecho efectuadas por </w:t>
      </w:r>
      <w:r w:rsidR="002058C7" w:rsidRPr="00750048">
        <w:rPr>
          <w:rFonts w:ascii="Cambria" w:hAnsi="Cambria"/>
          <w:sz w:val="21"/>
          <w:szCs w:val="21"/>
          <w:lang w:val="es-ES_tradnl"/>
        </w:rPr>
        <w:t>las partes</w:t>
      </w:r>
      <w:r w:rsidRPr="00750048">
        <w:rPr>
          <w:rFonts w:ascii="Cambria" w:hAnsi="Cambria"/>
          <w:sz w:val="21"/>
          <w:szCs w:val="21"/>
          <w:lang w:val="es-ES_tradnl"/>
        </w:rPr>
        <w:t xml:space="preserve">, la Comisión considera que </w:t>
      </w:r>
      <w:r w:rsidR="00882229">
        <w:rPr>
          <w:rFonts w:ascii="Cambria" w:hAnsi="Cambria"/>
          <w:sz w:val="21"/>
          <w:szCs w:val="21"/>
          <w:lang w:val="es-ES_tradnl"/>
        </w:rPr>
        <w:t xml:space="preserve">la señora Marbeli Vivani González López y los demás familiares señalados </w:t>
      </w:r>
      <w:r w:rsidR="00E6656D" w:rsidRPr="00750048">
        <w:rPr>
          <w:rFonts w:ascii="Cambria" w:hAnsi="Cambria"/>
          <w:sz w:val="21"/>
          <w:szCs w:val="21"/>
          <w:lang w:val="es-ES_tradnl"/>
        </w:rPr>
        <w:t>se encuentra</w:t>
      </w:r>
      <w:r w:rsidR="0026756C" w:rsidRPr="00750048">
        <w:rPr>
          <w:rFonts w:ascii="Cambria" w:hAnsi="Cambria"/>
          <w:sz w:val="21"/>
          <w:szCs w:val="21"/>
          <w:lang w:val="es-ES_tradnl"/>
        </w:rPr>
        <w:t>n</w:t>
      </w:r>
      <w:r w:rsidRPr="00750048">
        <w:rPr>
          <w:rFonts w:ascii="Cambria" w:hAnsi="Cambria"/>
          <w:sz w:val="21"/>
          <w:szCs w:val="21"/>
          <w:lang w:val="es-ES_tradnl"/>
        </w:rPr>
        <w:t xml:space="preserve"> en una situación de gravedad y urgencia, toda vez que sus derechos a la vida e integridad personal enfrentan un riesgo de daño irreparable. Por consiguiente, c</w:t>
      </w:r>
      <w:r w:rsidR="00A17A82" w:rsidRPr="00750048">
        <w:rPr>
          <w:rFonts w:ascii="Cambria" w:hAnsi="Cambria"/>
          <w:sz w:val="21"/>
          <w:szCs w:val="21"/>
          <w:lang w:val="es-ES_tradnl"/>
        </w:rPr>
        <w:t>on base en el a</w:t>
      </w:r>
      <w:r w:rsidRPr="00750048">
        <w:rPr>
          <w:rFonts w:ascii="Cambria" w:hAnsi="Cambria"/>
          <w:sz w:val="21"/>
          <w:szCs w:val="21"/>
          <w:lang w:val="es-ES_tradnl"/>
        </w:rPr>
        <w:t xml:space="preserve">rtículo 25 de su Reglamento, la Comisión requiere a </w:t>
      </w:r>
      <w:r w:rsidR="00A17A82" w:rsidRPr="00750048">
        <w:rPr>
          <w:rFonts w:ascii="Cambria" w:hAnsi="Cambria"/>
          <w:sz w:val="21"/>
          <w:szCs w:val="21"/>
          <w:lang w:val="es-ES_tradnl"/>
        </w:rPr>
        <w:t>México</w:t>
      </w:r>
      <w:r w:rsidRPr="00750048">
        <w:rPr>
          <w:rFonts w:ascii="Cambria" w:hAnsi="Cambria"/>
          <w:sz w:val="21"/>
          <w:szCs w:val="21"/>
          <w:lang w:val="es-ES_tradnl"/>
        </w:rPr>
        <w:t xml:space="preserve"> que: a) </w:t>
      </w:r>
      <w:r w:rsidR="00D91611" w:rsidRPr="00750048">
        <w:rPr>
          <w:rFonts w:ascii="Cambria" w:hAnsi="Cambria"/>
          <w:sz w:val="21"/>
          <w:szCs w:val="21"/>
          <w:lang w:val="es-MX"/>
        </w:rPr>
        <w:t xml:space="preserve">adopte las medidas necesarias para garantizar la vida e integridad personal </w:t>
      </w:r>
      <w:r w:rsidR="00A17A82" w:rsidRPr="00750048">
        <w:rPr>
          <w:rFonts w:ascii="Cambria" w:hAnsi="Cambria"/>
          <w:sz w:val="21"/>
          <w:szCs w:val="21"/>
          <w:lang w:val="es-MX"/>
        </w:rPr>
        <w:t>de</w:t>
      </w:r>
      <w:r w:rsidR="00882229">
        <w:rPr>
          <w:rFonts w:ascii="Cambria" w:hAnsi="Cambria"/>
          <w:sz w:val="21"/>
          <w:szCs w:val="21"/>
          <w:lang w:val="es-MX"/>
        </w:rPr>
        <w:t xml:space="preserve"> la señora Marbeli Vivani González López y de los demás familiares señalados en la solicitud; b) </w:t>
      </w:r>
      <w:r w:rsidRPr="00750048">
        <w:rPr>
          <w:rFonts w:ascii="Cambria" w:hAnsi="Cambria"/>
          <w:sz w:val="21"/>
          <w:szCs w:val="21"/>
          <w:lang w:val="es-ES_tradnl"/>
        </w:rPr>
        <w:t xml:space="preserve">concierte las medidas a implementarse con </w:t>
      </w:r>
      <w:r w:rsidR="0026756C" w:rsidRPr="00750048">
        <w:rPr>
          <w:rFonts w:ascii="Cambria" w:hAnsi="Cambria"/>
          <w:sz w:val="21"/>
          <w:szCs w:val="21"/>
          <w:lang w:val="es-ES_tradnl"/>
        </w:rPr>
        <w:t>los</w:t>
      </w:r>
      <w:r w:rsidR="00E6656D" w:rsidRPr="00750048">
        <w:rPr>
          <w:rFonts w:ascii="Cambria" w:hAnsi="Cambria"/>
          <w:sz w:val="21"/>
          <w:szCs w:val="21"/>
          <w:lang w:val="es-ES_tradnl"/>
        </w:rPr>
        <w:t xml:space="preserve"> beneficiario</w:t>
      </w:r>
      <w:r w:rsidR="0026756C" w:rsidRPr="00750048">
        <w:rPr>
          <w:rFonts w:ascii="Cambria" w:hAnsi="Cambria"/>
          <w:sz w:val="21"/>
          <w:szCs w:val="21"/>
          <w:lang w:val="es-ES_tradnl"/>
        </w:rPr>
        <w:t>s</w:t>
      </w:r>
      <w:r w:rsidR="00A17A82" w:rsidRPr="00750048">
        <w:rPr>
          <w:rFonts w:ascii="Cambria" w:hAnsi="Cambria"/>
          <w:sz w:val="21"/>
          <w:szCs w:val="21"/>
          <w:lang w:val="es-ES_tradnl"/>
        </w:rPr>
        <w:t xml:space="preserve"> y sus representantes; y </w:t>
      </w:r>
      <w:r w:rsidR="00882229">
        <w:rPr>
          <w:rFonts w:ascii="Cambria" w:hAnsi="Cambria"/>
          <w:sz w:val="21"/>
          <w:szCs w:val="21"/>
          <w:lang w:val="es-ES_tradnl"/>
        </w:rPr>
        <w:t>c</w:t>
      </w:r>
      <w:r w:rsidRPr="00750048">
        <w:rPr>
          <w:rFonts w:ascii="Cambria" w:hAnsi="Cambria"/>
          <w:sz w:val="21"/>
          <w:szCs w:val="21"/>
          <w:lang w:val="es-ES_tradnl"/>
        </w:rPr>
        <w:t xml:space="preserve">) informe sobre las acciones </w:t>
      </w:r>
      <w:r w:rsidR="00A46838" w:rsidRPr="00750048">
        <w:rPr>
          <w:rFonts w:ascii="Cambria" w:hAnsi="Cambria"/>
          <w:sz w:val="21"/>
          <w:szCs w:val="21"/>
          <w:lang w:val="es-ES_tradnl"/>
        </w:rPr>
        <w:t>adelantadas</w:t>
      </w:r>
      <w:r w:rsidRPr="00750048">
        <w:rPr>
          <w:rFonts w:ascii="Cambria" w:hAnsi="Cambria"/>
          <w:sz w:val="21"/>
          <w:szCs w:val="21"/>
          <w:lang w:val="es-ES_tradnl"/>
        </w:rPr>
        <w:t xml:space="preserve"> a fin de investigar los presuntos hechos que dieron lugar a la adopción</w:t>
      </w:r>
      <w:r w:rsidR="00A46838" w:rsidRPr="00750048">
        <w:rPr>
          <w:rFonts w:ascii="Cambria" w:hAnsi="Cambria"/>
          <w:sz w:val="21"/>
          <w:szCs w:val="21"/>
          <w:lang w:val="es-ES_tradnl"/>
        </w:rPr>
        <w:t xml:space="preserve"> de la presente resolución y así evitar su repetición.</w:t>
      </w:r>
    </w:p>
    <w:p w:rsidR="00A46838" w:rsidRPr="00750048" w:rsidRDefault="00A46838" w:rsidP="00A94D9B">
      <w:pPr>
        <w:jc w:val="both"/>
        <w:rPr>
          <w:rFonts w:ascii="Cambria" w:hAnsi="Cambria"/>
          <w:sz w:val="21"/>
          <w:szCs w:val="21"/>
          <w:lang w:val="es-ES_tradnl"/>
        </w:rPr>
      </w:pPr>
    </w:p>
    <w:p w:rsidR="00A46838" w:rsidRPr="00750048" w:rsidRDefault="00A46838" w:rsidP="00A94D9B">
      <w:pPr>
        <w:pStyle w:val="ListParagraph"/>
        <w:numPr>
          <w:ilvl w:val="0"/>
          <w:numId w:val="2"/>
        </w:numPr>
        <w:ind w:left="0" w:firstLine="360"/>
        <w:jc w:val="both"/>
        <w:rPr>
          <w:rFonts w:ascii="Cambria" w:hAnsi="Cambria"/>
          <w:b/>
          <w:sz w:val="21"/>
          <w:szCs w:val="21"/>
          <w:lang w:val="es-ES_tradnl"/>
        </w:rPr>
      </w:pPr>
      <w:r w:rsidRPr="00750048">
        <w:rPr>
          <w:rFonts w:ascii="Cambria" w:hAnsi="Cambria"/>
          <w:b/>
          <w:sz w:val="21"/>
          <w:szCs w:val="21"/>
          <w:lang w:val="es-ES_tradnl"/>
        </w:rPr>
        <w:t xml:space="preserve">RESUMEN DE LOS HECHOS Y ARGUMENTOS </w:t>
      </w:r>
    </w:p>
    <w:p w:rsidR="00A46838" w:rsidRPr="00750048" w:rsidRDefault="00A46838" w:rsidP="00A94D9B">
      <w:pPr>
        <w:jc w:val="both"/>
        <w:rPr>
          <w:rFonts w:ascii="Cambria" w:hAnsi="Cambria"/>
          <w:sz w:val="21"/>
          <w:szCs w:val="21"/>
          <w:lang w:val="es-ES_tradnl"/>
        </w:rPr>
      </w:pPr>
    </w:p>
    <w:p w:rsidR="00A46838" w:rsidRPr="00750048" w:rsidRDefault="00BF7D6A" w:rsidP="00A94D9B">
      <w:pPr>
        <w:pStyle w:val="ListParagraph"/>
        <w:numPr>
          <w:ilvl w:val="0"/>
          <w:numId w:val="3"/>
        </w:numPr>
        <w:ind w:left="0" w:firstLine="360"/>
        <w:jc w:val="both"/>
        <w:rPr>
          <w:rFonts w:ascii="Cambria" w:hAnsi="Cambria"/>
          <w:b/>
          <w:sz w:val="21"/>
          <w:szCs w:val="21"/>
          <w:lang w:val="es-ES_tradnl"/>
        </w:rPr>
      </w:pPr>
      <w:r w:rsidRPr="00750048">
        <w:rPr>
          <w:rFonts w:ascii="Cambria" w:hAnsi="Cambria"/>
          <w:b/>
          <w:sz w:val="21"/>
          <w:szCs w:val="21"/>
          <w:lang w:val="es-ES_tradnl"/>
        </w:rPr>
        <w:t>Información aportada por los solicitantes</w:t>
      </w:r>
    </w:p>
    <w:p w:rsidR="00057A18" w:rsidRPr="00750048" w:rsidRDefault="00057A18" w:rsidP="00057A18">
      <w:pPr>
        <w:rPr>
          <w:rFonts w:ascii="Cambria" w:hAnsi="Cambria"/>
          <w:sz w:val="21"/>
          <w:szCs w:val="21"/>
          <w:lang w:val="es-ES_tradnl"/>
        </w:rPr>
      </w:pPr>
    </w:p>
    <w:p w:rsidR="00D24A79" w:rsidRPr="00D24A79" w:rsidRDefault="00D24A79" w:rsidP="00D24A79">
      <w:pPr>
        <w:pStyle w:val="ListParagraph"/>
        <w:numPr>
          <w:ilvl w:val="0"/>
          <w:numId w:val="1"/>
        </w:numPr>
        <w:ind w:left="0" w:firstLine="360"/>
        <w:jc w:val="both"/>
        <w:rPr>
          <w:rFonts w:ascii="Cambria" w:eastAsia="Times New Roman" w:hAnsi="Cambria" w:cs="Times New Roman"/>
          <w:color w:val="000000"/>
          <w:sz w:val="21"/>
          <w:szCs w:val="21"/>
          <w:lang w:val="es-CO"/>
        </w:rPr>
      </w:pPr>
      <w:r w:rsidRPr="00D24A79">
        <w:rPr>
          <w:rFonts w:ascii="Cambria" w:eastAsia="Times New Roman" w:hAnsi="Cambria" w:cs="Times New Roman"/>
          <w:color w:val="000000"/>
          <w:sz w:val="21"/>
          <w:szCs w:val="21"/>
          <w:lang w:val="es-CO"/>
        </w:rPr>
        <w:t>Los propuestos beneficiarios son once personas que forman parte del núcleo familiar</w:t>
      </w:r>
      <w:r w:rsidRPr="00D24A79">
        <w:rPr>
          <w:rFonts w:ascii="Cambria" w:eastAsia="Times New Roman" w:hAnsi="Cambria" w:cs="Times New Roman"/>
          <w:color w:val="000000"/>
          <w:sz w:val="21"/>
          <w:szCs w:val="21"/>
          <w:vertAlign w:val="superscript"/>
          <w:lang w:val="es-CO"/>
        </w:rPr>
        <w:footnoteReference w:id="2"/>
      </w:r>
      <w:r w:rsidRPr="00D24A79">
        <w:rPr>
          <w:rFonts w:ascii="Cambria" w:eastAsia="Times New Roman" w:hAnsi="Cambria" w:cs="Times New Roman"/>
          <w:color w:val="000000"/>
          <w:sz w:val="21"/>
          <w:szCs w:val="21"/>
          <w:lang w:val="es-CO"/>
        </w:rPr>
        <w:t xml:space="preserve"> de Yaneth González López, tesorera en el municipio de Constancia del Rosario, Oaxaca, presuntamente asesinada a balazos y frente a su vivienda el pasado 26 de marzo de 2018</w:t>
      </w:r>
      <w:r w:rsidRPr="00D24A79">
        <w:rPr>
          <w:rFonts w:ascii="Cambria" w:eastAsia="Times New Roman" w:hAnsi="Cambria" w:cs="Times New Roman"/>
          <w:color w:val="000000"/>
          <w:sz w:val="21"/>
          <w:szCs w:val="21"/>
          <w:vertAlign w:val="superscript"/>
          <w:lang w:val="es-CO"/>
        </w:rPr>
        <w:footnoteReference w:id="3"/>
      </w:r>
      <w:r w:rsidRPr="00D24A79">
        <w:rPr>
          <w:rFonts w:ascii="Cambria" w:eastAsia="Times New Roman" w:hAnsi="Cambria" w:cs="Times New Roman"/>
          <w:color w:val="000000"/>
          <w:sz w:val="21"/>
          <w:szCs w:val="21"/>
          <w:lang w:val="es-CO"/>
        </w:rPr>
        <w:t xml:space="preserve"> por parte de dos desconocidos. La occisa habría militado activamente en el Movimiento de Unificación de la Lucha Triqui (MULT)</w:t>
      </w:r>
      <w:r w:rsidRPr="00D24A79">
        <w:rPr>
          <w:rFonts w:ascii="Cambria" w:eastAsia="Times New Roman" w:hAnsi="Cambria" w:cs="Times New Roman"/>
          <w:color w:val="000000"/>
          <w:sz w:val="21"/>
          <w:szCs w:val="21"/>
          <w:vertAlign w:val="superscript"/>
          <w:lang w:val="es-CO"/>
        </w:rPr>
        <w:footnoteReference w:id="4"/>
      </w:r>
      <w:r w:rsidRPr="00D24A79">
        <w:rPr>
          <w:rFonts w:ascii="Cambria" w:eastAsia="Times New Roman" w:hAnsi="Cambria" w:cs="Times New Roman"/>
          <w:color w:val="000000"/>
          <w:sz w:val="21"/>
          <w:szCs w:val="21"/>
          <w:lang w:val="es-CO"/>
        </w:rPr>
        <w:t xml:space="preserve">, dedicándose a </w:t>
      </w:r>
      <w:r w:rsidRPr="00D24A79">
        <w:rPr>
          <w:rFonts w:ascii="Cambria" w:eastAsia="Times New Roman" w:hAnsi="Cambria" w:cs="Times New Roman"/>
          <w:color w:val="000000"/>
          <w:sz w:val="21"/>
          <w:szCs w:val="21"/>
          <w:lang w:val="es-CO"/>
        </w:rPr>
        <w:lastRenderedPageBreak/>
        <w:t xml:space="preserve">proyectos de impacto social en las comunidades locales y otras de la región triqui, recibiendo amenazas de muerte explícitas ya desde el año 2016 por parte del entonces Presidente Municipal por cuestiones presupuestarias. </w:t>
      </w:r>
    </w:p>
    <w:p w:rsidR="00D24A79" w:rsidRPr="00D24A79" w:rsidRDefault="00D24A79" w:rsidP="00D24A79">
      <w:pPr>
        <w:ind w:left="360"/>
        <w:jc w:val="both"/>
        <w:rPr>
          <w:rFonts w:ascii="Cambria" w:eastAsia="Times New Roman" w:hAnsi="Cambria" w:cs="Times New Roman"/>
          <w:color w:val="000000"/>
          <w:sz w:val="21"/>
          <w:szCs w:val="21"/>
          <w:lang w:val="es-CO"/>
        </w:rPr>
      </w:pPr>
    </w:p>
    <w:p w:rsidR="00A2195C" w:rsidRDefault="00D24A79" w:rsidP="00D24A79">
      <w:pPr>
        <w:pStyle w:val="ListParagraph"/>
        <w:numPr>
          <w:ilvl w:val="0"/>
          <w:numId w:val="1"/>
        </w:numPr>
        <w:ind w:left="0" w:firstLine="360"/>
        <w:jc w:val="both"/>
        <w:rPr>
          <w:rFonts w:ascii="Cambria" w:eastAsia="Times New Roman" w:hAnsi="Cambria" w:cs="Times New Roman"/>
          <w:color w:val="000000"/>
          <w:sz w:val="21"/>
          <w:szCs w:val="21"/>
          <w:lang w:val="es-CO"/>
        </w:rPr>
      </w:pPr>
      <w:r w:rsidRPr="00D24A79">
        <w:rPr>
          <w:rFonts w:ascii="Cambria" w:eastAsia="Times New Roman" w:hAnsi="Cambria" w:cs="Times New Roman"/>
          <w:color w:val="000000"/>
          <w:sz w:val="21"/>
          <w:szCs w:val="21"/>
          <w:lang w:val="es-CO"/>
        </w:rPr>
        <w:t xml:space="preserve">Los solicitantes indicaron que desde entonces su familia corre en peligro, a raíz de los </w:t>
      </w:r>
      <w:r>
        <w:rPr>
          <w:rFonts w:ascii="Cambria" w:eastAsia="Times New Roman" w:hAnsi="Cambria" w:cs="Times New Roman"/>
          <w:color w:val="000000"/>
          <w:sz w:val="21"/>
          <w:szCs w:val="21"/>
          <w:lang w:val="es-CO"/>
        </w:rPr>
        <w:t>siguientes</w:t>
      </w:r>
      <w:r w:rsidRPr="00D24A79">
        <w:rPr>
          <w:rFonts w:ascii="Cambria" w:eastAsia="Times New Roman" w:hAnsi="Cambria" w:cs="Times New Roman"/>
          <w:color w:val="000000"/>
          <w:sz w:val="21"/>
          <w:szCs w:val="21"/>
          <w:lang w:val="es-CO"/>
        </w:rPr>
        <w:t xml:space="preserve"> acontecimientos: i) el 1 de abril de 2018, tres individuos armados habrían intentado entrar por la fuerza en la vivienda de los propuestos beneficiarios, con la supuesta intención de agredirlos</w:t>
      </w:r>
      <w:r w:rsidRPr="00D24A79">
        <w:rPr>
          <w:rFonts w:ascii="Cambria" w:eastAsia="Times New Roman" w:hAnsi="Cambria" w:cs="Times New Roman"/>
          <w:color w:val="000000"/>
          <w:sz w:val="21"/>
          <w:szCs w:val="21"/>
          <w:vertAlign w:val="superscript"/>
          <w:lang w:val="es-CO"/>
        </w:rPr>
        <w:footnoteReference w:id="5"/>
      </w:r>
      <w:r w:rsidRPr="00D24A79">
        <w:rPr>
          <w:rFonts w:ascii="Cambria" w:eastAsia="Times New Roman" w:hAnsi="Cambria" w:cs="Times New Roman"/>
          <w:color w:val="000000"/>
          <w:sz w:val="21"/>
          <w:szCs w:val="21"/>
          <w:lang w:val="es-CO"/>
        </w:rPr>
        <w:t>; ii) el 3 de abril, se habrían escuchado detonaciones de armas de fuego a una distancia de unos 50m en dirección de la casa del hermano; iii) el 7 de abril, la familia habría abandonado su casa en Putla al recibir una llamada telefónica amenazante preguntando por el hermano, y debido a las advertencias de los vecinos, quienes apercibieron a gente armada acer</w:t>
      </w:r>
      <w:r w:rsidR="005067B0">
        <w:rPr>
          <w:rFonts w:ascii="Cambria" w:eastAsia="Times New Roman" w:hAnsi="Cambria" w:cs="Times New Roman"/>
          <w:color w:val="000000"/>
          <w:sz w:val="21"/>
          <w:szCs w:val="21"/>
          <w:lang w:val="es-CO"/>
        </w:rPr>
        <w:t>c</w:t>
      </w:r>
      <w:r w:rsidRPr="00D24A79">
        <w:rPr>
          <w:rFonts w:ascii="Cambria" w:eastAsia="Times New Roman" w:hAnsi="Cambria" w:cs="Times New Roman"/>
          <w:color w:val="000000"/>
          <w:sz w:val="21"/>
          <w:szCs w:val="21"/>
          <w:lang w:val="es-CO"/>
        </w:rPr>
        <w:t>ándose a ellos por las noches; iv) el 8 de abril, los vecinos habrían reportado la presencia de hombres armados a bordo de dos vehículos rondando el domicilio; v) el 9 de abril, los propuestos beneficiarios habrían encontrado evidencias de que alguien allanó su vivienda, encontrando varios de sus animales matados sin explicación alguna; vi) el 11 de abril, una hermana habría sido interceptada por dos sujetos desconocidos quienes la apuntaron con un arma de fuego y la llamaron usando un apodo que solo conocía su familia; vii) el 20 de abril, dos individuos habrían intentado ingresar por la fuerza en el domicilio de la hermana que vive en Tlaxiaco, donde en ese momento también se encontraba el resto de la familia, siendo ahuyentados por la policía municipal tras acudir en auxilio; viii) el 27 de abril, la misma hermana habría sido seguida por un motorizado al salir de su trabajo, hasta que llegó la policía; ix) los días 11 y 12 de mayo, la madre se habría percatado de que dos personas estaban tomando fotografías al exter</w:t>
      </w:r>
      <w:r w:rsidR="00253201">
        <w:rPr>
          <w:rFonts w:ascii="Cambria" w:eastAsia="Times New Roman" w:hAnsi="Cambria" w:cs="Times New Roman"/>
          <w:color w:val="000000"/>
          <w:sz w:val="21"/>
          <w:szCs w:val="21"/>
          <w:lang w:val="es-CO"/>
        </w:rPr>
        <w:t>ior de la vivienda en Tlaxiaco</w:t>
      </w:r>
      <w:r w:rsidR="00A2195C">
        <w:rPr>
          <w:rFonts w:ascii="Cambria" w:eastAsia="Times New Roman" w:hAnsi="Cambria" w:cs="Times New Roman"/>
          <w:color w:val="000000"/>
          <w:sz w:val="21"/>
          <w:szCs w:val="21"/>
          <w:lang w:val="es-CO"/>
        </w:rPr>
        <w:t>.</w:t>
      </w:r>
    </w:p>
    <w:p w:rsidR="00A2195C" w:rsidRDefault="00A2195C" w:rsidP="00A2195C">
      <w:pPr>
        <w:pStyle w:val="ListParagraph"/>
        <w:ind w:left="360"/>
        <w:jc w:val="both"/>
        <w:rPr>
          <w:rFonts w:ascii="Cambria" w:eastAsia="Times New Roman" w:hAnsi="Cambria" w:cs="Times New Roman"/>
          <w:color w:val="000000"/>
          <w:sz w:val="21"/>
          <w:szCs w:val="21"/>
          <w:lang w:val="es-CO"/>
        </w:rPr>
      </w:pPr>
    </w:p>
    <w:p w:rsidR="00A2195C" w:rsidRPr="00A2195C" w:rsidRDefault="00A2195C" w:rsidP="00A2195C">
      <w:pPr>
        <w:pStyle w:val="ListParagraph"/>
        <w:numPr>
          <w:ilvl w:val="0"/>
          <w:numId w:val="1"/>
        </w:numPr>
        <w:ind w:left="0" w:firstLine="360"/>
        <w:jc w:val="both"/>
        <w:rPr>
          <w:rFonts w:ascii="Cambria" w:eastAsia="Times New Roman" w:hAnsi="Cambria" w:cs="Times New Roman"/>
          <w:color w:val="000000"/>
          <w:sz w:val="21"/>
          <w:szCs w:val="21"/>
          <w:lang w:val="es-CO"/>
        </w:rPr>
      </w:pPr>
      <w:r>
        <w:rPr>
          <w:rFonts w:ascii="Cambria" w:eastAsia="Times New Roman" w:hAnsi="Cambria" w:cs="Times New Roman"/>
          <w:color w:val="000000"/>
          <w:sz w:val="21"/>
          <w:szCs w:val="21"/>
          <w:lang w:val="es-CO"/>
        </w:rPr>
        <w:t>P</w:t>
      </w:r>
      <w:r w:rsidR="00253201">
        <w:rPr>
          <w:rFonts w:ascii="Cambria" w:eastAsia="Times New Roman" w:hAnsi="Cambria" w:cs="Times New Roman"/>
          <w:color w:val="000000"/>
          <w:sz w:val="21"/>
          <w:szCs w:val="21"/>
          <w:lang w:val="es-CO"/>
        </w:rPr>
        <w:t xml:space="preserve">ese a cambiarse de domicilio en la misma localidad de Tlaxiaco, los propuestos beneficiarios habrían sido ubicados, perseguidos con armas de fuego hasta su propia puerta y tenido que refugiarse mientras arrojaban piedras al tejado, estando los niños dentro. Debido a ello, el 24 de junio la familia habría decidido trasladarse a la ciudad de Oaxaca. </w:t>
      </w:r>
      <w:r>
        <w:rPr>
          <w:rFonts w:ascii="Cambria" w:eastAsia="Times New Roman" w:hAnsi="Cambria" w:cs="Times New Roman"/>
          <w:color w:val="000000"/>
          <w:sz w:val="21"/>
          <w:szCs w:val="21"/>
          <w:lang w:val="es-CO"/>
        </w:rPr>
        <w:t>Una vez ahí, hospedados de manera improvisada, el señor Irineo González Gómez (padre) reportó que la familia seguía en riesgo, mencionando con preocupación al viudo de la señora Yaneth González López: “[…] [l]a última vez que vino […] se portó grosero conmigo, me ofendió y causó discusiones con mis hijos por esta razón de que él ya sabe dónde vivimos y temo que vaya a entregarnos con los sicarios que nos buscan, mi familia decidió cambiarse nuevamente de domicilio. En estos meses que hemos estado aquí mis hijos han recibido amenazas mediante llamadas de teléfono o mensajes en el Internet”.</w:t>
      </w:r>
    </w:p>
    <w:p w:rsidR="00D24A79" w:rsidRDefault="00D24A79" w:rsidP="00D24A79">
      <w:pPr>
        <w:pStyle w:val="ListParagraph"/>
        <w:ind w:left="360"/>
        <w:jc w:val="both"/>
        <w:rPr>
          <w:rFonts w:ascii="Cambria" w:eastAsia="Times New Roman" w:hAnsi="Cambria" w:cs="Times New Roman"/>
          <w:color w:val="000000"/>
          <w:sz w:val="21"/>
          <w:szCs w:val="21"/>
          <w:lang w:val="es-CO"/>
        </w:rPr>
      </w:pPr>
    </w:p>
    <w:p w:rsidR="00D24A79" w:rsidRPr="00D24A79" w:rsidRDefault="00D24A79" w:rsidP="00D24A79">
      <w:pPr>
        <w:pStyle w:val="ListParagraph"/>
        <w:numPr>
          <w:ilvl w:val="0"/>
          <w:numId w:val="1"/>
        </w:numPr>
        <w:ind w:left="0" w:firstLine="360"/>
        <w:jc w:val="both"/>
        <w:rPr>
          <w:rFonts w:ascii="Cambria" w:eastAsia="Times New Roman" w:hAnsi="Cambria" w:cs="Times New Roman"/>
          <w:color w:val="000000"/>
          <w:sz w:val="21"/>
          <w:szCs w:val="21"/>
          <w:lang w:val="es-CO"/>
        </w:rPr>
      </w:pPr>
      <w:r>
        <w:rPr>
          <w:rFonts w:ascii="Cambria" w:eastAsia="Times New Roman" w:hAnsi="Cambria" w:cs="Times New Roman"/>
          <w:color w:val="000000"/>
          <w:sz w:val="21"/>
          <w:szCs w:val="21"/>
          <w:lang w:val="es-CO"/>
        </w:rPr>
        <w:t xml:space="preserve">El 26 de julio de 2018, aproximadamente a las 23:55, en el domicilio ubicado en San Agustín de las Juntas, Oaxaca y en el que habitan el señor Víctor Hugo González (hermano), su esposa y sus tres hijos, el niño de 10 años de edad </w:t>
      </w:r>
      <w:r w:rsidR="00DA3BD5">
        <w:rPr>
          <w:rFonts w:ascii="Cambria" w:eastAsia="Times New Roman" w:hAnsi="Cambria" w:cs="Times New Roman"/>
          <w:color w:val="000000"/>
          <w:sz w:val="21"/>
          <w:szCs w:val="21"/>
          <w:lang w:val="es-CO"/>
        </w:rPr>
        <w:t xml:space="preserve">habría gritado asustado tras ver por la ventana del dormitorio a tres sujetos quienes, desde la azotea contigua a unos cuarenta metros de distancia, </w:t>
      </w:r>
      <w:r w:rsidR="002766B7">
        <w:rPr>
          <w:rFonts w:ascii="Cambria" w:eastAsia="Times New Roman" w:hAnsi="Cambria" w:cs="Times New Roman"/>
          <w:color w:val="000000"/>
          <w:sz w:val="21"/>
          <w:szCs w:val="21"/>
          <w:lang w:val="es-CO"/>
        </w:rPr>
        <w:t xml:space="preserve">presuntamente </w:t>
      </w:r>
      <w:r w:rsidR="00DA3BD5">
        <w:rPr>
          <w:rFonts w:ascii="Cambria" w:eastAsia="Times New Roman" w:hAnsi="Cambria" w:cs="Times New Roman"/>
          <w:color w:val="000000"/>
          <w:sz w:val="21"/>
          <w:szCs w:val="21"/>
          <w:lang w:val="es-CO"/>
        </w:rPr>
        <w:t>los estaban apuntando con un arma de alto calibre y observando con binoculares. Ante la alarma generada, el padre habría acudido, observando cómo los individuos señalados se escondieron y acto seguido presionó el botón de pánico suministrado por el Mecanismo de Protección a Personas Defensoras y Periodistas</w:t>
      </w:r>
      <w:r w:rsidR="003B3ADE">
        <w:rPr>
          <w:rFonts w:ascii="Cambria" w:eastAsia="Times New Roman" w:hAnsi="Cambria" w:cs="Times New Roman"/>
          <w:color w:val="000000"/>
          <w:sz w:val="21"/>
          <w:szCs w:val="21"/>
          <w:lang w:val="es-CO"/>
        </w:rPr>
        <w:t xml:space="preserve"> (“Mecanismo”)</w:t>
      </w:r>
      <w:r w:rsidR="00DA3BD5">
        <w:rPr>
          <w:rFonts w:ascii="Cambria" w:eastAsia="Times New Roman" w:hAnsi="Cambria" w:cs="Times New Roman"/>
          <w:color w:val="000000"/>
          <w:sz w:val="21"/>
          <w:szCs w:val="21"/>
          <w:lang w:val="es-CO"/>
        </w:rPr>
        <w:t>. Según los solicitantes, pasaron cincuenta minutos sin que nadie llegara a auxiliarlos, por lo que el señor González llamó al número 911</w:t>
      </w:r>
      <w:r w:rsidR="00B0294C">
        <w:rPr>
          <w:rFonts w:ascii="Cambria" w:eastAsia="Times New Roman" w:hAnsi="Cambria" w:cs="Times New Roman"/>
          <w:color w:val="000000"/>
          <w:sz w:val="21"/>
          <w:szCs w:val="21"/>
          <w:lang w:val="es-CO"/>
        </w:rPr>
        <w:t xml:space="preserve">; aproximadamente una hora después, la policía municipal se habría apersonado en el domicilio, “[…] haciendo una inspección y rondines sin encontrar ningún rastro de lo sucedido, tampoco a ninguna persona sospechosa, por haber transcurrido aproximadamente dos horas después de haberlos visto”. Con motivo de lo anterior y el temor generado, el señor González y su familia habrían decidido salir de dicho domicilio y buscar otro lugar donde vivir. </w:t>
      </w:r>
    </w:p>
    <w:p w:rsidR="00D24A79" w:rsidRPr="00750048" w:rsidRDefault="00D24A79" w:rsidP="006C08C0">
      <w:pPr>
        <w:rPr>
          <w:rFonts w:ascii="Cambria" w:eastAsia="Calibri" w:hAnsi="Cambria"/>
          <w:sz w:val="21"/>
          <w:szCs w:val="21"/>
          <w:lang w:val="es-CO"/>
        </w:rPr>
      </w:pPr>
    </w:p>
    <w:p w:rsidR="002840D0" w:rsidRPr="00750048" w:rsidRDefault="00A858AE" w:rsidP="00A94D9B">
      <w:pPr>
        <w:pStyle w:val="ListParagraph"/>
        <w:numPr>
          <w:ilvl w:val="0"/>
          <w:numId w:val="3"/>
        </w:numPr>
        <w:ind w:left="0" w:firstLine="360"/>
        <w:jc w:val="both"/>
        <w:rPr>
          <w:rFonts w:ascii="Cambria" w:eastAsia="Calibri" w:hAnsi="Cambria"/>
          <w:b/>
          <w:sz w:val="21"/>
          <w:szCs w:val="21"/>
          <w:lang w:val="es-ES_tradnl"/>
        </w:rPr>
      </w:pPr>
      <w:r w:rsidRPr="00750048">
        <w:rPr>
          <w:rFonts w:ascii="Cambria" w:eastAsia="Calibri" w:hAnsi="Cambria"/>
          <w:b/>
          <w:sz w:val="21"/>
          <w:szCs w:val="21"/>
          <w:lang w:val="es-ES_tradnl"/>
        </w:rPr>
        <w:lastRenderedPageBreak/>
        <w:t>Respuesta del Estado</w:t>
      </w:r>
    </w:p>
    <w:p w:rsidR="00A858AE" w:rsidRPr="00750048" w:rsidRDefault="00A858AE" w:rsidP="00A94D9B">
      <w:pPr>
        <w:jc w:val="both"/>
        <w:rPr>
          <w:rFonts w:ascii="Cambria" w:eastAsia="Calibri" w:hAnsi="Cambria"/>
          <w:sz w:val="21"/>
          <w:szCs w:val="21"/>
          <w:lang w:val="es-ES_tradnl"/>
        </w:rPr>
      </w:pPr>
    </w:p>
    <w:p w:rsidR="002766B7" w:rsidRDefault="00D13ED9" w:rsidP="000453AF">
      <w:pPr>
        <w:pStyle w:val="ListParagraph"/>
        <w:numPr>
          <w:ilvl w:val="0"/>
          <w:numId w:val="1"/>
        </w:numPr>
        <w:ind w:left="0" w:firstLine="360"/>
        <w:jc w:val="both"/>
        <w:rPr>
          <w:rFonts w:ascii="Cambria" w:eastAsia="Calibri" w:hAnsi="Cambria"/>
          <w:sz w:val="21"/>
          <w:szCs w:val="21"/>
          <w:lang w:val="es-ES_tradnl"/>
        </w:rPr>
      </w:pPr>
      <w:r w:rsidRPr="00750048">
        <w:rPr>
          <w:rFonts w:ascii="Cambria" w:eastAsia="Calibri" w:hAnsi="Cambria"/>
          <w:sz w:val="21"/>
          <w:szCs w:val="21"/>
          <w:lang w:val="es-ES_tradnl"/>
        </w:rPr>
        <w:t xml:space="preserve"> </w:t>
      </w:r>
      <w:r w:rsidR="000453AF">
        <w:rPr>
          <w:rFonts w:ascii="Cambria" w:eastAsia="Calibri" w:hAnsi="Cambria"/>
          <w:sz w:val="21"/>
          <w:szCs w:val="21"/>
          <w:lang w:val="es-ES_tradnl"/>
        </w:rPr>
        <w:t xml:space="preserve">El Estado </w:t>
      </w:r>
      <w:r w:rsidR="003B3ADE">
        <w:rPr>
          <w:rFonts w:ascii="Cambria" w:eastAsia="Calibri" w:hAnsi="Cambria"/>
          <w:sz w:val="21"/>
          <w:szCs w:val="21"/>
          <w:lang w:val="es-ES_tradnl"/>
        </w:rPr>
        <w:t xml:space="preserve">informó que el 23 de mayo de 2018 la señora Marbeli González y su familia fueron incorporados al </w:t>
      </w:r>
      <w:r w:rsidR="00D12367" w:rsidRPr="00D12367">
        <w:rPr>
          <w:rFonts w:ascii="Cambria" w:eastAsia="Calibri" w:hAnsi="Cambria"/>
          <w:sz w:val="21"/>
          <w:szCs w:val="21"/>
          <w:lang w:val="es-CO"/>
        </w:rPr>
        <w:t>Mecanismo de Protección a Personas Defensoras y Periodistas</w:t>
      </w:r>
      <w:r w:rsidR="003B3ADE">
        <w:rPr>
          <w:rFonts w:ascii="Cambria" w:eastAsia="Calibri" w:hAnsi="Cambria"/>
          <w:sz w:val="21"/>
          <w:szCs w:val="21"/>
          <w:lang w:val="es-ES_tradnl"/>
        </w:rPr>
        <w:t>, “[…] lo anterior derivado de las acciones que han llevado a cabo […] para exigir el esclarecimiento de la muerte de Yaneth González López”. Al respecto, precisó que si bien quedaba pendiente de realizarse el análisis de riesgo correspondiente, los propuestos beneficiarios cuentan con unas medidas acordadas en el marco del “Estudio de Acción Inmediata”, consistentes en la implementación de vigilancia permanente en el domicilio de la propuesta beneficiaria y su familia</w:t>
      </w:r>
      <w:r w:rsidR="00A26C48">
        <w:rPr>
          <w:rFonts w:ascii="Cambria" w:eastAsia="Calibri" w:hAnsi="Cambria"/>
          <w:sz w:val="21"/>
          <w:szCs w:val="21"/>
          <w:lang w:val="es-ES_tradnl"/>
        </w:rPr>
        <w:t xml:space="preserve">, así como acompañamiento por parte de elementos de la Secretaría de Seguridad Pública Estatal y la entrega de cuatro botones de pánico. </w:t>
      </w:r>
    </w:p>
    <w:p w:rsidR="002766B7" w:rsidRDefault="002766B7" w:rsidP="002766B7">
      <w:pPr>
        <w:pStyle w:val="ListParagraph"/>
        <w:ind w:left="360"/>
        <w:jc w:val="both"/>
        <w:rPr>
          <w:rFonts w:ascii="Cambria" w:eastAsia="Calibri" w:hAnsi="Cambria"/>
          <w:sz w:val="21"/>
          <w:szCs w:val="21"/>
          <w:lang w:val="es-ES_tradnl"/>
        </w:rPr>
      </w:pPr>
    </w:p>
    <w:p w:rsidR="00A17A82" w:rsidRPr="000453AF" w:rsidRDefault="00A26C48" w:rsidP="000453AF">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 xml:space="preserve">Posteriormente, a raíz de que los propuestos beneficiarios decidieran por iniciativa propia trasladarse a la ciudad de Oaxaca, las autoridades </w:t>
      </w:r>
      <w:r w:rsidR="00D05FAE">
        <w:rPr>
          <w:rFonts w:ascii="Cambria" w:eastAsia="Calibri" w:hAnsi="Cambria"/>
          <w:sz w:val="21"/>
          <w:szCs w:val="21"/>
          <w:lang w:val="es-ES_tradnl"/>
        </w:rPr>
        <w:t>pertinentes</w:t>
      </w:r>
      <w:r>
        <w:rPr>
          <w:rFonts w:ascii="Cambria" w:eastAsia="Calibri" w:hAnsi="Cambria"/>
          <w:sz w:val="21"/>
          <w:szCs w:val="21"/>
          <w:lang w:val="es-ES_tradnl"/>
        </w:rPr>
        <w:t xml:space="preserve"> habrían estado brindando rondines con seguimiento en bitácoras por parte de policías estatales y municipales, si bien por aquél entonces a</w:t>
      </w:r>
      <w:r w:rsidR="00D05FAE">
        <w:rPr>
          <w:rFonts w:ascii="Cambria" w:eastAsia="Calibri" w:hAnsi="Cambria"/>
          <w:sz w:val="21"/>
          <w:szCs w:val="21"/>
          <w:lang w:val="es-ES_tradnl"/>
        </w:rPr>
        <w:t xml:space="preserve">ún no contaban con medidas de vigilancia permanente, a la espera de los procesos correspondientes. </w:t>
      </w:r>
      <w:r w:rsidR="00B71E2C">
        <w:rPr>
          <w:rFonts w:ascii="Cambria" w:eastAsia="Calibri" w:hAnsi="Cambria"/>
          <w:sz w:val="21"/>
          <w:szCs w:val="21"/>
          <w:lang w:val="es-ES_tradnl"/>
        </w:rPr>
        <w:t>Adicionalmente, el Estado informó que como muestra de la prioridad que se le está dando al caso de la señora Yaneth González, la carpeta de investigación, inicialmente radicada en la Fiscalía Local del Distrito de Putla Villa de Guerrero, Oaxaca, fue remitida a la Dirección de Control de Fiscalías de la Vice Fiscalía General Zona Centro, en Oaxaca, “[…] a fin de brindarle un óptimo seguimiento”</w:t>
      </w:r>
      <w:r w:rsidR="002D5C14">
        <w:rPr>
          <w:rFonts w:ascii="Cambria" w:eastAsia="Calibri" w:hAnsi="Cambria"/>
          <w:sz w:val="21"/>
          <w:szCs w:val="21"/>
          <w:lang w:val="es-ES_tradnl"/>
        </w:rPr>
        <w:t xml:space="preserve"> y encontrándose la investigación actualmente en fase inicial. </w:t>
      </w:r>
    </w:p>
    <w:p w:rsidR="000453AF" w:rsidRPr="00750048" w:rsidRDefault="000453AF" w:rsidP="000453AF">
      <w:pPr>
        <w:pStyle w:val="ListParagraph"/>
        <w:ind w:left="360"/>
        <w:jc w:val="both"/>
        <w:rPr>
          <w:rFonts w:ascii="Cambria" w:eastAsia="Calibri" w:hAnsi="Cambria"/>
          <w:sz w:val="21"/>
          <w:szCs w:val="21"/>
          <w:lang w:val="es-ES_tradnl"/>
        </w:rPr>
      </w:pPr>
    </w:p>
    <w:p w:rsidR="00D13ED9" w:rsidRPr="00750048" w:rsidRDefault="00D13ED9" w:rsidP="00A94D9B">
      <w:pPr>
        <w:pStyle w:val="ListParagraph"/>
        <w:numPr>
          <w:ilvl w:val="0"/>
          <w:numId w:val="2"/>
        </w:numPr>
        <w:ind w:left="0" w:firstLine="360"/>
        <w:jc w:val="both"/>
        <w:rPr>
          <w:rFonts w:ascii="Cambria" w:eastAsia="Calibri" w:hAnsi="Cambria"/>
          <w:b/>
          <w:sz w:val="21"/>
          <w:szCs w:val="21"/>
          <w:lang w:val="es-ES_tradnl"/>
        </w:rPr>
      </w:pPr>
      <w:r w:rsidRPr="00750048">
        <w:rPr>
          <w:rFonts w:ascii="Cambria" w:eastAsia="Calibri" w:hAnsi="Cambria"/>
          <w:b/>
          <w:sz w:val="21"/>
          <w:szCs w:val="21"/>
          <w:lang w:val="es-ES_tradnl"/>
        </w:rPr>
        <w:t>ÁNALISIS DE LOS ELEMENTOS DE GRAVEDAD, URGENCIA E IRREPARABILIDAD</w:t>
      </w:r>
    </w:p>
    <w:p w:rsidR="00D13ED9" w:rsidRPr="00750048" w:rsidRDefault="00D13ED9" w:rsidP="00A94D9B">
      <w:pPr>
        <w:jc w:val="both"/>
        <w:rPr>
          <w:rFonts w:ascii="Cambria" w:eastAsia="Calibri" w:hAnsi="Cambria"/>
          <w:sz w:val="21"/>
          <w:szCs w:val="21"/>
          <w:lang w:val="es-ES_tradnl"/>
        </w:rPr>
      </w:pPr>
    </w:p>
    <w:p w:rsidR="00817419" w:rsidRPr="00750048" w:rsidRDefault="00817419" w:rsidP="00A94D9B">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750048">
        <w:rPr>
          <w:rFonts w:ascii="Cambria" w:eastAsia="Calibri" w:hAnsi="Cambria"/>
          <w:sz w:val="21"/>
          <w:szCs w:val="21"/>
          <w:lang w:val="es-ES_tradnl"/>
        </w:rPr>
        <w:t>establecidas</w:t>
      </w:r>
      <w:r w:rsidRPr="00750048">
        <w:rPr>
          <w:rFonts w:ascii="Cambria" w:hAnsi="Cambria"/>
          <w:sz w:val="21"/>
          <w:szCs w:val="21"/>
          <w:lang w:val="es-MX"/>
        </w:rPr>
        <w:t xml:space="preserve"> en el artículo 41 (b) de la Convención Americana sobre Derechos Humanos, recogido también en el artículo 18 (b) del Estatuto de la CIDH y el </w:t>
      </w:r>
      <w:r w:rsidRPr="00750048">
        <w:rPr>
          <w:rFonts w:ascii="Cambria" w:eastAsia="Times New Roman" w:hAnsi="Cambria" w:cs="Times New Roman"/>
          <w:color w:val="000000"/>
          <w:sz w:val="21"/>
          <w:szCs w:val="21"/>
          <w:lang w:val="es-US"/>
        </w:rPr>
        <w:t>mecanismo</w:t>
      </w:r>
      <w:r w:rsidRPr="00750048">
        <w:rPr>
          <w:rFonts w:ascii="Cambria" w:hAnsi="Cambria"/>
          <w:sz w:val="21"/>
          <w:szCs w:val="21"/>
          <w:lang w:val="es-MX"/>
        </w:rPr>
        <w:t xml:space="preserve">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817419" w:rsidRPr="00750048" w:rsidRDefault="00817419" w:rsidP="00A94D9B">
      <w:pPr>
        <w:jc w:val="both"/>
        <w:rPr>
          <w:rFonts w:ascii="Cambria" w:hAnsi="Cambria"/>
          <w:sz w:val="21"/>
          <w:szCs w:val="21"/>
          <w:lang w:val="es-MX"/>
        </w:rPr>
      </w:pPr>
    </w:p>
    <w:p w:rsidR="00817419" w:rsidRPr="00750048" w:rsidRDefault="00817419" w:rsidP="00A94D9B">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750048">
        <w:rPr>
          <w:rFonts w:ascii="Cambria" w:hAnsi="Cambria"/>
          <w:i/>
          <w:sz w:val="21"/>
          <w:szCs w:val="21"/>
          <w:lang w:val="es-MX"/>
        </w:rPr>
        <w:t>effet utile</w:t>
      </w:r>
      <w:r w:rsidRPr="00750048">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817419" w:rsidRPr="00750048" w:rsidRDefault="00817419" w:rsidP="00A94D9B">
      <w:pPr>
        <w:ind w:left="360"/>
        <w:jc w:val="both"/>
        <w:rPr>
          <w:rFonts w:ascii="Cambria" w:hAnsi="Cambria"/>
          <w:sz w:val="21"/>
          <w:szCs w:val="21"/>
          <w:lang w:val="es-MX"/>
        </w:rPr>
      </w:pPr>
    </w:p>
    <w:p w:rsidR="00817419" w:rsidRPr="00750048" w:rsidRDefault="00817419" w:rsidP="00A94D9B">
      <w:pPr>
        <w:numPr>
          <w:ilvl w:val="0"/>
          <w:numId w:val="8"/>
        </w:numPr>
        <w:ind w:right="713"/>
        <w:jc w:val="both"/>
        <w:rPr>
          <w:rFonts w:ascii="Cambria" w:hAnsi="Cambria"/>
          <w:sz w:val="18"/>
          <w:szCs w:val="21"/>
          <w:lang w:val="es-MX"/>
        </w:rPr>
      </w:pPr>
      <w:r w:rsidRPr="00750048">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817419" w:rsidRPr="00750048" w:rsidRDefault="00817419" w:rsidP="00A94D9B">
      <w:pPr>
        <w:ind w:right="713"/>
        <w:jc w:val="both"/>
        <w:rPr>
          <w:rFonts w:ascii="Cambria" w:hAnsi="Cambria"/>
          <w:sz w:val="18"/>
          <w:szCs w:val="21"/>
          <w:lang w:val="es-MX"/>
        </w:rPr>
      </w:pPr>
    </w:p>
    <w:p w:rsidR="00817419" w:rsidRPr="00750048" w:rsidRDefault="00817419" w:rsidP="00A94D9B">
      <w:pPr>
        <w:numPr>
          <w:ilvl w:val="0"/>
          <w:numId w:val="8"/>
        </w:numPr>
        <w:ind w:right="713"/>
        <w:jc w:val="both"/>
        <w:rPr>
          <w:rFonts w:ascii="Cambria" w:hAnsi="Cambria"/>
          <w:sz w:val="18"/>
          <w:szCs w:val="21"/>
          <w:lang w:val="es-MX"/>
        </w:rPr>
      </w:pPr>
      <w:r w:rsidRPr="00750048">
        <w:rPr>
          <w:rFonts w:ascii="Cambria" w:hAnsi="Cambria"/>
          <w:sz w:val="18"/>
          <w:szCs w:val="21"/>
          <w:lang w:val="es-MX"/>
        </w:rPr>
        <w:lastRenderedPageBreak/>
        <w:t xml:space="preserve">La “urgencia de la situación” se determina por medio de la información aportada, indicando el riesgo o la amenaza que puedan ser inminentes y materializarse, requiriendo de esa manera una acción preventiva o tutelar; y </w:t>
      </w:r>
    </w:p>
    <w:p w:rsidR="00817419" w:rsidRPr="00750048" w:rsidRDefault="00817419" w:rsidP="00A94D9B">
      <w:pPr>
        <w:ind w:right="713"/>
        <w:jc w:val="both"/>
        <w:rPr>
          <w:rFonts w:ascii="Cambria" w:hAnsi="Cambria"/>
          <w:sz w:val="18"/>
          <w:szCs w:val="21"/>
          <w:lang w:val="es-MX"/>
        </w:rPr>
      </w:pPr>
    </w:p>
    <w:p w:rsidR="00817419" w:rsidRPr="00750048" w:rsidRDefault="00817419" w:rsidP="00A94D9B">
      <w:pPr>
        <w:numPr>
          <w:ilvl w:val="0"/>
          <w:numId w:val="8"/>
        </w:numPr>
        <w:ind w:right="713"/>
        <w:jc w:val="both"/>
        <w:rPr>
          <w:rFonts w:ascii="Cambria" w:hAnsi="Cambria"/>
          <w:sz w:val="18"/>
          <w:szCs w:val="21"/>
          <w:lang w:val="es-MX"/>
        </w:rPr>
      </w:pPr>
      <w:r w:rsidRPr="00750048">
        <w:rPr>
          <w:rFonts w:ascii="Cambria" w:hAnsi="Cambria"/>
          <w:sz w:val="18"/>
          <w:szCs w:val="21"/>
          <w:lang w:val="es-MX"/>
        </w:rPr>
        <w:t>El “daño irreparable” consiste en la afectación sobre derechos que, por su propia naturaleza, no son susceptibles de reparación, restauración o adecuada indemnización.</w:t>
      </w:r>
    </w:p>
    <w:p w:rsidR="00817419" w:rsidRPr="00750048" w:rsidRDefault="00817419" w:rsidP="00A94D9B">
      <w:pPr>
        <w:jc w:val="both"/>
        <w:rPr>
          <w:rFonts w:ascii="Cambria" w:hAnsi="Cambria"/>
          <w:sz w:val="21"/>
          <w:szCs w:val="21"/>
          <w:lang w:val="es-MX"/>
        </w:rPr>
      </w:pPr>
    </w:p>
    <w:p w:rsidR="00D13ED9" w:rsidRPr="00627E0B" w:rsidRDefault="00817419" w:rsidP="00A94D9B">
      <w:pPr>
        <w:pStyle w:val="ListParagraph"/>
        <w:numPr>
          <w:ilvl w:val="0"/>
          <w:numId w:val="1"/>
        </w:numPr>
        <w:ind w:left="0" w:firstLine="360"/>
        <w:jc w:val="both"/>
        <w:rPr>
          <w:rFonts w:ascii="Cambria" w:eastAsia="Calibri" w:hAnsi="Cambria"/>
          <w:sz w:val="21"/>
          <w:szCs w:val="21"/>
          <w:lang w:val="es-ES_tradnl"/>
        </w:rPr>
      </w:pPr>
      <w:r w:rsidRPr="00750048">
        <w:rPr>
          <w:rFonts w:ascii="Cambria" w:hAnsi="Cambria"/>
          <w:sz w:val="21"/>
          <w:szCs w:val="21"/>
          <w:lang w:val="es-MX"/>
        </w:rPr>
        <w:t xml:space="preserve">En el análisis de los mencionados requisitos, la Comisión reitera que los hechos que motivan una solicitud de medidas cautelares no requieren estar plenamente comprobados, sino que la información proporcionada debe ser apreciada desde una perspectiva </w:t>
      </w:r>
      <w:r w:rsidRPr="00750048">
        <w:rPr>
          <w:rFonts w:ascii="Cambria" w:hAnsi="Cambria"/>
          <w:i/>
          <w:sz w:val="21"/>
          <w:szCs w:val="21"/>
          <w:lang w:val="es-MX"/>
        </w:rPr>
        <w:t>prima facie</w:t>
      </w:r>
      <w:r w:rsidRPr="00750048">
        <w:rPr>
          <w:rFonts w:ascii="Cambria" w:hAnsi="Cambria"/>
          <w:sz w:val="21"/>
          <w:szCs w:val="21"/>
          <w:lang w:val="es-MX"/>
        </w:rPr>
        <w:t xml:space="preserve"> que permita identificar una situación de gravedad y urgencia</w:t>
      </w:r>
      <w:r w:rsidRPr="00750048">
        <w:rPr>
          <w:rFonts w:ascii="Cambria" w:hAnsi="Cambria"/>
          <w:sz w:val="21"/>
          <w:szCs w:val="21"/>
          <w:vertAlign w:val="superscript"/>
        </w:rPr>
        <w:footnoteReference w:id="6"/>
      </w:r>
      <w:r w:rsidRPr="00750048">
        <w:rPr>
          <w:rFonts w:ascii="Cambria" w:hAnsi="Cambria"/>
          <w:sz w:val="21"/>
          <w:szCs w:val="21"/>
          <w:lang w:val="es-MX"/>
        </w:rPr>
        <w:t>.</w:t>
      </w:r>
    </w:p>
    <w:p w:rsidR="00627E0B" w:rsidRPr="00627E0B" w:rsidRDefault="00627E0B" w:rsidP="00627E0B">
      <w:pPr>
        <w:pStyle w:val="ListParagraph"/>
        <w:ind w:left="360"/>
        <w:jc w:val="both"/>
        <w:rPr>
          <w:rFonts w:ascii="Cambria" w:eastAsia="Calibri" w:hAnsi="Cambria"/>
          <w:sz w:val="21"/>
          <w:szCs w:val="21"/>
          <w:lang w:val="es-ES_tradnl"/>
        </w:rPr>
      </w:pPr>
    </w:p>
    <w:p w:rsidR="00627E0B" w:rsidRDefault="00627E0B" w:rsidP="00A94D9B">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 xml:space="preserve">En relación con el requisito de gravedad, </w:t>
      </w:r>
      <w:r w:rsidR="00E15020">
        <w:rPr>
          <w:rFonts w:ascii="Cambria" w:eastAsia="Calibri" w:hAnsi="Cambria"/>
          <w:sz w:val="21"/>
          <w:szCs w:val="21"/>
          <w:lang w:val="es-ES_tradnl"/>
        </w:rPr>
        <w:t xml:space="preserve">la Comisión observa que el riesgo </w:t>
      </w:r>
      <w:r w:rsidR="002766B7">
        <w:rPr>
          <w:rFonts w:ascii="Cambria" w:eastAsia="Calibri" w:hAnsi="Cambria"/>
          <w:sz w:val="21"/>
          <w:szCs w:val="21"/>
          <w:lang w:val="es-ES_tradnl"/>
        </w:rPr>
        <w:t xml:space="preserve">presuntamente enfrentado </w:t>
      </w:r>
      <w:r w:rsidR="00E15020">
        <w:rPr>
          <w:rFonts w:ascii="Cambria" w:eastAsia="Calibri" w:hAnsi="Cambria"/>
          <w:sz w:val="21"/>
          <w:szCs w:val="21"/>
          <w:lang w:val="es-ES_tradnl"/>
        </w:rPr>
        <w:t>por los propuestos beneficiarios se derivaría del presunto asesinato de la señora Yaneth González López</w:t>
      </w:r>
      <w:r w:rsidR="005C6262">
        <w:rPr>
          <w:rFonts w:ascii="Cambria" w:eastAsia="Calibri" w:hAnsi="Cambria"/>
          <w:sz w:val="21"/>
          <w:szCs w:val="21"/>
          <w:lang w:val="es-ES_tradnl"/>
        </w:rPr>
        <w:t xml:space="preserve">, servidora pública implicada en diversos proyectos de impacto social en comunidades locales e indígenas, en la medida que la participación de los familiares en las investigaciones y la continuidad de sus exigencias de justicia los expondrían a la merced de personas cuyo interés radicaría en silenciarlos y acabar con el legado de la fallecida. </w:t>
      </w:r>
      <w:r w:rsidR="003B4745">
        <w:rPr>
          <w:rFonts w:ascii="Cambria" w:eastAsia="Calibri" w:hAnsi="Cambria"/>
          <w:sz w:val="21"/>
          <w:szCs w:val="21"/>
          <w:lang w:val="es-ES_tradnl"/>
        </w:rPr>
        <w:t>La descripción de los diferentes sucesos por parte de los solicitantes permite apreciar en efecto la intensidad del riesgo al cual estarían siendo sometidos de</w:t>
      </w:r>
      <w:r w:rsidR="005761E4">
        <w:rPr>
          <w:rFonts w:ascii="Cambria" w:eastAsia="Calibri" w:hAnsi="Cambria"/>
          <w:sz w:val="21"/>
          <w:szCs w:val="21"/>
          <w:lang w:val="es-ES_tradnl"/>
        </w:rPr>
        <w:t xml:space="preserve"> manera reiterada. En este sentido,</w:t>
      </w:r>
      <w:r w:rsidR="003B4745">
        <w:rPr>
          <w:rFonts w:ascii="Cambria" w:eastAsia="Calibri" w:hAnsi="Cambria"/>
          <w:sz w:val="21"/>
          <w:szCs w:val="21"/>
          <w:lang w:val="es-ES_tradnl"/>
        </w:rPr>
        <w:t xml:space="preserve"> no solo los presuntos agresores habrían dado en más de una ocasión con el paradero de los propuestos beneficiarios quienes, en un intento de prevenir posibles ataques, decidieron abandonar sus domicilios, sino que tanto el contenido de las amenazas como la </w:t>
      </w:r>
      <w:r w:rsidR="002766B7">
        <w:rPr>
          <w:rFonts w:ascii="Cambria" w:eastAsia="Calibri" w:hAnsi="Cambria"/>
          <w:sz w:val="21"/>
          <w:szCs w:val="21"/>
          <w:lang w:val="es-ES_tradnl"/>
        </w:rPr>
        <w:t xml:space="preserve">presunta </w:t>
      </w:r>
      <w:r w:rsidR="003B4745">
        <w:rPr>
          <w:rFonts w:ascii="Cambria" w:eastAsia="Calibri" w:hAnsi="Cambria"/>
          <w:sz w:val="21"/>
          <w:szCs w:val="21"/>
          <w:lang w:val="es-ES_tradnl"/>
        </w:rPr>
        <w:t xml:space="preserve">persistencia de las mismas </w:t>
      </w:r>
      <w:r w:rsidR="005761E4">
        <w:rPr>
          <w:rFonts w:ascii="Cambria" w:eastAsia="Calibri" w:hAnsi="Cambria"/>
          <w:sz w:val="21"/>
          <w:szCs w:val="21"/>
          <w:lang w:val="es-ES_tradnl"/>
        </w:rPr>
        <w:t>y los medios empleados puede</w:t>
      </w:r>
      <w:r w:rsidR="0038302D">
        <w:rPr>
          <w:rFonts w:ascii="Cambria" w:eastAsia="Calibri" w:hAnsi="Cambria"/>
          <w:sz w:val="21"/>
          <w:szCs w:val="21"/>
          <w:lang w:val="es-ES_tradnl"/>
        </w:rPr>
        <w:t>n</w:t>
      </w:r>
      <w:r w:rsidR="005761E4">
        <w:rPr>
          <w:rFonts w:ascii="Cambria" w:eastAsia="Calibri" w:hAnsi="Cambria"/>
          <w:sz w:val="21"/>
          <w:szCs w:val="21"/>
          <w:lang w:val="es-ES_tradnl"/>
        </w:rPr>
        <w:t xml:space="preserve"> dar cuenta de la determinación </w:t>
      </w:r>
      <w:r w:rsidR="002766B7">
        <w:rPr>
          <w:rFonts w:ascii="Cambria" w:eastAsia="Calibri" w:hAnsi="Cambria"/>
          <w:sz w:val="21"/>
          <w:szCs w:val="21"/>
          <w:lang w:val="es-ES_tradnl"/>
        </w:rPr>
        <w:t>que tendr</w:t>
      </w:r>
      <w:r w:rsidR="002766B7">
        <w:rPr>
          <w:rFonts w:ascii="Cambria" w:eastAsia="Calibri" w:hAnsi="Cambria"/>
          <w:sz w:val="21"/>
          <w:szCs w:val="21"/>
          <w:lang w:val="es-MX"/>
        </w:rPr>
        <w:t>ían en atentar contra la vida e integridad de las personas propuestas</w:t>
      </w:r>
      <w:r w:rsidR="00D12367">
        <w:rPr>
          <w:rFonts w:ascii="Cambria" w:eastAsia="Calibri" w:hAnsi="Cambria"/>
          <w:sz w:val="21"/>
          <w:szCs w:val="21"/>
          <w:lang w:val="es-MX"/>
        </w:rPr>
        <w:t xml:space="preserve"> como</w:t>
      </w:r>
      <w:r w:rsidR="002766B7">
        <w:rPr>
          <w:rFonts w:ascii="Cambria" w:eastAsia="Calibri" w:hAnsi="Cambria"/>
          <w:sz w:val="21"/>
          <w:szCs w:val="21"/>
          <w:lang w:val="es-MX"/>
        </w:rPr>
        <w:t xml:space="preserve"> beneficiarias</w:t>
      </w:r>
      <w:r w:rsidR="005761E4">
        <w:rPr>
          <w:rFonts w:ascii="Cambria" w:eastAsia="Calibri" w:hAnsi="Cambria"/>
          <w:sz w:val="21"/>
          <w:szCs w:val="21"/>
          <w:lang w:val="es-ES_tradnl"/>
        </w:rPr>
        <w:t xml:space="preserve">. </w:t>
      </w:r>
    </w:p>
    <w:p w:rsidR="005761E4" w:rsidRDefault="005761E4" w:rsidP="005761E4">
      <w:pPr>
        <w:pStyle w:val="ListParagraph"/>
        <w:ind w:left="360"/>
        <w:jc w:val="both"/>
        <w:rPr>
          <w:rFonts w:ascii="Cambria" w:eastAsia="Calibri" w:hAnsi="Cambria"/>
          <w:sz w:val="21"/>
          <w:szCs w:val="21"/>
          <w:lang w:val="es-ES_tradnl"/>
        </w:rPr>
      </w:pPr>
    </w:p>
    <w:p w:rsidR="00F704D0" w:rsidRDefault="002766B7" w:rsidP="00A94D9B">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La Comisión toma en cuenta que e</w:t>
      </w:r>
      <w:r w:rsidR="004A28F4">
        <w:rPr>
          <w:rFonts w:ascii="Cambria" w:eastAsia="Calibri" w:hAnsi="Cambria"/>
          <w:sz w:val="21"/>
          <w:szCs w:val="21"/>
          <w:lang w:val="es-ES_tradnl"/>
        </w:rPr>
        <w:t xml:space="preserve">l Estado </w:t>
      </w:r>
      <w:r>
        <w:rPr>
          <w:rFonts w:ascii="Cambria" w:eastAsia="Calibri" w:hAnsi="Cambria"/>
          <w:sz w:val="21"/>
          <w:szCs w:val="21"/>
          <w:lang w:val="es-ES_tradnl"/>
        </w:rPr>
        <w:t xml:space="preserve">indicó </w:t>
      </w:r>
      <w:r w:rsidR="004A28F4">
        <w:rPr>
          <w:rFonts w:ascii="Cambria" w:eastAsia="Calibri" w:hAnsi="Cambria"/>
          <w:sz w:val="21"/>
          <w:szCs w:val="21"/>
          <w:lang w:val="es-ES_tradnl"/>
        </w:rPr>
        <w:t xml:space="preserve">que las medidas adoptadas por las autoridades competentes </w:t>
      </w:r>
      <w:r w:rsidR="00D14E11">
        <w:rPr>
          <w:rFonts w:ascii="Cambria" w:eastAsia="Calibri" w:hAnsi="Cambria"/>
          <w:sz w:val="21"/>
          <w:szCs w:val="21"/>
          <w:lang w:val="es-ES_tradnl"/>
        </w:rPr>
        <w:t>son</w:t>
      </w:r>
      <w:r w:rsidR="004A28F4">
        <w:rPr>
          <w:rFonts w:ascii="Cambria" w:eastAsia="Calibri" w:hAnsi="Cambria"/>
          <w:sz w:val="21"/>
          <w:szCs w:val="21"/>
          <w:lang w:val="es-ES_tradnl"/>
        </w:rPr>
        <w:t xml:space="preserve"> suficientes y que “[…] han garantizado su seguridad e integridad personal, tanto así que, las condiciones manifestadas en el escrito de los propuestos beneficiarios, no son las mismas en las que actualmente se encuentran, lo cual ha garantizado que no se presenten nuevos incidentes que [los] pongan en riesgo […]”. Frente a ello, la Comisión </w:t>
      </w:r>
      <w:r>
        <w:rPr>
          <w:rFonts w:ascii="Cambria" w:eastAsia="Calibri" w:hAnsi="Cambria"/>
          <w:sz w:val="21"/>
          <w:szCs w:val="21"/>
          <w:lang w:val="es-ES_tradnl"/>
        </w:rPr>
        <w:t xml:space="preserve">observa </w:t>
      </w:r>
      <w:r w:rsidR="004A28F4">
        <w:rPr>
          <w:rFonts w:ascii="Cambria" w:eastAsia="Calibri" w:hAnsi="Cambria"/>
          <w:sz w:val="21"/>
          <w:szCs w:val="21"/>
          <w:lang w:val="es-ES_tradnl"/>
        </w:rPr>
        <w:t xml:space="preserve">que </w:t>
      </w:r>
      <w:r>
        <w:rPr>
          <w:rFonts w:ascii="Cambria" w:eastAsia="Calibri" w:hAnsi="Cambria"/>
          <w:sz w:val="21"/>
          <w:szCs w:val="21"/>
          <w:lang w:val="es-ES_tradnl"/>
        </w:rPr>
        <w:t xml:space="preserve">si bien se habrían implementado </w:t>
      </w:r>
      <w:r w:rsidR="00455F5A">
        <w:rPr>
          <w:rFonts w:ascii="Cambria" w:eastAsia="Calibri" w:hAnsi="Cambria"/>
          <w:sz w:val="21"/>
          <w:szCs w:val="21"/>
          <w:lang w:val="es-ES_tradnl"/>
        </w:rPr>
        <w:t>ciertas medidas precautorias – pues</w:t>
      </w:r>
      <w:r w:rsidR="00B7635E">
        <w:rPr>
          <w:rFonts w:ascii="Cambria" w:eastAsia="Calibri" w:hAnsi="Cambria"/>
          <w:sz w:val="21"/>
          <w:szCs w:val="21"/>
          <w:lang w:val="es-ES_tradnl"/>
        </w:rPr>
        <w:t>,</w:t>
      </w:r>
      <w:r w:rsidR="00455F5A">
        <w:rPr>
          <w:rFonts w:ascii="Cambria" w:eastAsia="Calibri" w:hAnsi="Cambria"/>
          <w:sz w:val="21"/>
          <w:szCs w:val="21"/>
          <w:lang w:val="es-ES_tradnl"/>
        </w:rPr>
        <w:t xml:space="preserve"> según la información proporcionada</w:t>
      </w:r>
      <w:r w:rsidR="00B7635E">
        <w:rPr>
          <w:rFonts w:ascii="Cambria" w:eastAsia="Calibri" w:hAnsi="Cambria"/>
          <w:sz w:val="21"/>
          <w:szCs w:val="21"/>
          <w:lang w:val="es-ES_tradnl"/>
        </w:rPr>
        <w:t>,</w:t>
      </w:r>
      <w:r w:rsidR="00455F5A">
        <w:rPr>
          <w:rFonts w:ascii="Cambria" w:eastAsia="Calibri" w:hAnsi="Cambria"/>
          <w:sz w:val="21"/>
          <w:szCs w:val="21"/>
          <w:lang w:val="es-ES_tradnl"/>
        </w:rPr>
        <w:t xml:space="preserve"> aún no había concluido el análisis </w:t>
      </w:r>
      <w:r w:rsidR="00B7635E">
        <w:rPr>
          <w:rFonts w:ascii="Cambria" w:eastAsia="Calibri" w:hAnsi="Cambria"/>
          <w:sz w:val="21"/>
          <w:szCs w:val="21"/>
          <w:lang w:val="es-ES_tradnl"/>
        </w:rPr>
        <w:t>integral por parte del Mecanismo</w:t>
      </w:r>
      <w:r w:rsidR="00455F5A">
        <w:rPr>
          <w:rFonts w:ascii="Cambria" w:eastAsia="Calibri" w:hAnsi="Cambria"/>
          <w:sz w:val="21"/>
          <w:szCs w:val="21"/>
          <w:lang w:val="es-ES_tradnl"/>
        </w:rPr>
        <w:t xml:space="preserve"> –</w:t>
      </w:r>
      <w:r>
        <w:rPr>
          <w:rFonts w:ascii="Cambria" w:eastAsia="Calibri" w:hAnsi="Cambria"/>
          <w:sz w:val="21"/>
          <w:szCs w:val="21"/>
          <w:lang w:val="es-ES_tradnl"/>
        </w:rPr>
        <w:t>, las mismas</w:t>
      </w:r>
      <w:r w:rsidR="00DA1291">
        <w:rPr>
          <w:rFonts w:ascii="Cambria" w:eastAsia="Calibri" w:hAnsi="Cambria"/>
          <w:sz w:val="21"/>
          <w:szCs w:val="21"/>
          <w:lang w:val="es-ES_tradnl"/>
        </w:rPr>
        <w:t xml:space="preserve"> no habr</w:t>
      </w:r>
      <w:r w:rsidR="003526A5">
        <w:rPr>
          <w:rFonts w:ascii="Cambria" w:eastAsia="Calibri" w:hAnsi="Cambria"/>
          <w:sz w:val="21"/>
          <w:szCs w:val="21"/>
          <w:lang w:val="es-ES_tradnl"/>
        </w:rPr>
        <w:t>ía impedido la continuidad de los eventos de riesgo, particularmente en lo que se refiere a la situación del señor Víctor Hugo Gonz</w:t>
      </w:r>
      <w:r w:rsidR="0038302D">
        <w:rPr>
          <w:rFonts w:ascii="Cambria" w:eastAsia="Calibri" w:hAnsi="Cambria"/>
          <w:sz w:val="21"/>
          <w:szCs w:val="21"/>
          <w:lang w:val="es-ES_tradnl"/>
        </w:rPr>
        <w:t>ález y su familia</w:t>
      </w:r>
      <w:r w:rsidR="003526A5">
        <w:rPr>
          <w:rFonts w:ascii="Cambria" w:eastAsia="Calibri" w:hAnsi="Cambria"/>
          <w:sz w:val="21"/>
          <w:szCs w:val="21"/>
          <w:lang w:val="es-ES_tradnl"/>
        </w:rPr>
        <w:t xml:space="preserve">. En efecto, la seriedad de los últimos alegatos de los solicitantes sugiere que </w:t>
      </w:r>
      <w:r w:rsidR="00401E8D">
        <w:rPr>
          <w:rFonts w:ascii="Cambria" w:eastAsia="Calibri" w:hAnsi="Cambria"/>
          <w:sz w:val="21"/>
          <w:szCs w:val="21"/>
          <w:lang w:val="es-ES_tradnl"/>
        </w:rPr>
        <w:t xml:space="preserve">la que en aquel entonces era </w:t>
      </w:r>
      <w:r w:rsidR="003526A5">
        <w:rPr>
          <w:rFonts w:ascii="Cambria" w:eastAsia="Calibri" w:hAnsi="Cambria"/>
          <w:sz w:val="21"/>
          <w:szCs w:val="21"/>
          <w:lang w:val="es-ES_tradnl"/>
        </w:rPr>
        <w:t xml:space="preserve">su residencia no contaba con las medidas de protección </w:t>
      </w:r>
      <w:r>
        <w:rPr>
          <w:rFonts w:ascii="Cambria" w:eastAsia="Calibri" w:hAnsi="Cambria"/>
          <w:sz w:val="21"/>
          <w:szCs w:val="21"/>
          <w:lang w:val="es-ES_tradnl"/>
        </w:rPr>
        <w:t>que pudieran hacer frente a su situación de vulnerabilidad</w:t>
      </w:r>
      <w:r w:rsidR="003526A5">
        <w:rPr>
          <w:rFonts w:ascii="Cambria" w:eastAsia="Calibri" w:hAnsi="Cambria"/>
          <w:sz w:val="21"/>
          <w:szCs w:val="21"/>
          <w:lang w:val="es-ES_tradnl"/>
        </w:rPr>
        <w:t xml:space="preserve">, resaltándose que los presuntos agresores, supuestamente armados con armas de alto calibre, se encontraban a escasos metros de distancia y apuntando hacia el interior de la vivienda. </w:t>
      </w:r>
      <w:r w:rsidR="0038302D">
        <w:rPr>
          <w:rFonts w:ascii="Cambria" w:eastAsia="Calibri" w:hAnsi="Cambria"/>
          <w:sz w:val="21"/>
          <w:szCs w:val="21"/>
          <w:lang w:val="es-ES_tradnl"/>
        </w:rPr>
        <w:t>Al respecto, especial preocupación merece la información según la cual este incidente se produjo una vez los propuestos beneficiarios abandonaron su lugar de origen y buscado refugio en la ciudad de Oaxaca, teniendo en la actualidad que desplazarse otra vez más.</w:t>
      </w:r>
      <w:r w:rsidR="00B866E6">
        <w:rPr>
          <w:rFonts w:ascii="Cambria" w:eastAsia="Calibri" w:hAnsi="Cambria"/>
          <w:sz w:val="21"/>
          <w:szCs w:val="21"/>
          <w:lang w:val="es-ES_tradnl"/>
        </w:rPr>
        <w:t xml:space="preserve"> Aunado a lo anterior, </w:t>
      </w:r>
      <w:r w:rsidR="00DE597C">
        <w:rPr>
          <w:rFonts w:ascii="Cambria" w:eastAsia="Calibri" w:hAnsi="Cambria"/>
          <w:sz w:val="21"/>
          <w:szCs w:val="21"/>
          <w:lang w:val="es-ES_tradnl"/>
        </w:rPr>
        <w:t xml:space="preserve">debe señalarse que </w:t>
      </w:r>
      <w:r w:rsidR="00B866E6">
        <w:rPr>
          <w:rFonts w:ascii="Cambria" w:eastAsia="Calibri" w:hAnsi="Cambria"/>
          <w:sz w:val="21"/>
          <w:szCs w:val="21"/>
          <w:lang w:val="es-ES_tradnl"/>
        </w:rPr>
        <w:t>la alegada demora con la que las autoridades habrían acudido para atenderlos</w:t>
      </w:r>
      <w:r w:rsidR="00420151">
        <w:rPr>
          <w:rFonts w:ascii="Cambria" w:eastAsia="Calibri" w:hAnsi="Cambria"/>
          <w:sz w:val="21"/>
          <w:szCs w:val="21"/>
          <w:lang w:val="es-ES_tradnl"/>
        </w:rPr>
        <w:t>,</w:t>
      </w:r>
      <w:r w:rsidR="00B866E6">
        <w:rPr>
          <w:rFonts w:ascii="Cambria" w:eastAsia="Calibri" w:hAnsi="Cambria"/>
          <w:sz w:val="21"/>
          <w:szCs w:val="21"/>
          <w:lang w:val="es-ES_tradnl"/>
        </w:rPr>
        <w:t xml:space="preserve"> una vez activado el mecanismo de protección suministrado</w:t>
      </w:r>
      <w:r w:rsidR="00420151">
        <w:rPr>
          <w:rFonts w:ascii="Cambria" w:eastAsia="Calibri" w:hAnsi="Cambria"/>
          <w:sz w:val="21"/>
          <w:szCs w:val="21"/>
          <w:lang w:val="es-ES_tradnl"/>
        </w:rPr>
        <w:t>,</w:t>
      </w:r>
      <w:r w:rsidR="00B866E6">
        <w:rPr>
          <w:rFonts w:ascii="Cambria" w:eastAsia="Calibri" w:hAnsi="Cambria"/>
          <w:sz w:val="21"/>
          <w:szCs w:val="21"/>
          <w:lang w:val="es-ES_tradnl"/>
        </w:rPr>
        <w:t xml:space="preserve"> no se correspondería a la urgencia de la situación.</w:t>
      </w:r>
    </w:p>
    <w:p w:rsidR="00F704D0" w:rsidRDefault="00F704D0" w:rsidP="00F704D0">
      <w:pPr>
        <w:pStyle w:val="ListParagraph"/>
        <w:ind w:left="360"/>
        <w:jc w:val="both"/>
        <w:rPr>
          <w:rFonts w:ascii="Cambria" w:eastAsia="Calibri" w:hAnsi="Cambria"/>
          <w:sz w:val="21"/>
          <w:szCs w:val="21"/>
          <w:lang w:val="es-ES_tradnl"/>
        </w:rPr>
      </w:pPr>
    </w:p>
    <w:p w:rsidR="005761E4" w:rsidRPr="00750048" w:rsidRDefault="003526A5" w:rsidP="00A94D9B">
      <w:pPr>
        <w:pStyle w:val="ListParagraph"/>
        <w:numPr>
          <w:ilvl w:val="0"/>
          <w:numId w:val="1"/>
        </w:numPr>
        <w:ind w:left="0" w:firstLine="360"/>
        <w:jc w:val="both"/>
        <w:rPr>
          <w:rFonts w:ascii="Cambria" w:eastAsia="Calibri" w:hAnsi="Cambria"/>
          <w:sz w:val="21"/>
          <w:szCs w:val="21"/>
          <w:lang w:val="es-ES_tradnl"/>
        </w:rPr>
      </w:pPr>
      <w:r>
        <w:rPr>
          <w:rFonts w:ascii="Cambria" w:eastAsia="Calibri" w:hAnsi="Cambria"/>
          <w:sz w:val="21"/>
          <w:szCs w:val="21"/>
          <w:lang w:val="es-ES_tradnl"/>
        </w:rPr>
        <w:t>La Comisión no dispone de información sobre si los domicilios de la señora Marbeli González y el resto de propuestos beneficiarios se encontraría</w:t>
      </w:r>
      <w:r w:rsidR="00B866E6">
        <w:rPr>
          <w:rFonts w:ascii="Cambria" w:eastAsia="Calibri" w:hAnsi="Cambria"/>
          <w:sz w:val="21"/>
          <w:szCs w:val="21"/>
          <w:lang w:val="es-ES_tradnl"/>
        </w:rPr>
        <w:t>n</w:t>
      </w:r>
      <w:r>
        <w:rPr>
          <w:rFonts w:ascii="Cambria" w:eastAsia="Calibri" w:hAnsi="Cambria"/>
          <w:sz w:val="21"/>
          <w:szCs w:val="21"/>
          <w:lang w:val="es-ES_tradnl"/>
        </w:rPr>
        <w:t xml:space="preserve"> en las mismas circunstancias</w:t>
      </w:r>
      <w:r w:rsidR="00B866E6">
        <w:rPr>
          <w:rFonts w:ascii="Cambria" w:eastAsia="Calibri" w:hAnsi="Cambria"/>
          <w:sz w:val="21"/>
          <w:szCs w:val="21"/>
          <w:lang w:val="es-ES_tradnl"/>
        </w:rPr>
        <w:t>, atendiendo a que ellos también, conforme la última información proporcionada, vivirían en la ciudad de Oaxaca</w:t>
      </w:r>
      <w:r>
        <w:rPr>
          <w:rFonts w:ascii="Cambria" w:eastAsia="Calibri" w:hAnsi="Cambria"/>
          <w:sz w:val="21"/>
          <w:szCs w:val="21"/>
          <w:lang w:val="es-ES_tradnl"/>
        </w:rPr>
        <w:t xml:space="preserve">. </w:t>
      </w:r>
      <w:r w:rsidR="00F704D0">
        <w:rPr>
          <w:rFonts w:ascii="Cambria" w:eastAsia="Calibri" w:hAnsi="Cambria"/>
          <w:sz w:val="21"/>
          <w:szCs w:val="21"/>
          <w:lang w:val="es-ES_tradnl"/>
        </w:rPr>
        <w:t xml:space="preserve">En este </w:t>
      </w:r>
      <w:r w:rsidR="00F704D0">
        <w:rPr>
          <w:rFonts w:ascii="Cambria" w:eastAsia="Calibri" w:hAnsi="Cambria"/>
          <w:sz w:val="21"/>
          <w:szCs w:val="21"/>
          <w:lang w:val="es-ES_tradnl"/>
        </w:rPr>
        <w:lastRenderedPageBreak/>
        <w:t xml:space="preserve">contexto, la Comisión alerta sobre la posibilidad de que eventos similares vuelvan a producirse, máxime ante la ausencia de </w:t>
      </w:r>
      <w:r w:rsidR="00D02E8C">
        <w:rPr>
          <w:rFonts w:ascii="Cambria" w:eastAsia="Calibri" w:hAnsi="Cambria"/>
          <w:sz w:val="21"/>
          <w:szCs w:val="21"/>
          <w:lang w:val="es-ES_tradnl"/>
        </w:rPr>
        <w:t>elementos</w:t>
      </w:r>
      <w:r w:rsidR="00F704D0">
        <w:rPr>
          <w:rFonts w:ascii="Cambria" w:eastAsia="Calibri" w:hAnsi="Cambria"/>
          <w:sz w:val="21"/>
          <w:szCs w:val="21"/>
          <w:lang w:val="es-ES_tradnl"/>
        </w:rPr>
        <w:t xml:space="preserve"> más determinante</w:t>
      </w:r>
      <w:r w:rsidR="00D02E8C">
        <w:rPr>
          <w:rFonts w:ascii="Cambria" w:eastAsia="Calibri" w:hAnsi="Cambria"/>
          <w:sz w:val="21"/>
          <w:szCs w:val="21"/>
          <w:lang w:val="es-ES_tradnl"/>
        </w:rPr>
        <w:t>s</w:t>
      </w:r>
      <w:r w:rsidR="00F704D0">
        <w:rPr>
          <w:rFonts w:ascii="Cambria" w:eastAsia="Calibri" w:hAnsi="Cambria"/>
          <w:sz w:val="21"/>
          <w:szCs w:val="21"/>
          <w:lang w:val="es-ES_tradnl"/>
        </w:rPr>
        <w:t xml:space="preserve"> que permita</w:t>
      </w:r>
      <w:r w:rsidR="00D02E8C">
        <w:rPr>
          <w:rFonts w:ascii="Cambria" w:eastAsia="Calibri" w:hAnsi="Cambria"/>
          <w:sz w:val="21"/>
          <w:szCs w:val="21"/>
          <w:lang w:val="es-ES_tradnl"/>
        </w:rPr>
        <w:t>n</w:t>
      </w:r>
      <w:r w:rsidR="00F704D0">
        <w:rPr>
          <w:rFonts w:ascii="Cambria" w:eastAsia="Calibri" w:hAnsi="Cambria"/>
          <w:sz w:val="21"/>
          <w:szCs w:val="21"/>
          <w:lang w:val="es-ES_tradnl"/>
        </w:rPr>
        <w:t xml:space="preserve"> desvirtuar la alegada situación de riesgo enfrentada por los propuestos beneficiarios. </w:t>
      </w:r>
      <w:r>
        <w:rPr>
          <w:rFonts w:ascii="Cambria" w:eastAsia="Calibri" w:hAnsi="Cambria"/>
          <w:sz w:val="21"/>
          <w:szCs w:val="21"/>
          <w:lang w:val="es-ES_tradnl"/>
        </w:rPr>
        <w:t xml:space="preserve"> </w:t>
      </w:r>
      <w:r w:rsidR="00DA1291">
        <w:rPr>
          <w:rFonts w:ascii="Cambria" w:eastAsia="Calibri" w:hAnsi="Cambria"/>
          <w:sz w:val="21"/>
          <w:szCs w:val="21"/>
          <w:lang w:val="es-ES_tradnl"/>
        </w:rPr>
        <w:t xml:space="preserve"> </w:t>
      </w:r>
      <w:r w:rsidR="004A28F4">
        <w:rPr>
          <w:rFonts w:ascii="Cambria" w:eastAsia="Calibri" w:hAnsi="Cambria"/>
          <w:sz w:val="21"/>
          <w:szCs w:val="21"/>
          <w:lang w:val="es-ES_tradnl"/>
        </w:rPr>
        <w:t xml:space="preserve"> </w:t>
      </w:r>
    </w:p>
    <w:p w:rsidR="00F628B3" w:rsidRPr="00627E0B" w:rsidRDefault="00F628B3" w:rsidP="00627E0B">
      <w:pPr>
        <w:jc w:val="both"/>
        <w:rPr>
          <w:rFonts w:ascii="Cambria" w:eastAsia="Calibri" w:hAnsi="Cambria"/>
          <w:sz w:val="21"/>
          <w:szCs w:val="21"/>
          <w:lang w:val="es-ES_tradnl"/>
        </w:rPr>
      </w:pPr>
    </w:p>
    <w:p w:rsidR="00C57CAF" w:rsidRPr="00750048" w:rsidRDefault="0050651A" w:rsidP="00C57CAF">
      <w:pPr>
        <w:pStyle w:val="ListParagraph"/>
        <w:numPr>
          <w:ilvl w:val="0"/>
          <w:numId w:val="1"/>
        </w:numPr>
        <w:ind w:left="0" w:firstLine="360"/>
        <w:jc w:val="both"/>
        <w:rPr>
          <w:rFonts w:ascii="Cambria" w:eastAsia="Batang" w:hAnsi="Cambria" w:cs="Times New Roman"/>
          <w:color w:val="000000"/>
          <w:sz w:val="21"/>
          <w:szCs w:val="21"/>
          <w:lang w:val="es-ES"/>
        </w:rPr>
      </w:pPr>
      <w:r w:rsidRPr="00750048">
        <w:rPr>
          <w:rFonts w:ascii="Cambria" w:eastAsia="Batang" w:hAnsi="Cambria" w:cs="Times New Roman"/>
          <w:color w:val="000000"/>
          <w:sz w:val="21"/>
          <w:szCs w:val="21"/>
          <w:lang w:val="es-ES"/>
        </w:rPr>
        <w:t>En vista de lo anterior, la Comisión considera que</w:t>
      </w:r>
      <w:r w:rsidR="0070442B">
        <w:rPr>
          <w:rFonts w:ascii="Cambria" w:eastAsia="Batang" w:hAnsi="Cambria" w:cs="Times New Roman"/>
          <w:color w:val="000000"/>
          <w:sz w:val="21"/>
          <w:szCs w:val="21"/>
          <w:lang w:val="es-ES"/>
        </w:rPr>
        <w:t xml:space="preserve">, bajo el criterio de apreciación </w:t>
      </w:r>
      <w:r w:rsidR="0070442B" w:rsidRPr="00E871A4">
        <w:rPr>
          <w:rFonts w:ascii="Cambria" w:eastAsia="Batang" w:hAnsi="Cambria" w:cs="Times New Roman"/>
          <w:i/>
          <w:color w:val="000000"/>
          <w:sz w:val="21"/>
          <w:szCs w:val="21"/>
          <w:lang w:val="es-ES"/>
        </w:rPr>
        <w:t>prima facie</w:t>
      </w:r>
      <w:r w:rsidR="0070442B">
        <w:rPr>
          <w:rFonts w:ascii="Cambria" w:eastAsia="Batang" w:hAnsi="Cambria" w:cs="Times New Roman"/>
          <w:color w:val="000000"/>
          <w:sz w:val="21"/>
          <w:szCs w:val="21"/>
          <w:lang w:val="es-ES"/>
        </w:rPr>
        <w:t xml:space="preserve">, se halla suficientemente establecida la existencia de una situación de riesgo grave para los derechos a la vida e integridad personal de la señora </w:t>
      </w:r>
      <w:r w:rsidR="0070442B" w:rsidRPr="0070442B">
        <w:rPr>
          <w:rFonts w:ascii="Cambria" w:eastAsia="Batang" w:hAnsi="Cambria" w:cs="Times New Roman"/>
          <w:color w:val="000000"/>
          <w:sz w:val="21"/>
          <w:szCs w:val="21"/>
          <w:lang w:val="es-CO"/>
        </w:rPr>
        <w:t>Marbeli Vivani González López</w:t>
      </w:r>
      <w:r w:rsidR="0070442B">
        <w:rPr>
          <w:rFonts w:ascii="Cambria" w:eastAsia="Batang" w:hAnsi="Cambria" w:cs="Times New Roman"/>
          <w:color w:val="000000"/>
          <w:sz w:val="21"/>
          <w:szCs w:val="21"/>
          <w:lang w:val="es-CO"/>
        </w:rPr>
        <w:t xml:space="preserve"> y el resto de los propuestos beneficiarios. </w:t>
      </w:r>
    </w:p>
    <w:p w:rsidR="0050651A" w:rsidRPr="00750048" w:rsidRDefault="0050651A" w:rsidP="0050651A">
      <w:pPr>
        <w:pStyle w:val="ListParagraph"/>
        <w:ind w:left="360"/>
        <w:jc w:val="both"/>
        <w:rPr>
          <w:rFonts w:ascii="Cambria" w:eastAsia="Batang" w:hAnsi="Cambria" w:cs="Times New Roman"/>
          <w:color w:val="000000"/>
          <w:sz w:val="21"/>
          <w:szCs w:val="21"/>
          <w:lang w:val="es-ES"/>
        </w:rPr>
      </w:pPr>
    </w:p>
    <w:p w:rsidR="0050651A" w:rsidRPr="00750048" w:rsidRDefault="0050651A" w:rsidP="0050651A">
      <w:pPr>
        <w:pStyle w:val="ListParagraph"/>
        <w:numPr>
          <w:ilvl w:val="0"/>
          <w:numId w:val="1"/>
        </w:numPr>
        <w:ind w:left="0" w:firstLine="360"/>
        <w:jc w:val="both"/>
        <w:rPr>
          <w:rFonts w:ascii="Cambria" w:eastAsia="Batang" w:hAnsi="Cambria" w:cs="Times New Roman"/>
          <w:color w:val="000000"/>
          <w:sz w:val="21"/>
          <w:szCs w:val="21"/>
          <w:lang w:val="es-ES"/>
        </w:rPr>
      </w:pPr>
      <w:r w:rsidRPr="00750048">
        <w:rPr>
          <w:rFonts w:ascii="Cambria" w:eastAsia="Batang" w:hAnsi="Cambria" w:cs="Times New Roman"/>
          <w:color w:val="000000"/>
          <w:sz w:val="21"/>
          <w:szCs w:val="21"/>
          <w:lang w:val="es-ES"/>
        </w:rPr>
        <w:t xml:space="preserve">Respecto al requisito de urgencia, la Comisión </w:t>
      </w:r>
      <w:r w:rsidR="00954BB9" w:rsidRPr="00750048">
        <w:rPr>
          <w:rFonts w:ascii="Cambria" w:eastAsia="Batang" w:hAnsi="Cambria" w:cs="Times New Roman"/>
          <w:color w:val="000000"/>
          <w:sz w:val="21"/>
          <w:szCs w:val="21"/>
          <w:lang w:val="es-ES"/>
        </w:rPr>
        <w:t>considera</w:t>
      </w:r>
      <w:r w:rsidR="001264A5" w:rsidRPr="00750048">
        <w:rPr>
          <w:rFonts w:ascii="Cambria" w:eastAsia="Batang" w:hAnsi="Cambria" w:cs="Times New Roman"/>
          <w:color w:val="000000"/>
          <w:sz w:val="21"/>
          <w:szCs w:val="21"/>
          <w:lang w:val="es-ES"/>
        </w:rPr>
        <w:t xml:space="preserve"> </w:t>
      </w:r>
      <w:r w:rsidRPr="00750048">
        <w:rPr>
          <w:rFonts w:ascii="Cambria" w:eastAsia="Batang" w:hAnsi="Cambria" w:cs="Times New Roman"/>
          <w:color w:val="000000"/>
          <w:sz w:val="21"/>
          <w:szCs w:val="21"/>
          <w:lang w:val="es-ES"/>
        </w:rPr>
        <w:t xml:space="preserve">que se </w:t>
      </w:r>
      <w:r w:rsidR="00E871A4">
        <w:rPr>
          <w:rFonts w:ascii="Cambria" w:eastAsia="Batang" w:hAnsi="Cambria" w:cs="Times New Roman"/>
          <w:color w:val="000000"/>
          <w:sz w:val="21"/>
          <w:szCs w:val="21"/>
          <w:lang w:val="es-ES"/>
        </w:rPr>
        <w:t>encuentra</w:t>
      </w:r>
      <w:r w:rsidRPr="00750048">
        <w:rPr>
          <w:rFonts w:ascii="Cambria" w:eastAsia="Batang" w:hAnsi="Cambria" w:cs="Times New Roman"/>
          <w:color w:val="000000"/>
          <w:sz w:val="21"/>
          <w:szCs w:val="21"/>
          <w:lang w:val="es-ES"/>
        </w:rPr>
        <w:t xml:space="preserve"> igual</w:t>
      </w:r>
      <w:r w:rsidR="00E871A4">
        <w:rPr>
          <w:rFonts w:ascii="Cambria" w:eastAsia="Batang" w:hAnsi="Cambria" w:cs="Times New Roman"/>
          <w:color w:val="000000"/>
          <w:sz w:val="21"/>
          <w:szCs w:val="21"/>
          <w:lang w:val="es-ES"/>
        </w:rPr>
        <w:t xml:space="preserve">mente cumplido, atendiendo a la persistencia de los actos de persecución, su carácter cercano en el tiempo y la alegada insuficiencia de las medidas de protección siendo posible, en estas circunstancias, la materialización de ataques o agresiones en contra de los propuestos beneficiarios en cualquier momento.  </w:t>
      </w:r>
    </w:p>
    <w:p w:rsidR="00106A58" w:rsidRPr="00750048" w:rsidRDefault="00106A58" w:rsidP="00106A58">
      <w:pPr>
        <w:pStyle w:val="ListParagraph"/>
        <w:ind w:left="360"/>
        <w:jc w:val="both"/>
        <w:rPr>
          <w:rFonts w:ascii="Cambria" w:eastAsia="Batang" w:hAnsi="Cambria" w:cs="Times New Roman"/>
          <w:color w:val="000000"/>
          <w:sz w:val="21"/>
          <w:szCs w:val="21"/>
          <w:lang w:val="es-ES"/>
        </w:rPr>
      </w:pPr>
    </w:p>
    <w:p w:rsidR="00007FC4" w:rsidRPr="00B7635E" w:rsidRDefault="00106A58" w:rsidP="00A94D9B">
      <w:pPr>
        <w:pStyle w:val="ListParagraph"/>
        <w:numPr>
          <w:ilvl w:val="0"/>
          <w:numId w:val="1"/>
        </w:numPr>
        <w:ind w:left="0" w:firstLine="360"/>
        <w:jc w:val="both"/>
        <w:rPr>
          <w:rFonts w:ascii="Cambria" w:eastAsia="Batang" w:hAnsi="Cambria" w:cs="Times New Roman"/>
          <w:color w:val="000000"/>
          <w:sz w:val="21"/>
          <w:szCs w:val="21"/>
          <w:lang w:val="es-ES"/>
        </w:rPr>
      </w:pPr>
      <w:r w:rsidRPr="00750048">
        <w:rPr>
          <w:rFonts w:ascii="Cambria" w:eastAsia="Batang" w:hAnsi="Cambria" w:cs="Times New Roman"/>
          <w:color w:val="000000"/>
          <w:sz w:val="21"/>
          <w:szCs w:val="21"/>
          <w:lang w:val="es-ES"/>
        </w:rPr>
        <w:t>En cuanto al requisito de irreparabilidad, la Comisión considera que se encuentra cumplido, en la medida que la potencial afectación a los derechos a la vida e integridad personal constituye la máxima situación de irreparabilidad.</w:t>
      </w:r>
    </w:p>
    <w:p w:rsidR="009D6564" w:rsidRPr="00750048" w:rsidRDefault="009D6564" w:rsidP="00A94D9B">
      <w:pPr>
        <w:jc w:val="both"/>
        <w:rPr>
          <w:rFonts w:ascii="Cambria" w:hAnsi="Cambria"/>
          <w:sz w:val="21"/>
          <w:szCs w:val="21"/>
          <w:lang w:val="es-MX"/>
        </w:rPr>
      </w:pPr>
    </w:p>
    <w:p w:rsidR="00007FC4" w:rsidRPr="00750048" w:rsidRDefault="00007FC4" w:rsidP="00A94D9B">
      <w:pPr>
        <w:numPr>
          <w:ilvl w:val="0"/>
          <w:numId w:val="11"/>
        </w:numPr>
        <w:jc w:val="both"/>
        <w:rPr>
          <w:rFonts w:ascii="Cambria" w:hAnsi="Cambria"/>
          <w:b/>
          <w:bCs/>
          <w:sz w:val="21"/>
          <w:szCs w:val="21"/>
          <w:lang w:val="es-AR"/>
        </w:rPr>
      </w:pPr>
      <w:r w:rsidRPr="00750048">
        <w:rPr>
          <w:rFonts w:ascii="Cambria" w:hAnsi="Cambria"/>
          <w:b/>
          <w:bCs/>
          <w:sz w:val="21"/>
          <w:szCs w:val="21"/>
          <w:lang w:val="es-AR"/>
        </w:rPr>
        <w:t>BENEFICIARIOS</w:t>
      </w:r>
    </w:p>
    <w:p w:rsidR="00007FC4" w:rsidRPr="00750048" w:rsidRDefault="00007FC4" w:rsidP="00A94D9B">
      <w:pPr>
        <w:jc w:val="both"/>
        <w:rPr>
          <w:rFonts w:ascii="Cambria" w:hAnsi="Cambria"/>
          <w:sz w:val="21"/>
          <w:szCs w:val="21"/>
          <w:lang w:val="es-AR"/>
        </w:rPr>
      </w:pPr>
    </w:p>
    <w:p w:rsidR="00007FC4" w:rsidRPr="00750048" w:rsidRDefault="00007FC4" w:rsidP="00A94D9B">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 xml:space="preserve">La Comisión declara que </w:t>
      </w:r>
      <w:r w:rsidR="002A6E25" w:rsidRPr="00750048">
        <w:rPr>
          <w:rFonts w:ascii="Cambria" w:hAnsi="Cambria"/>
          <w:sz w:val="21"/>
          <w:szCs w:val="21"/>
          <w:lang w:val="es-MX"/>
        </w:rPr>
        <w:t>los beneficiarios</w:t>
      </w:r>
      <w:r w:rsidRPr="00750048">
        <w:rPr>
          <w:rFonts w:ascii="Cambria" w:hAnsi="Cambria"/>
          <w:sz w:val="21"/>
          <w:szCs w:val="21"/>
          <w:lang w:val="es-MX"/>
        </w:rPr>
        <w:t xml:space="preserve"> de</w:t>
      </w:r>
      <w:r w:rsidR="008E2BB1" w:rsidRPr="00750048">
        <w:rPr>
          <w:rFonts w:ascii="Cambria" w:hAnsi="Cambria"/>
          <w:sz w:val="21"/>
          <w:szCs w:val="21"/>
          <w:lang w:val="es-MX"/>
        </w:rPr>
        <w:t xml:space="preserve"> la presente medida cautelar </w:t>
      </w:r>
      <w:r w:rsidR="002A6E25" w:rsidRPr="00750048">
        <w:rPr>
          <w:rFonts w:ascii="Cambria" w:hAnsi="Cambria"/>
          <w:sz w:val="21"/>
          <w:szCs w:val="21"/>
          <w:lang w:val="es-MX"/>
        </w:rPr>
        <w:t xml:space="preserve">son </w:t>
      </w:r>
      <w:r w:rsidR="00E871A4">
        <w:rPr>
          <w:rFonts w:ascii="Cambria" w:hAnsi="Cambria"/>
          <w:sz w:val="21"/>
          <w:szCs w:val="21"/>
          <w:lang w:val="es-MX"/>
        </w:rPr>
        <w:t xml:space="preserve">la señora Marbeli Vivani González López y los demás familiares que fueron identificados por los solicitantes en este procedimiento. </w:t>
      </w:r>
    </w:p>
    <w:p w:rsidR="00007FC4" w:rsidRPr="00750048" w:rsidRDefault="00007FC4" w:rsidP="00A94D9B">
      <w:pPr>
        <w:jc w:val="both"/>
        <w:rPr>
          <w:rFonts w:ascii="Cambria" w:hAnsi="Cambria"/>
          <w:sz w:val="21"/>
          <w:szCs w:val="21"/>
          <w:lang w:val="es-MX"/>
        </w:rPr>
      </w:pPr>
    </w:p>
    <w:p w:rsidR="00007FC4" w:rsidRPr="00750048" w:rsidRDefault="00007FC4" w:rsidP="00A94D9B">
      <w:pPr>
        <w:numPr>
          <w:ilvl w:val="0"/>
          <w:numId w:val="11"/>
        </w:numPr>
        <w:jc w:val="both"/>
        <w:rPr>
          <w:rFonts w:ascii="Cambria" w:hAnsi="Cambria"/>
          <w:b/>
          <w:bCs/>
          <w:sz w:val="21"/>
          <w:szCs w:val="21"/>
          <w:lang w:val="es-AR"/>
        </w:rPr>
      </w:pPr>
      <w:r w:rsidRPr="00750048">
        <w:rPr>
          <w:rFonts w:ascii="Cambria" w:hAnsi="Cambria"/>
          <w:b/>
          <w:bCs/>
          <w:sz w:val="21"/>
          <w:szCs w:val="21"/>
          <w:lang w:val="es-AR"/>
        </w:rPr>
        <w:t>DECISIÓN</w:t>
      </w:r>
    </w:p>
    <w:p w:rsidR="00007FC4" w:rsidRPr="00750048" w:rsidRDefault="00007FC4" w:rsidP="00A94D9B">
      <w:pPr>
        <w:jc w:val="both"/>
        <w:rPr>
          <w:rFonts w:ascii="Cambria" w:hAnsi="Cambria"/>
          <w:sz w:val="21"/>
          <w:szCs w:val="21"/>
          <w:lang w:val="es-AR"/>
        </w:rPr>
      </w:pPr>
    </w:p>
    <w:p w:rsidR="00CD1171" w:rsidRPr="00750048" w:rsidRDefault="00007FC4" w:rsidP="00CD1171">
      <w:pPr>
        <w:pStyle w:val="ListParagraph"/>
        <w:numPr>
          <w:ilvl w:val="0"/>
          <w:numId w:val="1"/>
        </w:numPr>
        <w:ind w:left="0" w:firstLine="360"/>
        <w:jc w:val="both"/>
        <w:rPr>
          <w:rFonts w:ascii="Cambria" w:hAnsi="Cambria"/>
          <w:sz w:val="21"/>
          <w:szCs w:val="21"/>
          <w:lang w:val="es-MX"/>
        </w:rPr>
      </w:pPr>
      <w:r w:rsidRPr="00750048">
        <w:rPr>
          <w:rFonts w:ascii="Cambria" w:hAnsi="Cambria"/>
          <w:sz w:val="21"/>
          <w:szCs w:val="21"/>
          <w:lang w:val="es-MX"/>
        </w:rPr>
        <w:t xml:space="preserve">La Comisión considera que el presente asunto reúne </w:t>
      </w:r>
      <w:r w:rsidRPr="00750048">
        <w:rPr>
          <w:rFonts w:ascii="Cambria" w:hAnsi="Cambria"/>
          <w:i/>
          <w:sz w:val="21"/>
          <w:szCs w:val="21"/>
          <w:lang w:val="es-MX"/>
        </w:rPr>
        <w:t>prima facie</w:t>
      </w:r>
      <w:r w:rsidRPr="00750048">
        <w:rPr>
          <w:rFonts w:ascii="Cambria" w:hAnsi="Cambria"/>
          <w:sz w:val="21"/>
          <w:szCs w:val="21"/>
          <w:lang w:val="es-MX"/>
        </w:rPr>
        <w:t xml:space="preserve"> los requisitos de gravedad, urgencia e irreparabilidad contenidos en el artículo 25 de su Reglamento. En consecuencia, la Comisión solicita </w:t>
      </w:r>
      <w:r w:rsidR="002A6E25" w:rsidRPr="00750048">
        <w:rPr>
          <w:rFonts w:ascii="Cambria" w:hAnsi="Cambria"/>
          <w:sz w:val="21"/>
          <w:szCs w:val="21"/>
          <w:lang w:val="es-MX"/>
        </w:rPr>
        <w:t>a México</w:t>
      </w:r>
      <w:r w:rsidR="00CD1171" w:rsidRPr="00750048">
        <w:rPr>
          <w:rFonts w:ascii="Cambria" w:hAnsi="Cambria"/>
          <w:sz w:val="21"/>
          <w:szCs w:val="21"/>
          <w:lang w:val="es-MX"/>
        </w:rPr>
        <w:t xml:space="preserve"> que:</w:t>
      </w:r>
    </w:p>
    <w:p w:rsidR="00CD1171" w:rsidRDefault="00CD1171" w:rsidP="00CD1171">
      <w:pPr>
        <w:jc w:val="both"/>
        <w:rPr>
          <w:rFonts w:ascii="Cambria" w:hAnsi="Cambria"/>
          <w:sz w:val="21"/>
          <w:szCs w:val="21"/>
          <w:lang w:val="es-MX"/>
        </w:rPr>
      </w:pPr>
    </w:p>
    <w:p w:rsidR="00E871A4" w:rsidRDefault="00EF1F6D" w:rsidP="00E871A4">
      <w:pPr>
        <w:pStyle w:val="ListParagraph"/>
        <w:numPr>
          <w:ilvl w:val="0"/>
          <w:numId w:val="35"/>
        </w:numPr>
        <w:jc w:val="both"/>
        <w:rPr>
          <w:rFonts w:ascii="Cambria" w:hAnsi="Cambria"/>
          <w:sz w:val="21"/>
          <w:szCs w:val="21"/>
          <w:lang w:val="es-MX"/>
        </w:rPr>
      </w:pPr>
      <w:r>
        <w:rPr>
          <w:rFonts w:ascii="Cambria" w:hAnsi="Cambria"/>
          <w:sz w:val="21"/>
          <w:szCs w:val="21"/>
          <w:lang w:val="es-MX"/>
        </w:rPr>
        <w:t>A</w:t>
      </w:r>
      <w:r w:rsidR="00E871A4" w:rsidRPr="00E871A4">
        <w:rPr>
          <w:rFonts w:ascii="Cambria" w:hAnsi="Cambria"/>
          <w:sz w:val="21"/>
          <w:szCs w:val="21"/>
          <w:lang w:val="es-MX"/>
        </w:rPr>
        <w:t>dopte las medidas necesarias para garantizar la vida e integridad personal de la señora Marbeli Vivani González López y de los demás familiares señalados en la solicitud;</w:t>
      </w:r>
    </w:p>
    <w:p w:rsidR="00E871A4" w:rsidRDefault="00E871A4" w:rsidP="00E871A4">
      <w:pPr>
        <w:pStyle w:val="ListParagraph"/>
        <w:jc w:val="both"/>
        <w:rPr>
          <w:rFonts w:ascii="Cambria" w:hAnsi="Cambria"/>
          <w:sz w:val="21"/>
          <w:szCs w:val="21"/>
          <w:lang w:val="es-MX"/>
        </w:rPr>
      </w:pPr>
    </w:p>
    <w:p w:rsidR="00E871A4" w:rsidRPr="00E871A4" w:rsidRDefault="00EF1F6D" w:rsidP="00E871A4">
      <w:pPr>
        <w:pStyle w:val="ListParagraph"/>
        <w:numPr>
          <w:ilvl w:val="0"/>
          <w:numId w:val="35"/>
        </w:numPr>
        <w:jc w:val="both"/>
        <w:rPr>
          <w:rFonts w:ascii="Cambria" w:hAnsi="Cambria"/>
          <w:sz w:val="21"/>
          <w:szCs w:val="21"/>
          <w:lang w:val="es-MX"/>
        </w:rPr>
      </w:pPr>
      <w:r>
        <w:rPr>
          <w:rFonts w:ascii="Cambria" w:hAnsi="Cambria"/>
          <w:sz w:val="21"/>
          <w:szCs w:val="21"/>
          <w:lang w:val="es-MX"/>
        </w:rPr>
        <w:t>C</w:t>
      </w:r>
      <w:r w:rsidR="00E871A4" w:rsidRPr="00E871A4">
        <w:rPr>
          <w:rFonts w:ascii="Cambria" w:hAnsi="Cambria"/>
          <w:sz w:val="21"/>
          <w:szCs w:val="21"/>
          <w:lang w:val="es-ES_tradnl"/>
        </w:rPr>
        <w:t>oncierte las medidas a implementarse con los beneficiarios</w:t>
      </w:r>
      <w:r w:rsidR="00E871A4">
        <w:rPr>
          <w:rFonts w:ascii="Cambria" w:hAnsi="Cambria"/>
          <w:sz w:val="21"/>
          <w:szCs w:val="21"/>
          <w:lang w:val="es-ES_tradnl"/>
        </w:rPr>
        <w:t xml:space="preserve"> y sus representantes; y</w:t>
      </w:r>
    </w:p>
    <w:p w:rsidR="00E871A4" w:rsidRPr="00E871A4" w:rsidRDefault="00E871A4" w:rsidP="00E871A4">
      <w:pPr>
        <w:pStyle w:val="ListParagraph"/>
        <w:jc w:val="both"/>
        <w:rPr>
          <w:rFonts w:ascii="Cambria" w:hAnsi="Cambria"/>
          <w:sz w:val="21"/>
          <w:szCs w:val="21"/>
          <w:lang w:val="es-MX"/>
        </w:rPr>
      </w:pPr>
    </w:p>
    <w:p w:rsidR="00E871A4" w:rsidRPr="00E871A4" w:rsidRDefault="00EF1F6D" w:rsidP="00E871A4">
      <w:pPr>
        <w:pStyle w:val="ListParagraph"/>
        <w:numPr>
          <w:ilvl w:val="0"/>
          <w:numId w:val="35"/>
        </w:numPr>
        <w:jc w:val="both"/>
        <w:rPr>
          <w:rFonts w:ascii="Cambria" w:hAnsi="Cambria"/>
          <w:sz w:val="21"/>
          <w:szCs w:val="21"/>
          <w:lang w:val="es-MX"/>
        </w:rPr>
      </w:pPr>
      <w:r>
        <w:rPr>
          <w:rFonts w:ascii="Cambria" w:hAnsi="Cambria"/>
          <w:sz w:val="21"/>
          <w:szCs w:val="21"/>
          <w:lang w:val="es-MX"/>
        </w:rPr>
        <w:t>I</w:t>
      </w:r>
      <w:r w:rsidR="00E871A4" w:rsidRPr="00E871A4">
        <w:rPr>
          <w:rFonts w:ascii="Cambria" w:hAnsi="Cambria"/>
          <w:sz w:val="21"/>
          <w:szCs w:val="21"/>
          <w:lang w:val="es-ES_tradnl"/>
        </w:rPr>
        <w:t>nforme sobre las acciones adelantadas a fin de investigar los presuntos hechos que dieron lugar a la adopción de la presente resolución y así evitar su repetición.</w:t>
      </w:r>
    </w:p>
    <w:p w:rsidR="00E871A4" w:rsidRPr="00750048" w:rsidRDefault="00E871A4" w:rsidP="00CD1171">
      <w:pPr>
        <w:jc w:val="both"/>
        <w:rPr>
          <w:rFonts w:ascii="Cambria" w:hAnsi="Cambria"/>
          <w:sz w:val="21"/>
          <w:szCs w:val="21"/>
          <w:lang w:val="es-MX"/>
        </w:rPr>
      </w:pPr>
    </w:p>
    <w:p w:rsidR="00007FC4" w:rsidRPr="00750048" w:rsidRDefault="00007FC4" w:rsidP="00A94D9B">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ES"/>
        </w:rPr>
        <w:t xml:space="preserve">La Comisión solicita al Gobierno de </w:t>
      </w:r>
      <w:r w:rsidR="002A6E25" w:rsidRPr="00750048">
        <w:rPr>
          <w:rFonts w:ascii="Cambria" w:hAnsi="Cambria"/>
          <w:sz w:val="21"/>
          <w:szCs w:val="21"/>
          <w:lang w:val="es-ES"/>
        </w:rPr>
        <w:t>México</w:t>
      </w:r>
      <w:r w:rsidRPr="00750048">
        <w:rPr>
          <w:rFonts w:ascii="Cambria" w:hAnsi="Cambria"/>
          <w:sz w:val="21"/>
          <w:szCs w:val="21"/>
          <w:lang w:val="es-ES"/>
        </w:rPr>
        <w:t xml:space="preserve"> que informe, dentro del plazo de </w:t>
      </w:r>
      <w:r w:rsidR="00E871A4">
        <w:rPr>
          <w:rFonts w:ascii="Cambria" w:hAnsi="Cambria"/>
          <w:sz w:val="21"/>
          <w:szCs w:val="21"/>
          <w:lang w:val="es-ES"/>
        </w:rPr>
        <w:t>15</w:t>
      </w:r>
      <w:r w:rsidRPr="00750048">
        <w:rPr>
          <w:rFonts w:ascii="Cambria" w:hAnsi="Cambria"/>
          <w:sz w:val="21"/>
          <w:szCs w:val="21"/>
          <w:lang w:val="es-ES"/>
        </w:rPr>
        <w:t xml:space="preserve"> días</w:t>
      </w:r>
      <w:r w:rsidR="00F22460" w:rsidRPr="00750048">
        <w:rPr>
          <w:rFonts w:ascii="Cambria" w:hAnsi="Cambria"/>
          <w:sz w:val="21"/>
          <w:szCs w:val="21"/>
          <w:lang w:val="es-ES"/>
        </w:rPr>
        <w:t>,</w:t>
      </w:r>
      <w:r w:rsidRPr="00750048">
        <w:rPr>
          <w:rFonts w:ascii="Cambria" w:hAnsi="Cambria"/>
          <w:sz w:val="21"/>
          <w:szCs w:val="21"/>
          <w:lang w:val="es-ES"/>
        </w:rPr>
        <w:t xml:space="preserve"> contados a partir de la fecha de la presente resolución, sobre la adopción de las medidas cautelares requeridas y actualizar dicha información en forma periódica. </w:t>
      </w:r>
    </w:p>
    <w:p w:rsidR="00007FC4" w:rsidRPr="00750048" w:rsidRDefault="00007FC4" w:rsidP="00A94D9B">
      <w:pPr>
        <w:ind w:left="360"/>
        <w:jc w:val="both"/>
        <w:rPr>
          <w:rFonts w:ascii="Cambria" w:hAnsi="Cambria"/>
          <w:sz w:val="21"/>
          <w:szCs w:val="21"/>
          <w:lang w:val="es-AR"/>
        </w:rPr>
      </w:pPr>
    </w:p>
    <w:p w:rsidR="00007FC4" w:rsidRPr="00750048" w:rsidRDefault="00007FC4" w:rsidP="00A94D9B">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ES"/>
        </w:rPr>
        <w:t>La Comisión resalta que</w:t>
      </w:r>
      <w:r w:rsidR="00F22460" w:rsidRPr="00750048">
        <w:rPr>
          <w:rFonts w:ascii="Cambria" w:hAnsi="Cambria"/>
          <w:sz w:val="21"/>
          <w:szCs w:val="21"/>
          <w:lang w:val="es-ES"/>
        </w:rPr>
        <w:t>,</w:t>
      </w:r>
      <w:r w:rsidRPr="00750048">
        <w:rPr>
          <w:rFonts w:ascii="Cambria" w:hAnsi="Cambria"/>
          <w:sz w:val="21"/>
          <w:szCs w:val="21"/>
          <w:lang w:val="es-ES"/>
        </w:rPr>
        <w:t xml:space="preserve"> de acuerdo con el artículo 25 (8) de su Reglamento, el otorgamiento</w:t>
      </w:r>
      <w:r w:rsidR="00F22460" w:rsidRPr="00750048">
        <w:rPr>
          <w:rFonts w:ascii="Cambria" w:hAnsi="Cambria"/>
          <w:sz w:val="21"/>
          <w:szCs w:val="21"/>
          <w:lang w:val="es-ES"/>
        </w:rPr>
        <w:t xml:space="preserve"> de la presente medida cautelar</w:t>
      </w:r>
      <w:r w:rsidRPr="00750048">
        <w:rPr>
          <w:rFonts w:ascii="Cambria" w:hAnsi="Cambria"/>
          <w:sz w:val="21"/>
          <w:szCs w:val="21"/>
          <w:lang w:val="es-ES"/>
        </w:rPr>
        <w:t xml:space="preserve"> y su adopción por el Estado no constituyen prejuzgamiento sobre violación alguna a los derechos protegidos en la </w:t>
      </w:r>
      <w:r w:rsidR="002A6E25" w:rsidRPr="00750048">
        <w:rPr>
          <w:rFonts w:ascii="Cambria" w:hAnsi="Cambria"/>
          <w:sz w:val="21"/>
          <w:szCs w:val="21"/>
          <w:lang w:val="es-ES"/>
        </w:rPr>
        <w:t>Convención</w:t>
      </w:r>
      <w:r w:rsidRPr="00750048">
        <w:rPr>
          <w:rFonts w:ascii="Cambria" w:hAnsi="Cambria"/>
          <w:sz w:val="21"/>
          <w:szCs w:val="21"/>
          <w:lang w:val="es-ES"/>
        </w:rPr>
        <w:t xml:space="preserve"> Americana y otros instrumentos aplicables. </w:t>
      </w:r>
    </w:p>
    <w:p w:rsidR="00007FC4" w:rsidRPr="00750048" w:rsidRDefault="00007FC4" w:rsidP="00A94D9B">
      <w:pPr>
        <w:ind w:left="360"/>
        <w:jc w:val="both"/>
        <w:rPr>
          <w:rFonts w:ascii="Cambria" w:hAnsi="Cambria"/>
          <w:sz w:val="21"/>
          <w:szCs w:val="21"/>
          <w:lang w:val="es-AR"/>
        </w:rPr>
      </w:pPr>
    </w:p>
    <w:p w:rsidR="00007FC4" w:rsidRPr="00750048" w:rsidRDefault="00007FC4" w:rsidP="00A94D9B">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AR"/>
        </w:rPr>
        <w:t xml:space="preserve">La Comisión </w:t>
      </w:r>
      <w:r w:rsidR="00E871A4">
        <w:rPr>
          <w:rFonts w:ascii="Cambria" w:hAnsi="Cambria"/>
          <w:sz w:val="21"/>
          <w:szCs w:val="21"/>
          <w:lang w:val="es-AR"/>
        </w:rPr>
        <w:t>instruye a su</w:t>
      </w:r>
      <w:r w:rsidRPr="00750048">
        <w:rPr>
          <w:rFonts w:ascii="Cambria" w:hAnsi="Cambria"/>
          <w:sz w:val="21"/>
          <w:szCs w:val="21"/>
          <w:lang w:val="es-AR"/>
        </w:rPr>
        <w:t xml:space="preserve"> Secretaría Ejecutiva </w:t>
      </w:r>
      <w:r w:rsidR="00E871A4">
        <w:rPr>
          <w:rFonts w:ascii="Cambria" w:hAnsi="Cambria"/>
          <w:sz w:val="21"/>
          <w:szCs w:val="21"/>
          <w:lang w:val="es-AR"/>
        </w:rPr>
        <w:t>que</w:t>
      </w:r>
      <w:r w:rsidRPr="00750048">
        <w:rPr>
          <w:rFonts w:ascii="Cambria" w:hAnsi="Cambria"/>
          <w:sz w:val="21"/>
          <w:szCs w:val="21"/>
          <w:lang w:val="es-AR"/>
        </w:rPr>
        <w:t xml:space="preserve"> notifique la presente resolución a </w:t>
      </w:r>
      <w:r w:rsidR="002A6E25" w:rsidRPr="00750048">
        <w:rPr>
          <w:rFonts w:ascii="Cambria" w:hAnsi="Cambria"/>
          <w:sz w:val="21"/>
          <w:szCs w:val="21"/>
          <w:lang w:val="es-ES"/>
        </w:rPr>
        <w:t>México</w:t>
      </w:r>
      <w:r w:rsidRPr="00750048">
        <w:rPr>
          <w:rFonts w:ascii="Cambria" w:hAnsi="Cambria"/>
          <w:sz w:val="21"/>
          <w:szCs w:val="21"/>
          <w:lang w:val="es-AR"/>
        </w:rPr>
        <w:t xml:space="preserve"> y a los solicitantes.</w:t>
      </w:r>
    </w:p>
    <w:p w:rsidR="00007FC4" w:rsidRPr="00750048" w:rsidRDefault="00007FC4" w:rsidP="00A94D9B">
      <w:pPr>
        <w:ind w:left="360"/>
        <w:jc w:val="both"/>
        <w:rPr>
          <w:rFonts w:ascii="Cambria" w:hAnsi="Cambria"/>
          <w:sz w:val="21"/>
          <w:szCs w:val="21"/>
          <w:lang w:val="es-AR"/>
        </w:rPr>
      </w:pPr>
    </w:p>
    <w:p w:rsidR="00D26EB9" w:rsidRDefault="00007FC4" w:rsidP="00CD1171">
      <w:pPr>
        <w:pStyle w:val="ListParagraph"/>
        <w:numPr>
          <w:ilvl w:val="0"/>
          <w:numId w:val="1"/>
        </w:numPr>
        <w:ind w:left="0" w:firstLine="360"/>
        <w:jc w:val="both"/>
        <w:rPr>
          <w:rFonts w:ascii="Cambria" w:hAnsi="Cambria"/>
          <w:sz w:val="21"/>
          <w:szCs w:val="21"/>
          <w:lang w:val="es-AR"/>
        </w:rPr>
      </w:pPr>
      <w:r w:rsidRPr="00750048">
        <w:rPr>
          <w:rFonts w:ascii="Cambria" w:hAnsi="Cambria"/>
          <w:sz w:val="21"/>
          <w:szCs w:val="21"/>
          <w:lang w:val="es-ES"/>
        </w:rPr>
        <w:lastRenderedPageBreak/>
        <w:t>Aprobado</w:t>
      </w:r>
      <w:r w:rsidRPr="00750048">
        <w:rPr>
          <w:rFonts w:ascii="Cambria" w:hAnsi="Cambria"/>
          <w:sz w:val="21"/>
          <w:szCs w:val="21"/>
          <w:lang w:val="es-AR"/>
        </w:rPr>
        <w:t xml:space="preserve"> el </w:t>
      </w:r>
      <w:r w:rsidR="00D26EB9">
        <w:rPr>
          <w:rFonts w:ascii="Cambria" w:hAnsi="Cambria"/>
          <w:sz w:val="21"/>
          <w:szCs w:val="21"/>
          <w:lang w:val="es-AR"/>
        </w:rPr>
        <w:t>6</w:t>
      </w:r>
      <w:r w:rsidRPr="00750048">
        <w:rPr>
          <w:rFonts w:ascii="Cambria" w:hAnsi="Cambria"/>
          <w:sz w:val="21"/>
          <w:szCs w:val="21"/>
          <w:lang w:val="es-AR"/>
        </w:rPr>
        <w:t xml:space="preserve"> de </w:t>
      </w:r>
      <w:r w:rsidR="00D26EB9">
        <w:rPr>
          <w:rFonts w:ascii="Cambria" w:hAnsi="Cambria"/>
          <w:sz w:val="21"/>
          <w:szCs w:val="21"/>
          <w:lang w:val="es-AR"/>
        </w:rPr>
        <w:t>septiembre</w:t>
      </w:r>
      <w:r w:rsidR="00E871A4">
        <w:rPr>
          <w:rFonts w:ascii="Cambria" w:hAnsi="Cambria"/>
          <w:sz w:val="21"/>
          <w:szCs w:val="21"/>
          <w:lang w:val="es-AR"/>
        </w:rPr>
        <w:t xml:space="preserve"> de 2018</w:t>
      </w:r>
      <w:r w:rsidRPr="00750048">
        <w:rPr>
          <w:rFonts w:ascii="Cambria" w:hAnsi="Cambria"/>
          <w:sz w:val="21"/>
          <w:szCs w:val="21"/>
          <w:lang w:val="es-AR"/>
        </w:rPr>
        <w:t xml:space="preserve"> por: </w:t>
      </w:r>
      <w:r w:rsidR="00D26EB9">
        <w:rPr>
          <w:rFonts w:ascii="Cambria" w:hAnsi="Cambria"/>
          <w:sz w:val="21"/>
          <w:szCs w:val="21"/>
          <w:lang w:val="es-AR"/>
        </w:rPr>
        <w:t xml:space="preserve">Margarette May Macaulay, Presidenta; Esmeralda Arosemena de Troitiño, Primera Vicepresidenta; Francisco José Eguiguren Praeli; Antonia Urrejola; Flávia Piovesan, miembros de la CIDH. </w:t>
      </w:r>
    </w:p>
    <w:p w:rsidR="00D26EB9" w:rsidRDefault="00D26EB9" w:rsidP="00D26EB9">
      <w:pPr>
        <w:jc w:val="both"/>
        <w:rPr>
          <w:rFonts w:ascii="Cambria" w:hAnsi="Cambria"/>
          <w:sz w:val="21"/>
          <w:szCs w:val="21"/>
          <w:lang w:val="es-AR"/>
        </w:rPr>
      </w:pPr>
    </w:p>
    <w:p w:rsidR="00D26EB9" w:rsidRDefault="00D26EB9" w:rsidP="00D26EB9">
      <w:pPr>
        <w:jc w:val="both"/>
        <w:rPr>
          <w:rFonts w:ascii="Cambria" w:hAnsi="Cambria"/>
          <w:sz w:val="21"/>
          <w:szCs w:val="21"/>
          <w:lang w:val="es-AR"/>
        </w:rPr>
      </w:pPr>
    </w:p>
    <w:p w:rsidR="00D26EB9" w:rsidRDefault="00D26EB9" w:rsidP="00D26EB9">
      <w:pPr>
        <w:jc w:val="both"/>
        <w:rPr>
          <w:rFonts w:ascii="Cambria" w:hAnsi="Cambria"/>
          <w:sz w:val="21"/>
          <w:szCs w:val="21"/>
          <w:lang w:val="es-AR"/>
        </w:rPr>
      </w:pPr>
    </w:p>
    <w:p w:rsidR="00D26EB9" w:rsidRDefault="00D26EB9" w:rsidP="00D26EB9">
      <w:pPr>
        <w:jc w:val="both"/>
        <w:rPr>
          <w:rFonts w:ascii="Cambria" w:hAnsi="Cambria"/>
          <w:sz w:val="21"/>
          <w:szCs w:val="21"/>
          <w:lang w:val="es-AR"/>
        </w:rPr>
      </w:pPr>
    </w:p>
    <w:p w:rsidR="00D26EB9" w:rsidRDefault="00D26EB9" w:rsidP="00D26EB9">
      <w:pPr>
        <w:jc w:val="both"/>
        <w:rPr>
          <w:rFonts w:ascii="Cambria" w:hAnsi="Cambria"/>
          <w:sz w:val="21"/>
          <w:szCs w:val="21"/>
          <w:lang w:val="es-AR"/>
        </w:rPr>
      </w:pPr>
    </w:p>
    <w:p w:rsidR="00817419" w:rsidRDefault="00D26EB9" w:rsidP="00D26EB9">
      <w:pPr>
        <w:jc w:val="center"/>
        <w:rPr>
          <w:rFonts w:ascii="Cambria" w:hAnsi="Cambria"/>
          <w:sz w:val="21"/>
          <w:szCs w:val="21"/>
          <w:lang w:val="es-AR"/>
        </w:rPr>
      </w:pPr>
      <w:r>
        <w:rPr>
          <w:rFonts w:ascii="Cambria" w:hAnsi="Cambria"/>
          <w:sz w:val="21"/>
          <w:szCs w:val="21"/>
          <w:lang w:val="es-AR"/>
        </w:rPr>
        <w:t>Paulo Abrão</w:t>
      </w:r>
    </w:p>
    <w:p w:rsidR="00D26EB9" w:rsidRPr="00D26EB9" w:rsidRDefault="00D26EB9" w:rsidP="00D26EB9">
      <w:pPr>
        <w:jc w:val="center"/>
        <w:rPr>
          <w:rFonts w:ascii="Cambria" w:hAnsi="Cambria"/>
          <w:sz w:val="21"/>
          <w:szCs w:val="21"/>
          <w:lang w:val="es-AR"/>
        </w:rPr>
      </w:pPr>
      <w:r>
        <w:rPr>
          <w:rFonts w:ascii="Cambria" w:hAnsi="Cambria"/>
          <w:sz w:val="21"/>
          <w:szCs w:val="21"/>
          <w:lang w:val="es-AR"/>
        </w:rPr>
        <w:t>Secretario Ejecutivo</w:t>
      </w:r>
    </w:p>
    <w:sectPr w:rsidR="00D26EB9" w:rsidRPr="00D26EB9"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C6B" w:rsidRDefault="00751C6B" w:rsidP="00BF7D6A">
      <w:r>
        <w:separator/>
      </w:r>
    </w:p>
  </w:endnote>
  <w:endnote w:type="continuationSeparator" w:id="0">
    <w:p w:rsidR="00751C6B" w:rsidRDefault="00751C6B"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Default="00E87006"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006" w:rsidRDefault="00E87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Pr="00C522EB" w:rsidRDefault="00E87006"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795C8E">
      <w:rPr>
        <w:rStyle w:val="PageNumber"/>
        <w:rFonts w:asciiTheme="majorHAnsi" w:hAnsiTheme="majorHAnsi"/>
        <w:noProof/>
        <w:sz w:val="16"/>
      </w:rPr>
      <w:t>- 1 -</w:t>
    </w:r>
    <w:r w:rsidRPr="00C522EB">
      <w:rPr>
        <w:rStyle w:val="PageNumber"/>
        <w:rFonts w:asciiTheme="majorHAnsi" w:hAnsiTheme="majorHAnsi"/>
        <w:sz w:val="16"/>
      </w:rPr>
      <w:fldChar w:fldCharType="end"/>
    </w:r>
  </w:p>
  <w:p w:rsidR="00E87006" w:rsidRDefault="00E87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C6B" w:rsidRDefault="00751C6B" w:rsidP="00BF7D6A">
      <w:r>
        <w:separator/>
      </w:r>
    </w:p>
  </w:footnote>
  <w:footnote w:type="continuationSeparator" w:id="0">
    <w:p w:rsidR="00751C6B" w:rsidRDefault="00751C6B" w:rsidP="00BF7D6A">
      <w:r>
        <w:continuationSeparator/>
      </w:r>
    </w:p>
  </w:footnote>
  <w:footnote w:id="1">
    <w:p w:rsidR="00252F21" w:rsidRPr="003646D0" w:rsidRDefault="00252F21" w:rsidP="00D24A79">
      <w:pPr>
        <w:pStyle w:val="FootnoteText"/>
        <w:spacing w:after="0" w:line="240" w:lineRule="auto"/>
        <w:rPr>
          <w:rFonts w:asciiTheme="majorHAnsi" w:hAnsiTheme="majorHAnsi"/>
          <w:sz w:val="16"/>
          <w:szCs w:val="16"/>
          <w:lang w:val="es-CO"/>
        </w:rPr>
      </w:pPr>
      <w:r w:rsidRPr="003646D0">
        <w:rPr>
          <w:rStyle w:val="FootnoteReference"/>
          <w:rFonts w:asciiTheme="majorHAnsi" w:hAnsiTheme="majorHAnsi"/>
          <w:sz w:val="16"/>
          <w:szCs w:val="16"/>
        </w:rPr>
        <w:footnoteRef/>
      </w:r>
      <w:r w:rsidRPr="003646D0">
        <w:rPr>
          <w:rFonts w:asciiTheme="majorHAnsi" w:hAnsiTheme="majorHAnsi"/>
          <w:sz w:val="16"/>
          <w:szCs w:val="16"/>
          <w:lang w:val="es-CO"/>
        </w:rPr>
        <w:t xml:space="preserve"> De conformidad con el artículo 17.2.a del Reglamento de la CIDH, el Comisionado </w:t>
      </w:r>
      <w:r w:rsidR="00DF630D">
        <w:rPr>
          <w:rFonts w:asciiTheme="majorHAnsi" w:hAnsiTheme="majorHAnsi"/>
          <w:sz w:val="16"/>
          <w:szCs w:val="16"/>
          <w:lang w:val="es-CO"/>
        </w:rPr>
        <w:t>Joel Hernández García</w:t>
      </w:r>
      <w:r w:rsidRPr="003646D0">
        <w:rPr>
          <w:rFonts w:asciiTheme="majorHAnsi" w:hAnsiTheme="majorHAnsi"/>
          <w:sz w:val="16"/>
          <w:szCs w:val="16"/>
          <w:lang w:val="es-CO"/>
        </w:rPr>
        <w:t xml:space="preserve">, de nacionalidad mexicana, no participó en el debate </w:t>
      </w:r>
      <w:r w:rsidR="00DF630D">
        <w:rPr>
          <w:rFonts w:asciiTheme="majorHAnsi" w:hAnsiTheme="majorHAnsi"/>
          <w:sz w:val="16"/>
          <w:szCs w:val="16"/>
          <w:lang w:val="es-CO"/>
        </w:rPr>
        <w:t>ni en la</w:t>
      </w:r>
      <w:r w:rsidRPr="003646D0">
        <w:rPr>
          <w:rFonts w:asciiTheme="majorHAnsi" w:hAnsiTheme="majorHAnsi"/>
          <w:sz w:val="16"/>
          <w:szCs w:val="16"/>
          <w:lang w:val="es-CO"/>
        </w:rPr>
        <w:t xml:space="preserve"> deliberación del presente asunto. </w:t>
      </w:r>
    </w:p>
  </w:footnote>
  <w:footnote w:id="2">
    <w:p w:rsidR="00D24A79" w:rsidRPr="00D24A79" w:rsidRDefault="00D24A79" w:rsidP="00D24A79">
      <w:pPr>
        <w:pStyle w:val="FootnoteText"/>
        <w:spacing w:after="0" w:line="240" w:lineRule="auto"/>
        <w:rPr>
          <w:rFonts w:ascii="Calibri Light" w:hAnsi="Calibri Light"/>
          <w:sz w:val="16"/>
          <w:szCs w:val="16"/>
          <w:lang w:val="es-ES_tradnl"/>
        </w:rPr>
      </w:pPr>
      <w:r w:rsidRPr="009133A0">
        <w:rPr>
          <w:rStyle w:val="FootnoteReference"/>
          <w:rFonts w:ascii="Calibri Light" w:hAnsi="Calibri Light"/>
          <w:sz w:val="16"/>
          <w:szCs w:val="16"/>
        </w:rPr>
        <w:footnoteRef/>
      </w:r>
      <w:r w:rsidRPr="00D24A79">
        <w:rPr>
          <w:rFonts w:ascii="Calibri Light" w:hAnsi="Calibri Light"/>
          <w:sz w:val="16"/>
          <w:szCs w:val="16"/>
          <w:lang w:val="es-ES_tradnl"/>
        </w:rPr>
        <w:t xml:space="preserve"> Sus padres (de 80 y 70 años), dos hijos de 7 y 9 años; un hermano, una cuñada y tres sobrinos de 4, 10 y 13 años, todos estos provenientes de Putla, Oaxaca. Asimismo, se incluye a una hermana y una sobrina de 1 año que residen en Tlaxiaco, en el mismo estado. </w:t>
      </w:r>
      <w:r w:rsidR="00525FE8">
        <w:rPr>
          <w:rFonts w:ascii="Calibri Light" w:hAnsi="Calibri Light"/>
          <w:sz w:val="16"/>
          <w:szCs w:val="16"/>
          <w:lang w:val="es-ES_tradnl"/>
        </w:rPr>
        <w:t>A la fecha de la interposición de la solicitud, toda la familia vivía</w:t>
      </w:r>
      <w:r w:rsidRPr="00D24A79">
        <w:rPr>
          <w:rFonts w:ascii="Calibri Light" w:hAnsi="Calibri Light"/>
          <w:sz w:val="16"/>
          <w:szCs w:val="16"/>
          <w:lang w:val="es-ES_tradnl"/>
        </w:rPr>
        <w:t xml:space="preserve"> en Tlaxiaco. </w:t>
      </w:r>
    </w:p>
  </w:footnote>
  <w:footnote w:id="3">
    <w:p w:rsidR="00D24A79" w:rsidRPr="009133A0" w:rsidRDefault="00D24A79" w:rsidP="00D24A79">
      <w:pPr>
        <w:pStyle w:val="FootnoteText"/>
        <w:spacing w:after="0" w:line="240" w:lineRule="auto"/>
        <w:rPr>
          <w:rFonts w:ascii="Calibri Light" w:hAnsi="Calibri Light"/>
          <w:sz w:val="16"/>
          <w:szCs w:val="16"/>
          <w:lang w:val="es-ES_tradnl"/>
        </w:rPr>
      </w:pPr>
      <w:r w:rsidRPr="009133A0">
        <w:rPr>
          <w:rStyle w:val="FootnoteReference"/>
          <w:rFonts w:ascii="Calibri Light" w:hAnsi="Calibri Light"/>
          <w:sz w:val="16"/>
          <w:szCs w:val="16"/>
        </w:rPr>
        <w:footnoteRef/>
      </w:r>
      <w:r w:rsidRPr="00D24A79">
        <w:rPr>
          <w:rFonts w:ascii="Calibri Light" w:hAnsi="Calibri Light"/>
          <w:sz w:val="16"/>
          <w:szCs w:val="16"/>
          <w:lang w:val="es-ES_tradnl"/>
        </w:rPr>
        <w:t xml:space="preserve"> Para mayores referencias en notas de prensa, ver: Proceso, “Ejecutan a tesorera de Constancia del Rosario, en Oaxaca”, 27 de marzo de 2018. Disponible en: https://www.proceso.com.mx/527604/ejecutan-a-tesorera-de-constancia-del-rosario-en-oaxaca. </w:t>
      </w:r>
    </w:p>
  </w:footnote>
  <w:footnote w:id="4">
    <w:p w:rsidR="00D24A79" w:rsidRPr="009133A0" w:rsidRDefault="00D24A79" w:rsidP="00D24A79">
      <w:pPr>
        <w:pStyle w:val="FootnoteText"/>
        <w:spacing w:after="0" w:line="240" w:lineRule="auto"/>
        <w:rPr>
          <w:rFonts w:ascii="Calibri Light" w:hAnsi="Calibri Light"/>
          <w:sz w:val="16"/>
          <w:szCs w:val="16"/>
          <w:lang w:val="es-ES_tradnl"/>
        </w:rPr>
      </w:pPr>
      <w:r w:rsidRPr="009133A0">
        <w:rPr>
          <w:rStyle w:val="FootnoteReference"/>
          <w:rFonts w:ascii="Calibri Light" w:hAnsi="Calibri Light"/>
          <w:sz w:val="16"/>
          <w:szCs w:val="16"/>
        </w:rPr>
        <w:footnoteRef/>
      </w:r>
      <w:r w:rsidRPr="00D24A79">
        <w:rPr>
          <w:rFonts w:ascii="Calibri Light" w:hAnsi="Calibri Light"/>
          <w:sz w:val="16"/>
          <w:szCs w:val="16"/>
          <w:lang w:val="es-ES_tradnl"/>
        </w:rPr>
        <w:t xml:space="preserve"> </w:t>
      </w:r>
      <w:r w:rsidRPr="009133A0">
        <w:rPr>
          <w:rFonts w:ascii="Calibri Light" w:hAnsi="Calibri Light"/>
          <w:sz w:val="16"/>
          <w:szCs w:val="16"/>
          <w:lang w:val="es-ES_tradnl"/>
        </w:rPr>
        <w:t xml:space="preserve">El cual desde hace varios años controla el municipio. </w:t>
      </w:r>
    </w:p>
  </w:footnote>
  <w:footnote w:id="5">
    <w:p w:rsidR="00D24A79" w:rsidRPr="009133A0" w:rsidRDefault="00D24A79" w:rsidP="00D24A79">
      <w:pPr>
        <w:pStyle w:val="FootnoteText"/>
        <w:spacing w:after="0" w:line="240" w:lineRule="auto"/>
        <w:rPr>
          <w:rFonts w:ascii="Calibri Light" w:hAnsi="Calibri Light"/>
          <w:sz w:val="16"/>
          <w:szCs w:val="16"/>
          <w:lang w:val="es-ES_tradnl"/>
        </w:rPr>
      </w:pPr>
      <w:r w:rsidRPr="009133A0">
        <w:rPr>
          <w:rStyle w:val="FootnoteReference"/>
          <w:rFonts w:ascii="Calibri Light" w:hAnsi="Calibri Light"/>
          <w:sz w:val="16"/>
          <w:szCs w:val="16"/>
        </w:rPr>
        <w:footnoteRef/>
      </w:r>
      <w:r w:rsidRPr="00D24A79">
        <w:rPr>
          <w:rFonts w:ascii="Calibri Light" w:hAnsi="Calibri Light"/>
          <w:sz w:val="16"/>
          <w:szCs w:val="16"/>
          <w:lang w:val="es-ES_tradnl"/>
        </w:rPr>
        <w:t xml:space="preserve"> </w:t>
      </w:r>
      <w:r>
        <w:rPr>
          <w:rFonts w:ascii="Calibri Light" w:hAnsi="Calibri Light"/>
          <w:sz w:val="16"/>
          <w:szCs w:val="16"/>
          <w:lang w:val="es-ES_tradnl"/>
        </w:rPr>
        <w:t>“[L]</w:t>
      </w:r>
      <w:r w:rsidRPr="009133A0">
        <w:rPr>
          <w:rFonts w:ascii="Calibri Light" w:hAnsi="Calibri Light"/>
          <w:sz w:val="16"/>
          <w:szCs w:val="16"/>
          <w:lang w:val="es-ES_tradnl"/>
        </w:rPr>
        <w:t xml:space="preserve">os vamos a matar, sal Víctor </w:t>
      </w:r>
      <w:r>
        <w:rPr>
          <w:rFonts w:ascii="Calibri Light" w:hAnsi="Calibri Light"/>
          <w:sz w:val="16"/>
          <w:szCs w:val="16"/>
          <w:lang w:val="es-ES_tradnl"/>
        </w:rPr>
        <w:t xml:space="preserve">[el hermano] </w:t>
      </w:r>
      <w:r w:rsidRPr="009133A0">
        <w:rPr>
          <w:rFonts w:ascii="Calibri Light" w:hAnsi="Calibri Light"/>
          <w:sz w:val="16"/>
          <w:szCs w:val="16"/>
          <w:lang w:val="es-ES_tradnl"/>
        </w:rPr>
        <w:t xml:space="preserve">hijo de tu puta madre”. </w:t>
      </w:r>
    </w:p>
  </w:footnote>
  <w:footnote w:id="6">
    <w:p w:rsidR="00E87006" w:rsidRPr="003646D0" w:rsidRDefault="00E87006" w:rsidP="00D24A79">
      <w:pPr>
        <w:pStyle w:val="FootnoteText"/>
        <w:spacing w:after="0" w:line="240" w:lineRule="auto"/>
        <w:rPr>
          <w:rFonts w:asciiTheme="majorHAnsi" w:hAnsiTheme="majorHAnsi"/>
          <w:sz w:val="16"/>
          <w:szCs w:val="16"/>
          <w:lang w:val="es-MX"/>
        </w:rPr>
      </w:pPr>
      <w:r w:rsidRPr="003646D0">
        <w:rPr>
          <w:rStyle w:val="FootnoteReference"/>
          <w:rFonts w:asciiTheme="majorHAnsi" w:hAnsiTheme="majorHAnsi"/>
          <w:sz w:val="16"/>
          <w:szCs w:val="16"/>
        </w:rPr>
        <w:footnoteRef/>
      </w:r>
      <w:r w:rsidRPr="003646D0">
        <w:rPr>
          <w:rFonts w:asciiTheme="majorHAnsi" w:hAnsiTheme="majorHAnsi"/>
          <w:sz w:val="16"/>
          <w:szCs w:val="16"/>
          <w:lang w:val="es-MX"/>
        </w:rPr>
        <w:t xml:space="preserve"> Al respecto, por ejemplo, refiriéndose a las medidas provisionales, la Corte Interamericana ha considera</w:t>
      </w:r>
      <w:r w:rsidR="0027606C" w:rsidRPr="003646D0">
        <w:rPr>
          <w:rFonts w:asciiTheme="majorHAnsi" w:hAnsiTheme="majorHAnsi"/>
          <w:sz w:val="16"/>
          <w:szCs w:val="16"/>
          <w:lang w:val="es-MX"/>
        </w:rPr>
        <w:t>do</w:t>
      </w:r>
      <w:r w:rsidRPr="003646D0">
        <w:rPr>
          <w:rFonts w:asciiTheme="majorHAnsi" w:hAnsiTheme="majorHAnsi"/>
          <w:sz w:val="16"/>
          <w:szCs w:val="16"/>
          <w:lang w:val="es-MX"/>
        </w:rPr>
        <w:t xml:space="preserve"> que tal estándar requiere un mínimo de detalle e información que permitan apreciar </w:t>
      </w:r>
      <w:r w:rsidRPr="008326AC">
        <w:rPr>
          <w:rFonts w:asciiTheme="majorHAnsi" w:hAnsiTheme="majorHAnsi"/>
          <w:i/>
          <w:sz w:val="16"/>
          <w:szCs w:val="16"/>
          <w:lang w:val="es-MX"/>
        </w:rPr>
        <w:t xml:space="preserve">prima facie </w:t>
      </w:r>
      <w:r w:rsidRPr="003646D0">
        <w:rPr>
          <w:rFonts w:asciiTheme="majorHAnsi" w:hAnsiTheme="majorHAnsi"/>
          <w:sz w:val="16"/>
          <w:szCs w:val="16"/>
          <w:lang w:val="es-MX"/>
        </w:rPr>
        <w:t xml:space="preserve">la situación de riesgo y urgencia. Corte IDH, </w:t>
      </w:r>
      <w:r w:rsidRPr="003646D0">
        <w:rPr>
          <w:rFonts w:asciiTheme="majorHAnsi" w:hAnsiTheme="majorHAnsi"/>
          <w:i/>
          <w:sz w:val="16"/>
          <w:szCs w:val="16"/>
          <w:lang w:val="es-MX"/>
        </w:rPr>
        <w:t>Asunto de los niños y adolescentes privados de libertad en el “Complexo do Tatuapé” de la Fundação CASA</w:t>
      </w:r>
      <w:r w:rsidRPr="003646D0">
        <w:rPr>
          <w:rFonts w:asciiTheme="majorHAnsi" w:hAnsiTheme="majorHAnsi"/>
          <w:sz w:val="16"/>
          <w:szCs w:val="16"/>
          <w:lang w:val="es-MX"/>
        </w:rPr>
        <w:t>. Solicitud de ampliación de medidas provisionales. Medidas Provisionales respecto de Brasil. Resolución de la Corte Interamericana de Derechos Humanos de 4 de julio de 2006. Considerando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Pr="006A2671" w:rsidRDefault="00E87006"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lang w:val="es-UY" w:eastAsia="es-UY"/>
      </w:rPr>
      <w:drawing>
        <wp:inline distT="0" distB="0" distL="0" distR="0" wp14:anchorId="68B8C528" wp14:editId="44BAC8B8">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lang w:val="es-UY" w:eastAsia="es-UY"/>
      </w:rPr>
      <w:drawing>
        <wp:inline distT="0" distB="0" distL="0" distR="0" wp14:anchorId="13707330" wp14:editId="757EF053">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E87006" w:rsidRPr="006A2671" w:rsidRDefault="00E87006" w:rsidP="006A2671">
    <w:pPr>
      <w:pBdr>
        <w:bottom w:val="single" w:sz="6" w:space="1" w:color="auto"/>
      </w:pBdr>
      <w:tabs>
        <w:tab w:val="center" w:pos="4680"/>
        <w:tab w:val="right" w:pos="9360"/>
      </w:tabs>
      <w:rPr>
        <w:rFonts w:ascii="Calibri" w:eastAsia="Batang" w:hAnsi="Calibri" w:cs="Times New Roman"/>
        <w:sz w:val="22"/>
        <w:szCs w:val="22"/>
        <w:lang w:val="es-ES"/>
      </w:rPr>
    </w:pPr>
  </w:p>
  <w:p w:rsidR="00E87006" w:rsidRDefault="00E87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EFE4B5F4"/>
    <w:lvl w:ilvl="0" w:tplc="D7C645B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CE2E67"/>
    <w:multiLevelType w:val="hybridMultilevel"/>
    <w:tmpl w:val="652A8670"/>
    <w:lvl w:ilvl="0" w:tplc="33046F8A">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5386C"/>
    <w:multiLevelType w:val="hybridMultilevel"/>
    <w:tmpl w:val="C5389F2C"/>
    <w:lvl w:ilvl="0" w:tplc="D9B21C52">
      <w:start w:val="1"/>
      <w:numFmt w:val="decimal"/>
      <w:lvlText w:val="%1."/>
      <w:lvlJc w:val="center"/>
      <w:pPr>
        <w:ind w:left="720" w:hanging="360"/>
      </w:pPr>
      <w:rPr>
        <w:rFonts w:ascii="Cambria" w:hAnsi="Cambria"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52583"/>
    <w:multiLevelType w:val="hybridMultilevel"/>
    <w:tmpl w:val="0F0A5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901B7"/>
    <w:multiLevelType w:val="hybridMultilevel"/>
    <w:tmpl w:val="F3BAC83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609F3"/>
    <w:multiLevelType w:val="hybridMultilevel"/>
    <w:tmpl w:val="AB4CFB7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D77A71"/>
    <w:multiLevelType w:val="hybridMultilevel"/>
    <w:tmpl w:val="21063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16519F"/>
    <w:multiLevelType w:val="hybridMultilevel"/>
    <w:tmpl w:val="F5CE7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3B371A"/>
    <w:multiLevelType w:val="hybridMultilevel"/>
    <w:tmpl w:val="79F88CE6"/>
    <w:lvl w:ilvl="0" w:tplc="EDEC388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30B23"/>
    <w:multiLevelType w:val="hybridMultilevel"/>
    <w:tmpl w:val="B6CC5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29"/>
  </w:num>
  <w:num w:numId="4">
    <w:abstractNumId w:val="11"/>
  </w:num>
  <w:num w:numId="5">
    <w:abstractNumId w:val="1"/>
  </w:num>
  <w:num w:numId="6">
    <w:abstractNumId w:val="9"/>
  </w:num>
  <w:num w:numId="7">
    <w:abstractNumId w:val="30"/>
  </w:num>
  <w:num w:numId="8">
    <w:abstractNumId w:val="25"/>
  </w:num>
  <w:num w:numId="9">
    <w:abstractNumId w:val="15"/>
  </w:num>
  <w:num w:numId="10">
    <w:abstractNumId w:val="14"/>
  </w:num>
  <w:num w:numId="11">
    <w:abstractNumId w:val="27"/>
  </w:num>
  <w:num w:numId="12">
    <w:abstractNumId w:val="31"/>
  </w:num>
  <w:num w:numId="13">
    <w:abstractNumId w:val="34"/>
  </w:num>
  <w:num w:numId="14">
    <w:abstractNumId w:val="33"/>
  </w:num>
  <w:num w:numId="15">
    <w:abstractNumId w:val="19"/>
  </w:num>
  <w:num w:numId="16">
    <w:abstractNumId w:val="0"/>
  </w:num>
  <w:num w:numId="17">
    <w:abstractNumId w:val="20"/>
  </w:num>
  <w:num w:numId="18">
    <w:abstractNumId w:val="22"/>
  </w:num>
  <w:num w:numId="19">
    <w:abstractNumId w:val="16"/>
  </w:num>
  <w:num w:numId="20">
    <w:abstractNumId w:val="12"/>
  </w:num>
  <w:num w:numId="21">
    <w:abstractNumId w:val="17"/>
  </w:num>
  <w:num w:numId="22">
    <w:abstractNumId w:val="6"/>
  </w:num>
  <w:num w:numId="23">
    <w:abstractNumId w:val="10"/>
  </w:num>
  <w:num w:numId="24">
    <w:abstractNumId w:val="21"/>
  </w:num>
  <w:num w:numId="25">
    <w:abstractNumId w:val="4"/>
  </w:num>
  <w:num w:numId="26">
    <w:abstractNumId w:val="32"/>
  </w:num>
  <w:num w:numId="27">
    <w:abstractNumId w:val="18"/>
  </w:num>
  <w:num w:numId="28">
    <w:abstractNumId w:val="8"/>
  </w:num>
  <w:num w:numId="29">
    <w:abstractNumId w:val="3"/>
  </w:num>
  <w:num w:numId="30">
    <w:abstractNumId w:val="26"/>
  </w:num>
  <w:num w:numId="31">
    <w:abstractNumId w:val="5"/>
  </w:num>
  <w:num w:numId="32">
    <w:abstractNumId w:val="7"/>
  </w:num>
  <w:num w:numId="33">
    <w:abstractNumId w:val="24"/>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70E1"/>
    <w:rsid w:val="00007A86"/>
    <w:rsid w:val="00007FC4"/>
    <w:rsid w:val="00010DD1"/>
    <w:rsid w:val="000121A7"/>
    <w:rsid w:val="0002059F"/>
    <w:rsid w:val="00024D95"/>
    <w:rsid w:val="00037B2A"/>
    <w:rsid w:val="000453AF"/>
    <w:rsid w:val="000505C9"/>
    <w:rsid w:val="000551C7"/>
    <w:rsid w:val="00055745"/>
    <w:rsid w:val="000562F8"/>
    <w:rsid w:val="00057A18"/>
    <w:rsid w:val="00066234"/>
    <w:rsid w:val="0007123C"/>
    <w:rsid w:val="000837BC"/>
    <w:rsid w:val="000A1D59"/>
    <w:rsid w:val="000C1753"/>
    <w:rsid w:val="000C526A"/>
    <w:rsid w:val="000D138E"/>
    <w:rsid w:val="000D43FA"/>
    <w:rsid w:val="000E341D"/>
    <w:rsid w:val="000E485A"/>
    <w:rsid w:val="00106A58"/>
    <w:rsid w:val="00106F1B"/>
    <w:rsid w:val="001071AA"/>
    <w:rsid w:val="00111207"/>
    <w:rsid w:val="001264A5"/>
    <w:rsid w:val="0013479C"/>
    <w:rsid w:val="001410E6"/>
    <w:rsid w:val="001443A5"/>
    <w:rsid w:val="00157AF5"/>
    <w:rsid w:val="00162C89"/>
    <w:rsid w:val="00164519"/>
    <w:rsid w:val="00166B8C"/>
    <w:rsid w:val="001900C4"/>
    <w:rsid w:val="00193DD5"/>
    <w:rsid w:val="001A2B2B"/>
    <w:rsid w:val="001A37A6"/>
    <w:rsid w:val="001A565E"/>
    <w:rsid w:val="001C0616"/>
    <w:rsid w:val="001D08C6"/>
    <w:rsid w:val="001F431F"/>
    <w:rsid w:val="002058C7"/>
    <w:rsid w:val="00215E2E"/>
    <w:rsid w:val="00222851"/>
    <w:rsid w:val="00232B64"/>
    <w:rsid w:val="00234C99"/>
    <w:rsid w:val="00252F21"/>
    <w:rsid w:val="00253201"/>
    <w:rsid w:val="0026756C"/>
    <w:rsid w:val="002678B2"/>
    <w:rsid w:val="0027606C"/>
    <w:rsid w:val="002766B7"/>
    <w:rsid w:val="002776A1"/>
    <w:rsid w:val="002840D0"/>
    <w:rsid w:val="002855E4"/>
    <w:rsid w:val="002A2043"/>
    <w:rsid w:val="002A2528"/>
    <w:rsid w:val="002A4F5E"/>
    <w:rsid w:val="002A6E25"/>
    <w:rsid w:val="002C1B38"/>
    <w:rsid w:val="002C5B4A"/>
    <w:rsid w:val="002C6DA8"/>
    <w:rsid w:val="002D4ADD"/>
    <w:rsid w:val="002D5C14"/>
    <w:rsid w:val="002F2562"/>
    <w:rsid w:val="00306BB2"/>
    <w:rsid w:val="00315DBF"/>
    <w:rsid w:val="00323720"/>
    <w:rsid w:val="00324411"/>
    <w:rsid w:val="00324B25"/>
    <w:rsid w:val="00327E7C"/>
    <w:rsid w:val="003412A1"/>
    <w:rsid w:val="003506B1"/>
    <w:rsid w:val="003526A5"/>
    <w:rsid w:val="00361CBD"/>
    <w:rsid w:val="003646D0"/>
    <w:rsid w:val="00373416"/>
    <w:rsid w:val="00377C04"/>
    <w:rsid w:val="0038302D"/>
    <w:rsid w:val="00384BB1"/>
    <w:rsid w:val="00385EBF"/>
    <w:rsid w:val="003970C5"/>
    <w:rsid w:val="003B2B56"/>
    <w:rsid w:val="003B3ADE"/>
    <w:rsid w:val="003B4745"/>
    <w:rsid w:val="003B525E"/>
    <w:rsid w:val="003C2E2F"/>
    <w:rsid w:val="003C7353"/>
    <w:rsid w:val="003D6B59"/>
    <w:rsid w:val="003E7947"/>
    <w:rsid w:val="003F49D1"/>
    <w:rsid w:val="00401E8D"/>
    <w:rsid w:val="00402226"/>
    <w:rsid w:val="00402839"/>
    <w:rsid w:val="0041473A"/>
    <w:rsid w:val="00420151"/>
    <w:rsid w:val="00430F84"/>
    <w:rsid w:val="00434A2A"/>
    <w:rsid w:val="004400A8"/>
    <w:rsid w:val="00440145"/>
    <w:rsid w:val="00455F5A"/>
    <w:rsid w:val="00470F1B"/>
    <w:rsid w:val="0047459E"/>
    <w:rsid w:val="00482F11"/>
    <w:rsid w:val="00492CBA"/>
    <w:rsid w:val="004951D2"/>
    <w:rsid w:val="004A1671"/>
    <w:rsid w:val="004A28F4"/>
    <w:rsid w:val="004A3B1F"/>
    <w:rsid w:val="004A548E"/>
    <w:rsid w:val="004B33AC"/>
    <w:rsid w:val="004B3480"/>
    <w:rsid w:val="004B63CB"/>
    <w:rsid w:val="004C241A"/>
    <w:rsid w:val="004E33D0"/>
    <w:rsid w:val="004F2DC3"/>
    <w:rsid w:val="005017AF"/>
    <w:rsid w:val="00503CB9"/>
    <w:rsid w:val="0050651A"/>
    <w:rsid w:val="005067B0"/>
    <w:rsid w:val="00506A08"/>
    <w:rsid w:val="005140DB"/>
    <w:rsid w:val="00525FE8"/>
    <w:rsid w:val="005300D7"/>
    <w:rsid w:val="00534DE7"/>
    <w:rsid w:val="0055086A"/>
    <w:rsid w:val="00550EFF"/>
    <w:rsid w:val="005544F0"/>
    <w:rsid w:val="00564F1B"/>
    <w:rsid w:val="005676A3"/>
    <w:rsid w:val="005761E4"/>
    <w:rsid w:val="00586786"/>
    <w:rsid w:val="00591283"/>
    <w:rsid w:val="005A153B"/>
    <w:rsid w:val="005B3449"/>
    <w:rsid w:val="005B5BBA"/>
    <w:rsid w:val="005C6262"/>
    <w:rsid w:val="005E04CB"/>
    <w:rsid w:val="005E295E"/>
    <w:rsid w:val="005E3B58"/>
    <w:rsid w:val="00603D9D"/>
    <w:rsid w:val="00604BD0"/>
    <w:rsid w:val="006069E0"/>
    <w:rsid w:val="0062180D"/>
    <w:rsid w:val="00627E0B"/>
    <w:rsid w:val="006415E6"/>
    <w:rsid w:val="0065075B"/>
    <w:rsid w:val="006512ED"/>
    <w:rsid w:val="0066116C"/>
    <w:rsid w:val="00661850"/>
    <w:rsid w:val="00692B74"/>
    <w:rsid w:val="00693D8D"/>
    <w:rsid w:val="006A2671"/>
    <w:rsid w:val="006A76DB"/>
    <w:rsid w:val="006B2872"/>
    <w:rsid w:val="006B6DF8"/>
    <w:rsid w:val="006C08C0"/>
    <w:rsid w:val="006C13B7"/>
    <w:rsid w:val="00701D7F"/>
    <w:rsid w:val="007037E7"/>
    <w:rsid w:val="0070442B"/>
    <w:rsid w:val="00717EB0"/>
    <w:rsid w:val="007212FE"/>
    <w:rsid w:val="00723E9B"/>
    <w:rsid w:val="007242C5"/>
    <w:rsid w:val="00727FC4"/>
    <w:rsid w:val="0073061A"/>
    <w:rsid w:val="007319C8"/>
    <w:rsid w:val="00732085"/>
    <w:rsid w:val="007368DB"/>
    <w:rsid w:val="00741876"/>
    <w:rsid w:val="00747AF6"/>
    <w:rsid w:val="00750048"/>
    <w:rsid w:val="00751C6B"/>
    <w:rsid w:val="00762197"/>
    <w:rsid w:val="007807D0"/>
    <w:rsid w:val="00781FC9"/>
    <w:rsid w:val="007908F0"/>
    <w:rsid w:val="00795C8E"/>
    <w:rsid w:val="007B6CD5"/>
    <w:rsid w:val="007B74E9"/>
    <w:rsid w:val="007D0F45"/>
    <w:rsid w:val="007D1FE8"/>
    <w:rsid w:val="007E26A9"/>
    <w:rsid w:val="007E3013"/>
    <w:rsid w:val="00810658"/>
    <w:rsid w:val="00817419"/>
    <w:rsid w:val="008326AC"/>
    <w:rsid w:val="00840C90"/>
    <w:rsid w:val="00845537"/>
    <w:rsid w:val="00852145"/>
    <w:rsid w:val="00862069"/>
    <w:rsid w:val="00864549"/>
    <w:rsid w:val="00872A42"/>
    <w:rsid w:val="00882229"/>
    <w:rsid w:val="00895D95"/>
    <w:rsid w:val="008B59B3"/>
    <w:rsid w:val="008B5EAC"/>
    <w:rsid w:val="008B6783"/>
    <w:rsid w:val="008C393C"/>
    <w:rsid w:val="008C4F5B"/>
    <w:rsid w:val="008E1700"/>
    <w:rsid w:val="008E2BB1"/>
    <w:rsid w:val="008F10CE"/>
    <w:rsid w:val="008F2F4A"/>
    <w:rsid w:val="009026C8"/>
    <w:rsid w:val="009316A2"/>
    <w:rsid w:val="00937659"/>
    <w:rsid w:val="009468A1"/>
    <w:rsid w:val="00954493"/>
    <w:rsid w:val="00954BB9"/>
    <w:rsid w:val="009575E3"/>
    <w:rsid w:val="009617D9"/>
    <w:rsid w:val="009621A7"/>
    <w:rsid w:val="0097190F"/>
    <w:rsid w:val="00986B69"/>
    <w:rsid w:val="009926FE"/>
    <w:rsid w:val="009A2EF0"/>
    <w:rsid w:val="009A5571"/>
    <w:rsid w:val="009B1EEC"/>
    <w:rsid w:val="009C1FEF"/>
    <w:rsid w:val="009D0EB7"/>
    <w:rsid w:val="009D533D"/>
    <w:rsid w:val="009D6564"/>
    <w:rsid w:val="009F1EB6"/>
    <w:rsid w:val="00A01D5F"/>
    <w:rsid w:val="00A127A8"/>
    <w:rsid w:val="00A17A82"/>
    <w:rsid w:val="00A216B8"/>
    <w:rsid w:val="00A2195C"/>
    <w:rsid w:val="00A26C48"/>
    <w:rsid w:val="00A27B73"/>
    <w:rsid w:val="00A357DA"/>
    <w:rsid w:val="00A41014"/>
    <w:rsid w:val="00A46838"/>
    <w:rsid w:val="00A53FC6"/>
    <w:rsid w:val="00A620B6"/>
    <w:rsid w:val="00A762CE"/>
    <w:rsid w:val="00A808A1"/>
    <w:rsid w:val="00A858AE"/>
    <w:rsid w:val="00A8691F"/>
    <w:rsid w:val="00A8746F"/>
    <w:rsid w:val="00A93915"/>
    <w:rsid w:val="00A94D9B"/>
    <w:rsid w:val="00A9768A"/>
    <w:rsid w:val="00AE13B0"/>
    <w:rsid w:val="00AE40EE"/>
    <w:rsid w:val="00AE6014"/>
    <w:rsid w:val="00B0294C"/>
    <w:rsid w:val="00B079E8"/>
    <w:rsid w:val="00B147D9"/>
    <w:rsid w:val="00B2177F"/>
    <w:rsid w:val="00B25585"/>
    <w:rsid w:val="00B36798"/>
    <w:rsid w:val="00B3735F"/>
    <w:rsid w:val="00B41F82"/>
    <w:rsid w:val="00B44B4A"/>
    <w:rsid w:val="00B53BD4"/>
    <w:rsid w:val="00B71E2C"/>
    <w:rsid w:val="00B7635E"/>
    <w:rsid w:val="00B8428A"/>
    <w:rsid w:val="00B866E6"/>
    <w:rsid w:val="00B927E1"/>
    <w:rsid w:val="00B94D0D"/>
    <w:rsid w:val="00BB3BA6"/>
    <w:rsid w:val="00BB3E11"/>
    <w:rsid w:val="00BB7B00"/>
    <w:rsid w:val="00BC6B3D"/>
    <w:rsid w:val="00BD7EC9"/>
    <w:rsid w:val="00BF7D6A"/>
    <w:rsid w:val="00C15036"/>
    <w:rsid w:val="00C162B8"/>
    <w:rsid w:val="00C1673B"/>
    <w:rsid w:val="00C34F90"/>
    <w:rsid w:val="00C427E9"/>
    <w:rsid w:val="00C428DB"/>
    <w:rsid w:val="00C42D65"/>
    <w:rsid w:val="00C50FD6"/>
    <w:rsid w:val="00C522EB"/>
    <w:rsid w:val="00C57327"/>
    <w:rsid w:val="00C57CAF"/>
    <w:rsid w:val="00C70392"/>
    <w:rsid w:val="00C72005"/>
    <w:rsid w:val="00C80267"/>
    <w:rsid w:val="00CB094E"/>
    <w:rsid w:val="00CC3774"/>
    <w:rsid w:val="00CC56E0"/>
    <w:rsid w:val="00CD1171"/>
    <w:rsid w:val="00CD7F36"/>
    <w:rsid w:val="00CE0F9A"/>
    <w:rsid w:val="00CE4CD2"/>
    <w:rsid w:val="00CE7AA9"/>
    <w:rsid w:val="00D02E8C"/>
    <w:rsid w:val="00D05FAE"/>
    <w:rsid w:val="00D12367"/>
    <w:rsid w:val="00D13ED9"/>
    <w:rsid w:val="00D14319"/>
    <w:rsid w:val="00D14E11"/>
    <w:rsid w:val="00D1693B"/>
    <w:rsid w:val="00D24A79"/>
    <w:rsid w:val="00D26EB9"/>
    <w:rsid w:val="00D30A9F"/>
    <w:rsid w:val="00D66847"/>
    <w:rsid w:val="00D66EE1"/>
    <w:rsid w:val="00D800B7"/>
    <w:rsid w:val="00D863D5"/>
    <w:rsid w:val="00D91611"/>
    <w:rsid w:val="00D93AD1"/>
    <w:rsid w:val="00D96FF9"/>
    <w:rsid w:val="00DA1291"/>
    <w:rsid w:val="00DA3BD5"/>
    <w:rsid w:val="00DD58AB"/>
    <w:rsid w:val="00DD696A"/>
    <w:rsid w:val="00DE0DFA"/>
    <w:rsid w:val="00DE597C"/>
    <w:rsid w:val="00DF630D"/>
    <w:rsid w:val="00DF73E9"/>
    <w:rsid w:val="00E1133C"/>
    <w:rsid w:val="00E12093"/>
    <w:rsid w:val="00E1467B"/>
    <w:rsid w:val="00E15020"/>
    <w:rsid w:val="00E16F18"/>
    <w:rsid w:val="00E254C2"/>
    <w:rsid w:val="00E46201"/>
    <w:rsid w:val="00E52109"/>
    <w:rsid w:val="00E522D9"/>
    <w:rsid w:val="00E62C87"/>
    <w:rsid w:val="00E631E8"/>
    <w:rsid w:val="00E6656D"/>
    <w:rsid w:val="00E80805"/>
    <w:rsid w:val="00E83BEC"/>
    <w:rsid w:val="00E87006"/>
    <w:rsid w:val="00E871A4"/>
    <w:rsid w:val="00E96471"/>
    <w:rsid w:val="00E96C80"/>
    <w:rsid w:val="00EA3DE7"/>
    <w:rsid w:val="00EA462B"/>
    <w:rsid w:val="00EC710B"/>
    <w:rsid w:val="00ED413B"/>
    <w:rsid w:val="00ED6093"/>
    <w:rsid w:val="00EF12F9"/>
    <w:rsid w:val="00EF1F6D"/>
    <w:rsid w:val="00EF6427"/>
    <w:rsid w:val="00F22460"/>
    <w:rsid w:val="00F2752D"/>
    <w:rsid w:val="00F628B3"/>
    <w:rsid w:val="00F63E47"/>
    <w:rsid w:val="00F704D0"/>
    <w:rsid w:val="00F720AC"/>
    <w:rsid w:val="00F720EF"/>
    <w:rsid w:val="00F900B3"/>
    <w:rsid w:val="00FB269B"/>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1264A5"/>
    <w:rPr>
      <w:sz w:val="16"/>
      <w:szCs w:val="16"/>
    </w:rPr>
  </w:style>
  <w:style w:type="paragraph" w:styleId="CommentText">
    <w:name w:val="annotation text"/>
    <w:basedOn w:val="Normal"/>
    <w:link w:val="CommentTextChar"/>
    <w:uiPriority w:val="99"/>
    <w:semiHidden/>
    <w:unhideWhenUsed/>
    <w:rsid w:val="001264A5"/>
    <w:rPr>
      <w:sz w:val="20"/>
      <w:szCs w:val="20"/>
    </w:rPr>
  </w:style>
  <w:style w:type="character" w:customStyle="1" w:styleId="CommentTextChar">
    <w:name w:val="Comment Text Char"/>
    <w:basedOn w:val="DefaultParagraphFont"/>
    <w:link w:val="CommentText"/>
    <w:uiPriority w:val="99"/>
    <w:semiHidden/>
    <w:rsid w:val="001264A5"/>
    <w:rPr>
      <w:sz w:val="20"/>
      <w:szCs w:val="20"/>
    </w:rPr>
  </w:style>
  <w:style w:type="paragraph" w:styleId="CommentSubject">
    <w:name w:val="annotation subject"/>
    <w:basedOn w:val="CommentText"/>
    <w:next w:val="CommentText"/>
    <w:link w:val="CommentSubjectChar"/>
    <w:uiPriority w:val="99"/>
    <w:semiHidden/>
    <w:unhideWhenUsed/>
    <w:rsid w:val="001264A5"/>
    <w:rPr>
      <w:b/>
      <w:bCs/>
    </w:rPr>
  </w:style>
  <w:style w:type="character" w:customStyle="1" w:styleId="CommentSubjectChar">
    <w:name w:val="Comment Subject Char"/>
    <w:basedOn w:val="CommentTextChar"/>
    <w:link w:val="CommentSubject"/>
    <w:uiPriority w:val="99"/>
    <w:semiHidden/>
    <w:rsid w:val="001264A5"/>
    <w:rPr>
      <w:b/>
      <w:bCs/>
      <w:sz w:val="20"/>
      <w:szCs w:val="20"/>
    </w:rPr>
  </w:style>
  <w:style w:type="paragraph" w:styleId="Revision">
    <w:name w:val="Revision"/>
    <w:hidden/>
    <w:uiPriority w:val="99"/>
    <w:semiHidden/>
    <w:rsid w:val="00126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758940410">
      <w:bodyDiv w:val="1"/>
      <w:marLeft w:val="0"/>
      <w:marRight w:val="0"/>
      <w:marTop w:val="0"/>
      <w:marBottom w:val="15"/>
      <w:divBdr>
        <w:top w:val="none" w:sz="0" w:space="0" w:color="auto"/>
        <w:left w:val="none" w:sz="0" w:space="0" w:color="auto"/>
        <w:bottom w:val="none" w:sz="0" w:space="0" w:color="auto"/>
        <w:right w:val="none" w:sz="0" w:space="0" w:color="auto"/>
      </w:divBdr>
      <w:divsChild>
        <w:div w:id="1326666921">
          <w:marLeft w:val="0"/>
          <w:marRight w:val="0"/>
          <w:marTop w:val="0"/>
          <w:marBottom w:val="375"/>
          <w:divBdr>
            <w:top w:val="none" w:sz="0" w:space="0" w:color="auto"/>
            <w:left w:val="none" w:sz="0" w:space="0" w:color="auto"/>
            <w:bottom w:val="none" w:sz="0" w:space="0" w:color="auto"/>
            <w:right w:val="none" w:sz="0" w:space="0" w:color="auto"/>
          </w:divBdr>
          <w:divsChild>
            <w:div w:id="1843004428">
              <w:marLeft w:val="0"/>
              <w:marRight w:val="0"/>
              <w:marTop w:val="0"/>
              <w:marBottom w:val="0"/>
              <w:divBdr>
                <w:top w:val="none" w:sz="0" w:space="0" w:color="auto"/>
                <w:left w:val="none" w:sz="0" w:space="0" w:color="auto"/>
                <w:bottom w:val="none" w:sz="0" w:space="0" w:color="auto"/>
                <w:right w:val="none" w:sz="0" w:space="0" w:color="auto"/>
              </w:divBdr>
              <w:divsChild>
                <w:div w:id="107360369">
                  <w:marLeft w:val="0"/>
                  <w:marRight w:val="0"/>
                  <w:marTop w:val="0"/>
                  <w:marBottom w:val="0"/>
                  <w:divBdr>
                    <w:top w:val="none" w:sz="0" w:space="0" w:color="auto"/>
                    <w:left w:val="none" w:sz="0" w:space="0" w:color="auto"/>
                    <w:bottom w:val="none" w:sz="0" w:space="0" w:color="auto"/>
                    <w:right w:val="none" w:sz="0" w:space="0" w:color="auto"/>
                  </w:divBdr>
                  <w:divsChild>
                    <w:div w:id="1879200394">
                      <w:marLeft w:val="0"/>
                      <w:marRight w:val="0"/>
                      <w:marTop w:val="0"/>
                      <w:marBottom w:val="0"/>
                      <w:divBdr>
                        <w:top w:val="none" w:sz="0" w:space="0" w:color="auto"/>
                        <w:left w:val="none" w:sz="0" w:space="0" w:color="auto"/>
                        <w:bottom w:val="none" w:sz="0" w:space="0" w:color="auto"/>
                        <w:right w:val="none" w:sz="0" w:space="0" w:color="auto"/>
                      </w:divBdr>
                      <w:divsChild>
                        <w:div w:id="672074912">
                          <w:marLeft w:val="0"/>
                          <w:marRight w:val="0"/>
                          <w:marTop w:val="0"/>
                          <w:marBottom w:val="0"/>
                          <w:divBdr>
                            <w:top w:val="none" w:sz="0" w:space="0" w:color="auto"/>
                            <w:left w:val="none" w:sz="0" w:space="0" w:color="auto"/>
                            <w:bottom w:val="none" w:sz="0" w:space="0" w:color="auto"/>
                            <w:right w:val="none" w:sz="0" w:space="0" w:color="auto"/>
                          </w:divBdr>
                          <w:divsChild>
                            <w:div w:id="373193754">
                              <w:marLeft w:val="0"/>
                              <w:marRight w:val="0"/>
                              <w:marTop w:val="0"/>
                              <w:marBottom w:val="0"/>
                              <w:divBdr>
                                <w:top w:val="none" w:sz="0" w:space="0" w:color="auto"/>
                                <w:left w:val="none" w:sz="0" w:space="0" w:color="auto"/>
                                <w:bottom w:val="none" w:sz="0" w:space="0" w:color="auto"/>
                                <w:right w:val="none" w:sz="0" w:space="0" w:color="auto"/>
                              </w:divBdr>
                              <w:divsChild>
                                <w:div w:id="100801311">
                                  <w:marLeft w:val="0"/>
                                  <w:marRight w:val="0"/>
                                  <w:marTop w:val="0"/>
                                  <w:marBottom w:val="0"/>
                                  <w:divBdr>
                                    <w:top w:val="none" w:sz="0" w:space="0" w:color="auto"/>
                                    <w:left w:val="none" w:sz="0" w:space="0" w:color="auto"/>
                                    <w:bottom w:val="none" w:sz="0" w:space="0" w:color="auto"/>
                                    <w:right w:val="none" w:sz="0" w:space="0" w:color="auto"/>
                                  </w:divBdr>
                                  <w:divsChild>
                                    <w:div w:id="262962545">
                                      <w:marLeft w:val="150"/>
                                      <w:marRight w:val="150"/>
                                      <w:marTop w:val="150"/>
                                      <w:marBottom w:val="150"/>
                                      <w:divBdr>
                                        <w:top w:val="none" w:sz="0" w:space="0" w:color="auto"/>
                                        <w:left w:val="none" w:sz="0" w:space="0" w:color="auto"/>
                                        <w:bottom w:val="none" w:sz="0" w:space="0" w:color="auto"/>
                                        <w:right w:val="none" w:sz="0" w:space="0" w:color="auto"/>
                                      </w:divBdr>
                                      <w:divsChild>
                                        <w:div w:id="2144107993">
                                          <w:marLeft w:val="0"/>
                                          <w:marRight w:val="0"/>
                                          <w:marTop w:val="0"/>
                                          <w:marBottom w:val="0"/>
                                          <w:divBdr>
                                            <w:top w:val="none" w:sz="0" w:space="0" w:color="auto"/>
                                            <w:left w:val="none" w:sz="0" w:space="0" w:color="auto"/>
                                            <w:bottom w:val="none" w:sz="0" w:space="0" w:color="auto"/>
                                            <w:right w:val="none" w:sz="0" w:space="0" w:color="auto"/>
                                          </w:divBdr>
                                          <w:divsChild>
                                            <w:div w:id="1680958858">
                                              <w:marLeft w:val="0"/>
                                              <w:marRight w:val="0"/>
                                              <w:marTop w:val="0"/>
                                              <w:marBottom w:val="0"/>
                                              <w:divBdr>
                                                <w:top w:val="none" w:sz="0" w:space="0" w:color="auto"/>
                                                <w:left w:val="none" w:sz="0" w:space="0" w:color="auto"/>
                                                <w:bottom w:val="none" w:sz="0" w:space="0" w:color="auto"/>
                                                <w:right w:val="none" w:sz="0" w:space="0" w:color="auto"/>
                                              </w:divBdr>
                                              <w:divsChild>
                                                <w:div w:id="1212307972">
                                                  <w:marLeft w:val="0"/>
                                                  <w:marRight w:val="0"/>
                                                  <w:marTop w:val="0"/>
                                                  <w:marBottom w:val="0"/>
                                                  <w:divBdr>
                                                    <w:top w:val="none" w:sz="0" w:space="0" w:color="auto"/>
                                                    <w:left w:val="none" w:sz="0" w:space="0" w:color="auto"/>
                                                    <w:bottom w:val="none" w:sz="0" w:space="0" w:color="auto"/>
                                                    <w:right w:val="none" w:sz="0" w:space="0" w:color="auto"/>
                                                  </w:divBdr>
                                                  <w:divsChild>
                                                    <w:div w:id="584657184">
                                                      <w:marLeft w:val="0"/>
                                                      <w:marRight w:val="0"/>
                                                      <w:marTop w:val="0"/>
                                                      <w:marBottom w:val="0"/>
                                                      <w:divBdr>
                                                        <w:top w:val="none" w:sz="0" w:space="0" w:color="auto"/>
                                                        <w:left w:val="none" w:sz="0" w:space="0" w:color="auto"/>
                                                        <w:bottom w:val="none" w:sz="0" w:space="0" w:color="auto"/>
                                                        <w:right w:val="none" w:sz="0" w:space="0" w:color="auto"/>
                                                      </w:divBdr>
                                                      <w:divsChild>
                                                        <w:div w:id="1575430087">
                                                          <w:marLeft w:val="0"/>
                                                          <w:marRight w:val="0"/>
                                                          <w:marTop w:val="0"/>
                                                          <w:marBottom w:val="0"/>
                                                          <w:divBdr>
                                                            <w:top w:val="none" w:sz="0" w:space="0" w:color="auto"/>
                                                            <w:left w:val="none" w:sz="0" w:space="0" w:color="auto"/>
                                                            <w:bottom w:val="none" w:sz="0" w:space="0" w:color="auto"/>
                                                            <w:right w:val="none" w:sz="0" w:space="0" w:color="auto"/>
                                                          </w:divBdr>
                                                          <w:divsChild>
                                                            <w:div w:id="12790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A34B20-343C-44C8-BAAC-3D0FCC88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2729</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Fontana, Maria Eva</cp:lastModifiedBy>
  <cp:revision>4</cp:revision>
  <dcterms:created xsi:type="dcterms:W3CDTF">2018-09-18T16:42:00Z</dcterms:created>
  <dcterms:modified xsi:type="dcterms:W3CDTF">2018-09-25T19:53:00Z</dcterms:modified>
</cp:coreProperties>
</file>