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47" w:rsidRPr="00C916AB" w:rsidRDefault="00E77B47" w:rsidP="00E77B47">
      <w:pPr>
        <w:spacing w:after="0" w:line="240" w:lineRule="auto"/>
        <w:jc w:val="center"/>
        <w:rPr>
          <w:rFonts w:ascii="Cambria" w:eastAsia="Calibri" w:hAnsi="Cambria" w:cs="Times New Roman"/>
          <w:b/>
          <w:szCs w:val="21"/>
          <w:lang w:val="es-ES_tradnl"/>
        </w:rPr>
      </w:pPr>
      <w:r w:rsidRPr="00C916AB">
        <w:rPr>
          <w:rFonts w:ascii="Cambria" w:eastAsia="Calibri" w:hAnsi="Cambria" w:cs="Times New Roman"/>
          <w:b/>
          <w:szCs w:val="21"/>
          <w:lang w:val="es-ES_tradnl"/>
        </w:rPr>
        <w:t>COMISIÓN INTERAMERICANA DE DERECHOS HUMANOS</w:t>
      </w:r>
    </w:p>
    <w:p w:rsidR="00E77B47" w:rsidRPr="00C916AB" w:rsidRDefault="00E77B47" w:rsidP="00E77B47">
      <w:pPr>
        <w:spacing w:after="0" w:line="240" w:lineRule="auto"/>
        <w:jc w:val="center"/>
        <w:rPr>
          <w:rFonts w:ascii="Cambria" w:eastAsia="Calibri" w:hAnsi="Cambria" w:cs="Times New Roman"/>
          <w:szCs w:val="21"/>
          <w:lang w:val="es-ES_tradnl"/>
        </w:rPr>
      </w:pPr>
      <w:r w:rsidRPr="00C916AB">
        <w:rPr>
          <w:rFonts w:ascii="Cambria" w:eastAsia="Calibri" w:hAnsi="Cambria" w:cs="Times New Roman"/>
          <w:b/>
          <w:szCs w:val="21"/>
          <w:lang w:val="es-ES_tradnl"/>
        </w:rPr>
        <w:t xml:space="preserve">RESOLUCIÓN </w:t>
      </w:r>
      <w:r w:rsidR="00223927" w:rsidRPr="00C916AB">
        <w:rPr>
          <w:rFonts w:ascii="Cambria" w:eastAsia="Calibri" w:hAnsi="Cambria" w:cs="Times New Roman"/>
          <w:b/>
          <w:szCs w:val="21"/>
          <w:lang w:val="es-ES_tradnl"/>
        </w:rPr>
        <w:t>49</w:t>
      </w:r>
      <w:r w:rsidRPr="00C916AB">
        <w:rPr>
          <w:rFonts w:ascii="Cambria" w:eastAsia="Calibri" w:hAnsi="Cambria" w:cs="Times New Roman"/>
          <w:b/>
          <w:szCs w:val="21"/>
          <w:lang w:val="es-ES_tradnl"/>
        </w:rPr>
        <w:t>/2019</w:t>
      </w:r>
    </w:p>
    <w:p w:rsidR="00E77B47" w:rsidRPr="00C916AB" w:rsidRDefault="00E77B47" w:rsidP="00E77B47">
      <w:pPr>
        <w:spacing w:after="0" w:line="240" w:lineRule="auto"/>
        <w:jc w:val="center"/>
        <w:rPr>
          <w:rFonts w:ascii="Cambria" w:eastAsia="Calibri" w:hAnsi="Cambria" w:cs="Times New Roman"/>
          <w:szCs w:val="21"/>
          <w:lang w:val="es-ES_tradnl"/>
        </w:rPr>
      </w:pPr>
      <w:r w:rsidRPr="00C916AB">
        <w:rPr>
          <w:rFonts w:ascii="Cambria" w:eastAsia="Calibri" w:hAnsi="Cambria" w:cs="Times New Roman"/>
          <w:szCs w:val="21"/>
          <w:lang w:val="es-ES_tradnl"/>
        </w:rPr>
        <w:t xml:space="preserve">Medida cautelar No. </w:t>
      </w:r>
      <w:r w:rsidR="004D06D3" w:rsidRPr="00C916AB">
        <w:rPr>
          <w:rFonts w:ascii="Cambria" w:eastAsia="Calibri" w:hAnsi="Cambria" w:cs="Times New Roman"/>
          <w:szCs w:val="21"/>
          <w:lang w:val="es-ES_tradnl"/>
        </w:rPr>
        <w:t>712</w:t>
      </w:r>
      <w:r w:rsidR="00201F29" w:rsidRPr="00C916AB">
        <w:rPr>
          <w:rFonts w:ascii="Cambria" w:eastAsia="Calibri" w:hAnsi="Cambria" w:cs="Times New Roman"/>
          <w:szCs w:val="21"/>
          <w:lang w:val="es-ES_tradnl"/>
        </w:rPr>
        <w:t>-19</w:t>
      </w:r>
    </w:p>
    <w:p w:rsidR="00E77B47" w:rsidRPr="00C916AB" w:rsidRDefault="00E77B47" w:rsidP="00E77B47">
      <w:pPr>
        <w:spacing w:after="0" w:line="240" w:lineRule="auto"/>
        <w:jc w:val="center"/>
        <w:rPr>
          <w:rFonts w:ascii="Cambria" w:eastAsia="Calibri" w:hAnsi="Cambria" w:cs="Times New Roman"/>
          <w:sz w:val="21"/>
          <w:szCs w:val="21"/>
          <w:lang w:val="es-ES_tradnl"/>
        </w:rPr>
      </w:pPr>
    </w:p>
    <w:p w:rsidR="00E77B47" w:rsidRPr="00C916AB" w:rsidRDefault="00CC2131" w:rsidP="00E77B47">
      <w:pPr>
        <w:spacing w:after="0" w:line="240" w:lineRule="auto"/>
        <w:jc w:val="center"/>
        <w:rPr>
          <w:rFonts w:ascii="Cambria" w:eastAsia="Calibri" w:hAnsi="Cambria" w:cs="Times New Roman"/>
          <w:sz w:val="26"/>
          <w:szCs w:val="26"/>
          <w:lang w:val="es-ES_tradnl"/>
        </w:rPr>
      </w:pPr>
      <w:r w:rsidRPr="00C916AB">
        <w:rPr>
          <w:rFonts w:ascii="Cambria" w:eastAsia="Calibri" w:hAnsi="Cambria" w:cs="Times New Roman"/>
          <w:sz w:val="26"/>
          <w:szCs w:val="26"/>
          <w:lang w:val="es-ES_tradnl"/>
        </w:rPr>
        <w:t>Familiares de Rafael Acosta Arévalo</w:t>
      </w:r>
      <w:r w:rsidR="00201F29" w:rsidRPr="00C916AB">
        <w:rPr>
          <w:rFonts w:ascii="Cambria" w:eastAsia="Calibri" w:hAnsi="Cambria" w:cs="Times New Roman"/>
          <w:sz w:val="26"/>
          <w:szCs w:val="26"/>
          <w:lang w:val="es-ES_tradnl"/>
        </w:rPr>
        <w:t xml:space="preserve"> </w:t>
      </w:r>
      <w:r w:rsidR="00E77B47" w:rsidRPr="00C916AB">
        <w:rPr>
          <w:rFonts w:ascii="Cambria" w:eastAsia="Calibri" w:hAnsi="Cambria" w:cs="Times New Roman"/>
          <w:sz w:val="26"/>
          <w:szCs w:val="26"/>
          <w:lang w:val="es-ES_tradnl"/>
        </w:rPr>
        <w:t>respecto de Venezuela</w:t>
      </w:r>
    </w:p>
    <w:p w:rsidR="00E77B47" w:rsidRPr="00C916AB" w:rsidRDefault="00223927" w:rsidP="00E77B47">
      <w:pPr>
        <w:spacing w:after="0" w:line="240" w:lineRule="auto"/>
        <w:jc w:val="center"/>
        <w:rPr>
          <w:rFonts w:ascii="Cambria" w:eastAsia="Calibri" w:hAnsi="Cambria" w:cs="Times New Roman"/>
          <w:sz w:val="20"/>
          <w:szCs w:val="21"/>
          <w:lang w:val="es-ES"/>
        </w:rPr>
      </w:pPr>
      <w:r w:rsidRPr="00C916AB">
        <w:rPr>
          <w:rFonts w:ascii="Cambria" w:eastAsia="Calibri" w:hAnsi="Cambria" w:cs="Times New Roman"/>
          <w:sz w:val="20"/>
          <w:szCs w:val="21"/>
          <w:lang w:val="es-ES"/>
        </w:rPr>
        <w:t>1 de octubre</w:t>
      </w:r>
      <w:r w:rsidR="00E77B47" w:rsidRPr="00C916AB">
        <w:rPr>
          <w:rFonts w:ascii="Cambria" w:eastAsia="Calibri" w:hAnsi="Cambria" w:cs="Times New Roman"/>
          <w:sz w:val="20"/>
          <w:szCs w:val="21"/>
          <w:lang w:val="es-ES"/>
        </w:rPr>
        <w:t xml:space="preserve"> de 2019</w:t>
      </w:r>
    </w:p>
    <w:p w:rsidR="00E77B47" w:rsidRPr="00C916AB" w:rsidRDefault="00E77B47" w:rsidP="00E77B47">
      <w:pPr>
        <w:spacing w:after="0" w:line="240" w:lineRule="auto"/>
        <w:jc w:val="both"/>
        <w:rPr>
          <w:rFonts w:ascii="Cambria" w:eastAsia="Calibri" w:hAnsi="Cambria" w:cs="Times New Roman"/>
          <w:b/>
          <w:sz w:val="21"/>
          <w:szCs w:val="21"/>
          <w:lang w:val="es-ES_tradnl"/>
        </w:rPr>
      </w:pPr>
    </w:p>
    <w:p w:rsidR="00E77B47" w:rsidRPr="00C916AB" w:rsidRDefault="00E77B47" w:rsidP="00E77B47">
      <w:pPr>
        <w:numPr>
          <w:ilvl w:val="0"/>
          <w:numId w:val="3"/>
        </w:numPr>
        <w:spacing w:after="0" w:line="240" w:lineRule="auto"/>
        <w:ind w:firstLine="54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INTRODUCCIÓN</w:t>
      </w:r>
    </w:p>
    <w:p w:rsidR="00E77B47" w:rsidRPr="00C916AB" w:rsidRDefault="00E77B47" w:rsidP="00E77B47">
      <w:pPr>
        <w:spacing w:after="0" w:line="240" w:lineRule="auto"/>
        <w:jc w:val="both"/>
        <w:rPr>
          <w:rFonts w:ascii="Cambria" w:eastAsia="Calibri" w:hAnsi="Cambria" w:cs="Times New Roman"/>
          <w:sz w:val="21"/>
          <w:szCs w:val="21"/>
          <w:lang w:val="es-ES_tradnl"/>
        </w:rPr>
      </w:pPr>
    </w:p>
    <w:p w:rsidR="00E77B47" w:rsidRPr="00C916AB" w:rsidRDefault="00E77B47" w:rsidP="00201F29">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El </w:t>
      </w:r>
      <w:r w:rsidR="00CC2131" w:rsidRPr="00C916AB">
        <w:rPr>
          <w:rFonts w:ascii="Cambria" w:eastAsia="Calibri" w:hAnsi="Cambria" w:cs="Times New Roman"/>
          <w:sz w:val="21"/>
          <w:szCs w:val="21"/>
          <w:lang w:val="es-ES_tradnl"/>
        </w:rPr>
        <w:t>22</w:t>
      </w:r>
      <w:r w:rsidR="00201F29" w:rsidRPr="00C916AB">
        <w:rPr>
          <w:rFonts w:ascii="Cambria" w:eastAsia="Calibri" w:hAnsi="Cambria" w:cs="Times New Roman"/>
          <w:sz w:val="21"/>
          <w:szCs w:val="21"/>
          <w:lang w:val="es-ES_tradnl"/>
        </w:rPr>
        <w:t xml:space="preserve"> de </w:t>
      </w:r>
      <w:r w:rsidR="00CC2131" w:rsidRPr="00C916AB">
        <w:rPr>
          <w:rFonts w:ascii="Cambria" w:eastAsia="Calibri" w:hAnsi="Cambria" w:cs="Times New Roman"/>
          <w:sz w:val="21"/>
          <w:szCs w:val="21"/>
          <w:lang w:val="es-ES_tradnl"/>
        </w:rPr>
        <w:t>julio</w:t>
      </w:r>
      <w:r w:rsidR="00201F29" w:rsidRPr="00C916AB">
        <w:rPr>
          <w:rFonts w:ascii="Cambria" w:eastAsia="Calibri" w:hAnsi="Cambria" w:cs="Times New Roman"/>
          <w:sz w:val="21"/>
          <w:szCs w:val="21"/>
          <w:lang w:val="es-ES_tradnl"/>
        </w:rPr>
        <w:t xml:space="preserve"> de 2019</w:t>
      </w:r>
      <w:r w:rsidRPr="00C916AB">
        <w:rPr>
          <w:rFonts w:ascii="Cambria" w:eastAsia="Calibri" w:hAnsi="Cambria" w:cs="Times New Roman"/>
          <w:sz w:val="21"/>
          <w:szCs w:val="21"/>
          <w:lang w:val="es-ES_tradnl"/>
        </w:rPr>
        <w:t xml:space="preserve">, la Comisión Interamericana de Derechos Humanos (“la Comisión Interamericana”, “la Comisión” o “la CIDH”) recibió una solicitud de medidas cautelares presentada por </w:t>
      </w:r>
      <w:r w:rsidR="00C916AB">
        <w:rPr>
          <w:rFonts w:ascii="Cambria" w:eastAsia="Calibri" w:hAnsi="Cambria" w:cs="Times New Roman"/>
          <w:sz w:val="21"/>
          <w:szCs w:val="21"/>
          <w:lang w:val="es-ES_tradnl"/>
        </w:rPr>
        <w:t>la</w:t>
      </w:r>
      <w:r w:rsidRPr="00C916AB">
        <w:rPr>
          <w:rFonts w:ascii="Cambria" w:eastAsia="Calibri" w:hAnsi="Cambria" w:cs="Times New Roman"/>
          <w:sz w:val="21"/>
          <w:szCs w:val="21"/>
          <w:lang w:val="es-ES_tradnl"/>
        </w:rPr>
        <w:t xml:space="preserve"> </w:t>
      </w:r>
      <w:r w:rsidR="00C916AB">
        <w:rPr>
          <w:rFonts w:ascii="Cambria" w:eastAsia="Calibri" w:hAnsi="Cambria" w:cs="Times New Roman"/>
          <w:sz w:val="21"/>
          <w:szCs w:val="21"/>
          <w:lang w:val="es-ES_tradnl"/>
        </w:rPr>
        <w:t>abogada</w:t>
      </w:r>
      <w:r w:rsidR="007D6846" w:rsidRPr="00C916AB">
        <w:rPr>
          <w:rFonts w:ascii="Cambria" w:eastAsia="Calibri" w:hAnsi="Cambria" w:cs="Times New Roman"/>
          <w:sz w:val="21"/>
          <w:szCs w:val="21"/>
          <w:lang w:val="es-ES_tradnl"/>
        </w:rPr>
        <w:t xml:space="preserve"> </w:t>
      </w:r>
      <w:r w:rsidR="00CC2131" w:rsidRPr="00C916AB">
        <w:rPr>
          <w:rFonts w:ascii="Cambria" w:eastAsia="Calibri" w:hAnsi="Cambria" w:cs="Times New Roman"/>
          <w:sz w:val="21"/>
          <w:szCs w:val="21"/>
          <w:lang w:val="es-ES_tradnl"/>
        </w:rPr>
        <w:t xml:space="preserve">Tamara </w:t>
      </w:r>
      <w:proofErr w:type="spellStart"/>
      <w:r w:rsidR="00CC2131" w:rsidRPr="00C916AB">
        <w:rPr>
          <w:rFonts w:ascii="Cambria" w:eastAsia="Calibri" w:hAnsi="Cambria" w:cs="Times New Roman"/>
          <w:sz w:val="21"/>
          <w:szCs w:val="21"/>
          <w:lang w:val="es-ES_tradnl"/>
        </w:rPr>
        <w:t>Suju</w:t>
      </w:r>
      <w:proofErr w:type="spellEnd"/>
      <w:r w:rsidR="00CC2131" w:rsidRPr="00C916AB">
        <w:rPr>
          <w:rFonts w:ascii="Cambria" w:eastAsia="Calibri" w:hAnsi="Cambria" w:cs="Times New Roman"/>
          <w:sz w:val="21"/>
          <w:szCs w:val="21"/>
          <w:lang w:val="es-ES_tradnl"/>
        </w:rPr>
        <w:t xml:space="preserve"> Roa</w:t>
      </w:r>
      <w:r w:rsidR="007D6846" w:rsidRPr="00C916AB">
        <w:rPr>
          <w:rFonts w:ascii="Cambria" w:eastAsia="Calibri" w:hAnsi="Cambria" w:cs="Times New Roman"/>
          <w:sz w:val="21"/>
          <w:szCs w:val="21"/>
          <w:lang w:val="es-ES_tradnl"/>
        </w:rPr>
        <w:t xml:space="preserve"> (“l</w:t>
      </w:r>
      <w:r w:rsidR="00CC2131" w:rsidRPr="00C916AB">
        <w:rPr>
          <w:rFonts w:ascii="Cambria" w:eastAsia="Calibri" w:hAnsi="Cambria" w:cs="Times New Roman"/>
          <w:sz w:val="21"/>
          <w:szCs w:val="21"/>
          <w:lang w:val="es-ES_tradnl"/>
        </w:rPr>
        <w:t>a</w:t>
      </w:r>
      <w:r w:rsidRPr="00C916AB">
        <w:rPr>
          <w:rFonts w:ascii="Cambria" w:eastAsia="Calibri" w:hAnsi="Cambria" w:cs="Times New Roman"/>
          <w:sz w:val="21"/>
          <w:szCs w:val="21"/>
          <w:lang w:val="es-ES_tradnl"/>
        </w:rPr>
        <w:t xml:space="preserve"> solicitante”), instando a la Comisión que requiera a la República Bolivariana de Venezuela (“el Estado” o “Venezuela”) la adopción de las medidas necesarias para proteger los derechos de </w:t>
      </w:r>
      <w:r w:rsidR="004A70C6" w:rsidRPr="00C916AB">
        <w:rPr>
          <w:rFonts w:ascii="Cambria" w:eastAsia="Calibri" w:hAnsi="Cambria" w:cs="Times New Roman"/>
          <w:sz w:val="21"/>
          <w:szCs w:val="21"/>
          <w:lang w:val="es-ES_tradnl"/>
        </w:rPr>
        <w:t>la familia del señor Rafael Acosta Arévalo y la familia de su esposa</w:t>
      </w:r>
      <w:r w:rsidR="002646D3" w:rsidRPr="00C916AB">
        <w:rPr>
          <w:rFonts w:ascii="Cambria" w:eastAsia="Calibri" w:hAnsi="Cambria" w:cs="Times New Roman"/>
          <w:sz w:val="21"/>
          <w:szCs w:val="21"/>
          <w:lang w:val="es-ES_tradnl"/>
        </w:rPr>
        <w:t xml:space="preserve"> </w:t>
      </w:r>
      <w:r w:rsidR="004A70C6" w:rsidRPr="00C916AB">
        <w:rPr>
          <w:rFonts w:ascii="Cambria" w:eastAsia="Calibri" w:hAnsi="Cambria" w:cs="Times New Roman"/>
          <w:sz w:val="21"/>
          <w:szCs w:val="21"/>
          <w:lang w:val="es-ES_tradnl"/>
        </w:rPr>
        <w:t>quienes</w:t>
      </w:r>
      <w:r w:rsidR="00C043EE" w:rsidRPr="00C916AB">
        <w:rPr>
          <w:rFonts w:ascii="Cambria" w:eastAsia="Calibri" w:hAnsi="Cambria" w:cs="Times New Roman"/>
          <w:sz w:val="21"/>
          <w:szCs w:val="21"/>
          <w:lang w:val="es-ES_tradnl"/>
        </w:rPr>
        <w:t>,</w:t>
      </w:r>
      <w:r w:rsidRPr="00C916AB">
        <w:rPr>
          <w:rFonts w:ascii="Cambria" w:eastAsia="Calibri" w:hAnsi="Cambria" w:cs="Times New Roman"/>
          <w:sz w:val="21"/>
          <w:szCs w:val="21"/>
          <w:lang w:val="es-ES_tradnl"/>
        </w:rPr>
        <w:t xml:space="preserve"> </w:t>
      </w:r>
      <w:r w:rsidR="00343A54" w:rsidRPr="00C916AB">
        <w:rPr>
          <w:rFonts w:ascii="Cambria" w:eastAsia="Calibri" w:hAnsi="Cambria" w:cs="Times New Roman"/>
          <w:sz w:val="21"/>
          <w:szCs w:val="21"/>
          <w:lang w:val="es-ES"/>
        </w:rPr>
        <w:t xml:space="preserve">tras la muerte de su familiar </w:t>
      </w:r>
      <w:r w:rsidR="00C043EE" w:rsidRPr="00C916AB">
        <w:rPr>
          <w:rFonts w:ascii="Cambria" w:eastAsia="Calibri" w:hAnsi="Cambria" w:cs="Times New Roman"/>
          <w:sz w:val="21"/>
          <w:szCs w:val="21"/>
          <w:lang w:val="es-ES"/>
        </w:rPr>
        <w:t>bajo custodia del Estado, estarían siendo objeto de intimidación y seguimientos por elementos del Estado, por lo que se encontrarían en una situación de riesgo</w:t>
      </w:r>
      <w:r w:rsidR="0041748B" w:rsidRPr="00C916AB">
        <w:rPr>
          <w:rFonts w:ascii="Cambria" w:eastAsia="Calibri" w:hAnsi="Cambria" w:cs="Times New Roman"/>
          <w:sz w:val="21"/>
          <w:szCs w:val="21"/>
          <w:lang w:val="es-ES"/>
        </w:rPr>
        <w:t>.</w:t>
      </w:r>
    </w:p>
    <w:p w:rsidR="00E77B47" w:rsidRPr="00C916AB" w:rsidRDefault="00E77B47" w:rsidP="00201F29">
      <w:pPr>
        <w:spacing w:after="0" w:line="240" w:lineRule="auto"/>
        <w:contextualSpacing/>
        <w:jc w:val="both"/>
        <w:rPr>
          <w:rFonts w:ascii="Cambria" w:eastAsia="Calibri" w:hAnsi="Cambria" w:cs="Times New Roman"/>
          <w:sz w:val="21"/>
          <w:szCs w:val="21"/>
          <w:lang w:val="es-ES_tradnl"/>
        </w:rPr>
      </w:pPr>
    </w:p>
    <w:p w:rsidR="00E83367" w:rsidRPr="00C916AB" w:rsidRDefault="00E83367" w:rsidP="00C043EE">
      <w:pPr>
        <w:numPr>
          <w:ilvl w:val="0"/>
          <w:numId w:val="1"/>
        </w:numPr>
        <w:spacing w:after="0" w:line="240" w:lineRule="auto"/>
        <w:ind w:left="0" w:firstLine="360"/>
        <w:contextualSpacing/>
        <w:jc w:val="both"/>
        <w:rPr>
          <w:rFonts w:ascii="Cambria" w:eastAsia="Calibri" w:hAnsi="Cambria" w:cs="Times New Roman"/>
          <w:sz w:val="21"/>
          <w:szCs w:val="21"/>
          <w:lang w:val="es-MX"/>
        </w:rPr>
      </w:pPr>
      <w:r w:rsidRPr="00C916AB">
        <w:rPr>
          <w:rFonts w:ascii="Cambria" w:eastAsia="Calibri" w:hAnsi="Cambria" w:cs="Times New Roman"/>
          <w:sz w:val="21"/>
          <w:szCs w:val="21"/>
          <w:lang w:val="es-MX"/>
        </w:rPr>
        <w:t>Luego de recibida la solicitud, la Comisión requirió información adicional a la solicitante el 24 de julio de 2019. La solicitante presentó la información requerida el 13 de agosto de 2019.</w:t>
      </w:r>
    </w:p>
    <w:p w:rsidR="00E83367" w:rsidRPr="00C916AB" w:rsidRDefault="00E83367" w:rsidP="00E83367">
      <w:pPr>
        <w:spacing w:after="0" w:line="240" w:lineRule="auto"/>
        <w:ind w:left="360"/>
        <w:contextualSpacing/>
        <w:jc w:val="both"/>
        <w:rPr>
          <w:rFonts w:ascii="Cambria" w:eastAsia="Calibri" w:hAnsi="Cambria" w:cs="Times New Roman"/>
          <w:sz w:val="21"/>
          <w:szCs w:val="21"/>
          <w:lang w:val="es-MX"/>
        </w:rPr>
      </w:pPr>
    </w:p>
    <w:p w:rsidR="00E77B47" w:rsidRPr="00C916AB" w:rsidRDefault="00E77B47" w:rsidP="00C043EE">
      <w:pPr>
        <w:numPr>
          <w:ilvl w:val="0"/>
          <w:numId w:val="1"/>
        </w:numPr>
        <w:spacing w:after="0" w:line="240" w:lineRule="auto"/>
        <w:ind w:left="0" w:firstLine="360"/>
        <w:contextualSpacing/>
        <w:jc w:val="both"/>
        <w:rPr>
          <w:rFonts w:ascii="Cambria" w:eastAsia="Calibri" w:hAnsi="Cambria" w:cs="Times New Roman"/>
          <w:sz w:val="21"/>
          <w:szCs w:val="21"/>
          <w:lang w:val="es-MX"/>
        </w:rPr>
      </w:pPr>
      <w:r w:rsidRPr="00C916AB">
        <w:rPr>
          <w:rFonts w:ascii="Cambria" w:eastAsia="Calibri" w:hAnsi="Cambria" w:cs="Times New Roman"/>
          <w:sz w:val="21"/>
          <w:szCs w:val="21"/>
          <w:lang w:val="es-ES_tradnl"/>
        </w:rPr>
        <w:t>Tras analizar las alegaciones de hecho y de derecho aportadas por la solicitante</w:t>
      </w:r>
      <w:r w:rsidRPr="00C916AB">
        <w:rPr>
          <w:rFonts w:ascii="Cambria" w:eastAsia="Calibri" w:hAnsi="Cambria" w:cs="Times New Roman"/>
          <w:sz w:val="21"/>
          <w:szCs w:val="21"/>
          <w:lang w:val="es-ES"/>
        </w:rPr>
        <w:t>,</w:t>
      </w:r>
      <w:r w:rsidRPr="00C916AB">
        <w:rPr>
          <w:rFonts w:ascii="Cambria" w:eastAsia="Calibri" w:hAnsi="Cambria" w:cs="Times New Roman"/>
          <w:sz w:val="21"/>
          <w:szCs w:val="21"/>
          <w:lang w:val="es-ES_tradnl"/>
        </w:rPr>
        <w:t xml:space="preserve"> la Comisión considera, desde el estándar </w:t>
      </w:r>
      <w:r w:rsidRPr="00C916AB">
        <w:rPr>
          <w:rFonts w:ascii="Cambria" w:eastAsia="Calibri" w:hAnsi="Cambria" w:cs="Times New Roman"/>
          <w:i/>
          <w:sz w:val="21"/>
          <w:szCs w:val="21"/>
          <w:lang w:val="es-ES_tradnl"/>
        </w:rPr>
        <w:t xml:space="preserve">prima facie </w:t>
      </w:r>
      <w:r w:rsidR="00451864" w:rsidRPr="00C916AB">
        <w:rPr>
          <w:rFonts w:ascii="Cambria" w:eastAsia="Calibri" w:hAnsi="Cambria" w:cs="Times New Roman"/>
          <w:sz w:val="21"/>
          <w:szCs w:val="21"/>
          <w:lang w:val="es-ES_tradnl"/>
        </w:rPr>
        <w:t>aplicable, que las personas</w:t>
      </w:r>
      <w:r w:rsidRPr="00C916AB">
        <w:rPr>
          <w:rFonts w:ascii="Cambria" w:eastAsia="Calibri" w:hAnsi="Cambria" w:cs="Times New Roman"/>
          <w:sz w:val="21"/>
          <w:szCs w:val="21"/>
          <w:lang w:val="es-ES_tradnl"/>
        </w:rPr>
        <w:t xml:space="preserve"> propuest</w:t>
      </w:r>
      <w:r w:rsidR="00451864" w:rsidRPr="00C916AB">
        <w:rPr>
          <w:rFonts w:ascii="Cambria" w:eastAsia="Calibri" w:hAnsi="Cambria" w:cs="Times New Roman"/>
          <w:sz w:val="21"/>
          <w:szCs w:val="21"/>
          <w:lang w:val="es-ES_tradnl"/>
        </w:rPr>
        <w:t>as</w:t>
      </w:r>
      <w:r w:rsidRPr="00C916AB">
        <w:rPr>
          <w:rFonts w:ascii="Cambria" w:eastAsia="Calibri" w:hAnsi="Cambria" w:cs="Times New Roman"/>
          <w:sz w:val="21"/>
          <w:szCs w:val="21"/>
          <w:lang w:val="es-ES_tradnl"/>
        </w:rPr>
        <w:t xml:space="preserve"> beneficiari</w:t>
      </w:r>
      <w:r w:rsidR="00451864" w:rsidRPr="00C916AB">
        <w:rPr>
          <w:rFonts w:ascii="Cambria" w:eastAsia="Calibri" w:hAnsi="Cambria" w:cs="Times New Roman"/>
          <w:sz w:val="21"/>
          <w:szCs w:val="21"/>
          <w:lang w:val="es-ES_tradnl"/>
        </w:rPr>
        <w:t>as</w:t>
      </w:r>
      <w:r w:rsidRPr="00C916AB">
        <w:rPr>
          <w:rFonts w:ascii="Cambria" w:eastAsia="Calibri" w:hAnsi="Cambria" w:cs="Times New Roman"/>
          <w:sz w:val="21"/>
          <w:szCs w:val="21"/>
          <w:lang w:val="es-ES_tradnl"/>
        </w:rPr>
        <w:t xml:space="preserve"> se encuentra</w:t>
      </w:r>
      <w:r w:rsidR="00451864" w:rsidRPr="00C916AB">
        <w:rPr>
          <w:rFonts w:ascii="Cambria" w:eastAsia="Calibri" w:hAnsi="Cambria" w:cs="Times New Roman"/>
          <w:sz w:val="21"/>
          <w:szCs w:val="21"/>
          <w:lang w:val="es-ES_tradnl"/>
        </w:rPr>
        <w:t>n</w:t>
      </w:r>
      <w:r w:rsidRPr="00C916AB">
        <w:rPr>
          <w:rFonts w:ascii="Cambria" w:eastAsia="Calibri" w:hAnsi="Cambria" w:cs="Times New Roman"/>
          <w:sz w:val="21"/>
          <w:szCs w:val="21"/>
          <w:lang w:val="es-ES_tradnl"/>
        </w:rPr>
        <w:t xml:space="preserve"> en una situación de gravedad y urgencia, toda vez que sus derechos enfrentan un riesgo de daño irreparable. Por consiguiente, con base en el artículo 25 de su Reglamento, la Comisión solicita al Estado de Venezuela </w:t>
      </w:r>
      <w:r w:rsidRPr="00C916AB">
        <w:rPr>
          <w:rFonts w:ascii="Cambria" w:eastAsia="Calibri" w:hAnsi="Cambria" w:cs="Times New Roman"/>
          <w:sz w:val="21"/>
          <w:szCs w:val="21"/>
          <w:lang w:val="es-MX"/>
        </w:rPr>
        <w:t>que: a) adopte las medidas necesarias para proteger los derechos a</w:t>
      </w:r>
      <w:r w:rsidR="000920AB" w:rsidRPr="00C916AB">
        <w:rPr>
          <w:rFonts w:ascii="Cambria" w:eastAsia="Calibri" w:hAnsi="Cambria" w:cs="Times New Roman"/>
          <w:sz w:val="21"/>
          <w:szCs w:val="21"/>
          <w:lang w:val="es-MX"/>
        </w:rPr>
        <w:t xml:space="preserve"> la</w:t>
      </w:r>
      <w:r w:rsidRPr="00C916AB">
        <w:rPr>
          <w:rFonts w:ascii="Cambria" w:eastAsia="Calibri" w:hAnsi="Cambria" w:cs="Times New Roman"/>
          <w:sz w:val="21"/>
          <w:szCs w:val="21"/>
          <w:lang w:val="es-MX"/>
        </w:rPr>
        <w:t xml:space="preserve"> vida e integridad personal </w:t>
      </w:r>
      <w:r w:rsidR="00C043EE" w:rsidRPr="00C916AB">
        <w:rPr>
          <w:rFonts w:ascii="Cambria" w:eastAsia="Calibri" w:hAnsi="Cambria" w:cs="Times New Roman"/>
          <w:sz w:val="21"/>
          <w:szCs w:val="21"/>
          <w:lang w:val="es-ES_tradnl"/>
        </w:rPr>
        <w:t xml:space="preserve">de la </w:t>
      </w:r>
      <w:r w:rsidR="00585EBB" w:rsidRPr="00C916AB">
        <w:rPr>
          <w:rFonts w:ascii="Cambria" w:eastAsia="Calibri" w:hAnsi="Cambria" w:cs="Times New Roman"/>
          <w:sz w:val="21"/>
          <w:szCs w:val="21"/>
          <w:lang w:val="es-ES_tradnl"/>
        </w:rPr>
        <w:t>familia del señor Rafael Acosta Arévalo</w:t>
      </w:r>
      <w:r w:rsidRPr="00C916AB">
        <w:rPr>
          <w:rFonts w:ascii="Cambria" w:eastAsia="Calibri" w:hAnsi="Cambria" w:cs="Times New Roman"/>
          <w:sz w:val="21"/>
          <w:szCs w:val="21"/>
          <w:lang w:val="es-ES_tradnl"/>
        </w:rPr>
        <w:t xml:space="preserve">; </w:t>
      </w:r>
      <w:r w:rsidR="00F937AC" w:rsidRPr="00C916AB">
        <w:rPr>
          <w:rFonts w:ascii="Cambria" w:eastAsia="Calibri" w:hAnsi="Cambria" w:cs="Times New Roman"/>
          <w:sz w:val="21"/>
          <w:szCs w:val="21"/>
          <w:lang w:val="es-ES"/>
        </w:rPr>
        <w:t>b)</w:t>
      </w:r>
      <w:r w:rsidR="00C043EE" w:rsidRPr="00C916AB">
        <w:rPr>
          <w:rFonts w:ascii="Cambria" w:eastAsia="Calibri" w:hAnsi="Cambria" w:cs="Times New Roman"/>
          <w:sz w:val="21"/>
          <w:szCs w:val="21"/>
          <w:lang w:val="es-ES"/>
        </w:rPr>
        <w:t xml:space="preserve"> </w:t>
      </w:r>
      <w:r w:rsidR="00F937AC" w:rsidRPr="00C916AB">
        <w:rPr>
          <w:rFonts w:ascii="Cambria" w:eastAsia="Calibri" w:hAnsi="Cambria" w:cs="Times New Roman"/>
          <w:sz w:val="21"/>
          <w:szCs w:val="21"/>
          <w:lang w:val="es-ES"/>
        </w:rPr>
        <w:t>concierte</w:t>
      </w:r>
      <w:r w:rsidR="00C043EE" w:rsidRPr="00C916AB">
        <w:rPr>
          <w:rFonts w:ascii="Cambria" w:eastAsia="Calibri" w:hAnsi="Cambria" w:cs="Times New Roman"/>
          <w:sz w:val="21"/>
          <w:szCs w:val="21"/>
          <w:lang w:val="es-ES"/>
        </w:rPr>
        <w:t xml:space="preserve"> las medidas a adoptarse con las personas propuestas</w:t>
      </w:r>
      <w:r w:rsidR="00F937AC" w:rsidRPr="00C916AB">
        <w:rPr>
          <w:rFonts w:ascii="Cambria" w:eastAsia="Calibri" w:hAnsi="Cambria" w:cs="Times New Roman"/>
          <w:sz w:val="21"/>
          <w:szCs w:val="21"/>
          <w:lang w:val="es-ES"/>
        </w:rPr>
        <w:t xml:space="preserve"> beneficiari</w:t>
      </w:r>
      <w:r w:rsidR="006F42F9" w:rsidRPr="00C916AB">
        <w:rPr>
          <w:rFonts w:ascii="Cambria" w:eastAsia="Calibri" w:hAnsi="Cambria" w:cs="Times New Roman"/>
          <w:sz w:val="21"/>
          <w:szCs w:val="21"/>
          <w:lang w:val="es-ES"/>
        </w:rPr>
        <w:t>a</w:t>
      </w:r>
      <w:r w:rsidR="00C043EE" w:rsidRPr="00C916AB">
        <w:rPr>
          <w:rFonts w:ascii="Cambria" w:eastAsia="Calibri" w:hAnsi="Cambria" w:cs="Times New Roman"/>
          <w:sz w:val="21"/>
          <w:szCs w:val="21"/>
          <w:lang w:val="es-ES"/>
        </w:rPr>
        <w:t>s y su representante</w:t>
      </w:r>
      <w:r w:rsidRPr="00C916AB">
        <w:rPr>
          <w:rFonts w:ascii="Cambria" w:eastAsia="Calibri" w:hAnsi="Cambria" w:cs="Times New Roman"/>
          <w:sz w:val="21"/>
          <w:szCs w:val="21"/>
          <w:lang w:val="es-ES_tradnl"/>
        </w:rPr>
        <w:t>;</w:t>
      </w:r>
      <w:r w:rsidR="00EF6F7D" w:rsidRPr="00C916AB">
        <w:rPr>
          <w:rFonts w:ascii="Cambria" w:eastAsia="Calibri" w:hAnsi="Cambria" w:cs="Times New Roman"/>
          <w:sz w:val="21"/>
          <w:szCs w:val="21"/>
          <w:lang w:val="es-ES_tradnl"/>
        </w:rPr>
        <w:t xml:space="preserve"> y </w:t>
      </w:r>
      <w:r w:rsidR="00C043EE" w:rsidRPr="00C916AB">
        <w:rPr>
          <w:rFonts w:ascii="Cambria" w:eastAsia="Calibri" w:hAnsi="Cambria" w:cs="Times New Roman"/>
          <w:sz w:val="21"/>
          <w:szCs w:val="21"/>
          <w:lang w:val="es-ES_tradnl"/>
        </w:rPr>
        <w:t>c</w:t>
      </w:r>
      <w:r w:rsidRPr="00C916AB">
        <w:rPr>
          <w:rFonts w:ascii="Cambria" w:eastAsia="Calibri" w:hAnsi="Cambria" w:cs="Times New Roman"/>
          <w:sz w:val="21"/>
          <w:szCs w:val="21"/>
          <w:lang w:val="es-ES_tradnl"/>
        </w:rPr>
        <w:t xml:space="preserve">) informe sobre las </w:t>
      </w:r>
      <w:r w:rsidRPr="00C916AB">
        <w:rPr>
          <w:rFonts w:ascii="Cambria" w:eastAsia="Calibri" w:hAnsi="Cambria" w:cs="Times New Roman"/>
          <w:sz w:val="21"/>
          <w:szCs w:val="21"/>
          <w:lang w:val="es-ES"/>
        </w:rPr>
        <w:t>acciones adoptadas a fin de investigar los hechos alegados que dieron lugar a la adopción de la presente medida cautelar y evitar así su repetición.</w:t>
      </w:r>
    </w:p>
    <w:p w:rsidR="00E77B47" w:rsidRPr="00C916AB" w:rsidRDefault="00585EBB" w:rsidP="00E77B47">
      <w:pPr>
        <w:spacing w:after="0" w:line="240" w:lineRule="auto"/>
        <w:contextualSpacing/>
        <w:jc w:val="both"/>
        <w:rPr>
          <w:rFonts w:ascii="Cambria" w:eastAsia="Calibri" w:hAnsi="Cambria" w:cs="Times New Roman"/>
          <w:sz w:val="21"/>
          <w:szCs w:val="21"/>
          <w:lang w:val="es-MX"/>
        </w:rPr>
      </w:pPr>
      <w:r w:rsidRPr="00C916AB">
        <w:rPr>
          <w:rFonts w:ascii="Cambria" w:eastAsia="Calibri" w:hAnsi="Cambria" w:cs="Times New Roman"/>
          <w:sz w:val="21"/>
          <w:szCs w:val="21"/>
          <w:lang w:val="es-MX"/>
        </w:rPr>
        <w:t xml:space="preserve"> </w:t>
      </w:r>
    </w:p>
    <w:p w:rsidR="00E77B47" w:rsidRPr="00C916AB" w:rsidRDefault="00E77B47" w:rsidP="00585EBB">
      <w:pPr>
        <w:numPr>
          <w:ilvl w:val="0"/>
          <w:numId w:val="3"/>
        </w:numPr>
        <w:spacing w:after="0" w:line="240" w:lineRule="auto"/>
        <w:ind w:left="360" w:firstLine="18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 xml:space="preserve">RESUMEN DE HECHOS </w:t>
      </w:r>
      <w:r w:rsidR="00C15C40" w:rsidRPr="00C916AB">
        <w:rPr>
          <w:rFonts w:ascii="Cambria" w:eastAsia="Calibri" w:hAnsi="Cambria" w:cs="Times New Roman"/>
          <w:b/>
          <w:sz w:val="21"/>
          <w:szCs w:val="21"/>
          <w:lang w:val="es-ES_tradnl"/>
        </w:rPr>
        <w:t xml:space="preserve">ALEGADOS POR LA SOLICITANTE. </w:t>
      </w:r>
    </w:p>
    <w:p w:rsidR="00E77B47" w:rsidRPr="00C916AB" w:rsidRDefault="00E77B47" w:rsidP="00E77B47">
      <w:pPr>
        <w:spacing w:after="0" w:line="240" w:lineRule="auto"/>
        <w:contextualSpacing/>
        <w:jc w:val="both"/>
        <w:rPr>
          <w:rFonts w:ascii="Cambria" w:eastAsia="Calibri" w:hAnsi="Cambria" w:cs="Times New Roman"/>
          <w:sz w:val="21"/>
          <w:szCs w:val="21"/>
          <w:lang w:val="es-ES_tradnl"/>
        </w:rPr>
      </w:pPr>
    </w:p>
    <w:p w:rsidR="00C15C40" w:rsidRPr="00C916AB" w:rsidRDefault="00C15C40"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 La solicitante indicó que el señor Rafael Acosta Arévalo fue reportado como desaparecido por su esposa, </w:t>
      </w:r>
      <w:proofErr w:type="spellStart"/>
      <w:r w:rsidRPr="00C916AB">
        <w:rPr>
          <w:rFonts w:ascii="Cambria" w:eastAsia="Calibri" w:hAnsi="Cambria" w:cs="Times New Roman"/>
          <w:sz w:val="21"/>
          <w:szCs w:val="21"/>
          <w:lang w:val="es-ES_tradnl"/>
        </w:rPr>
        <w:t>Waleska</w:t>
      </w:r>
      <w:proofErr w:type="spellEnd"/>
      <w:r w:rsidRPr="00C916AB">
        <w:rPr>
          <w:rFonts w:ascii="Cambria" w:eastAsia="Calibri" w:hAnsi="Cambria" w:cs="Times New Roman"/>
          <w:sz w:val="21"/>
          <w:szCs w:val="21"/>
          <w:lang w:val="es-ES_tradnl"/>
        </w:rPr>
        <w:t xml:space="preserve"> Pérez, el 22 de junio de 2019, tras haber perdido total comunicación con él y haber sido informada que elementos de la Dirección General de Contrainteligencia Militar (DGCIM) y del Servicio Bolivariano de Inteligencia Nacional (SEBIN) de Venezuela habían detenido a varias personas, incluidos tanto militares como civiles. </w:t>
      </w:r>
      <w:r w:rsidR="00423AA9" w:rsidRPr="00C916AB">
        <w:rPr>
          <w:rFonts w:ascii="Cambria" w:eastAsia="Calibri" w:hAnsi="Cambria" w:cs="Times New Roman"/>
          <w:sz w:val="21"/>
          <w:szCs w:val="21"/>
          <w:lang w:val="es-ES_tradnl"/>
        </w:rPr>
        <w:t xml:space="preserve">El 26 de junio habría sido admitida la detención de tres oficiales por un Ministro de Nicolás Maduro, Jorge Rodríguez, entre los que se encontraba el Capitán Acosta, acusados de Terrorismo, Conspiración y Traición a la Patria. </w:t>
      </w:r>
    </w:p>
    <w:p w:rsidR="00423AA9" w:rsidRPr="00C916AB" w:rsidRDefault="00423AA9" w:rsidP="00423AA9">
      <w:pPr>
        <w:spacing w:after="0" w:line="240" w:lineRule="auto"/>
        <w:ind w:left="360"/>
        <w:contextualSpacing/>
        <w:jc w:val="both"/>
        <w:rPr>
          <w:rFonts w:ascii="Cambria" w:eastAsia="Calibri" w:hAnsi="Cambria" w:cs="Times New Roman"/>
          <w:sz w:val="21"/>
          <w:szCs w:val="21"/>
          <w:lang w:val="es-ES_tradnl"/>
        </w:rPr>
      </w:pPr>
    </w:p>
    <w:p w:rsidR="00E5011E" w:rsidRPr="00C916AB" w:rsidRDefault="00423AA9"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solicitud indica que el 28 de junio de 2019 fue presentado el señor Acosta Arévalo ante Tribunales militares, a donde habría llegado en “silla de ruedas, ya que no podía valerse por sí mismo, presentando signos claros de torturas, entre ellas, graves excoriaciones en los brazos, poca sensibilidad en las manos, inflamación extrema en los pies, rastro de sangre en las uñas, severas lesiones en el rostro”. </w:t>
      </w:r>
      <w:r w:rsidR="00E5011E" w:rsidRPr="00C916AB">
        <w:rPr>
          <w:rFonts w:ascii="Cambria" w:eastAsia="Calibri" w:hAnsi="Cambria" w:cs="Times New Roman"/>
          <w:sz w:val="21"/>
          <w:szCs w:val="21"/>
          <w:lang w:val="es-ES_tradnl"/>
        </w:rPr>
        <w:t xml:space="preserve">Por lo anterior, el Juez de la causa habría ordenado su traslado inmediato al Hospital Militar </w:t>
      </w:r>
      <w:r w:rsidR="00E5011E" w:rsidRPr="00C916AB">
        <w:rPr>
          <w:rFonts w:ascii="Cambria" w:eastAsia="Calibri" w:hAnsi="Cambria" w:cs="Times New Roman"/>
          <w:sz w:val="21"/>
          <w:szCs w:val="21"/>
          <w:lang w:val="es-ES_tradnl"/>
        </w:rPr>
        <w:lastRenderedPageBreak/>
        <w:t>ubicado en el Fuerte Tiuna, donde se encuentran los Tribunales Militares. El señor Arévalo habría fallecido allí poco después de la media noche</w:t>
      </w:r>
      <w:r w:rsidR="00E5011E" w:rsidRPr="00C916AB">
        <w:rPr>
          <w:rStyle w:val="FootnoteReference"/>
          <w:rFonts w:ascii="Calibri Light" w:eastAsia="Calibri" w:hAnsi="Calibri Light" w:cs="Times New Roman"/>
        </w:rPr>
        <w:footnoteReference w:id="1"/>
      </w:r>
      <w:r w:rsidR="00E5011E" w:rsidRPr="00C916AB">
        <w:rPr>
          <w:rFonts w:ascii="Cambria" w:eastAsia="Calibri" w:hAnsi="Cambria" w:cs="Times New Roman"/>
          <w:sz w:val="21"/>
          <w:szCs w:val="21"/>
          <w:lang w:val="es-ES_tradnl"/>
        </w:rPr>
        <w:t xml:space="preserve">. </w:t>
      </w:r>
    </w:p>
    <w:p w:rsidR="00E5011E" w:rsidRPr="00C916AB" w:rsidRDefault="00E5011E" w:rsidP="00E5011E">
      <w:pPr>
        <w:spacing w:after="0" w:line="240" w:lineRule="auto"/>
        <w:ind w:left="360"/>
        <w:contextualSpacing/>
        <w:jc w:val="both"/>
        <w:rPr>
          <w:rFonts w:ascii="Cambria" w:eastAsia="Calibri" w:hAnsi="Cambria" w:cs="Times New Roman"/>
          <w:sz w:val="21"/>
          <w:szCs w:val="21"/>
          <w:lang w:val="es-ES_tradnl"/>
        </w:rPr>
      </w:pPr>
    </w:p>
    <w:p w:rsidR="00423AA9" w:rsidRPr="00C916AB" w:rsidRDefault="00E5011E"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solicitante </w:t>
      </w:r>
      <w:r w:rsidR="00DA3C4D" w:rsidRPr="00C916AB">
        <w:rPr>
          <w:rFonts w:ascii="Cambria" w:eastAsia="Calibri" w:hAnsi="Cambria" w:cs="Times New Roman"/>
          <w:sz w:val="21"/>
          <w:szCs w:val="21"/>
          <w:lang w:val="es-ES_tradnl"/>
        </w:rPr>
        <w:t>señaló</w:t>
      </w:r>
      <w:r w:rsidRPr="00C916AB">
        <w:rPr>
          <w:rFonts w:ascii="Cambria" w:eastAsia="Calibri" w:hAnsi="Cambria" w:cs="Times New Roman"/>
          <w:sz w:val="21"/>
          <w:szCs w:val="21"/>
          <w:lang w:val="es-ES_tradnl"/>
        </w:rPr>
        <w:t xml:space="preserve"> que el cuerpo del señor Arévalo permaneció en la morgue por 12 días y que</w:t>
      </w:r>
      <w:r w:rsidRPr="00C916AB">
        <w:rPr>
          <w:rFonts w:ascii="Cambria" w:eastAsia="Calibri" w:hAnsi="Cambria" w:cs="Times New Roman"/>
          <w:sz w:val="21"/>
          <w:szCs w:val="21"/>
        </w:rPr>
        <w:t xml:space="preserve"> “[…] </w:t>
      </w:r>
      <w:r w:rsidRPr="00C916AB">
        <w:rPr>
          <w:rFonts w:ascii="Cambria" w:eastAsia="Calibri" w:hAnsi="Cambria" w:cs="Times New Roman"/>
          <w:sz w:val="21"/>
          <w:szCs w:val="21"/>
          <w:lang w:val="es-VE"/>
        </w:rPr>
        <w:t xml:space="preserve">no se le permitió a la familia comprobar el estado físico, realizar algún servicio religioso, ni velorio”. El señor </w:t>
      </w:r>
      <w:r w:rsidRPr="00C916AB">
        <w:rPr>
          <w:rFonts w:ascii="Cambria" w:eastAsia="Calibri" w:hAnsi="Cambria" w:cs="Times New Roman"/>
          <w:sz w:val="21"/>
          <w:szCs w:val="21"/>
        </w:rPr>
        <w:t xml:space="preserve">Acosta Arévalo habría sido enterrado en un cementerio de Caracas “en una parcela dispuesta por el régimen” y no donde residiría la familia. </w:t>
      </w:r>
    </w:p>
    <w:p w:rsidR="00E5011E" w:rsidRPr="00C916AB" w:rsidRDefault="00E5011E" w:rsidP="00E5011E">
      <w:pPr>
        <w:spacing w:after="0" w:line="240" w:lineRule="auto"/>
        <w:ind w:left="360"/>
        <w:contextualSpacing/>
        <w:jc w:val="both"/>
        <w:rPr>
          <w:rFonts w:ascii="Cambria" w:eastAsia="Calibri" w:hAnsi="Cambria" w:cs="Times New Roman"/>
          <w:sz w:val="21"/>
          <w:szCs w:val="21"/>
          <w:lang w:val="es-ES_tradnl"/>
        </w:rPr>
      </w:pPr>
    </w:p>
    <w:p w:rsidR="00E5011E" w:rsidRPr="00C916AB" w:rsidRDefault="00E5011E"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rPr>
        <w:t xml:space="preserve">La solicitante </w:t>
      </w:r>
      <w:r w:rsidR="00DA3C4D" w:rsidRPr="00C916AB">
        <w:rPr>
          <w:rFonts w:ascii="Cambria" w:eastAsia="Calibri" w:hAnsi="Cambria" w:cs="Times New Roman"/>
          <w:sz w:val="21"/>
          <w:szCs w:val="21"/>
        </w:rPr>
        <w:t>indicó</w:t>
      </w:r>
      <w:r w:rsidRPr="00C916AB">
        <w:rPr>
          <w:rFonts w:ascii="Cambria" w:eastAsia="Calibri" w:hAnsi="Cambria" w:cs="Times New Roman"/>
          <w:sz w:val="21"/>
          <w:szCs w:val="21"/>
        </w:rPr>
        <w:t xml:space="preserve"> que después del entierro, “organismos </w:t>
      </w:r>
      <w:r w:rsidR="000920AB" w:rsidRPr="00C916AB">
        <w:rPr>
          <w:rFonts w:ascii="Cambria" w:eastAsia="Calibri" w:hAnsi="Cambria" w:cs="Times New Roman"/>
          <w:sz w:val="21"/>
          <w:szCs w:val="21"/>
        </w:rPr>
        <w:t>de seguridad” habrían allanado</w:t>
      </w:r>
      <w:r w:rsidRPr="00C916AB">
        <w:rPr>
          <w:rFonts w:ascii="Cambria" w:eastAsia="Calibri" w:hAnsi="Cambria" w:cs="Times New Roman"/>
          <w:sz w:val="21"/>
          <w:szCs w:val="21"/>
        </w:rPr>
        <w:t xml:space="preserve"> la residencia de los suegros del señor Acosta Arévalo, el señor </w:t>
      </w:r>
      <w:r w:rsidRPr="00C916AB">
        <w:rPr>
          <w:rFonts w:ascii="Cambria" w:eastAsia="Calibri" w:hAnsi="Cambria" w:cs="Times New Roman"/>
          <w:sz w:val="21"/>
          <w:szCs w:val="21"/>
          <w:lang w:val="es-VE"/>
        </w:rPr>
        <w:t xml:space="preserve">Enrique Perez León y la señora Laura Mercedes León de Pérez, ubicada en la Urbanización El Limón, Estado Aragua. Asimismo, se informó que la familia inmediata de su esposa, la señora </w:t>
      </w:r>
      <w:proofErr w:type="spellStart"/>
      <w:r w:rsidRPr="00C916AB">
        <w:rPr>
          <w:rFonts w:ascii="Cambria" w:eastAsia="Calibri" w:hAnsi="Cambria" w:cs="Times New Roman"/>
          <w:sz w:val="21"/>
          <w:szCs w:val="21"/>
          <w:lang w:val="es-VE"/>
        </w:rPr>
        <w:t>Waleska</w:t>
      </w:r>
      <w:proofErr w:type="spellEnd"/>
      <w:r w:rsidRPr="00C916AB">
        <w:rPr>
          <w:rFonts w:ascii="Cambria" w:eastAsia="Calibri" w:hAnsi="Cambria" w:cs="Times New Roman"/>
          <w:sz w:val="21"/>
          <w:szCs w:val="21"/>
          <w:lang w:val="es-VE"/>
        </w:rPr>
        <w:t xml:space="preserve"> Perez</w:t>
      </w:r>
      <w:r w:rsidR="00DA3C4D" w:rsidRPr="00C916AB">
        <w:rPr>
          <w:rFonts w:ascii="Cambria" w:eastAsia="Calibri" w:hAnsi="Cambria" w:cs="Times New Roman"/>
          <w:sz w:val="21"/>
          <w:szCs w:val="21"/>
          <w:lang w:val="es-VE"/>
        </w:rPr>
        <w:t xml:space="preserve">, estaría siendo objeto de </w:t>
      </w:r>
      <w:r w:rsidRPr="00C916AB">
        <w:rPr>
          <w:rFonts w:ascii="Cambria" w:eastAsia="Calibri" w:hAnsi="Cambria" w:cs="Times New Roman"/>
          <w:sz w:val="21"/>
          <w:szCs w:val="21"/>
          <w:lang w:val="es-VE"/>
        </w:rPr>
        <w:t xml:space="preserve">intimidación y seguimiento “por parte de los organismos represivos del régimen”, y patrullas habrían sido vistas en los alrededores de sus residencias. </w:t>
      </w:r>
      <w:r w:rsidR="00DA3C4D" w:rsidRPr="00C916AB">
        <w:rPr>
          <w:rFonts w:ascii="Cambria" w:eastAsia="Calibri" w:hAnsi="Cambria" w:cs="Times New Roman"/>
          <w:sz w:val="21"/>
          <w:szCs w:val="21"/>
          <w:lang w:val="es-VE"/>
        </w:rPr>
        <w:t>La solicitante agregó que las personas propuestas</w:t>
      </w:r>
      <w:r w:rsidR="000920AB" w:rsidRPr="00C916AB">
        <w:rPr>
          <w:rFonts w:ascii="Cambria" w:eastAsia="Calibri" w:hAnsi="Cambria" w:cs="Times New Roman"/>
          <w:sz w:val="21"/>
          <w:szCs w:val="21"/>
          <w:lang w:val="es-VE"/>
        </w:rPr>
        <w:t xml:space="preserve"> beneficiarias</w:t>
      </w:r>
      <w:r w:rsidR="00DA3C4D" w:rsidRPr="00C916AB">
        <w:rPr>
          <w:rFonts w:ascii="Cambria" w:eastAsia="Calibri" w:hAnsi="Cambria" w:cs="Times New Roman"/>
          <w:sz w:val="21"/>
          <w:szCs w:val="21"/>
          <w:lang w:val="es-VE"/>
        </w:rPr>
        <w:t xml:space="preserve"> se sienten aterrorizadas por los hechos ocurridos, que sufren crisis depresivas y que algunos no quieren salir de sus casas por miedo a ser interceptad</w:t>
      </w:r>
      <w:r w:rsidR="000920AB" w:rsidRPr="00C916AB">
        <w:rPr>
          <w:rFonts w:ascii="Cambria" w:eastAsia="Calibri" w:hAnsi="Cambria" w:cs="Times New Roman"/>
          <w:sz w:val="21"/>
          <w:szCs w:val="21"/>
          <w:lang w:val="es-VE"/>
        </w:rPr>
        <w:t>a</w:t>
      </w:r>
      <w:r w:rsidR="00DA3C4D" w:rsidRPr="00C916AB">
        <w:rPr>
          <w:rFonts w:ascii="Cambria" w:eastAsia="Calibri" w:hAnsi="Cambria" w:cs="Times New Roman"/>
          <w:sz w:val="21"/>
          <w:szCs w:val="21"/>
          <w:lang w:val="es-VE"/>
        </w:rPr>
        <w:t xml:space="preserve">s por organismos de inteligencia. </w:t>
      </w:r>
    </w:p>
    <w:p w:rsidR="00E5011E" w:rsidRPr="00C916AB" w:rsidRDefault="00E5011E" w:rsidP="00E5011E">
      <w:pPr>
        <w:spacing w:after="0" w:line="240" w:lineRule="auto"/>
        <w:ind w:left="360"/>
        <w:contextualSpacing/>
        <w:jc w:val="both"/>
        <w:rPr>
          <w:rFonts w:ascii="Cambria" w:eastAsia="Calibri" w:hAnsi="Cambria" w:cs="Times New Roman"/>
          <w:sz w:val="21"/>
          <w:szCs w:val="21"/>
          <w:lang w:val="es-ES_tradnl"/>
        </w:rPr>
      </w:pPr>
    </w:p>
    <w:p w:rsidR="00E5011E" w:rsidRPr="00C916AB" w:rsidRDefault="00DA3C4D"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recibió información adicional el 13 de agosto de 2019 en la cual se aportó una carta </w:t>
      </w:r>
      <w:r w:rsidR="000C0DCC" w:rsidRPr="00C916AB">
        <w:rPr>
          <w:rFonts w:ascii="Cambria" w:eastAsia="Calibri" w:hAnsi="Cambria" w:cs="Times New Roman"/>
          <w:sz w:val="21"/>
          <w:szCs w:val="21"/>
          <w:lang w:val="es-ES_tradnl"/>
        </w:rPr>
        <w:t>que habría sido entregada al delegado de la Organización de las Naciones Unidas (ONU) por parte</w:t>
      </w:r>
      <w:r w:rsidRPr="00C916AB">
        <w:rPr>
          <w:rFonts w:ascii="Cambria" w:eastAsia="Calibri" w:hAnsi="Cambria" w:cs="Times New Roman"/>
          <w:sz w:val="21"/>
          <w:szCs w:val="21"/>
          <w:lang w:val="es-ES_tradnl"/>
        </w:rPr>
        <w:t xml:space="preserve"> de las personas propuestas beneficiarias, indicando la relación familiar de cada quien con el señor Arévalo. </w:t>
      </w:r>
      <w:r w:rsidR="000C0DCC" w:rsidRPr="00C916AB">
        <w:rPr>
          <w:rFonts w:ascii="Cambria" w:eastAsia="Calibri" w:hAnsi="Cambria" w:cs="Times New Roman"/>
          <w:sz w:val="21"/>
          <w:szCs w:val="21"/>
          <w:lang w:val="es-ES_tradnl"/>
        </w:rPr>
        <w:t xml:space="preserve">En </w:t>
      </w:r>
      <w:r w:rsidR="000920AB" w:rsidRPr="00C916AB">
        <w:rPr>
          <w:rFonts w:ascii="Cambria" w:eastAsia="Calibri" w:hAnsi="Cambria" w:cs="Times New Roman"/>
          <w:sz w:val="21"/>
          <w:szCs w:val="21"/>
          <w:lang w:val="es-ES_tradnl"/>
        </w:rPr>
        <w:t>dicha comunicación se expresa</w:t>
      </w:r>
      <w:r w:rsidR="000C0DCC" w:rsidRPr="00C916AB">
        <w:rPr>
          <w:rFonts w:ascii="Cambria" w:eastAsia="Calibri" w:hAnsi="Cambria" w:cs="Times New Roman"/>
          <w:sz w:val="21"/>
          <w:szCs w:val="21"/>
          <w:lang w:val="es-ES_tradnl"/>
        </w:rPr>
        <w:t xml:space="preserve"> por las personas propuestas beneficiarias su “preocupación por el riesgo a [su] integridad física y otros posibles daños emocionales y materiales de que </w:t>
      </w:r>
      <w:proofErr w:type="gramStart"/>
      <w:r w:rsidR="000C0DCC" w:rsidRPr="00C916AB">
        <w:rPr>
          <w:rFonts w:ascii="Cambria" w:eastAsia="Calibri" w:hAnsi="Cambria" w:cs="Times New Roman"/>
          <w:sz w:val="21"/>
          <w:szCs w:val="21"/>
          <w:lang w:val="es-ES_tradnl"/>
        </w:rPr>
        <w:t>podrí[</w:t>
      </w:r>
      <w:proofErr w:type="spellStart"/>
      <w:proofErr w:type="gramEnd"/>
      <w:r w:rsidR="000C0DCC" w:rsidRPr="00C916AB">
        <w:rPr>
          <w:rFonts w:ascii="Cambria" w:eastAsia="Calibri" w:hAnsi="Cambria" w:cs="Times New Roman"/>
          <w:sz w:val="21"/>
          <w:szCs w:val="21"/>
          <w:lang w:val="es-ES_tradnl"/>
        </w:rPr>
        <w:t>an</w:t>
      </w:r>
      <w:proofErr w:type="spellEnd"/>
      <w:r w:rsidR="000C0DCC" w:rsidRPr="00C916AB">
        <w:rPr>
          <w:rFonts w:ascii="Cambria" w:eastAsia="Calibri" w:hAnsi="Cambria" w:cs="Times New Roman"/>
          <w:sz w:val="21"/>
          <w:szCs w:val="21"/>
          <w:lang w:val="es-ES_tradnl"/>
        </w:rPr>
        <w:t>] ser objeto, por [su] vinculación familiar con el Capitán Acosta Arévalo, luego de conocer las horrorosas circunstancias en que se produjo [su] muerte”.</w:t>
      </w:r>
    </w:p>
    <w:p w:rsidR="000C0DCC" w:rsidRPr="00C916AB" w:rsidRDefault="000C0DCC" w:rsidP="000C0DCC">
      <w:pPr>
        <w:spacing w:after="0" w:line="240" w:lineRule="auto"/>
        <w:ind w:left="360"/>
        <w:contextualSpacing/>
        <w:jc w:val="both"/>
        <w:rPr>
          <w:rFonts w:ascii="Cambria" w:eastAsia="Calibri" w:hAnsi="Cambria" w:cs="Times New Roman"/>
          <w:sz w:val="21"/>
          <w:szCs w:val="21"/>
          <w:lang w:val="es-ES_tradnl"/>
        </w:rPr>
      </w:pPr>
    </w:p>
    <w:p w:rsidR="000C0DCC" w:rsidRPr="00C916AB" w:rsidRDefault="002C4C23" w:rsidP="009F0FD8">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Las personas propuestas beneficiarias agregaron en la referida comunicación que la “conducta de los personas de los personeros del estado (sic), que en ningún momento han garantizado nuestra integridad física ni han puesto distancia con los horribles hechos acaecidos, nos (ilegible) razonablemente suponer que estamos a la merced de cualquier otra monstruosidad”. La familia del señor Acosta Arévalo indicó también que tienen la percepción desde los hechos de haber “entrado en un ca</w:t>
      </w:r>
      <w:r w:rsidR="000920AB" w:rsidRPr="00C916AB">
        <w:rPr>
          <w:rFonts w:ascii="Cambria" w:eastAsia="Calibri" w:hAnsi="Cambria" w:cs="Times New Roman"/>
          <w:sz w:val="21"/>
          <w:szCs w:val="21"/>
          <w:lang w:val="es-ES_tradnl"/>
        </w:rPr>
        <w:t>m</w:t>
      </w:r>
      <w:r w:rsidRPr="00C916AB">
        <w:rPr>
          <w:rFonts w:ascii="Cambria" w:eastAsia="Calibri" w:hAnsi="Cambria" w:cs="Times New Roman"/>
          <w:sz w:val="21"/>
          <w:szCs w:val="21"/>
          <w:lang w:val="es-ES_tradnl"/>
        </w:rPr>
        <w:t xml:space="preserve">po de batalla en la arena pública”. </w:t>
      </w:r>
      <w:r w:rsidR="000920AB" w:rsidRPr="00C916AB">
        <w:rPr>
          <w:rFonts w:ascii="Cambria" w:eastAsia="Calibri" w:hAnsi="Cambria" w:cs="Times New Roman"/>
          <w:sz w:val="21"/>
          <w:szCs w:val="21"/>
          <w:lang w:val="es-ES_tradnl"/>
        </w:rPr>
        <w:t xml:space="preserve"> </w:t>
      </w:r>
    </w:p>
    <w:p w:rsidR="00E77B47" w:rsidRPr="00C916AB" w:rsidRDefault="00E77B47" w:rsidP="00E77B47">
      <w:pPr>
        <w:tabs>
          <w:tab w:val="left" w:pos="810"/>
        </w:tabs>
        <w:spacing w:after="0" w:line="240" w:lineRule="auto"/>
        <w:jc w:val="both"/>
        <w:rPr>
          <w:rFonts w:ascii="Cambria" w:eastAsia="Calibri" w:hAnsi="Cambria" w:cs="Times New Roman"/>
          <w:b/>
          <w:sz w:val="21"/>
          <w:szCs w:val="21"/>
          <w:lang w:val="es-MX"/>
        </w:rPr>
      </w:pPr>
    </w:p>
    <w:p w:rsidR="00E77B47" w:rsidRPr="00C916AB" w:rsidRDefault="00E77B47" w:rsidP="00585EBB">
      <w:pPr>
        <w:numPr>
          <w:ilvl w:val="0"/>
          <w:numId w:val="3"/>
        </w:numPr>
        <w:spacing w:after="0" w:line="240" w:lineRule="auto"/>
        <w:ind w:left="360" w:firstLine="18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 xml:space="preserve">ASPECTOS CONTEXTUALES EN RELACIÓN CON LA PRESENTE SOLICITUD </w:t>
      </w:r>
    </w:p>
    <w:p w:rsidR="00E77B47" w:rsidRPr="00C916AB" w:rsidRDefault="00E77B47" w:rsidP="00E77B47">
      <w:pPr>
        <w:spacing w:after="0" w:line="240" w:lineRule="auto"/>
        <w:ind w:left="1080"/>
        <w:jc w:val="both"/>
        <w:rPr>
          <w:rFonts w:ascii="Cambria" w:eastAsia="Calibri" w:hAnsi="Cambria" w:cs="Times New Roman"/>
          <w:b/>
          <w:sz w:val="21"/>
          <w:szCs w:val="21"/>
          <w:lang w:val="es-MX"/>
        </w:rPr>
      </w:pPr>
    </w:p>
    <w:p w:rsidR="00E77B47" w:rsidRPr="00C916AB" w:rsidRDefault="00E77B47" w:rsidP="00C749D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La Comisión Interamericana, en el marco de sus diversos mecanismos ha venido dando seguimiento a la situación de derechos humanos en Venezuela. La Comisión emitió de manera reciente su Informe sobre </w:t>
      </w:r>
      <w:r w:rsidRPr="00C916AB">
        <w:rPr>
          <w:rFonts w:ascii="Cambria" w:eastAsia="Calibri" w:hAnsi="Cambria" w:cs="Times New Roman"/>
          <w:i/>
          <w:sz w:val="21"/>
          <w:szCs w:val="21"/>
        </w:rPr>
        <w:t>Institucionalidad Democrática, Estado de Derecho y Derechos Humanos en Venezuela</w:t>
      </w:r>
      <w:r w:rsidRPr="00C916AB">
        <w:rPr>
          <w:rFonts w:ascii="Cambria" w:eastAsia="Calibri" w:hAnsi="Cambria" w:cs="Times New Roman"/>
          <w:sz w:val="21"/>
          <w:szCs w:val="21"/>
        </w:rPr>
        <w:t xml:space="preserve"> en el cual hizo referencia al “serio deterioro de la vigencia de los derechos humanos, y la grave crisis política, económica y social que atraviesa el país […]”</w:t>
      </w:r>
      <w:r w:rsidRPr="00C916AB">
        <w:rPr>
          <w:rFonts w:ascii="Cambria" w:eastAsia="Calibri" w:hAnsi="Cambria" w:cs="Times New Roman"/>
          <w:sz w:val="21"/>
          <w:szCs w:val="21"/>
          <w:vertAlign w:val="superscript"/>
        </w:rPr>
        <w:footnoteReference w:id="2"/>
      </w:r>
      <w:r w:rsidRPr="00C916AB">
        <w:rPr>
          <w:rFonts w:ascii="Cambria" w:eastAsia="Calibri" w:hAnsi="Cambria" w:cs="Times New Roman"/>
          <w:sz w:val="21"/>
          <w:szCs w:val="21"/>
        </w:rPr>
        <w:t>.</w:t>
      </w:r>
      <w:r w:rsidR="00C749D2" w:rsidRPr="00C916AB">
        <w:rPr>
          <w:rFonts w:ascii="Cambria" w:eastAsia="Calibri" w:hAnsi="Cambria" w:cs="Times New Roman"/>
          <w:sz w:val="21"/>
          <w:szCs w:val="21"/>
        </w:rPr>
        <w:t xml:space="preserve"> </w:t>
      </w:r>
      <w:r w:rsidRPr="00C916AB">
        <w:rPr>
          <w:rFonts w:ascii="Cambria" w:eastAsia="Calibri" w:hAnsi="Cambria" w:cs="Times New Roman"/>
          <w:sz w:val="21"/>
          <w:szCs w:val="21"/>
        </w:rPr>
        <w:t>Según fue identificado por la Comisión “se trata de una problemática compleja que tiene sus raíces en la injerencia del Poder Ejecutivo en los otros poderes públicos”. La Comisión notó que “[e]</w:t>
      </w:r>
      <w:proofErr w:type="spellStart"/>
      <w:r w:rsidRPr="00C916AB">
        <w:rPr>
          <w:rFonts w:ascii="Cambria" w:eastAsia="Calibri" w:hAnsi="Cambria" w:cs="Times New Roman"/>
          <w:sz w:val="21"/>
          <w:szCs w:val="21"/>
        </w:rPr>
        <w:t>sta</w:t>
      </w:r>
      <w:proofErr w:type="spellEnd"/>
      <w:r w:rsidRPr="00C916AB">
        <w:rPr>
          <w:rFonts w:ascii="Cambria" w:eastAsia="Calibri" w:hAnsi="Cambria" w:cs="Times New Roman"/>
          <w:sz w:val="21"/>
          <w:szCs w:val="21"/>
        </w:rPr>
        <w:t xml:space="preserve"> inobservancia del principio de separación de poderes se refleja de manera particularmente grave en la preocupante actuación del Poder Judicial”. En efecto, el agravamiento de la crisis reciente en Venezuela fue particularmente monitoreada por la Comisión en el </w:t>
      </w:r>
      <w:r w:rsidRPr="00C916AB">
        <w:rPr>
          <w:rFonts w:ascii="Cambria" w:eastAsia="Calibri" w:hAnsi="Cambria" w:cs="Times New Roman"/>
          <w:sz w:val="21"/>
          <w:szCs w:val="21"/>
        </w:rPr>
        <w:lastRenderedPageBreak/>
        <w:t>año de 2017 tras “una serie de decisiones adoptadas por el Tribunal Supremo de Justicia (TSJ), que representaron injerencias en la Asamblea Nacional (AN) y afectaron el principio de separación de poderes”</w:t>
      </w:r>
      <w:r w:rsidRPr="00C916AB">
        <w:rPr>
          <w:rFonts w:ascii="Cambria" w:eastAsia="Calibri" w:hAnsi="Cambria" w:cs="Times New Roman"/>
          <w:sz w:val="21"/>
          <w:szCs w:val="21"/>
          <w:vertAlign w:val="superscript"/>
        </w:rPr>
        <w:footnoteReference w:id="3"/>
      </w:r>
      <w:r w:rsidRPr="00C916AB">
        <w:rPr>
          <w:rFonts w:ascii="Cambria" w:eastAsia="Calibri" w:hAnsi="Cambria" w:cs="Times New Roman"/>
          <w:sz w:val="21"/>
          <w:szCs w:val="21"/>
        </w:rPr>
        <w:t>.</w:t>
      </w:r>
    </w:p>
    <w:p w:rsidR="00BD2AAB" w:rsidRPr="00C916AB" w:rsidRDefault="00BD2AAB" w:rsidP="00BD2AAB">
      <w:pPr>
        <w:spacing w:after="0" w:line="240" w:lineRule="auto"/>
        <w:contextualSpacing/>
        <w:jc w:val="both"/>
        <w:rPr>
          <w:rFonts w:ascii="Cambria" w:eastAsia="Calibri" w:hAnsi="Cambria" w:cs="Times New Roman"/>
          <w:sz w:val="21"/>
          <w:szCs w:val="21"/>
        </w:rPr>
      </w:pPr>
    </w:p>
    <w:p w:rsidR="00E77B47" w:rsidRPr="00C916AB" w:rsidRDefault="00E77B47" w:rsidP="005D2B14">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En el marco de los anteriores eventos, la Comisión </w:t>
      </w:r>
      <w:r w:rsidR="00C749D2" w:rsidRPr="00C916AB">
        <w:rPr>
          <w:rFonts w:ascii="Cambria" w:eastAsia="Calibri" w:hAnsi="Cambria" w:cs="Times New Roman"/>
          <w:sz w:val="21"/>
          <w:szCs w:val="21"/>
        </w:rPr>
        <w:t xml:space="preserve">ha expresado </w:t>
      </w:r>
      <w:r w:rsidRPr="00C916AB">
        <w:rPr>
          <w:rFonts w:ascii="Cambria" w:eastAsia="Calibri" w:hAnsi="Cambria" w:cs="Times New Roman"/>
          <w:sz w:val="21"/>
          <w:szCs w:val="21"/>
        </w:rPr>
        <w:t xml:space="preserve">su “profunda preocupación por el agravamiento de la violencia en Venezuela” y </w:t>
      </w:r>
      <w:r w:rsidR="00C749D2" w:rsidRPr="00C916AB">
        <w:rPr>
          <w:rFonts w:ascii="Cambria" w:eastAsia="Calibri" w:hAnsi="Cambria" w:cs="Times New Roman"/>
          <w:sz w:val="21"/>
          <w:szCs w:val="21"/>
        </w:rPr>
        <w:t xml:space="preserve">ha tomado </w:t>
      </w:r>
      <w:r w:rsidRPr="00C916AB">
        <w:rPr>
          <w:rFonts w:ascii="Cambria" w:eastAsia="Calibri" w:hAnsi="Cambria" w:cs="Times New Roman"/>
          <w:sz w:val="21"/>
          <w:szCs w:val="21"/>
        </w:rPr>
        <w:t xml:space="preserve">conocimiento de la represión a la ola de protestas sociales ocurridas entre abril y julio de 2017, </w:t>
      </w:r>
      <w:r w:rsidR="00C749D2" w:rsidRPr="00C916AB">
        <w:rPr>
          <w:rFonts w:ascii="Cambria" w:eastAsia="Calibri" w:hAnsi="Cambria" w:cs="Times New Roman"/>
          <w:sz w:val="21"/>
          <w:szCs w:val="21"/>
        </w:rPr>
        <w:t xml:space="preserve">donde </w:t>
      </w:r>
      <w:r w:rsidRPr="00C916AB">
        <w:rPr>
          <w:rFonts w:ascii="Cambria" w:eastAsia="Calibri" w:hAnsi="Cambria" w:cs="Times New Roman"/>
          <w:sz w:val="21"/>
          <w:szCs w:val="21"/>
        </w:rPr>
        <w:t>se habrían registrado más de un centenar de muertes</w:t>
      </w:r>
      <w:r w:rsidRPr="00C916AB">
        <w:rPr>
          <w:rFonts w:ascii="Cambria" w:eastAsia="Calibri" w:hAnsi="Cambria" w:cs="Times New Roman"/>
          <w:sz w:val="21"/>
          <w:szCs w:val="21"/>
          <w:vertAlign w:val="superscript"/>
        </w:rPr>
        <w:footnoteReference w:id="4"/>
      </w:r>
      <w:r w:rsidRPr="00C916AB">
        <w:rPr>
          <w:rFonts w:ascii="Cambria" w:eastAsia="Calibri" w:hAnsi="Cambria" w:cs="Times New Roman"/>
          <w:sz w:val="21"/>
          <w:szCs w:val="21"/>
        </w:rPr>
        <w:t>, así como detenciones arbitrarias y denuncias sobre actos de tortura y otros tratos crueles, inhumanos o degradantes</w:t>
      </w:r>
      <w:r w:rsidRPr="00C916AB">
        <w:rPr>
          <w:rFonts w:ascii="Cambria" w:eastAsia="Calibri" w:hAnsi="Cambria" w:cs="Times New Roman"/>
          <w:sz w:val="21"/>
          <w:szCs w:val="21"/>
          <w:vertAlign w:val="superscript"/>
        </w:rPr>
        <w:footnoteReference w:id="5"/>
      </w:r>
      <w:r w:rsidRPr="00C916AB">
        <w:rPr>
          <w:rFonts w:ascii="Cambria" w:eastAsia="Calibri" w:hAnsi="Cambria" w:cs="Times New Roman"/>
          <w:sz w:val="21"/>
          <w:szCs w:val="21"/>
        </w:rPr>
        <w:t>.</w:t>
      </w:r>
      <w:r w:rsidR="00C749D2" w:rsidRPr="00C916AB">
        <w:rPr>
          <w:rFonts w:ascii="Cambria" w:eastAsia="Calibri" w:hAnsi="Cambria" w:cs="Times New Roman"/>
          <w:sz w:val="21"/>
          <w:szCs w:val="21"/>
        </w:rPr>
        <w:t xml:space="preserve"> </w:t>
      </w:r>
    </w:p>
    <w:p w:rsidR="00E77B47" w:rsidRPr="00C916AB" w:rsidRDefault="00E77B47" w:rsidP="005D2B14">
      <w:pPr>
        <w:spacing w:after="0" w:line="240" w:lineRule="auto"/>
        <w:ind w:left="360"/>
        <w:contextualSpacing/>
        <w:jc w:val="both"/>
        <w:rPr>
          <w:rFonts w:ascii="Cambria" w:eastAsia="Calibri" w:hAnsi="Cambria" w:cs="Times New Roman"/>
          <w:sz w:val="21"/>
          <w:szCs w:val="21"/>
        </w:rPr>
      </w:pPr>
    </w:p>
    <w:p w:rsidR="00E77B47" w:rsidRPr="00C916AB" w:rsidRDefault="00E77B47" w:rsidP="00C749D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El 18 de mayo de 2018, la Comisión expresó “su profunda preocupación por la falta de condiciones mínimas necesarias para la realización de elecciones libres, justas y confiables en Venezuela”, llamando a realizar “en un plazo razonable y adecuado, elecciones sobre la base del pleno y efectivo ejercicio de los derechos humanos y los principios democráticos”</w:t>
      </w:r>
      <w:r w:rsidRPr="00C916AB">
        <w:rPr>
          <w:rFonts w:ascii="Cambria" w:eastAsia="Calibri" w:hAnsi="Cambria" w:cs="Times New Roman"/>
          <w:sz w:val="21"/>
          <w:szCs w:val="21"/>
          <w:vertAlign w:val="superscript"/>
        </w:rPr>
        <w:footnoteReference w:id="6"/>
      </w:r>
      <w:r w:rsidR="005D2B14" w:rsidRPr="00C916AB">
        <w:rPr>
          <w:rFonts w:ascii="Cambria" w:eastAsia="Calibri" w:hAnsi="Cambria" w:cs="Times New Roman"/>
          <w:sz w:val="21"/>
          <w:szCs w:val="21"/>
        </w:rPr>
        <w:t xml:space="preserve">. </w:t>
      </w:r>
      <w:r w:rsidRPr="00C916AB">
        <w:rPr>
          <w:rFonts w:ascii="Cambria" w:eastAsia="Calibri" w:hAnsi="Cambria" w:cs="Times New Roman"/>
          <w:sz w:val="21"/>
          <w:szCs w:val="21"/>
        </w:rPr>
        <w:t>El 1 de octubre de 2018, ante la crisis en el sistema sanitario de Venezuela, la Comisión en conjunto con expertos de Naciones Unidas, instaron al gobierno a actuar de manera más urgente para movilizar los recursos necesarios para restaurar el sistema de salud</w:t>
      </w:r>
      <w:r w:rsidRPr="00C916AB">
        <w:rPr>
          <w:rFonts w:ascii="Cambria" w:eastAsia="Calibri" w:hAnsi="Cambria" w:cs="Times New Roman"/>
          <w:sz w:val="21"/>
          <w:szCs w:val="21"/>
          <w:vertAlign w:val="superscript"/>
        </w:rPr>
        <w:footnoteReference w:id="7"/>
      </w:r>
      <w:r w:rsidRPr="00C916AB">
        <w:rPr>
          <w:rFonts w:ascii="Cambria" w:eastAsia="Calibri" w:hAnsi="Cambria" w:cs="Times New Roman"/>
          <w:sz w:val="21"/>
          <w:szCs w:val="21"/>
        </w:rPr>
        <w:t>.</w:t>
      </w:r>
      <w:r w:rsidR="00C749D2" w:rsidRPr="00C916AB">
        <w:rPr>
          <w:rFonts w:ascii="Cambria" w:eastAsia="Calibri" w:hAnsi="Cambria" w:cs="Times New Roman"/>
          <w:sz w:val="21"/>
          <w:szCs w:val="21"/>
        </w:rPr>
        <w:t xml:space="preserve"> T</w:t>
      </w:r>
      <w:r w:rsidRPr="00C916AB">
        <w:rPr>
          <w:rFonts w:ascii="Cambria" w:eastAsia="Calibri" w:hAnsi="Cambria" w:cs="Times New Roman"/>
          <w:sz w:val="21"/>
          <w:szCs w:val="21"/>
        </w:rPr>
        <w:t xml:space="preserve">ras haberse realizado un proceso electoral que no </w:t>
      </w:r>
      <w:r w:rsidR="007825C9">
        <w:rPr>
          <w:rFonts w:ascii="Cambria" w:eastAsia="Calibri" w:hAnsi="Cambria" w:cs="Times New Roman"/>
          <w:sz w:val="21"/>
          <w:szCs w:val="21"/>
        </w:rPr>
        <w:t>contó</w:t>
      </w:r>
      <w:r w:rsidRPr="00C916AB">
        <w:rPr>
          <w:rFonts w:ascii="Cambria" w:eastAsia="Calibri" w:hAnsi="Cambria" w:cs="Times New Roman"/>
          <w:sz w:val="21"/>
          <w:szCs w:val="21"/>
        </w:rPr>
        <w:t xml:space="preserve"> con las mínimas condiciones para la realización de elecciones libres y justas en el país, “la Comisión </w:t>
      </w:r>
      <w:proofErr w:type="spellStart"/>
      <w:r w:rsidRPr="00C916AB">
        <w:rPr>
          <w:rFonts w:ascii="Cambria" w:eastAsia="Calibri" w:hAnsi="Cambria" w:cs="Times New Roman"/>
          <w:sz w:val="21"/>
          <w:szCs w:val="21"/>
        </w:rPr>
        <w:t>alert</w:t>
      </w:r>
      <w:proofErr w:type="spellEnd"/>
      <w:r w:rsidRPr="00C916AB">
        <w:rPr>
          <w:rFonts w:ascii="Cambria" w:eastAsia="Calibri" w:hAnsi="Cambria" w:cs="Times New Roman"/>
          <w:sz w:val="21"/>
          <w:szCs w:val="21"/>
        </w:rPr>
        <w:t>[</w:t>
      </w:r>
      <w:proofErr w:type="spellStart"/>
      <w:r w:rsidRPr="00C916AB">
        <w:rPr>
          <w:rFonts w:ascii="Cambria" w:eastAsia="Calibri" w:hAnsi="Cambria" w:cs="Times New Roman"/>
          <w:sz w:val="21"/>
          <w:szCs w:val="21"/>
        </w:rPr>
        <w:t>ó</w:t>
      </w:r>
      <w:proofErr w:type="spellEnd"/>
      <w:r w:rsidRPr="00C916AB">
        <w:rPr>
          <w:rFonts w:ascii="Cambria" w:eastAsia="Calibri" w:hAnsi="Cambria" w:cs="Times New Roman"/>
          <w:sz w:val="21"/>
          <w:szCs w:val="21"/>
        </w:rPr>
        <w:t>] sobre la profundización del debilitamiento institucional en Venezuela” y asimismo, advirtió sobre “la persistencia de situaciones estructurales que afectan los derechos humanos”, alertando a su vez sobre “las graves consecuencias que ocasionaría el retiro del Estado de la OEA para la población venezolana”</w:t>
      </w:r>
      <w:r w:rsidRPr="00C916AB">
        <w:rPr>
          <w:rFonts w:ascii="Cambria" w:eastAsia="Calibri" w:hAnsi="Cambria" w:cs="Times New Roman"/>
          <w:sz w:val="21"/>
          <w:szCs w:val="21"/>
          <w:vertAlign w:val="superscript"/>
        </w:rPr>
        <w:footnoteReference w:id="8"/>
      </w:r>
      <w:r w:rsidRPr="00C916AB">
        <w:rPr>
          <w:rFonts w:ascii="Cambria" w:eastAsia="Calibri" w:hAnsi="Cambria" w:cs="Times New Roman"/>
          <w:sz w:val="21"/>
          <w:szCs w:val="21"/>
        </w:rPr>
        <w:t>.</w:t>
      </w:r>
    </w:p>
    <w:p w:rsidR="00265385" w:rsidRPr="00C916AB" w:rsidRDefault="00265385" w:rsidP="00265385">
      <w:pPr>
        <w:spacing w:after="0" w:line="240" w:lineRule="auto"/>
        <w:contextualSpacing/>
        <w:jc w:val="both"/>
        <w:rPr>
          <w:rFonts w:ascii="Cambria" w:eastAsia="Calibri" w:hAnsi="Cambria" w:cs="Times New Roman"/>
          <w:sz w:val="21"/>
          <w:szCs w:val="21"/>
        </w:rPr>
      </w:pPr>
    </w:p>
    <w:p w:rsidR="00E77B47" w:rsidRPr="00C916AB" w:rsidRDefault="00E77B47" w:rsidP="005D2B14">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El 10 de enero de 2019, el Consejo Permanente de la Organización de Estados Americanos por mayoría acordó “no reconocer la legitimidad del periodo del régimen de Nicolás Maduro”</w:t>
      </w:r>
      <w:r w:rsidRPr="00C916AB">
        <w:rPr>
          <w:rFonts w:ascii="Cambria" w:eastAsia="Calibri" w:hAnsi="Cambria" w:cs="Times New Roman"/>
          <w:sz w:val="21"/>
          <w:szCs w:val="21"/>
          <w:vertAlign w:val="superscript"/>
        </w:rPr>
        <w:footnoteReference w:id="9"/>
      </w:r>
      <w:r w:rsidRPr="00C916AB">
        <w:rPr>
          <w:rFonts w:ascii="Cambria" w:eastAsia="Calibri" w:hAnsi="Cambria" w:cs="Times New Roman"/>
          <w:sz w:val="21"/>
          <w:szCs w:val="21"/>
        </w:rPr>
        <w:t xml:space="preserve">. </w:t>
      </w:r>
      <w:r w:rsidR="0041748B" w:rsidRPr="00C916AB">
        <w:rPr>
          <w:rFonts w:ascii="Cambria" w:eastAsia="Calibri" w:hAnsi="Cambria" w:cs="Times New Roman"/>
          <w:sz w:val="21"/>
          <w:szCs w:val="21"/>
        </w:rPr>
        <w:t>Asimismo</w:t>
      </w:r>
      <w:r w:rsidRPr="00C916AB">
        <w:rPr>
          <w:rFonts w:ascii="Cambria" w:eastAsia="Calibri" w:hAnsi="Cambria" w:cs="Times New Roman"/>
          <w:sz w:val="21"/>
          <w:szCs w:val="21"/>
        </w:rPr>
        <w:t>, frente a la convocatoria de realizar nuevas manifestaciones y los graves hechos de violencia producidos en anteriores movilizaciones, el 23 de enero de 2019 la Comisión hizo un llamado al Estado a garantizar que las movilizaciones sociales se realicen en ejercicio del derecho de reunión y manifestación pacífica y se protejan los derechos a la vida, integridad personal y a la libertad personal de todos y todas quienes se manifiesten</w:t>
      </w:r>
      <w:r w:rsidRPr="00C916AB">
        <w:rPr>
          <w:rFonts w:ascii="Cambria" w:eastAsia="Calibri" w:hAnsi="Cambria" w:cs="Times New Roman"/>
          <w:sz w:val="21"/>
          <w:szCs w:val="21"/>
          <w:vertAlign w:val="superscript"/>
        </w:rPr>
        <w:footnoteReference w:id="10"/>
      </w:r>
      <w:r w:rsidR="005D2B14" w:rsidRPr="00C916AB">
        <w:rPr>
          <w:rFonts w:ascii="Cambria" w:eastAsia="Calibri" w:hAnsi="Cambria" w:cs="Times New Roman"/>
          <w:sz w:val="21"/>
          <w:szCs w:val="21"/>
        </w:rPr>
        <w:t>.</w:t>
      </w:r>
    </w:p>
    <w:p w:rsidR="00E77B47" w:rsidRPr="00C916AB" w:rsidRDefault="00E77B47" w:rsidP="005D2B14">
      <w:pPr>
        <w:spacing w:after="0" w:line="240" w:lineRule="auto"/>
        <w:ind w:left="360"/>
        <w:contextualSpacing/>
        <w:jc w:val="both"/>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El 25 de enero de 2019, la Comisión fue informada de hechos de violencia y represión en la protesta social, allanamientos ilegales, detenciones arbitrarias, estigmatización y persecución de las </w:t>
      </w:r>
      <w:r w:rsidRPr="00C916AB">
        <w:rPr>
          <w:rFonts w:ascii="Cambria" w:eastAsia="Calibri" w:hAnsi="Cambria" w:cs="Times New Roman"/>
          <w:sz w:val="21"/>
          <w:szCs w:val="21"/>
        </w:rPr>
        <w:lastRenderedPageBreak/>
        <w:t>personas opositoras registrados en diversas localidades. La situación habría generado violaciones de derechos humanos que aún se continúan relevando y que dan cuenta del agravamiento de la situación</w:t>
      </w:r>
      <w:r w:rsidRPr="00C916AB">
        <w:rPr>
          <w:rFonts w:ascii="Cambria" w:eastAsia="Calibri" w:hAnsi="Cambria" w:cs="Times New Roman"/>
          <w:sz w:val="21"/>
          <w:szCs w:val="21"/>
          <w:vertAlign w:val="superscript"/>
        </w:rPr>
        <w:footnoteReference w:id="11"/>
      </w:r>
      <w:r w:rsidRPr="00C916AB">
        <w:rPr>
          <w:rFonts w:ascii="Cambria" w:eastAsia="Calibri" w:hAnsi="Cambria" w:cs="Times New Roman"/>
          <w:sz w:val="21"/>
          <w:szCs w:val="21"/>
        </w:rPr>
        <w:t>.</w:t>
      </w:r>
    </w:p>
    <w:p w:rsidR="006E05B2" w:rsidRPr="00C916AB" w:rsidRDefault="006E05B2" w:rsidP="006E05B2">
      <w:pPr>
        <w:spacing w:after="0" w:line="240" w:lineRule="auto"/>
        <w:ind w:left="360"/>
        <w:contextualSpacing/>
        <w:jc w:val="both"/>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El 1 de febrero de 2019, la Comisión manifestó su alarma ante la represión masiva contra manifestantes en Venezuela, así como por las preocupantes cifras de detenciones arbitrarias registradas en el marco de las protestas sociales que han tenido lugar la última semana de enero</w:t>
      </w:r>
      <w:r w:rsidRPr="00C916AB">
        <w:rPr>
          <w:rFonts w:ascii="Cambria" w:eastAsia="Calibri" w:hAnsi="Cambria" w:cs="Times New Roman"/>
          <w:sz w:val="21"/>
          <w:szCs w:val="21"/>
          <w:vertAlign w:val="superscript"/>
        </w:rPr>
        <w:footnoteReference w:id="12"/>
      </w:r>
      <w:r w:rsidRPr="00C916AB">
        <w:rPr>
          <w:rFonts w:ascii="Cambria" w:eastAsia="Calibri" w:hAnsi="Cambria" w:cs="Times New Roman"/>
          <w:sz w:val="21"/>
          <w:szCs w:val="21"/>
        </w:rPr>
        <w:t>. El 22 de febrero de 2019, la Comisión expresó su preocupación por el continuo hostigamiento contra defensoras y defensores de derechos humanos en Venezuela</w:t>
      </w:r>
      <w:r w:rsidRPr="00C916AB">
        <w:rPr>
          <w:rFonts w:ascii="Cambria" w:eastAsia="Calibri" w:hAnsi="Cambria" w:cs="Times New Roman"/>
          <w:sz w:val="21"/>
          <w:szCs w:val="21"/>
          <w:vertAlign w:val="superscript"/>
        </w:rPr>
        <w:footnoteReference w:id="13"/>
      </w:r>
      <w:r w:rsidRPr="00C916AB">
        <w:rPr>
          <w:rFonts w:ascii="Cambria" w:eastAsia="Calibri" w:hAnsi="Cambria" w:cs="Times New Roman"/>
          <w:sz w:val="21"/>
          <w:szCs w:val="21"/>
        </w:rPr>
        <w:t>. La CIDH urgió al Estado de Venezuela a tomar medidas urgentes para garantizar que las personas defensoras de derechos humanos puedan ejercer su labor en el país, libres de intimidación.</w:t>
      </w:r>
    </w:p>
    <w:p w:rsidR="006E05B2" w:rsidRPr="00C916AB" w:rsidRDefault="006E05B2" w:rsidP="006E05B2">
      <w:pPr>
        <w:spacing w:after="0" w:line="240" w:lineRule="auto"/>
        <w:ind w:left="360"/>
        <w:contextualSpacing/>
        <w:jc w:val="both"/>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El 1 de marzo de 2019, a CIDH recabó información sobre la ocurrencia de graves hechos de violencia en Venezuela el 23 de febrero de 2019, en el marco de las acciones dirigidas a intentar ingresar ayuda humanitaria desde distintos puntos fronterizos en Colombia y Brasil. La CIDH expresó su creciente preocupación por la situación de extrema vulnerabilidad que enfrenta el pueblo venezolano, dentro y fuera de las fronteras, debido a la pobreza generalizada y a las profundas restricciones de acceso a derechos tales como la alimentación, la salud, la educación, el trabajo o la vivienda. Además, la Comisión expresó preocupación por la represión y el uso de la fuerza letal en el marco de las manifestaciones, la persecución y estigmatización de personas opositoras y ciudadanos; así como las denuncias de </w:t>
      </w:r>
      <w:hyperlink r:id="rId9" w:tgtFrame="_blank" w:history="1">
        <w:r w:rsidRPr="00C916AB">
          <w:rPr>
            <w:rFonts w:ascii="Cambria" w:eastAsia="Calibri" w:hAnsi="Cambria" w:cs="Times New Roman"/>
            <w:sz w:val="21"/>
            <w:szCs w:val="21"/>
          </w:rPr>
          <w:t>allanamientos sin orden judicial y detenciones arbitrarias efectuados</w:t>
        </w:r>
      </w:hyperlink>
      <w:r w:rsidRPr="00C916AB">
        <w:rPr>
          <w:rFonts w:ascii="Cambria" w:eastAsia="Calibri" w:hAnsi="Cambria" w:cs="Times New Roman"/>
          <w:sz w:val="21"/>
          <w:szCs w:val="21"/>
        </w:rPr>
        <w:t xml:space="preserve"> durante y con posterioridad a las protestas</w:t>
      </w:r>
      <w:r w:rsidRPr="00C916AB">
        <w:rPr>
          <w:rFonts w:ascii="Cambria" w:eastAsia="Calibri" w:hAnsi="Cambria" w:cs="Times New Roman"/>
          <w:sz w:val="21"/>
          <w:szCs w:val="21"/>
          <w:vertAlign w:val="superscript"/>
        </w:rPr>
        <w:footnoteReference w:id="14"/>
      </w:r>
      <w:r w:rsidRPr="00C916AB">
        <w:rPr>
          <w:rFonts w:ascii="Cambria" w:eastAsia="Calibri" w:hAnsi="Cambria" w:cs="Times New Roman"/>
          <w:sz w:val="21"/>
          <w:szCs w:val="21"/>
        </w:rPr>
        <w:t>. Por su vez, el 8 de marzo de 2019, los relatores especiales de las Naciones Unidas y de la CIDH sobre la libertad de expresión manifestaron alarma por los mecanismos de censura y bloqueos de plataformas, redes sociales y medios de comunicación en línea, así como por restricciones a la libertad de prensa</w:t>
      </w:r>
      <w:r w:rsidRPr="00C916AB">
        <w:rPr>
          <w:rFonts w:ascii="Cambria" w:eastAsia="Calibri" w:hAnsi="Cambria" w:cs="Times New Roman"/>
          <w:sz w:val="21"/>
          <w:szCs w:val="21"/>
          <w:vertAlign w:val="superscript"/>
        </w:rPr>
        <w:footnoteReference w:id="15"/>
      </w:r>
      <w:r w:rsidRPr="00C916AB">
        <w:rPr>
          <w:rFonts w:ascii="Cambria" w:eastAsia="Calibri" w:hAnsi="Cambria" w:cs="Times New Roman"/>
          <w:sz w:val="21"/>
          <w:szCs w:val="21"/>
        </w:rPr>
        <w:t>.</w:t>
      </w:r>
    </w:p>
    <w:p w:rsidR="006E05B2" w:rsidRPr="00C916AB" w:rsidRDefault="006E05B2" w:rsidP="006E05B2">
      <w:pPr>
        <w:spacing w:after="0" w:line="240" w:lineRule="auto"/>
        <w:ind w:left="360"/>
        <w:contextualSpacing/>
        <w:jc w:val="both"/>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El 5 de abril la Comisión expresó preocupación por la persistencia </w:t>
      </w:r>
      <w:r w:rsidRPr="00C916AB">
        <w:rPr>
          <w:rFonts w:ascii="Cambria" w:eastAsia="Calibri" w:hAnsi="Cambria" w:cs="Times New Roman"/>
          <w:bCs/>
          <w:sz w:val="21"/>
          <w:szCs w:val="21"/>
        </w:rPr>
        <w:t xml:space="preserve">en afectación a los derechos humanos en Venezuela, particularmente con relación al continuo hostigamiento contra personas defensoras de derechos humanos, organizaciones de la sociedad civil y periodistas que denuncian violaciones a los derechos humanos. La CIDH ha observado nuevamente una intensificación en el patrón de hostigamiento a raíz de declaraciones </w:t>
      </w:r>
      <w:proofErr w:type="spellStart"/>
      <w:r w:rsidRPr="00C916AB">
        <w:rPr>
          <w:rFonts w:ascii="Cambria" w:eastAsia="Calibri" w:hAnsi="Cambria" w:cs="Times New Roman"/>
          <w:bCs/>
          <w:sz w:val="21"/>
          <w:szCs w:val="21"/>
        </w:rPr>
        <w:t>estigmatizantes</w:t>
      </w:r>
      <w:proofErr w:type="spellEnd"/>
      <w:r w:rsidRPr="00C916AB">
        <w:rPr>
          <w:rFonts w:ascii="Cambria" w:eastAsia="Calibri" w:hAnsi="Cambria" w:cs="Times New Roman"/>
          <w:bCs/>
          <w:sz w:val="21"/>
          <w:szCs w:val="21"/>
        </w:rPr>
        <w:t xml:space="preserve"> por parte de autoridades del Estado, a través de distintos medios de comunicación y redes sociales</w:t>
      </w:r>
      <w:r w:rsidRPr="00C916AB">
        <w:rPr>
          <w:rStyle w:val="FootnoteReference"/>
          <w:rFonts w:ascii="Cambria" w:eastAsia="Calibri" w:hAnsi="Cambria" w:cs="Times New Roman"/>
          <w:bCs/>
          <w:sz w:val="21"/>
          <w:szCs w:val="21"/>
        </w:rPr>
        <w:footnoteReference w:id="16"/>
      </w:r>
      <w:r w:rsidRPr="00C916AB">
        <w:rPr>
          <w:rFonts w:ascii="Cambria" w:eastAsia="Calibri" w:hAnsi="Cambria" w:cs="Times New Roman"/>
          <w:bCs/>
          <w:sz w:val="21"/>
          <w:szCs w:val="21"/>
        </w:rPr>
        <w:t>.</w:t>
      </w:r>
    </w:p>
    <w:p w:rsidR="006E05B2" w:rsidRPr="00C916AB" w:rsidRDefault="006E05B2" w:rsidP="006E05B2">
      <w:pPr>
        <w:spacing w:after="0" w:line="240" w:lineRule="auto"/>
        <w:ind w:left="360"/>
        <w:contextualSpacing/>
        <w:jc w:val="both"/>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El 14 de mayo la CIDH ha condenado </w:t>
      </w:r>
      <w:r w:rsidRPr="00C916AB">
        <w:rPr>
          <w:rFonts w:ascii="Cambria" w:eastAsia="Calibri" w:hAnsi="Cambria" w:cs="Times New Roman"/>
          <w:bCs/>
          <w:sz w:val="21"/>
          <w:szCs w:val="21"/>
        </w:rPr>
        <w:t xml:space="preserve">el recrudecimiento de ataques contra los miembros de la Asamblea Nacional de Venezuela, llamando a las instituciones del Estado a abstenerse de adoptar decisiones que afecten la separación de poderes y la democracia representativa. En tal oportunidad, la Comisión advirtió que la grave crisis de derechos humanos en el país está enmarcada en un contexto de estado de excepción caracterizado por el ejercicio abusivo de la fuerza pública para reprimir a las voces </w:t>
      </w:r>
      <w:r w:rsidRPr="00C916AB">
        <w:rPr>
          <w:rFonts w:ascii="Cambria" w:eastAsia="Calibri" w:hAnsi="Cambria" w:cs="Times New Roman"/>
          <w:bCs/>
          <w:sz w:val="21"/>
          <w:szCs w:val="21"/>
        </w:rPr>
        <w:lastRenderedPageBreak/>
        <w:t>disidentes al Gobierno; la detención de personas opositoras y manifestantes; y las restricciones a libertad de expresión</w:t>
      </w:r>
      <w:r w:rsidRPr="00C916AB">
        <w:rPr>
          <w:rStyle w:val="FootnoteReference"/>
          <w:rFonts w:ascii="Cambria" w:eastAsia="Calibri" w:hAnsi="Cambria" w:cs="Times New Roman"/>
          <w:bCs/>
          <w:sz w:val="21"/>
          <w:szCs w:val="21"/>
        </w:rPr>
        <w:footnoteReference w:id="17"/>
      </w:r>
      <w:r w:rsidRPr="00C916AB">
        <w:rPr>
          <w:rFonts w:ascii="Cambria" w:eastAsia="Calibri" w:hAnsi="Cambria" w:cs="Times New Roman"/>
          <w:bCs/>
          <w:sz w:val="21"/>
          <w:szCs w:val="21"/>
        </w:rPr>
        <w:t>.</w:t>
      </w:r>
      <w:r w:rsidRPr="00C916AB">
        <w:rPr>
          <w:rFonts w:ascii="Cambria" w:eastAsia="Calibri" w:hAnsi="Cambria" w:cs="Times New Roman"/>
          <w:sz w:val="21"/>
          <w:szCs w:val="21"/>
        </w:rPr>
        <w:t xml:space="preserve"> </w:t>
      </w:r>
    </w:p>
    <w:p w:rsidR="006E05B2" w:rsidRPr="00C916AB" w:rsidRDefault="006E05B2" w:rsidP="006E05B2">
      <w:pPr>
        <w:pStyle w:val="ListParagraph"/>
        <w:spacing w:after="0" w:line="240" w:lineRule="auto"/>
        <w:rPr>
          <w:rFonts w:ascii="Cambria" w:eastAsia="Calibri" w:hAnsi="Cambria" w:cs="Times New Roman"/>
          <w:sz w:val="21"/>
          <w:szCs w:val="21"/>
        </w:rPr>
      </w:pPr>
    </w:p>
    <w:p w:rsidR="006E05B2" w:rsidRPr="00C916AB" w:rsidRDefault="006E05B2" w:rsidP="006E05B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De manera reciente, el 3 de julio, la Comisión expresó </w:t>
      </w:r>
      <w:r w:rsidRPr="00C916AB">
        <w:rPr>
          <w:rFonts w:ascii="Cambria" w:eastAsia="Calibri" w:hAnsi="Cambria" w:cs="Times New Roman"/>
          <w:bCs/>
          <w:sz w:val="21"/>
          <w:szCs w:val="21"/>
        </w:rPr>
        <w:t>alarma y preocupación por la muerte del Capitán Rafael Acosta Arévalo baj</w:t>
      </w:r>
      <w:r w:rsidR="007825C9">
        <w:rPr>
          <w:rFonts w:ascii="Cambria" w:eastAsia="Calibri" w:hAnsi="Cambria" w:cs="Times New Roman"/>
          <w:bCs/>
          <w:sz w:val="21"/>
          <w:szCs w:val="21"/>
        </w:rPr>
        <w:t>o custodia en Venezuela, quien</w:t>
      </w:r>
      <w:r w:rsidRPr="00C916AB">
        <w:rPr>
          <w:rFonts w:ascii="Cambria" w:eastAsia="Calibri" w:hAnsi="Cambria" w:cs="Times New Roman"/>
          <w:bCs/>
          <w:sz w:val="21"/>
          <w:szCs w:val="21"/>
        </w:rPr>
        <w:t xml:space="preserve"> falleció por probables actos de tortura</w:t>
      </w:r>
      <w:r w:rsidRPr="00C916AB">
        <w:rPr>
          <w:rStyle w:val="FootnoteReference"/>
          <w:rFonts w:ascii="Cambria" w:eastAsia="Calibri" w:hAnsi="Cambria" w:cs="Times New Roman"/>
          <w:bCs/>
          <w:sz w:val="21"/>
          <w:szCs w:val="21"/>
        </w:rPr>
        <w:footnoteReference w:id="18"/>
      </w:r>
      <w:r w:rsidRPr="00C916AB">
        <w:rPr>
          <w:rFonts w:ascii="Cambria" w:eastAsia="Calibri" w:hAnsi="Cambria" w:cs="Times New Roman"/>
          <w:bCs/>
          <w:sz w:val="21"/>
          <w:szCs w:val="21"/>
        </w:rPr>
        <w:t>.</w:t>
      </w:r>
    </w:p>
    <w:p w:rsidR="00E77B47" w:rsidRPr="00C916AB" w:rsidRDefault="00E77B47" w:rsidP="00E77B47">
      <w:pPr>
        <w:spacing w:after="0" w:line="240" w:lineRule="auto"/>
        <w:contextualSpacing/>
        <w:jc w:val="both"/>
        <w:rPr>
          <w:rFonts w:ascii="Cambria" w:eastAsia="Calibri" w:hAnsi="Cambria" w:cs="Times New Roman"/>
          <w:sz w:val="21"/>
          <w:szCs w:val="21"/>
          <w:lang w:val="es-CO"/>
        </w:rPr>
      </w:pPr>
    </w:p>
    <w:p w:rsidR="00E77B47" w:rsidRPr="00C916AB" w:rsidRDefault="00E77B47" w:rsidP="00585EBB">
      <w:pPr>
        <w:numPr>
          <w:ilvl w:val="0"/>
          <w:numId w:val="3"/>
        </w:numPr>
        <w:spacing w:after="0" w:line="240" w:lineRule="auto"/>
        <w:ind w:left="360" w:firstLine="18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ÁNALISIS DE LOS ELEMENTOS DE GRAVEDAD, URGENCIA E IRREPARABILIDAD</w:t>
      </w:r>
    </w:p>
    <w:p w:rsidR="00E77B47" w:rsidRPr="00C916AB" w:rsidRDefault="00E77B47" w:rsidP="00E77B47">
      <w:pPr>
        <w:spacing w:after="0" w:line="240" w:lineRule="auto"/>
        <w:jc w:val="both"/>
        <w:rPr>
          <w:rFonts w:ascii="Cambria" w:eastAsia="Calibri" w:hAnsi="Cambria" w:cs="Times New Roman"/>
          <w:sz w:val="21"/>
          <w:szCs w:val="21"/>
          <w:lang w:val="es-CO"/>
        </w:rPr>
      </w:pPr>
    </w:p>
    <w:p w:rsidR="006C5F74" w:rsidRPr="00C916AB" w:rsidRDefault="00E77B47" w:rsidP="006C5F74">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El mecanismo de medidas cautelares forma parte de la función de la Comisión de supervisar el cumplimiento con las obligaciones de derechos humanos establecidas en el artículo 106 de la Carta de la Organización de </w:t>
      </w:r>
      <w:r w:rsidR="00BD2AAB" w:rsidRPr="00C916AB">
        <w:rPr>
          <w:rFonts w:ascii="Cambria" w:eastAsia="Calibri" w:hAnsi="Cambria" w:cs="Times New Roman"/>
          <w:sz w:val="21"/>
          <w:szCs w:val="21"/>
        </w:rPr>
        <w:t xml:space="preserve">los </w:t>
      </w:r>
      <w:r w:rsidRPr="00C916AB">
        <w:rPr>
          <w:rFonts w:ascii="Cambria" w:eastAsia="Calibri" w:hAnsi="Cambria" w:cs="Times New Roman"/>
          <w:sz w:val="21"/>
          <w:szCs w:val="21"/>
        </w:rPr>
        <w:t>Estados Americanos. Estas funciones generales de supervisión están a su vez establecidas en el artículo en el artículo 18 (b) del Estatuto de la CIDH,</w:t>
      </w:r>
      <w:r w:rsidR="00EA20AA" w:rsidRPr="00C916AB">
        <w:rPr>
          <w:rFonts w:ascii="Cambria" w:eastAsia="Calibri" w:hAnsi="Cambria" w:cs="Times New Roman"/>
          <w:sz w:val="21"/>
          <w:szCs w:val="21"/>
        </w:rPr>
        <w:t xml:space="preserve"> m</w:t>
      </w:r>
      <w:r w:rsidRPr="00C916AB">
        <w:rPr>
          <w:rFonts w:ascii="Cambria" w:eastAsia="Calibri" w:hAnsi="Cambria" w:cs="Times New Roman"/>
          <w:sz w:val="21"/>
          <w:szCs w:val="21"/>
        </w:rPr>
        <w:t>ientras que el mecanismo de medidas cautelares se encuentra descrito en el artículo 25 del Reglamento de la Comisión. De conformidad con ese artículo, la Comisión otorga medidas cautelares en situaciones que son graves y urgentes, y en cuales tales medidas son necesarias para prevenir un daño irreparable.</w:t>
      </w:r>
    </w:p>
    <w:p w:rsidR="00E77B47" w:rsidRPr="00C916AB" w:rsidRDefault="00E77B47" w:rsidP="008A5FC6">
      <w:pPr>
        <w:spacing w:after="0" w:line="240" w:lineRule="auto"/>
        <w:ind w:left="360"/>
        <w:contextualSpacing/>
        <w:jc w:val="both"/>
        <w:rPr>
          <w:rFonts w:ascii="Cambria" w:eastAsia="Calibri" w:hAnsi="Cambria" w:cs="Times New Roman"/>
          <w:sz w:val="21"/>
          <w:szCs w:val="21"/>
        </w:rPr>
      </w:pPr>
    </w:p>
    <w:p w:rsidR="00E77B47" w:rsidRPr="00C916AB" w:rsidRDefault="00E77B47" w:rsidP="008A5FC6">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La Comisión Interamericana y la Corte Interamericana de Derechos Humanos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C916AB">
        <w:rPr>
          <w:rFonts w:ascii="Cambria" w:eastAsia="Calibri" w:hAnsi="Cambria" w:cs="Times New Roman"/>
          <w:i/>
          <w:sz w:val="21"/>
          <w:szCs w:val="21"/>
        </w:rPr>
        <w:t>effet</w:t>
      </w:r>
      <w:proofErr w:type="spellEnd"/>
      <w:r w:rsidRPr="00C916AB">
        <w:rPr>
          <w:rFonts w:ascii="Cambria" w:eastAsia="Calibri" w:hAnsi="Cambria" w:cs="Times New Roman"/>
          <w:i/>
          <w:sz w:val="21"/>
          <w:szCs w:val="21"/>
        </w:rPr>
        <w:t xml:space="preserve"> </w:t>
      </w:r>
      <w:proofErr w:type="spellStart"/>
      <w:r w:rsidRPr="00C916AB">
        <w:rPr>
          <w:rFonts w:ascii="Cambria" w:eastAsia="Calibri" w:hAnsi="Cambria" w:cs="Times New Roman"/>
          <w:i/>
          <w:sz w:val="21"/>
          <w:szCs w:val="21"/>
        </w:rPr>
        <w:t>utile</w:t>
      </w:r>
      <w:proofErr w:type="spellEnd"/>
      <w:r w:rsidRPr="00C916AB">
        <w:rPr>
          <w:rFonts w:ascii="Cambria" w:eastAsia="Calibri" w:hAnsi="Cambria" w:cs="Times New Roman"/>
          <w:sz w:val="21"/>
          <w:szCs w:val="21"/>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w:t>
      </w:r>
      <w:r w:rsidR="004D7495" w:rsidRPr="00C916AB">
        <w:rPr>
          <w:rFonts w:ascii="Cambria" w:eastAsia="Calibri" w:hAnsi="Cambria" w:cs="Times New Roman"/>
          <w:sz w:val="21"/>
          <w:szCs w:val="21"/>
        </w:rPr>
        <w:t>nto, la Comisión considera que:</w:t>
      </w:r>
    </w:p>
    <w:p w:rsidR="00E77B47" w:rsidRPr="00C916AB" w:rsidRDefault="00E77B47" w:rsidP="00E77B47">
      <w:pPr>
        <w:spacing w:after="0" w:line="240" w:lineRule="auto"/>
        <w:jc w:val="both"/>
        <w:rPr>
          <w:rFonts w:ascii="Cambria" w:eastAsia="Calibri" w:hAnsi="Cambria" w:cs="Times New Roman"/>
          <w:sz w:val="21"/>
          <w:szCs w:val="21"/>
          <w:lang w:val="es-MX"/>
        </w:rPr>
      </w:pPr>
    </w:p>
    <w:p w:rsidR="00E77B47" w:rsidRPr="00C916AB" w:rsidRDefault="00E77B47" w:rsidP="008F30D8">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E77B47" w:rsidRPr="00C916AB" w:rsidRDefault="00E77B47" w:rsidP="008F30D8">
      <w:pPr>
        <w:spacing w:after="0" w:line="240" w:lineRule="auto"/>
        <w:ind w:left="1276" w:right="1008"/>
        <w:jc w:val="both"/>
        <w:rPr>
          <w:rFonts w:ascii="Cambria" w:eastAsia="Calibri" w:hAnsi="Cambria" w:cs="Times New Roman"/>
          <w:sz w:val="18"/>
          <w:szCs w:val="21"/>
          <w:lang w:val="es-MX"/>
        </w:rPr>
      </w:pPr>
    </w:p>
    <w:p w:rsidR="00E77B47" w:rsidRPr="00C916AB" w:rsidRDefault="00E77B47" w:rsidP="008F30D8">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E77B47" w:rsidRPr="00C916AB" w:rsidRDefault="00E77B47" w:rsidP="008F30D8">
      <w:pPr>
        <w:spacing w:after="0" w:line="240" w:lineRule="auto"/>
        <w:ind w:left="1276" w:right="1008"/>
        <w:jc w:val="both"/>
        <w:rPr>
          <w:rFonts w:ascii="Cambria" w:eastAsia="Calibri" w:hAnsi="Cambria" w:cs="Times New Roman"/>
          <w:sz w:val="18"/>
          <w:szCs w:val="21"/>
          <w:lang w:val="es-MX"/>
        </w:rPr>
      </w:pPr>
    </w:p>
    <w:p w:rsidR="00E77B47" w:rsidRPr="00C916AB" w:rsidRDefault="00E77B47" w:rsidP="008F30D8">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El “daño irreparable” consiste en la afectación sobre derechos que, por su propia naturaleza, no son susceptibles de reparación, restauración o adecuada indemnización.</w:t>
      </w:r>
    </w:p>
    <w:p w:rsidR="00E77B47" w:rsidRPr="00C916AB" w:rsidRDefault="00E77B47" w:rsidP="00E77B47">
      <w:pPr>
        <w:spacing w:after="0" w:line="240" w:lineRule="auto"/>
        <w:jc w:val="both"/>
        <w:rPr>
          <w:rFonts w:ascii="Cambria" w:eastAsia="Calibri" w:hAnsi="Cambria" w:cs="Times New Roman"/>
          <w:sz w:val="21"/>
          <w:szCs w:val="21"/>
          <w:lang w:val="es-MX"/>
        </w:rPr>
      </w:pPr>
    </w:p>
    <w:p w:rsidR="00FC0EF0" w:rsidRPr="00C916AB" w:rsidRDefault="00FC0EF0" w:rsidP="008A5FC6">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hAnsi="Cambria"/>
          <w:sz w:val="21"/>
          <w:szCs w:val="21"/>
          <w:lang w:val="es-MX"/>
        </w:rPr>
        <w:t xml:space="preserve">De manera previa al análisis de los requisitos reglamentarios, la Comisión aclara que a través del mecanismo de medidas cautelares no corresponde determinar si existe responsabilidad internacional del Estado de Venezuela en relación con los hechos alegados ni determinar violaciones a los derechos humanos de los propuestos beneficiarios. En el análisis de los requisitos establecidos en el artículo 25 del Reglamento, la Comisión únicamente está llamada a determinar si existe una situación de gravedad y </w:t>
      </w:r>
      <w:r w:rsidRPr="00C916AB">
        <w:rPr>
          <w:rFonts w:ascii="Cambria" w:hAnsi="Cambria"/>
          <w:sz w:val="21"/>
          <w:szCs w:val="21"/>
          <w:lang w:val="es-MX"/>
        </w:rPr>
        <w:lastRenderedPageBreak/>
        <w:t xml:space="preserve">urgencia de daño irreparable a los derechos humanos de las personas propuestas beneficiarias. Asimismo, la Comisión recuerda que los hechos que motivan una solicitud de medidas de cautelares no requieren estar plenamente comprobados, sino que la información proporcionada debe ser apreciada desde una perspectiva </w:t>
      </w:r>
      <w:r w:rsidRPr="00C916AB">
        <w:rPr>
          <w:rFonts w:ascii="Cambria" w:hAnsi="Cambria"/>
          <w:i/>
          <w:sz w:val="21"/>
          <w:szCs w:val="21"/>
          <w:lang w:val="es-MX"/>
        </w:rPr>
        <w:t>prima facie</w:t>
      </w:r>
      <w:r w:rsidRPr="00C916AB">
        <w:rPr>
          <w:rFonts w:ascii="Cambria" w:hAnsi="Cambria"/>
          <w:sz w:val="21"/>
          <w:szCs w:val="21"/>
          <w:lang w:val="es-MX"/>
        </w:rPr>
        <w:t xml:space="preserve"> que permita identificar una situación de gravedad y urgencia</w:t>
      </w:r>
      <w:r w:rsidRPr="00C916AB">
        <w:rPr>
          <w:rFonts w:ascii="Cambria" w:eastAsia="Calibri" w:hAnsi="Cambria" w:cs="Times New Roman"/>
          <w:sz w:val="21"/>
          <w:szCs w:val="21"/>
          <w:vertAlign w:val="superscript"/>
        </w:rPr>
        <w:footnoteReference w:id="19"/>
      </w:r>
      <w:r w:rsidRPr="00C916AB">
        <w:rPr>
          <w:rFonts w:ascii="Cambria" w:hAnsi="Cambria"/>
          <w:sz w:val="21"/>
          <w:szCs w:val="21"/>
          <w:lang w:val="es-MX"/>
        </w:rPr>
        <w:t>.</w:t>
      </w:r>
    </w:p>
    <w:p w:rsidR="00F72CC6" w:rsidRPr="00C916AB" w:rsidRDefault="00F72CC6" w:rsidP="00F72CC6">
      <w:pPr>
        <w:spacing w:after="0" w:line="240" w:lineRule="auto"/>
        <w:contextualSpacing/>
        <w:jc w:val="both"/>
        <w:rPr>
          <w:rFonts w:ascii="Cambria" w:eastAsia="Calibri" w:hAnsi="Cambria" w:cs="Times New Roman"/>
          <w:sz w:val="21"/>
          <w:szCs w:val="21"/>
        </w:rPr>
      </w:pPr>
    </w:p>
    <w:p w:rsidR="00F72CC6" w:rsidRPr="00C916AB" w:rsidRDefault="00F72CC6" w:rsidP="00F72CC6">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Entrando en materia del análisis de los requisitos establecidos en el artículo 25 del Reglamento, en lo referente al requisito de gravedad, dadas las circunstancias particulares por las que actualmente atraviesa el Estado de Venezuela, la Comisión considera pertinente evaluar los presuntos hechos descritos con referencia al contexto en el cual </w:t>
      </w:r>
      <w:r w:rsidR="00084763" w:rsidRPr="00C916AB">
        <w:rPr>
          <w:rFonts w:ascii="Cambria" w:eastAsia="Calibri" w:hAnsi="Cambria" w:cs="Times New Roman"/>
          <w:sz w:val="21"/>
          <w:szCs w:val="21"/>
        </w:rPr>
        <w:t>tendrían lugar</w:t>
      </w:r>
      <w:r w:rsidRPr="00C916AB">
        <w:rPr>
          <w:rFonts w:ascii="Cambria" w:eastAsia="Calibri" w:hAnsi="Cambria" w:cs="Times New Roman"/>
          <w:sz w:val="21"/>
          <w:szCs w:val="21"/>
        </w:rPr>
        <w:t>.</w:t>
      </w:r>
    </w:p>
    <w:p w:rsidR="00FC0EF0" w:rsidRPr="00C916AB" w:rsidRDefault="00FC0EF0" w:rsidP="00FC0EF0">
      <w:pPr>
        <w:spacing w:after="0" w:line="240" w:lineRule="auto"/>
        <w:ind w:left="360"/>
        <w:contextualSpacing/>
        <w:jc w:val="both"/>
        <w:rPr>
          <w:rFonts w:ascii="Cambria" w:eastAsia="Calibri" w:hAnsi="Cambria" w:cs="Times New Roman"/>
          <w:sz w:val="21"/>
          <w:szCs w:val="21"/>
        </w:rPr>
      </w:pPr>
    </w:p>
    <w:p w:rsidR="00F10192" w:rsidRPr="00C916AB" w:rsidRDefault="00F72CC6" w:rsidP="00F10192">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La Comisión ha dado seguimiento a los hostigamientos y agresiones que enfrentarían algunos miembros y líderes de la oposición política en Venezuela y, en varios asuntos</w:t>
      </w:r>
      <w:r w:rsidR="002B5AE2" w:rsidRPr="00C916AB">
        <w:rPr>
          <w:rFonts w:ascii="Cambria" w:eastAsia="Calibri" w:hAnsi="Cambria" w:cs="Times New Roman"/>
          <w:sz w:val="21"/>
          <w:szCs w:val="21"/>
        </w:rPr>
        <w:t>,</w:t>
      </w:r>
      <w:r w:rsidRPr="00C916AB">
        <w:rPr>
          <w:rFonts w:ascii="Cambria" w:eastAsia="Calibri" w:hAnsi="Cambria" w:cs="Times New Roman"/>
          <w:sz w:val="21"/>
          <w:szCs w:val="21"/>
        </w:rPr>
        <w:t xml:space="preserve"> ha considerado pertinente la adopción de medidas cautelares para salvaguardar</w:t>
      </w:r>
      <w:r w:rsidR="00065BA6" w:rsidRPr="00C916AB">
        <w:rPr>
          <w:rFonts w:ascii="Cambria" w:eastAsia="Calibri" w:hAnsi="Cambria" w:cs="Times New Roman"/>
          <w:sz w:val="21"/>
          <w:szCs w:val="21"/>
        </w:rPr>
        <w:t xml:space="preserve"> sus derechos</w:t>
      </w:r>
      <w:r w:rsidRPr="00C916AB">
        <w:rPr>
          <w:rStyle w:val="FootnoteReference"/>
          <w:rFonts w:ascii="Cambria" w:eastAsia="Calibri" w:hAnsi="Cambria" w:cs="Times New Roman"/>
          <w:sz w:val="21"/>
          <w:szCs w:val="21"/>
        </w:rPr>
        <w:footnoteReference w:id="20"/>
      </w:r>
      <w:r w:rsidR="00065BA6" w:rsidRPr="00C916AB">
        <w:rPr>
          <w:rFonts w:ascii="Cambria" w:eastAsia="Calibri" w:hAnsi="Cambria" w:cs="Times New Roman"/>
          <w:sz w:val="21"/>
          <w:szCs w:val="21"/>
        </w:rPr>
        <w:t>.</w:t>
      </w:r>
      <w:r w:rsidR="002B5AE2" w:rsidRPr="00C916AB">
        <w:rPr>
          <w:rFonts w:ascii="Cambria" w:eastAsia="Calibri" w:hAnsi="Cambria" w:cs="Times New Roman"/>
          <w:sz w:val="21"/>
          <w:szCs w:val="21"/>
        </w:rPr>
        <w:t xml:space="preserve"> </w:t>
      </w:r>
      <w:r w:rsidR="00F10192" w:rsidRPr="00C916AB">
        <w:rPr>
          <w:rFonts w:ascii="Cambria" w:eastAsia="Calibri" w:hAnsi="Cambria" w:cs="Times New Roman"/>
          <w:sz w:val="21"/>
          <w:szCs w:val="21"/>
        </w:rPr>
        <w:t xml:space="preserve">En las resoluciones adoptadas la Comisión ha valorado las alegaciones </w:t>
      </w:r>
      <w:r w:rsidR="00B92C6F" w:rsidRPr="00C916AB">
        <w:rPr>
          <w:rFonts w:ascii="Cambria" w:eastAsia="Calibri" w:hAnsi="Cambria" w:cs="Times New Roman"/>
          <w:sz w:val="21"/>
          <w:szCs w:val="21"/>
        </w:rPr>
        <w:t>recibidas,</w:t>
      </w:r>
      <w:r w:rsidR="00F10192" w:rsidRPr="00C916AB">
        <w:rPr>
          <w:rFonts w:ascii="Cambria" w:eastAsia="Calibri" w:hAnsi="Cambria" w:cs="Times New Roman"/>
          <w:sz w:val="21"/>
          <w:szCs w:val="21"/>
        </w:rPr>
        <w:t xml:space="preserve"> por ejemplo, en cuanto a alegados malos tratos o torturas en condiciones de detención, declaraciones de deslegitimación y desprestigio por parte de altas autoridades que pueden generar un clima de animadversión en su contra propicio para la afectación a sus derechos, o bien, agresiones y hostigamientos directos en su con</w:t>
      </w:r>
      <w:r w:rsidR="00D60688" w:rsidRPr="00C916AB">
        <w:rPr>
          <w:rFonts w:ascii="Cambria" w:eastAsia="Calibri" w:hAnsi="Cambria" w:cs="Times New Roman"/>
          <w:sz w:val="21"/>
          <w:szCs w:val="21"/>
        </w:rPr>
        <w:t>tra o de sus grupos familiares.</w:t>
      </w:r>
    </w:p>
    <w:p w:rsidR="00C17414" w:rsidRPr="00C916AB" w:rsidRDefault="00C17414" w:rsidP="00C17414">
      <w:pPr>
        <w:spacing w:after="0" w:line="240" w:lineRule="auto"/>
        <w:ind w:left="360"/>
        <w:contextualSpacing/>
        <w:jc w:val="both"/>
      </w:pPr>
    </w:p>
    <w:p w:rsidR="00F10192" w:rsidRPr="00C916AB" w:rsidRDefault="00C17414" w:rsidP="005572CF">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Bajo este escenario, la Comisión Interamericana ha urgido al Estado Venezolano a no criminalizar a los líderes políticos de la oposición y a garantizar la participación de todos los sectores en la vida política de Venezuela y los derechos humanos de quienes se identifican con la oposición al gobierno. La Comisión asimismo ha expresado su preocupación por el uso del poder punitivo del Estado para “perseguir penalmente a disidentes políticos e inhabilitar a varios de sus dirigentes”</w:t>
      </w:r>
      <w:r w:rsidRPr="00C916AB">
        <w:rPr>
          <w:rStyle w:val="FootnoteReference"/>
          <w:rFonts w:ascii="Cambria" w:eastAsia="Calibri" w:hAnsi="Cambria" w:cs="Times New Roman"/>
          <w:sz w:val="21"/>
          <w:szCs w:val="21"/>
        </w:rPr>
        <w:footnoteReference w:id="21"/>
      </w:r>
      <w:r w:rsidRPr="00C916AB">
        <w:rPr>
          <w:rFonts w:ascii="Cambria" w:eastAsia="Calibri" w:hAnsi="Cambria" w:cs="Times New Roman"/>
          <w:sz w:val="21"/>
          <w:szCs w:val="21"/>
        </w:rPr>
        <w:t xml:space="preserve"> </w:t>
      </w:r>
      <w:r w:rsidR="00CE7EE0" w:rsidRPr="00C916AB">
        <w:rPr>
          <w:rFonts w:ascii="Cambria" w:eastAsia="Calibri" w:hAnsi="Cambria" w:cs="Times New Roman"/>
          <w:sz w:val="21"/>
          <w:szCs w:val="21"/>
        </w:rPr>
        <w:t xml:space="preserve">e incluso ha identificado denuncias sobre </w:t>
      </w:r>
      <w:r w:rsidRPr="00C916AB">
        <w:rPr>
          <w:rFonts w:ascii="Cambria" w:eastAsia="Calibri" w:hAnsi="Cambria" w:cs="Times New Roman"/>
          <w:sz w:val="21"/>
          <w:szCs w:val="21"/>
        </w:rPr>
        <w:t>“una supuesta tendencia hacia acciones de represalia contra personas que públicamente manifiestan o asumen una postura de disenso frente a las políticas del Gobierno y a alegadas afectaciones sufridas tanto por los dirigentes de la oposición como por ciudadanos que ejercen su derecho a expresar su disconformidad con las políticas adelantadas por el Gobierno”</w:t>
      </w:r>
      <w:r w:rsidR="00CE7EE0" w:rsidRPr="00C916AB">
        <w:rPr>
          <w:rStyle w:val="FootnoteReference"/>
          <w:rFonts w:ascii="Cambria" w:eastAsia="Calibri" w:hAnsi="Cambria" w:cs="Times New Roman"/>
          <w:sz w:val="21"/>
          <w:szCs w:val="21"/>
        </w:rPr>
        <w:footnoteReference w:id="22"/>
      </w:r>
      <w:r w:rsidR="00CE7EE0" w:rsidRPr="00C916AB">
        <w:rPr>
          <w:rFonts w:ascii="Cambria" w:eastAsia="Calibri" w:hAnsi="Cambria" w:cs="Times New Roman"/>
          <w:sz w:val="21"/>
          <w:szCs w:val="21"/>
        </w:rPr>
        <w:t>.</w:t>
      </w:r>
    </w:p>
    <w:p w:rsidR="00F10192" w:rsidRPr="00C916AB" w:rsidRDefault="00F10192" w:rsidP="00CE7EE0">
      <w:pPr>
        <w:spacing w:after="0" w:line="240" w:lineRule="auto"/>
        <w:ind w:left="360"/>
        <w:contextualSpacing/>
        <w:jc w:val="both"/>
        <w:rPr>
          <w:rFonts w:ascii="Cambria" w:eastAsia="Calibri" w:hAnsi="Cambria" w:cs="Times New Roman"/>
          <w:sz w:val="21"/>
          <w:szCs w:val="21"/>
        </w:rPr>
      </w:pPr>
    </w:p>
    <w:p w:rsidR="004E50E5" w:rsidRPr="00C916AB" w:rsidRDefault="004E50E5" w:rsidP="004E50E5">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lastRenderedPageBreak/>
        <w:t xml:space="preserve">En lo que se refiere al sector castrense, la Comisión ha recibido  preocupante información sobre militares que se han encontrado en una grave y urgente situación de riesgo de daño irreparable a su vida e integridad personales. </w:t>
      </w:r>
      <w:r w:rsidRPr="00C916AB">
        <w:rPr>
          <w:rFonts w:ascii="Cambria" w:hAnsi="Cambria"/>
          <w:sz w:val="21"/>
          <w:szCs w:val="21"/>
          <w:lang w:val="es-PE"/>
        </w:rPr>
        <w:t xml:space="preserve">Entre las medidas otorgadas en el contexto de la crisis en Venezuela, 7 se refieren a personas provenientes del sector castrense que habrían sido objetos de maltratos y torturas en el contexto de la privación de la libertad. De hecho, dada la seriedad de los alegatos, el 21 de marzo de 2019 la Comisión otorgó una medida cautelar más a favor de todas las personas privadas de libertad (militares y civiles) que se encuentra en la Dirección General de Contrainteligencia Militar en la </w:t>
      </w:r>
      <w:proofErr w:type="spellStart"/>
      <w:r w:rsidRPr="00C916AB">
        <w:rPr>
          <w:rFonts w:ascii="Cambria" w:hAnsi="Cambria"/>
          <w:sz w:val="21"/>
          <w:szCs w:val="21"/>
          <w:lang w:val="es-PE"/>
        </w:rPr>
        <w:t>Boleita</w:t>
      </w:r>
      <w:proofErr w:type="spellEnd"/>
      <w:r w:rsidRPr="00C916AB">
        <w:rPr>
          <w:rFonts w:ascii="Cambria" w:hAnsi="Cambria"/>
          <w:sz w:val="21"/>
          <w:szCs w:val="21"/>
          <w:lang w:val="es-PE"/>
        </w:rPr>
        <w:t xml:space="preserve">, municipio de Sucre. La Comisión notó con preocupación que entre las alegaciones presentadas se indicaba que personas privadas de la libertad en dicho centro serían </w:t>
      </w:r>
      <w:r w:rsidRPr="00C916AB">
        <w:rPr>
          <w:rFonts w:ascii="Cambria" w:hAnsi="Cambria"/>
          <w:color w:val="000000"/>
          <w:sz w:val="21"/>
          <w:szCs w:val="21"/>
          <w:lang w:val="es-CO"/>
        </w:rPr>
        <w:t>encapuchadas y golpeadas, lo que habría producido dislocaciones, fracturas, hematomas, escoriaciones e incluso se les habrían inyectado sustancias desconocidas</w:t>
      </w:r>
      <w:r w:rsidR="002C4134" w:rsidRPr="00C916AB">
        <w:rPr>
          <w:rStyle w:val="FootnoteReference"/>
          <w:rFonts w:ascii="Cambria" w:eastAsia="Calibri" w:hAnsi="Cambria" w:cs="Times New Roman"/>
          <w:sz w:val="21"/>
          <w:szCs w:val="21"/>
        </w:rPr>
        <w:footnoteReference w:id="23"/>
      </w:r>
      <w:r w:rsidRPr="00C916AB">
        <w:rPr>
          <w:rFonts w:ascii="Cambria" w:hAnsi="Cambria"/>
          <w:color w:val="000000"/>
          <w:sz w:val="21"/>
          <w:szCs w:val="21"/>
          <w:lang w:val="es-CO"/>
        </w:rPr>
        <w:t xml:space="preserve">. </w:t>
      </w:r>
      <w:r w:rsidR="002C4134" w:rsidRPr="00C916AB">
        <w:rPr>
          <w:rFonts w:ascii="Cambria" w:eastAsia="Calibri" w:hAnsi="Cambria" w:cs="Times New Roman"/>
          <w:sz w:val="21"/>
          <w:szCs w:val="21"/>
        </w:rPr>
        <w:t xml:space="preserve"> </w:t>
      </w:r>
      <w:r w:rsidRPr="00C916AB">
        <w:rPr>
          <w:rFonts w:ascii="Cambria" w:hAnsi="Cambria"/>
          <w:color w:val="000000"/>
          <w:sz w:val="21"/>
          <w:szCs w:val="21"/>
          <w:lang w:val="es-CO"/>
        </w:rPr>
        <w:t xml:space="preserve">Tras haber sido otorgada la medida cautelar, la Comisión recibió información en mayo de 2019 que reflejaba un recrudecimiento de la situación de riesgo informándose entre otros aspectos que los maltratos continuarían; se habría amenazado a algunos privados de la libertad con “suministrarles gas” a través de una tubería, presentándose </w:t>
      </w:r>
      <w:proofErr w:type="spellStart"/>
      <w:r w:rsidRPr="00C916AB">
        <w:rPr>
          <w:rFonts w:ascii="Cambria" w:hAnsi="Cambria"/>
          <w:color w:val="000000"/>
          <w:sz w:val="21"/>
          <w:szCs w:val="21"/>
          <w:lang w:val="es-CO"/>
        </w:rPr>
        <w:t>alegadamente</w:t>
      </w:r>
      <w:proofErr w:type="spellEnd"/>
      <w:r w:rsidRPr="00C916AB">
        <w:rPr>
          <w:rFonts w:ascii="Cambria" w:hAnsi="Cambria"/>
          <w:color w:val="000000"/>
          <w:sz w:val="21"/>
          <w:szCs w:val="21"/>
          <w:lang w:val="es-CO"/>
        </w:rPr>
        <w:t xml:space="preserve"> situaciones de incomunicación prolongada y serias restricciones para el acceso de familiares.</w:t>
      </w:r>
    </w:p>
    <w:p w:rsidR="004E50E5" w:rsidRPr="00C916AB" w:rsidRDefault="004E50E5" w:rsidP="004E50E5">
      <w:pPr>
        <w:spacing w:after="0" w:line="240" w:lineRule="auto"/>
        <w:contextualSpacing/>
        <w:jc w:val="both"/>
        <w:rPr>
          <w:rFonts w:ascii="Cambria" w:eastAsia="Calibri" w:hAnsi="Cambria" w:cs="Times New Roman"/>
          <w:sz w:val="21"/>
          <w:szCs w:val="21"/>
        </w:rPr>
      </w:pPr>
    </w:p>
    <w:p w:rsidR="00796F91" w:rsidRPr="00C916AB" w:rsidRDefault="009A664D" w:rsidP="00796F91">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A luz del referido contexto</w:t>
      </w:r>
      <w:r w:rsidR="00065BA6" w:rsidRPr="00C916AB">
        <w:rPr>
          <w:rFonts w:ascii="Cambria" w:eastAsia="Calibri" w:hAnsi="Cambria" w:cs="Times New Roman"/>
          <w:sz w:val="21"/>
          <w:szCs w:val="21"/>
        </w:rPr>
        <w:t>,</w:t>
      </w:r>
      <w:r w:rsidRPr="00C916AB">
        <w:rPr>
          <w:rFonts w:ascii="Cambria" w:eastAsia="Calibri" w:hAnsi="Cambria" w:cs="Times New Roman"/>
          <w:sz w:val="21"/>
          <w:szCs w:val="21"/>
        </w:rPr>
        <w:t xml:space="preserve"> l</w:t>
      </w:r>
      <w:r w:rsidR="00F20FF7" w:rsidRPr="00C916AB">
        <w:rPr>
          <w:rFonts w:ascii="Cambria" w:eastAsia="Calibri" w:hAnsi="Cambria" w:cs="Times New Roman"/>
          <w:sz w:val="21"/>
          <w:szCs w:val="21"/>
        </w:rPr>
        <w:t xml:space="preserve">a Comisión </w:t>
      </w:r>
      <w:r w:rsidR="00796F91" w:rsidRPr="00C916AB">
        <w:rPr>
          <w:rFonts w:ascii="Cambria" w:eastAsia="Calibri" w:hAnsi="Cambria" w:cs="Times New Roman"/>
          <w:sz w:val="21"/>
          <w:szCs w:val="21"/>
        </w:rPr>
        <w:t>tuvo conocimiento de la muerte del Capitán Rafael Acosta Arévalo bajo custodia de la DGCIM, por probables actos de tortura</w:t>
      </w:r>
      <w:r w:rsidR="002C4134" w:rsidRPr="00C916AB">
        <w:rPr>
          <w:rFonts w:ascii="Cambria" w:eastAsia="Calibri" w:hAnsi="Cambria" w:cs="Times New Roman"/>
          <w:sz w:val="21"/>
          <w:szCs w:val="21"/>
        </w:rPr>
        <w:t>. Según la información recibida</w:t>
      </w:r>
      <w:r w:rsidR="007825C9">
        <w:rPr>
          <w:rFonts w:ascii="Cambria" w:eastAsia="Calibri" w:hAnsi="Cambria" w:cs="Times New Roman"/>
          <w:sz w:val="21"/>
          <w:szCs w:val="21"/>
        </w:rPr>
        <w:t>,</w:t>
      </w:r>
      <w:r w:rsidR="00796F91" w:rsidRPr="00C916AB">
        <w:rPr>
          <w:rFonts w:ascii="Cambria" w:eastAsia="Calibri" w:hAnsi="Cambria" w:cs="Times New Roman"/>
          <w:sz w:val="21"/>
          <w:szCs w:val="21"/>
        </w:rPr>
        <w:t xml:space="preserve"> el Ministro de Comunicación indicó en nota que el gobierno ha solicitado una investigación respecto de la muerte del Capitán Arévalo, </w:t>
      </w:r>
      <w:r w:rsidR="002C4134" w:rsidRPr="00C916AB">
        <w:rPr>
          <w:rFonts w:ascii="Cambria" w:eastAsia="Calibri" w:hAnsi="Cambria" w:cs="Times New Roman"/>
          <w:sz w:val="21"/>
          <w:szCs w:val="21"/>
        </w:rPr>
        <w:t xml:space="preserve">asimismo, se informó que </w:t>
      </w:r>
      <w:r w:rsidR="00796F91" w:rsidRPr="00C916AB">
        <w:rPr>
          <w:rFonts w:ascii="Cambria" w:eastAsia="Calibri" w:hAnsi="Cambria" w:cs="Times New Roman"/>
          <w:sz w:val="21"/>
          <w:szCs w:val="21"/>
        </w:rPr>
        <w:t>familiares y abogados no tuvieron acceso al cuerpo</w:t>
      </w:r>
      <w:r w:rsidR="00796F91" w:rsidRPr="00C916AB">
        <w:rPr>
          <w:rStyle w:val="FootnoteReference"/>
          <w:rFonts w:ascii="Cambria" w:eastAsia="Calibri" w:hAnsi="Cambria" w:cs="Times New Roman"/>
          <w:sz w:val="21"/>
          <w:szCs w:val="21"/>
        </w:rPr>
        <w:footnoteReference w:id="24"/>
      </w:r>
      <w:r w:rsidR="00796F91" w:rsidRPr="00C916AB">
        <w:rPr>
          <w:rFonts w:ascii="Cambria" w:eastAsia="Calibri" w:hAnsi="Cambria" w:cs="Times New Roman"/>
          <w:sz w:val="21"/>
          <w:szCs w:val="21"/>
        </w:rPr>
        <w:t xml:space="preserve">. </w:t>
      </w:r>
      <w:r w:rsidR="002C4134" w:rsidRPr="00C916AB">
        <w:rPr>
          <w:rFonts w:ascii="Cambria" w:eastAsia="Calibri" w:hAnsi="Cambria" w:cs="Times New Roman"/>
          <w:sz w:val="21"/>
          <w:szCs w:val="21"/>
        </w:rPr>
        <w:t>Por su parte</w:t>
      </w:r>
      <w:r w:rsidR="00796F91" w:rsidRPr="00C916AB">
        <w:rPr>
          <w:rFonts w:ascii="Cambria" w:eastAsia="Calibri" w:hAnsi="Cambria" w:cs="Times New Roman"/>
          <w:sz w:val="21"/>
          <w:szCs w:val="21"/>
        </w:rPr>
        <w:t xml:space="preserve">, la </w:t>
      </w:r>
      <w:r w:rsidR="002C4134" w:rsidRPr="00C916AB">
        <w:rPr>
          <w:rFonts w:ascii="Cambria" w:eastAsia="Calibri" w:hAnsi="Cambria" w:cs="Times New Roman"/>
          <w:sz w:val="21"/>
          <w:szCs w:val="21"/>
        </w:rPr>
        <w:t xml:space="preserve">Comisión también conoció que la </w:t>
      </w:r>
      <w:r w:rsidR="00796F91" w:rsidRPr="00C916AB">
        <w:rPr>
          <w:rFonts w:ascii="Cambria" w:eastAsia="Calibri" w:hAnsi="Cambria" w:cs="Times New Roman"/>
          <w:sz w:val="21"/>
          <w:szCs w:val="21"/>
        </w:rPr>
        <w:t>Alta Comisionada de Naciones Unidas para los Derechos Humanos manifestó encontrarse “conmocionada por la presunta tortura del capitán Acosta Arévalo, y porque el trato al que fue sometido mientras estaba en custodia </w:t>
      </w:r>
      <w:r w:rsidR="00796F91" w:rsidRPr="00C916AB">
        <w:rPr>
          <w:rFonts w:ascii="Cambria" w:eastAsia="Calibri" w:hAnsi="Cambria" w:cs="Times New Roman"/>
          <w:bCs/>
          <w:sz w:val="21"/>
          <w:szCs w:val="21"/>
        </w:rPr>
        <w:t>puede haber sido la causa de su muerte”</w:t>
      </w:r>
      <w:r w:rsidR="00796F91" w:rsidRPr="00C916AB">
        <w:rPr>
          <w:rStyle w:val="FootnoteReference"/>
          <w:rFonts w:ascii="Cambria" w:eastAsia="Calibri" w:hAnsi="Cambria" w:cs="Times New Roman"/>
          <w:bCs/>
          <w:sz w:val="21"/>
          <w:szCs w:val="21"/>
        </w:rPr>
        <w:footnoteReference w:id="25"/>
      </w:r>
      <w:r w:rsidR="00796F91" w:rsidRPr="00C916AB">
        <w:rPr>
          <w:rFonts w:ascii="Cambria" w:eastAsia="Calibri" w:hAnsi="Cambria" w:cs="Times New Roman"/>
          <w:bCs/>
          <w:sz w:val="21"/>
          <w:szCs w:val="21"/>
        </w:rPr>
        <w:t xml:space="preserve">. </w:t>
      </w:r>
    </w:p>
    <w:p w:rsidR="0022613F" w:rsidRPr="00C916AB" w:rsidRDefault="0022613F" w:rsidP="00796F91">
      <w:pPr>
        <w:spacing w:after="0" w:line="240" w:lineRule="auto"/>
        <w:contextualSpacing/>
        <w:jc w:val="both"/>
        <w:rPr>
          <w:rFonts w:ascii="Cambria" w:eastAsia="Calibri" w:hAnsi="Cambria" w:cs="Times New Roman"/>
          <w:sz w:val="21"/>
          <w:szCs w:val="21"/>
        </w:rPr>
      </w:pPr>
    </w:p>
    <w:p w:rsidR="002973BA" w:rsidRPr="00C916AB" w:rsidRDefault="002C4134" w:rsidP="00F20FF7">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lang w:val="es-ES_tradnl"/>
        </w:rPr>
        <w:t xml:space="preserve">La muerte del señor </w:t>
      </w:r>
      <w:r w:rsidR="00831807" w:rsidRPr="00C916AB">
        <w:rPr>
          <w:rFonts w:ascii="Cambria" w:eastAsia="Calibri" w:hAnsi="Cambria" w:cs="Times New Roman"/>
          <w:sz w:val="21"/>
          <w:szCs w:val="21"/>
          <w:lang w:val="es-ES_tradnl"/>
        </w:rPr>
        <w:t xml:space="preserve">Acosta </w:t>
      </w:r>
      <w:r w:rsidRPr="00C916AB">
        <w:rPr>
          <w:rFonts w:ascii="Cambria" w:eastAsia="Calibri" w:hAnsi="Cambria" w:cs="Times New Roman"/>
          <w:sz w:val="21"/>
          <w:szCs w:val="21"/>
          <w:lang w:val="es-ES_tradnl"/>
        </w:rPr>
        <w:t xml:space="preserve">Arévalo ha sido ampliamente conocida señalándose que habría tenido </w:t>
      </w:r>
      <w:r w:rsidR="00524274" w:rsidRPr="00C916AB">
        <w:rPr>
          <w:rFonts w:ascii="Cambria" w:eastAsia="Calibri" w:hAnsi="Cambria" w:cs="Times New Roman"/>
          <w:sz w:val="21"/>
          <w:szCs w:val="21"/>
          <w:lang w:val="es-ES_tradnl"/>
        </w:rPr>
        <w:t xml:space="preserve">indicios de tortura mientras se encontró bajo custodia de autoridades estatales. Lo anterior, considerando que habría sido detenido acusado de “Terrorismo, Conspiración y Traición a la Patria”, dada su postura opositora. </w:t>
      </w:r>
      <w:r w:rsidRPr="00C916AB">
        <w:rPr>
          <w:rFonts w:ascii="Cambria" w:eastAsia="Calibri" w:hAnsi="Cambria" w:cs="Times New Roman"/>
          <w:sz w:val="21"/>
          <w:szCs w:val="21"/>
          <w:lang w:val="es-ES_tradnl"/>
        </w:rPr>
        <w:t xml:space="preserve">Sin poder entrar en realizar tales determinaciones, la Comisión observa que el señor </w:t>
      </w:r>
      <w:r w:rsidR="00C843A5" w:rsidRPr="00C916AB">
        <w:rPr>
          <w:rFonts w:ascii="Cambria" w:eastAsia="Calibri" w:hAnsi="Cambria" w:cs="Times New Roman"/>
          <w:sz w:val="21"/>
          <w:szCs w:val="21"/>
          <w:lang w:val="es-ES_tradnl"/>
        </w:rPr>
        <w:t xml:space="preserve">Acosta </w:t>
      </w:r>
      <w:r w:rsidRPr="00C916AB">
        <w:rPr>
          <w:rFonts w:ascii="Cambria" w:eastAsia="Calibri" w:hAnsi="Cambria" w:cs="Times New Roman"/>
          <w:sz w:val="21"/>
          <w:szCs w:val="21"/>
          <w:lang w:val="es-ES_tradnl"/>
        </w:rPr>
        <w:t xml:space="preserve">Arévalo se habría encontrado privado de la libertad en la </w:t>
      </w:r>
      <w:r w:rsidR="007825C9">
        <w:rPr>
          <w:rFonts w:ascii="Cambria" w:eastAsia="Calibri" w:hAnsi="Cambria" w:cs="Times New Roman"/>
          <w:sz w:val="21"/>
          <w:szCs w:val="21"/>
          <w:lang w:val="es-ES_tradnl"/>
        </w:rPr>
        <w:t>DGCIM</w:t>
      </w:r>
      <w:r w:rsidRPr="00C916AB">
        <w:rPr>
          <w:rFonts w:ascii="Cambria" w:eastAsia="Calibri" w:hAnsi="Cambria" w:cs="Times New Roman"/>
          <w:sz w:val="21"/>
          <w:szCs w:val="21"/>
          <w:lang w:val="es-ES_tradnl"/>
        </w:rPr>
        <w:t>, respecto de</w:t>
      </w:r>
      <w:r w:rsidR="007825C9">
        <w:rPr>
          <w:rFonts w:ascii="Cambria" w:eastAsia="Calibri" w:hAnsi="Cambria" w:cs="Times New Roman"/>
          <w:sz w:val="21"/>
          <w:szCs w:val="21"/>
          <w:lang w:val="es-ES_tradnl"/>
        </w:rPr>
        <w:t xml:space="preserve"> </w:t>
      </w:r>
      <w:r w:rsidRPr="00C916AB">
        <w:rPr>
          <w:rFonts w:ascii="Cambria" w:eastAsia="Calibri" w:hAnsi="Cambria" w:cs="Times New Roman"/>
          <w:sz w:val="21"/>
          <w:szCs w:val="21"/>
          <w:lang w:val="es-ES_tradnl"/>
        </w:rPr>
        <w:t>l</w:t>
      </w:r>
      <w:r w:rsidR="007825C9">
        <w:rPr>
          <w:rFonts w:ascii="Cambria" w:eastAsia="Calibri" w:hAnsi="Cambria" w:cs="Times New Roman"/>
          <w:sz w:val="21"/>
          <w:szCs w:val="21"/>
          <w:lang w:val="es-ES_tradnl"/>
        </w:rPr>
        <w:t>a</w:t>
      </w:r>
      <w:r w:rsidRPr="00C916AB">
        <w:rPr>
          <w:rFonts w:ascii="Cambria" w:eastAsia="Calibri" w:hAnsi="Cambria" w:cs="Times New Roman"/>
          <w:sz w:val="21"/>
          <w:szCs w:val="21"/>
          <w:lang w:val="es-ES_tradnl"/>
        </w:rPr>
        <w:t xml:space="preserve"> cual la Comisión ha tenido conocimiento de una serie de presuntas afectaciones a la vida e integridad a las personas allí detenidas, con un especial enseñamiento respecto de personas provenientes del sector castrense que habrían sido críticos contra el gobierno o que se encuentran procesados por delitos vinculados a traición a la patria, entre otros, como lo era el caso del señor</w:t>
      </w:r>
      <w:r w:rsidR="00C843A5" w:rsidRPr="00C916AB">
        <w:rPr>
          <w:rFonts w:ascii="Cambria" w:eastAsia="Calibri" w:hAnsi="Cambria" w:cs="Times New Roman"/>
          <w:sz w:val="21"/>
          <w:szCs w:val="21"/>
          <w:lang w:val="es-ES_tradnl"/>
        </w:rPr>
        <w:t xml:space="preserve"> Acosta </w:t>
      </w:r>
      <w:r w:rsidRPr="00C916AB">
        <w:rPr>
          <w:rFonts w:ascii="Cambria" w:eastAsia="Calibri" w:hAnsi="Cambria" w:cs="Times New Roman"/>
          <w:sz w:val="21"/>
          <w:szCs w:val="21"/>
          <w:lang w:val="es-ES_tradnl"/>
        </w:rPr>
        <w:t>Arévalo.</w:t>
      </w:r>
    </w:p>
    <w:p w:rsidR="00A92E29" w:rsidRPr="00C916AB" w:rsidRDefault="00A92E29" w:rsidP="001538C6">
      <w:pPr>
        <w:spacing w:after="0" w:line="240" w:lineRule="auto"/>
        <w:contextualSpacing/>
        <w:jc w:val="both"/>
        <w:rPr>
          <w:rFonts w:ascii="Cambria" w:eastAsia="Calibri" w:hAnsi="Cambria" w:cs="Times New Roman"/>
          <w:sz w:val="21"/>
          <w:szCs w:val="21"/>
        </w:rPr>
      </w:pPr>
    </w:p>
    <w:p w:rsidR="00A92E29" w:rsidRPr="00C916AB" w:rsidRDefault="00A92E29" w:rsidP="00A92E29">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A luz de lo anterior, la Comisión recuerda que la </w:t>
      </w:r>
      <w:r w:rsidRPr="00C916AB">
        <w:rPr>
          <w:rFonts w:ascii="Cambria" w:eastAsia="Calibri" w:hAnsi="Cambria" w:cs="Times New Roman"/>
          <w:bCs/>
          <w:sz w:val="21"/>
          <w:szCs w:val="21"/>
        </w:rPr>
        <w:t>Convención Interamericana para Prevenir y Sancionar la Tortura</w:t>
      </w:r>
      <w:r w:rsidR="00FA6942" w:rsidRPr="00C916AB">
        <w:rPr>
          <w:rFonts w:ascii="Cambria" w:eastAsia="Calibri" w:hAnsi="Cambria" w:cs="Times New Roman"/>
          <w:bCs/>
          <w:sz w:val="21"/>
          <w:szCs w:val="21"/>
        </w:rPr>
        <w:t>,</w:t>
      </w:r>
      <w:r w:rsidR="00692403" w:rsidRPr="00C916AB">
        <w:rPr>
          <w:rFonts w:ascii="Cambria" w:eastAsia="Calibri" w:hAnsi="Cambria" w:cs="Times New Roman"/>
          <w:bCs/>
          <w:sz w:val="21"/>
          <w:szCs w:val="21"/>
        </w:rPr>
        <w:t xml:space="preserve"> </w:t>
      </w:r>
      <w:r w:rsidR="00FA6942" w:rsidRPr="00C916AB">
        <w:rPr>
          <w:rFonts w:ascii="Cambria" w:eastAsia="Calibri" w:hAnsi="Cambria" w:cs="Times New Roman"/>
          <w:bCs/>
          <w:sz w:val="21"/>
          <w:szCs w:val="21"/>
        </w:rPr>
        <w:t>a la cual e</w:t>
      </w:r>
      <w:r w:rsidR="00FA6942" w:rsidRPr="00C916AB">
        <w:rPr>
          <w:rFonts w:ascii="Cambria" w:eastAsia="Calibri" w:hAnsi="Cambria" w:cs="Times New Roman"/>
          <w:bCs/>
          <w:sz w:val="21"/>
          <w:szCs w:val="21"/>
          <w:lang w:val="es-MX"/>
        </w:rPr>
        <w:t xml:space="preserve">l Estado de Venezuela se encuentra vinculado desde su ratificación el 26 de agosto de 1991, </w:t>
      </w:r>
      <w:r w:rsidRPr="00C916AB">
        <w:rPr>
          <w:rFonts w:ascii="Cambria" w:eastAsia="Calibri" w:hAnsi="Cambria" w:cs="Times New Roman"/>
          <w:bCs/>
          <w:sz w:val="21"/>
          <w:szCs w:val="21"/>
        </w:rPr>
        <w:t xml:space="preserve">incluye en la definición de tortura “[…] todo acto realizado intencionalmente por el cual se inflijan a una persona penas o sufrimientos físicos o mentales, con fines de investigación criminal, como medio intimidatorio, como castigo personal, como medida preventiva, como pena o con </w:t>
      </w:r>
      <w:r w:rsidR="001447EC" w:rsidRPr="00C916AB">
        <w:rPr>
          <w:rFonts w:ascii="Cambria" w:eastAsia="Calibri" w:hAnsi="Cambria" w:cs="Times New Roman"/>
          <w:bCs/>
          <w:sz w:val="21"/>
          <w:szCs w:val="21"/>
        </w:rPr>
        <w:t>cualquier otro fin”, a</w:t>
      </w:r>
      <w:r w:rsidRPr="00C916AB">
        <w:rPr>
          <w:rFonts w:ascii="Cambria" w:eastAsia="Calibri" w:hAnsi="Cambria" w:cs="Times New Roman"/>
          <w:bCs/>
          <w:sz w:val="21"/>
          <w:szCs w:val="21"/>
        </w:rPr>
        <w:t xml:space="preserve">sí como “[…] la aplicación sobre una persona de métodos tendientes a anular la </w:t>
      </w:r>
      <w:r w:rsidRPr="00C916AB">
        <w:rPr>
          <w:rFonts w:ascii="Cambria" w:eastAsia="Calibri" w:hAnsi="Cambria" w:cs="Times New Roman"/>
          <w:bCs/>
          <w:sz w:val="21"/>
          <w:szCs w:val="21"/>
        </w:rPr>
        <w:lastRenderedPageBreak/>
        <w:t>personalidad de la víctima o a disminuir su capacidad física o mental, aunque no causen d</w:t>
      </w:r>
      <w:r w:rsidR="00B77594" w:rsidRPr="00C916AB">
        <w:rPr>
          <w:rFonts w:ascii="Cambria" w:eastAsia="Calibri" w:hAnsi="Cambria" w:cs="Times New Roman"/>
          <w:bCs/>
          <w:sz w:val="21"/>
          <w:szCs w:val="21"/>
        </w:rPr>
        <w:t>olor físico o angustia psíquica</w:t>
      </w:r>
      <w:r w:rsidR="00692403" w:rsidRPr="00C916AB">
        <w:rPr>
          <w:rFonts w:ascii="Cambria" w:eastAsia="Calibri" w:hAnsi="Cambria" w:cs="Times New Roman"/>
          <w:bCs/>
          <w:sz w:val="21"/>
          <w:szCs w:val="21"/>
        </w:rPr>
        <w:t xml:space="preserve">”. </w:t>
      </w:r>
      <w:r w:rsidR="00C84895" w:rsidRPr="00C916AB">
        <w:rPr>
          <w:rFonts w:ascii="Cambria" w:eastAsia="Calibri" w:hAnsi="Cambria" w:cs="Times New Roman"/>
          <w:bCs/>
          <w:sz w:val="21"/>
          <w:szCs w:val="21"/>
        </w:rPr>
        <w:t xml:space="preserve">En este sentido, es importante recordar que, de acuerdo con el artículo 1 de dicho instrumento interamericano, los Estados partes se encuentran obligados a prevenir y sancionar la tortura y, a su vez, el artículo 17 establece un compromiso de “informar a la Comisión Interamericana de Derechos Humanos acerca de las medidas legislativas, judiciales, administrativas y de otro orden que hayan adoptado en aplicación de la presente Convención”. </w:t>
      </w:r>
    </w:p>
    <w:p w:rsidR="001538C6" w:rsidRPr="00C916AB" w:rsidRDefault="001538C6" w:rsidP="001538C6">
      <w:pPr>
        <w:spacing w:after="0" w:line="240" w:lineRule="auto"/>
        <w:ind w:left="360"/>
        <w:contextualSpacing/>
        <w:jc w:val="both"/>
        <w:rPr>
          <w:rFonts w:ascii="Cambria" w:eastAsia="Calibri" w:hAnsi="Cambria" w:cs="Times New Roman"/>
          <w:sz w:val="21"/>
          <w:szCs w:val="21"/>
        </w:rPr>
      </w:pPr>
    </w:p>
    <w:p w:rsidR="001538C6" w:rsidRPr="00C916AB" w:rsidRDefault="001447EC" w:rsidP="00A92E29">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rPr>
        <w:t xml:space="preserve">Bajo esta lógica, la Comisión reitera como parte de sus atribuciones sobre los Estados, aquellas previstas en el artículo 18 (b) de su Estatuto, consistentes en “formular recomendaciones a los gobiernos de los Estados para que adopten medidas progresivas en favor de los derechos humanos, dentro del marco de sus legislaciones, de sus preceptos constitucionales y de sus compromisos internacionales, y también disposiciones apropiadas para fomentar el respeto a esos derechos”. </w:t>
      </w:r>
      <w:r w:rsidR="00A41DCB" w:rsidRPr="00C916AB">
        <w:rPr>
          <w:rFonts w:ascii="Cambria" w:eastAsia="Calibri" w:hAnsi="Cambria" w:cs="Times New Roman"/>
          <w:sz w:val="21"/>
          <w:szCs w:val="21"/>
        </w:rPr>
        <w:t xml:space="preserve">De esta manera, el mecanismo de medidas cautelares ha tenido un desarrollo progresivo para constituirse como un mecanismo de protección propio del sistema interamericano, en cumplimiento de sus obligaciones convencionales y estatutarias y emanando de la referida función de la CIDH de velar por el cumplimiento de los compromisos internacionales asumidos por los Estados parte. </w:t>
      </w:r>
    </w:p>
    <w:p w:rsidR="00A92E29" w:rsidRPr="00C916AB" w:rsidRDefault="00A92E29" w:rsidP="006C5F74">
      <w:pPr>
        <w:spacing w:after="0" w:line="240" w:lineRule="auto"/>
        <w:contextualSpacing/>
        <w:jc w:val="both"/>
        <w:rPr>
          <w:rFonts w:ascii="Cambria" w:eastAsia="Calibri" w:hAnsi="Cambria" w:cs="Times New Roman"/>
          <w:sz w:val="21"/>
          <w:szCs w:val="21"/>
        </w:rPr>
      </w:pPr>
    </w:p>
    <w:p w:rsidR="001538C6" w:rsidRPr="00C916AB" w:rsidRDefault="001538C6" w:rsidP="001538C6">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lang w:val="es-ES_tradnl"/>
        </w:rPr>
        <w:t xml:space="preserve">La Comisión advierte que en las anteriores circunstancias, los familiares del señor Arévalo, quienes son las personas propuestas beneficiarias, han emprendido una serie de acciones tendientes a que sean esclarecidas las circunstancias en que habría ocurrido su muerte en búsqueda de verdad y justicia. En relación con lo anterior, la Comisión toma nota de los alegatos sobre el tratamiento del cuerpo del señor Arévalo por las autoridades y, de manera especial, el presunto cateo que habría ocurrido en la vivienda de los suegros del señor Acosta Arévalo. Asimismo, según se ha indicado los familiares habrían sido objeto de presunta vigilancia y seguimientos por agentes del Estado alegados por los familiares. </w:t>
      </w:r>
    </w:p>
    <w:p w:rsidR="001538C6" w:rsidRPr="00C916AB" w:rsidRDefault="001538C6" w:rsidP="001538C6">
      <w:pPr>
        <w:spacing w:after="0" w:line="240" w:lineRule="auto"/>
        <w:ind w:left="360"/>
        <w:contextualSpacing/>
        <w:jc w:val="both"/>
        <w:rPr>
          <w:rFonts w:ascii="Cambria" w:eastAsia="Calibri" w:hAnsi="Cambria" w:cs="Times New Roman"/>
          <w:sz w:val="21"/>
          <w:szCs w:val="21"/>
        </w:rPr>
      </w:pPr>
    </w:p>
    <w:p w:rsidR="00A9278D" w:rsidRPr="00C916AB" w:rsidRDefault="00A9278D" w:rsidP="00A9278D">
      <w:pPr>
        <w:numPr>
          <w:ilvl w:val="0"/>
          <w:numId w:val="1"/>
        </w:numPr>
        <w:spacing w:after="0" w:line="240" w:lineRule="auto"/>
        <w:ind w:left="0" w:firstLine="360"/>
        <w:contextualSpacing/>
        <w:jc w:val="both"/>
        <w:rPr>
          <w:rFonts w:ascii="Cambria" w:eastAsia="Calibri" w:hAnsi="Cambria" w:cs="Times New Roman"/>
          <w:sz w:val="21"/>
          <w:szCs w:val="21"/>
        </w:rPr>
      </w:pPr>
      <w:r w:rsidRPr="00C916AB">
        <w:rPr>
          <w:rFonts w:ascii="Cambria" w:eastAsia="Calibri" w:hAnsi="Cambria" w:cs="Times New Roman"/>
          <w:sz w:val="21"/>
          <w:szCs w:val="21"/>
          <w:lang w:val="es-ES_tradnl"/>
        </w:rPr>
        <w:t>Según se desprende de la información aportada por la solicitante, las personas propuestas beneficiarias no cuentan con medidas de protección, no obstante la gran polémica y alto perfil que ha tenido el caso, lo cual ha expuesto mediáticamente a los familiares en un contexto que de acuerdo con la información aportada, se caracterizaría por la represión a quienes son críticos al régimen, lo cual en principio coincidiría con los elementos previamente relatados.</w:t>
      </w:r>
    </w:p>
    <w:p w:rsidR="00A9278D" w:rsidRPr="00C916AB" w:rsidRDefault="00A9278D" w:rsidP="00A9278D">
      <w:pPr>
        <w:spacing w:after="0" w:line="240" w:lineRule="auto"/>
        <w:contextualSpacing/>
        <w:jc w:val="both"/>
        <w:rPr>
          <w:rFonts w:ascii="Cambria" w:eastAsia="Calibri" w:hAnsi="Cambria" w:cs="Times New Roman"/>
          <w:sz w:val="21"/>
          <w:szCs w:val="21"/>
          <w:lang w:val="es-ES_tradnl"/>
        </w:rPr>
      </w:pPr>
    </w:p>
    <w:p w:rsidR="00E77B47" w:rsidRPr="00C916AB" w:rsidRDefault="00E77B47" w:rsidP="000519A9">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En </w:t>
      </w:r>
      <w:r w:rsidR="00903883" w:rsidRPr="00C916AB">
        <w:rPr>
          <w:rFonts w:ascii="Cambria" w:eastAsia="Calibri" w:hAnsi="Cambria" w:cs="Times New Roman"/>
          <w:sz w:val="21"/>
          <w:szCs w:val="21"/>
          <w:lang w:val="es-ES_tradnl"/>
        </w:rPr>
        <w:t>vista de lo anterior</w:t>
      </w:r>
      <w:r w:rsidRPr="00C916AB">
        <w:rPr>
          <w:rFonts w:ascii="Cambria" w:eastAsia="Calibri" w:hAnsi="Cambria" w:cs="Times New Roman"/>
          <w:sz w:val="21"/>
          <w:szCs w:val="21"/>
          <w:lang w:val="es-ES_tradnl"/>
        </w:rPr>
        <w:t xml:space="preserve">, </w:t>
      </w:r>
      <w:r w:rsidR="00903883" w:rsidRPr="00C916AB">
        <w:rPr>
          <w:rFonts w:ascii="Cambria" w:eastAsia="Calibri" w:hAnsi="Cambria" w:cs="Times New Roman"/>
          <w:sz w:val="21"/>
          <w:szCs w:val="21"/>
          <w:lang w:val="es-ES_tradnl"/>
        </w:rPr>
        <w:t xml:space="preserve">teniendo en cuenta el contexto específico que atraviesa el Estado y </w:t>
      </w:r>
      <w:r w:rsidR="00C843A5" w:rsidRPr="00C916AB">
        <w:rPr>
          <w:rFonts w:ascii="Cambria" w:eastAsia="Calibri" w:hAnsi="Cambria" w:cs="Times New Roman"/>
          <w:sz w:val="21"/>
          <w:szCs w:val="21"/>
          <w:lang w:val="es-ES_tradnl"/>
        </w:rPr>
        <w:t xml:space="preserve">las circunstancias excepcionales que tiene el presente asunto, la Comisión estima que </w:t>
      </w:r>
      <w:r w:rsidRPr="00C916AB">
        <w:rPr>
          <w:rFonts w:ascii="Cambria" w:eastAsia="Calibri" w:hAnsi="Cambria" w:cs="Times New Roman"/>
          <w:sz w:val="21"/>
          <w:szCs w:val="21"/>
          <w:lang w:val="es-ES_tradnl"/>
        </w:rPr>
        <w:t xml:space="preserve">desde el parámetro </w:t>
      </w:r>
      <w:r w:rsidRPr="00C916AB">
        <w:rPr>
          <w:rFonts w:ascii="Cambria" w:eastAsia="Calibri" w:hAnsi="Cambria" w:cs="Times New Roman"/>
          <w:i/>
          <w:sz w:val="21"/>
          <w:szCs w:val="21"/>
          <w:lang w:val="es-ES_tradnl"/>
        </w:rPr>
        <w:t>prima facie</w:t>
      </w:r>
      <w:r w:rsidRPr="00C916AB">
        <w:rPr>
          <w:rFonts w:ascii="Cambria" w:eastAsia="Calibri" w:hAnsi="Cambria" w:cs="Times New Roman"/>
          <w:sz w:val="21"/>
          <w:szCs w:val="21"/>
          <w:lang w:val="es-ES_tradnl"/>
        </w:rPr>
        <w:t xml:space="preserve"> aplicable se halla suficientemente establecida la existencia de una situación de grave riesgo para los derechos a la vida e integridad personal de</w:t>
      </w:r>
      <w:r w:rsidR="0035237E" w:rsidRPr="00C916AB">
        <w:rPr>
          <w:rFonts w:ascii="Cambria" w:eastAsia="Calibri" w:hAnsi="Cambria" w:cs="Times New Roman"/>
          <w:sz w:val="21"/>
          <w:szCs w:val="21"/>
          <w:lang w:val="es-ES_tradnl"/>
        </w:rPr>
        <w:t xml:space="preserve"> </w:t>
      </w:r>
      <w:r w:rsidRPr="00C916AB">
        <w:rPr>
          <w:rFonts w:ascii="Cambria" w:eastAsia="Calibri" w:hAnsi="Cambria" w:cs="Times New Roman"/>
          <w:sz w:val="21"/>
          <w:szCs w:val="21"/>
          <w:lang w:val="es-ES_tradnl"/>
        </w:rPr>
        <w:t>l</w:t>
      </w:r>
      <w:r w:rsidR="0035237E" w:rsidRPr="00C916AB">
        <w:rPr>
          <w:rFonts w:ascii="Cambria" w:eastAsia="Calibri" w:hAnsi="Cambria" w:cs="Times New Roman"/>
          <w:sz w:val="21"/>
          <w:szCs w:val="21"/>
          <w:lang w:val="es-ES_tradnl"/>
        </w:rPr>
        <w:t>a</w:t>
      </w:r>
      <w:r w:rsidR="00D16CC3" w:rsidRPr="00C916AB">
        <w:rPr>
          <w:rFonts w:ascii="Cambria" w:eastAsia="Calibri" w:hAnsi="Cambria" w:cs="Times New Roman"/>
          <w:sz w:val="21"/>
          <w:szCs w:val="21"/>
          <w:lang w:val="es-ES_tradnl"/>
        </w:rPr>
        <w:t>s personas</w:t>
      </w:r>
      <w:r w:rsidR="0035237E" w:rsidRPr="00C916AB">
        <w:rPr>
          <w:rFonts w:ascii="Cambria" w:eastAsia="Calibri" w:hAnsi="Cambria" w:cs="Times New Roman"/>
          <w:sz w:val="21"/>
          <w:szCs w:val="21"/>
          <w:lang w:val="es-ES_tradnl"/>
        </w:rPr>
        <w:t xml:space="preserve"> propuesta</w:t>
      </w:r>
      <w:r w:rsidR="00D16CC3" w:rsidRPr="00C916AB">
        <w:rPr>
          <w:rFonts w:ascii="Cambria" w:eastAsia="Calibri" w:hAnsi="Cambria" w:cs="Times New Roman"/>
          <w:sz w:val="21"/>
          <w:szCs w:val="21"/>
          <w:lang w:val="es-ES_tradnl"/>
        </w:rPr>
        <w:t>s</w:t>
      </w:r>
      <w:r w:rsidR="0035237E" w:rsidRPr="00C916AB">
        <w:rPr>
          <w:rFonts w:ascii="Cambria" w:eastAsia="Calibri" w:hAnsi="Cambria" w:cs="Times New Roman"/>
          <w:sz w:val="21"/>
          <w:szCs w:val="21"/>
          <w:lang w:val="es-ES_tradnl"/>
        </w:rPr>
        <w:t xml:space="preserve"> beneficiaria</w:t>
      </w:r>
      <w:r w:rsidR="00D16CC3" w:rsidRPr="00C916AB">
        <w:rPr>
          <w:rFonts w:ascii="Cambria" w:eastAsia="Calibri" w:hAnsi="Cambria" w:cs="Times New Roman"/>
          <w:sz w:val="21"/>
          <w:szCs w:val="21"/>
          <w:lang w:val="es-ES_tradnl"/>
        </w:rPr>
        <w:t>s</w:t>
      </w:r>
      <w:r w:rsidRPr="00C916AB">
        <w:rPr>
          <w:rFonts w:ascii="Cambria" w:eastAsia="Calibri" w:hAnsi="Cambria" w:cs="Times New Roman"/>
          <w:sz w:val="21"/>
          <w:szCs w:val="21"/>
          <w:lang w:val="es-ES_tradnl"/>
        </w:rPr>
        <w:t>.</w:t>
      </w:r>
    </w:p>
    <w:p w:rsidR="00903883" w:rsidRPr="00C916AB" w:rsidRDefault="00903883" w:rsidP="000519A9">
      <w:pPr>
        <w:spacing w:after="0" w:line="240" w:lineRule="auto"/>
        <w:ind w:left="360"/>
        <w:contextualSpacing/>
        <w:jc w:val="both"/>
        <w:rPr>
          <w:rFonts w:ascii="Cambria" w:eastAsia="Calibri" w:hAnsi="Cambria" w:cs="Times New Roman"/>
          <w:sz w:val="21"/>
          <w:szCs w:val="21"/>
          <w:lang w:val="es-ES_tradnl"/>
        </w:rPr>
      </w:pPr>
    </w:p>
    <w:p w:rsidR="00E77B47" w:rsidRPr="00C916AB" w:rsidRDefault="00E77B47" w:rsidP="000519A9">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Respecto al requisito de urgencia, a la luz del análisis previamente realiza</w:t>
      </w:r>
      <w:r w:rsidR="008747B5" w:rsidRPr="00C916AB">
        <w:rPr>
          <w:rFonts w:ascii="Cambria" w:eastAsia="Calibri" w:hAnsi="Cambria" w:cs="Times New Roman"/>
          <w:sz w:val="21"/>
          <w:szCs w:val="21"/>
          <w:lang w:val="es-ES_tradnl"/>
        </w:rPr>
        <w:t>do, la Comisión considera que la</w:t>
      </w:r>
      <w:r w:rsidR="00E731F1" w:rsidRPr="00C916AB">
        <w:rPr>
          <w:rFonts w:ascii="Cambria" w:eastAsia="Calibri" w:hAnsi="Cambria" w:cs="Times New Roman"/>
          <w:sz w:val="21"/>
          <w:szCs w:val="21"/>
          <w:lang w:val="es-ES_tradnl"/>
        </w:rPr>
        <w:t>s</w:t>
      </w:r>
      <w:r w:rsidR="008747B5" w:rsidRPr="00C916AB">
        <w:rPr>
          <w:rFonts w:ascii="Cambria" w:eastAsia="Calibri" w:hAnsi="Cambria" w:cs="Times New Roman"/>
          <w:sz w:val="21"/>
          <w:szCs w:val="21"/>
          <w:lang w:val="es-ES_tradnl"/>
        </w:rPr>
        <w:t xml:space="preserve"> </w:t>
      </w:r>
      <w:r w:rsidR="00E731F1" w:rsidRPr="00C916AB">
        <w:rPr>
          <w:rFonts w:ascii="Cambria" w:eastAsia="Calibri" w:hAnsi="Cambria" w:cs="Times New Roman"/>
          <w:sz w:val="21"/>
          <w:szCs w:val="21"/>
          <w:lang w:val="es-ES_tradnl"/>
        </w:rPr>
        <w:t xml:space="preserve">personas </w:t>
      </w:r>
      <w:r w:rsidR="008747B5" w:rsidRPr="00C916AB">
        <w:rPr>
          <w:rFonts w:ascii="Cambria" w:eastAsia="Calibri" w:hAnsi="Cambria" w:cs="Times New Roman"/>
          <w:sz w:val="21"/>
          <w:szCs w:val="21"/>
          <w:lang w:val="es-ES_tradnl"/>
        </w:rPr>
        <w:t>propuesta</w:t>
      </w:r>
      <w:r w:rsidR="00E731F1" w:rsidRPr="00C916AB">
        <w:rPr>
          <w:rFonts w:ascii="Cambria" w:eastAsia="Calibri" w:hAnsi="Cambria" w:cs="Times New Roman"/>
          <w:sz w:val="21"/>
          <w:szCs w:val="21"/>
          <w:lang w:val="es-ES_tradnl"/>
        </w:rPr>
        <w:t>s</w:t>
      </w:r>
      <w:r w:rsidR="008747B5" w:rsidRPr="00C916AB">
        <w:rPr>
          <w:rFonts w:ascii="Cambria" w:eastAsia="Calibri" w:hAnsi="Cambria" w:cs="Times New Roman"/>
          <w:sz w:val="21"/>
          <w:szCs w:val="21"/>
          <w:lang w:val="es-ES_tradnl"/>
        </w:rPr>
        <w:t xml:space="preserve"> beneficiaria</w:t>
      </w:r>
      <w:r w:rsidR="00E731F1" w:rsidRPr="00C916AB">
        <w:rPr>
          <w:rFonts w:ascii="Cambria" w:eastAsia="Calibri" w:hAnsi="Cambria" w:cs="Times New Roman"/>
          <w:sz w:val="21"/>
          <w:szCs w:val="21"/>
          <w:lang w:val="es-ES_tradnl"/>
        </w:rPr>
        <w:t>s</w:t>
      </w:r>
      <w:r w:rsidR="00BD2AAB" w:rsidRPr="00C916AB">
        <w:rPr>
          <w:rFonts w:ascii="Cambria" w:eastAsia="Calibri" w:hAnsi="Cambria" w:cs="Times New Roman"/>
          <w:sz w:val="21"/>
          <w:szCs w:val="21"/>
          <w:lang w:val="es-ES_tradnl"/>
        </w:rPr>
        <w:t xml:space="preserve"> podría</w:t>
      </w:r>
      <w:r w:rsidR="00E731F1" w:rsidRPr="00C916AB">
        <w:rPr>
          <w:rFonts w:ascii="Cambria" w:eastAsia="Calibri" w:hAnsi="Cambria" w:cs="Times New Roman"/>
          <w:sz w:val="21"/>
          <w:szCs w:val="21"/>
          <w:lang w:val="es-ES_tradnl"/>
        </w:rPr>
        <w:t>n</w:t>
      </w:r>
      <w:r w:rsidR="00BD2AAB" w:rsidRPr="00C916AB">
        <w:rPr>
          <w:rFonts w:ascii="Cambria" w:eastAsia="Calibri" w:hAnsi="Cambria" w:cs="Times New Roman"/>
          <w:sz w:val="21"/>
          <w:szCs w:val="21"/>
          <w:lang w:val="es-ES_tradnl"/>
        </w:rPr>
        <w:t xml:space="preserve"> verse expuesta</w:t>
      </w:r>
      <w:r w:rsidR="00E731F1" w:rsidRPr="00C916AB">
        <w:rPr>
          <w:rFonts w:ascii="Cambria" w:eastAsia="Calibri" w:hAnsi="Cambria" w:cs="Times New Roman"/>
          <w:sz w:val="21"/>
          <w:szCs w:val="21"/>
          <w:lang w:val="es-ES_tradnl"/>
        </w:rPr>
        <w:t>s</w:t>
      </w:r>
      <w:r w:rsidRPr="00C916AB">
        <w:rPr>
          <w:rFonts w:ascii="Cambria" w:eastAsia="Calibri" w:hAnsi="Cambria" w:cs="Times New Roman"/>
          <w:sz w:val="21"/>
          <w:szCs w:val="21"/>
          <w:lang w:val="es-ES_tradnl"/>
        </w:rPr>
        <w:t xml:space="preserve"> a una posi</w:t>
      </w:r>
      <w:r w:rsidR="00E731F1" w:rsidRPr="00C916AB">
        <w:rPr>
          <w:rFonts w:ascii="Cambria" w:eastAsia="Calibri" w:hAnsi="Cambria" w:cs="Times New Roman"/>
          <w:sz w:val="21"/>
          <w:szCs w:val="21"/>
          <w:lang w:val="es-ES_tradnl"/>
        </w:rPr>
        <w:t xml:space="preserve">bilidad latente de ser sometidas </w:t>
      </w:r>
      <w:r w:rsidRPr="00C916AB">
        <w:rPr>
          <w:rFonts w:ascii="Cambria" w:eastAsia="Calibri" w:hAnsi="Cambria" w:cs="Times New Roman"/>
          <w:sz w:val="21"/>
          <w:szCs w:val="21"/>
          <w:lang w:val="es-ES_tradnl"/>
        </w:rPr>
        <w:t>a actos de agresión,</w:t>
      </w:r>
      <w:r w:rsidR="008F559C" w:rsidRPr="00C916AB">
        <w:rPr>
          <w:rFonts w:ascii="Cambria" w:eastAsia="Calibri" w:hAnsi="Cambria" w:cs="Times New Roman"/>
          <w:sz w:val="21"/>
          <w:szCs w:val="21"/>
          <w:lang w:val="es-ES_tradnl"/>
        </w:rPr>
        <w:t xml:space="preserve"> máxime teniendo en cuenta </w:t>
      </w:r>
      <w:r w:rsidR="00E731F1" w:rsidRPr="00C916AB">
        <w:rPr>
          <w:rFonts w:ascii="Cambria" w:eastAsia="Calibri" w:hAnsi="Cambria" w:cs="Times New Roman"/>
          <w:sz w:val="21"/>
          <w:szCs w:val="21"/>
          <w:lang w:val="es-ES_tradnl"/>
        </w:rPr>
        <w:t xml:space="preserve">los hechos acaecidos en contra de su familiar y los posteriores hostigamientos a sus familiares, </w:t>
      </w:r>
      <w:r w:rsidRPr="00C916AB">
        <w:rPr>
          <w:rFonts w:ascii="Cambria" w:eastAsia="Calibri" w:hAnsi="Cambria" w:cs="Times New Roman"/>
          <w:sz w:val="21"/>
          <w:szCs w:val="21"/>
          <w:lang w:val="es-ES_tradnl"/>
        </w:rPr>
        <w:t>requiriéndose así la adopción de medidas inmediatas para salvaguardar sus derechos.</w:t>
      </w:r>
    </w:p>
    <w:p w:rsidR="00903883" w:rsidRPr="00C916AB" w:rsidRDefault="00903883" w:rsidP="000519A9">
      <w:pPr>
        <w:spacing w:after="0" w:line="240" w:lineRule="auto"/>
        <w:ind w:left="360"/>
        <w:contextualSpacing/>
        <w:jc w:val="both"/>
        <w:rPr>
          <w:rFonts w:ascii="Cambria" w:eastAsia="Calibri" w:hAnsi="Cambria" w:cs="Times New Roman"/>
          <w:sz w:val="21"/>
          <w:szCs w:val="21"/>
          <w:lang w:val="es-ES_tradnl"/>
        </w:rPr>
      </w:pPr>
    </w:p>
    <w:p w:rsidR="00E77B47" w:rsidRPr="00C916AB" w:rsidRDefault="00E77B47" w:rsidP="000519A9">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En cuanto al requisito de </w:t>
      </w:r>
      <w:proofErr w:type="spellStart"/>
      <w:r w:rsidRPr="00C916AB">
        <w:rPr>
          <w:rFonts w:ascii="Cambria" w:eastAsia="Calibri" w:hAnsi="Cambria" w:cs="Times New Roman"/>
          <w:sz w:val="21"/>
          <w:szCs w:val="21"/>
          <w:lang w:val="es-ES_tradnl"/>
        </w:rPr>
        <w:t>irreparabilidad</w:t>
      </w:r>
      <w:proofErr w:type="spellEnd"/>
      <w:r w:rsidRPr="00C916AB">
        <w:rPr>
          <w:rFonts w:ascii="Cambria" w:eastAsia="Calibri" w:hAnsi="Cambria" w:cs="Times New Roman"/>
          <w:sz w:val="21"/>
          <w:szCs w:val="21"/>
          <w:lang w:val="es-ES_tradnl"/>
        </w:rPr>
        <w:t xml:space="preserve">, la Comisión sostiene que se encuentra cumplido, en la medida que la potencial afectación a los derechos a la vida e integridad personal constituye la máxima situación de </w:t>
      </w:r>
      <w:proofErr w:type="spellStart"/>
      <w:r w:rsidRPr="00C916AB">
        <w:rPr>
          <w:rFonts w:ascii="Cambria" w:eastAsia="Calibri" w:hAnsi="Cambria" w:cs="Times New Roman"/>
          <w:sz w:val="21"/>
          <w:szCs w:val="21"/>
          <w:lang w:val="es-ES_tradnl"/>
        </w:rPr>
        <w:t>irreparabilidad</w:t>
      </w:r>
      <w:proofErr w:type="spellEnd"/>
      <w:r w:rsidRPr="00C916AB">
        <w:rPr>
          <w:rFonts w:ascii="Cambria" w:eastAsia="Calibri" w:hAnsi="Cambria" w:cs="Times New Roman"/>
          <w:sz w:val="21"/>
          <w:szCs w:val="21"/>
          <w:lang w:val="es-ES_tradnl"/>
        </w:rPr>
        <w:t>.</w:t>
      </w:r>
    </w:p>
    <w:p w:rsidR="00796F91" w:rsidRPr="00C916AB" w:rsidRDefault="00796F91" w:rsidP="00796F91">
      <w:pPr>
        <w:spacing w:after="0" w:line="240" w:lineRule="auto"/>
        <w:ind w:left="360"/>
        <w:contextualSpacing/>
        <w:jc w:val="both"/>
        <w:rPr>
          <w:rFonts w:ascii="Cambria" w:eastAsia="Calibri" w:hAnsi="Cambria" w:cs="Times New Roman"/>
          <w:sz w:val="21"/>
          <w:szCs w:val="21"/>
          <w:lang w:val="es-ES_tradnl"/>
        </w:rPr>
      </w:pPr>
    </w:p>
    <w:p w:rsidR="00796F91" w:rsidRPr="00C916AB" w:rsidRDefault="00796F91" w:rsidP="000519A9">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rPr>
        <w:t xml:space="preserve">Bajo el Artículo 25.5 de su Reglamento, la Comisión generalmente solicita información al Estado antes de adoptar una decisión sobre una solicitud de medidas cautelares, excepto en asuntos en los </w:t>
      </w:r>
      <w:r w:rsidRPr="00C916AB">
        <w:rPr>
          <w:rFonts w:ascii="Cambria" w:eastAsia="Calibri" w:hAnsi="Cambria" w:cs="Times New Roman"/>
          <w:sz w:val="21"/>
          <w:szCs w:val="21"/>
        </w:rPr>
        <w:lastRenderedPageBreak/>
        <w:t xml:space="preserve">cuales la inmediatez del daño potencial no permite demoras. Teniendo en cuenta </w:t>
      </w:r>
      <w:r w:rsidRPr="00C916AB">
        <w:rPr>
          <w:rFonts w:ascii="Cambria" w:eastAsia="Calibri" w:hAnsi="Cambria" w:cs="Times New Roman"/>
          <w:sz w:val="21"/>
          <w:szCs w:val="21"/>
          <w:lang w:val="es-ES_tradnl"/>
        </w:rPr>
        <w:t xml:space="preserve">las </w:t>
      </w:r>
      <w:r w:rsidR="00004A09" w:rsidRPr="00C916AB">
        <w:rPr>
          <w:rFonts w:ascii="Cambria" w:eastAsia="Calibri" w:hAnsi="Cambria" w:cs="Times New Roman"/>
          <w:sz w:val="21"/>
          <w:szCs w:val="21"/>
          <w:lang w:val="es-ES_tradnl"/>
        </w:rPr>
        <w:t xml:space="preserve">presuntas </w:t>
      </w:r>
      <w:r w:rsidRPr="00C916AB">
        <w:rPr>
          <w:rFonts w:ascii="Cambria" w:eastAsia="Calibri" w:hAnsi="Cambria" w:cs="Times New Roman"/>
          <w:sz w:val="21"/>
          <w:szCs w:val="21"/>
          <w:lang w:val="es-ES_tradnl"/>
        </w:rPr>
        <w:t xml:space="preserve">circunstancias </w:t>
      </w:r>
      <w:r w:rsidR="00004A09" w:rsidRPr="00C916AB">
        <w:rPr>
          <w:rFonts w:ascii="Cambria" w:eastAsia="Calibri" w:hAnsi="Cambria" w:cs="Times New Roman"/>
          <w:sz w:val="21"/>
          <w:szCs w:val="21"/>
          <w:lang w:val="es-ES_tradnl"/>
        </w:rPr>
        <w:t xml:space="preserve">del presente asunto, incluida </w:t>
      </w:r>
      <w:r w:rsidRPr="00C916AB">
        <w:rPr>
          <w:rFonts w:ascii="Cambria" w:eastAsia="Calibri" w:hAnsi="Cambria" w:cs="Times New Roman"/>
          <w:sz w:val="21"/>
          <w:szCs w:val="21"/>
          <w:lang w:val="es-ES_tradnl"/>
        </w:rPr>
        <w:t>la muerte del señor Rafael Acosta Arévalo</w:t>
      </w:r>
      <w:r w:rsidRPr="00C916AB">
        <w:rPr>
          <w:rFonts w:ascii="Cambria" w:eastAsia="Calibri" w:hAnsi="Cambria" w:cs="Times New Roman"/>
          <w:sz w:val="21"/>
          <w:szCs w:val="21"/>
        </w:rPr>
        <w:t xml:space="preserve"> </w:t>
      </w:r>
      <w:r w:rsidR="00004A09" w:rsidRPr="00C916AB">
        <w:rPr>
          <w:rFonts w:ascii="Cambria" w:eastAsia="Calibri" w:hAnsi="Cambria" w:cs="Times New Roman"/>
          <w:sz w:val="21"/>
          <w:szCs w:val="21"/>
        </w:rPr>
        <w:t xml:space="preserve">en el marco del contexto </w:t>
      </w:r>
      <w:r w:rsidRPr="00C916AB">
        <w:rPr>
          <w:rFonts w:ascii="Cambria" w:eastAsia="Calibri" w:hAnsi="Cambria" w:cs="Times New Roman"/>
          <w:sz w:val="21"/>
          <w:szCs w:val="21"/>
        </w:rPr>
        <w:t>en que tendrían lugar, la Comisión no considera pertinente requerir información adicional.</w:t>
      </w:r>
      <w:r w:rsidRPr="00C916AB">
        <w:rPr>
          <w:rFonts w:ascii="Cambria" w:eastAsia="Calibri" w:hAnsi="Cambria" w:cs="Times New Roman"/>
          <w:sz w:val="21"/>
          <w:szCs w:val="21"/>
          <w:lang w:val="es-ES_tradnl"/>
        </w:rPr>
        <w:t xml:space="preserve"> </w:t>
      </w:r>
    </w:p>
    <w:p w:rsidR="00E77B47" w:rsidRPr="00C916AB" w:rsidRDefault="00E77B47" w:rsidP="00E77B47">
      <w:pPr>
        <w:spacing w:after="0" w:line="240" w:lineRule="auto"/>
        <w:contextualSpacing/>
        <w:jc w:val="both"/>
        <w:rPr>
          <w:rFonts w:ascii="Cambria" w:eastAsia="Calibri" w:hAnsi="Cambria" w:cs="Times New Roman"/>
          <w:lang w:val="es-CO"/>
        </w:rPr>
      </w:pPr>
    </w:p>
    <w:p w:rsidR="00E77B47" w:rsidRPr="00C916AB" w:rsidRDefault="00E731F1" w:rsidP="00585EBB">
      <w:pPr>
        <w:numPr>
          <w:ilvl w:val="0"/>
          <w:numId w:val="3"/>
        </w:numPr>
        <w:spacing w:after="0" w:line="240" w:lineRule="auto"/>
        <w:ind w:left="360" w:firstLine="180"/>
        <w:contextualSpacing/>
        <w:jc w:val="both"/>
        <w:rPr>
          <w:rFonts w:ascii="Cambria" w:eastAsia="Calibri" w:hAnsi="Cambria" w:cs="Times New Roman"/>
          <w:b/>
          <w:lang w:val="es-ES_tradnl"/>
        </w:rPr>
      </w:pPr>
      <w:r w:rsidRPr="00C916AB">
        <w:rPr>
          <w:rFonts w:ascii="Cambria" w:eastAsia="Calibri" w:hAnsi="Cambria" w:cs="Times New Roman"/>
          <w:b/>
          <w:lang w:val="es-ES_tradnl"/>
        </w:rPr>
        <w:t>BENEFICIARIOS</w:t>
      </w:r>
    </w:p>
    <w:p w:rsidR="00E77B47" w:rsidRPr="00C916AB" w:rsidRDefault="00E77B47" w:rsidP="00E77B47">
      <w:pPr>
        <w:spacing w:after="0" w:line="240" w:lineRule="auto"/>
        <w:ind w:left="540"/>
        <w:contextualSpacing/>
        <w:jc w:val="both"/>
        <w:rPr>
          <w:rFonts w:ascii="Cambria" w:eastAsia="Calibri" w:hAnsi="Cambria" w:cs="Times New Roman"/>
          <w:b/>
          <w:lang w:val="es-ES_tradnl"/>
        </w:rPr>
      </w:pPr>
    </w:p>
    <w:p w:rsidR="00E77B47" w:rsidRPr="00C916AB" w:rsidRDefault="0041748B" w:rsidP="00B92C6F">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La Comisión declara que la</w:t>
      </w:r>
      <w:r w:rsidR="00E731F1" w:rsidRPr="00C916AB">
        <w:rPr>
          <w:rFonts w:ascii="Cambria" w:eastAsia="Calibri" w:hAnsi="Cambria" w:cs="Times New Roman"/>
          <w:sz w:val="21"/>
          <w:szCs w:val="21"/>
          <w:lang w:val="es-ES_tradnl"/>
        </w:rPr>
        <w:t>s personas</w:t>
      </w:r>
      <w:r w:rsidRPr="00C916AB">
        <w:rPr>
          <w:rFonts w:ascii="Cambria" w:eastAsia="Calibri" w:hAnsi="Cambria" w:cs="Times New Roman"/>
          <w:sz w:val="21"/>
          <w:szCs w:val="21"/>
          <w:lang w:val="es-ES_tradnl"/>
        </w:rPr>
        <w:t xml:space="preserve"> beneficiaria</w:t>
      </w:r>
      <w:r w:rsidR="00E731F1" w:rsidRPr="00C916AB">
        <w:rPr>
          <w:rFonts w:ascii="Cambria" w:eastAsia="Calibri" w:hAnsi="Cambria" w:cs="Times New Roman"/>
          <w:sz w:val="21"/>
          <w:szCs w:val="21"/>
          <w:lang w:val="es-ES_tradnl"/>
        </w:rPr>
        <w:t>s</w:t>
      </w:r>
      <w:r w:rsidR="00E77B47" w:rsidRPr="00C916AB">
        <w:rPr>
          <w:rFonts w:ascii="Cambria" w:eastAsia="Calibri" w:hAnsi="Cambria" w:cs="Times New Roman"/>
          <w:sz w:val="21"/>
          <w:szCs w:val="21"/>
          <w:lang w:val="es-ES_tradnl"/>
        </w:rPr>
        <w:t xml:space="preserve"> de l</w:t>
      </w:r>
      <w:r w:rsidR="004F34FC" w:rsidRPr="00C916AB">
        <w:rPr>
          <w:rFonts w:ascii="Cambria" w:eastAsia="Calibri" w:hAnsi="Cambria" w:cs="Times New Roman"/>
          <w:sz w:val="21"/>
          <w:szCs w:val="21"/>
          <w:lang w:val="es-ES_tradnl"/>
        </w:rPr>
        <w:t xml:space="preserve">a presente medida cautelar </w:t>
      </w:r>
      <w:r w:rsidR="00E731F1" w:rsidRPr="00C916AB">
        <w:rPr>
          <w:rFonts w:ascii="Cambria" w:eastAsia="Calibri" w:hAnsi="Cambria" w:cs="Times New Roman"/>
          <w:sz w:val="21"/>
          <w:szCs w:val="21"/>
          <w:lang w:val="es-ES_tradnl"/>
        </w:rPr>
        <w:t>son los familiares del señor Rafael Acosta Arévalo</w:t>
      </w:r>
      <w:r w:rsidR="00E77B47" w:rsidRPr="00C916AB">
        <w:rPr>
          <w:rFonts w:ascii="Cambria" w:eastAsia="Calibri" w:hAnsi="Cambria" w:cs="Times New Roman"/>
          <w:sz w:val="21"/>
          <w:szCs w:val="21"/>
          <w:lang w:val="es-ES_tradnl"/>
        </w:rPr>
        <w:t>, quien</w:t>
      </w:r>
      <w:r w:rsidR="00E731F1" w:rsidRPr="00C916AB">
        <w:rPr>
          <w:rFonts w:ascii="Cambria" w:eastAsia="Calibri" w:hAnsi="Cambria" w:cs="Times New Roman"/>
          <w:sz w:val="21"/>
          <w:szCs w:val="21"/>
          <w:lang w:val="es-ES_tradnl"/>
        </w:rPr>
        <w:t>es</w:t>
      </w:r>
      <w:r w:rsidR="00E77B47" w:rsidRPr="00C916AB">
        <w:rPr>
          <w:rFonts w:ascii="Cambria" w:eastAsia="Calibri" w:hAnsi="Cambria" w:cs="Times New Roman"/>
          <w:sz w:val="21"/>
          <w:szCs w:val="21"/>
          <w:lang w:val="es-ES_tradnl"/>
        </w:rPr>
        <w:t xml:space="preserve"> se halla</w:t>
      </w:r>
      <w:r w:rsidR="00E731F1" w:rsidRPr="00C916AB">
        <w:rPr>
          <w:rFonts w:ascii="Cambria" w:eastAsia="Calibri" w:hAnsi="Cambria" w:cs="Times New Roman"/>
          <w:sz w:val="21"/>
          <w:szCs w:val="21"/>
          <w:lang w:val="es-ES_tradnl"/>
        </w:rPr>
        <w:t>n</w:t>
      </w:r>
      <w:r w:rsidR="00E77B47" w:rsidRPr="00C916AB">
        <w:rPr>
          <w:rFonts w:ascii="Cambria" w:eastAsia="Calibri" w:hAnsi="Cambria" w:cs="Times New Roman"/>
          <w:sz w:val="21"/>
          <w:szCs w:val="21"/>
          <w:lang w:val="es-ES_tradnl"/>
        </w:rPr>
        <w:t xml:space="preserve"> debidamente iden</w:t>
      </w:r>
      <w:r w:rsidR="00E731F1" w:rsidRPr="00C916AB">
        <w:rPr>
          <w:rFonts w:ascii="Cambria" w:eastAsia="Calibri" w:hAnsi="Cambria" w:cs="Times New Roman"/>
          <w:sz w:val="21"/>
          <w:szCs w:val="21"/>
          <w:lang w:val="es-ES_tradnl"/>
        </w:rPr>
        <w:t>tificadas</w:t>
      </w:r>
      <w:r w:rsidR="004F34FC" w:rsidRPr="00C916AB">
        <w:rPr>
          <w:rFonts w:ascii="Cambria" w:eastAsia="Calibri" w:hAnsi="Cambria" w:cs="Times New Roman"/>
          <w:sz w:val="21"/>
          <w:szCs w:val="21"/>
          <w:lang w:val="es-ES_tradnl"/>
        </w:rPr>
        <w:t xml:space="preserve"> en este procedimiento.</w:t>
      </w:r>
    </w:p>
    <w:p w:rsidR="00E77B47" w:rsidRPr="00C916AB" w:rsidRDefault="00E77B47" w:rsidP="00E77B47">
      <w:pPr>
        <w:spacing w:after="0" w:line="240" w:lineRule="auto"/>
        <w:contextualSpacing/>
        <w:jc w:val="both"/>
        <w:rPr>
          <w:rFonts w:ascii="Cambria" w:eastAsia="Calibri" w:hAnsi="Cambria" w:cs="Times New Roman"/>
          <w:sz w:val="21"/>
          <w:szCs w:val="21"/>
          <w:lang w:val="es-MX"/>
        </w:rPr>
      </w:pPr>
    </w:p>
    <w:p w:rsidR="00E77B47" w:rsidRPr="00C916AB" w:rsidRDefault="00E77B47" w:rsidP="00796F91">
      <w:pPr>
        <w:numPr>
          <w:ilvl w:val="0"/>
          <w:numId w:val="3"/>
        </w:numPr>
        <w:spacing w:after="0" w:line="240" w:lineRule="auto"/>
        <w:ind w:left="0" w:firstLine="54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DECISIÓN</w:t>
      </w:r>
    </w:p>
    <w:p w:rsidR="00E77B47" w:rsidRPr="00C916AB" w:rsidRDefault="00E77B47" w:rsidP="00E77B47">
      <w:pPr>
        <w:spacing w:after="0" w:line="240" w:lineRule="auto"/>
        <w:ind w:left="360"/>
        <w:contextualSpacing/>
        <w:jc w:val="both"/>
        <w:rPr>
          <w:rFonts w:ascii="Cambria" w:eastAsia="Calibri" w:hAnsi="Cambria" w:cs="Times New Roman"/>
          <w:sz w:val="21"/>
          <w:szCs w:val="21"/>
          <w:lang w:val="es-MX"/>
        </w:rPr>
      </w:pPr>
    </w:p>
    <w:p w:rsidR="00E77B47" w:rsidRPr="00C916AB" w:rsidRDefault="00E77B47" w:rsidP="00B92C6F">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considera que el presente asunto reúne </w:t>
      </w:r>
      <w:r w:rsidRPr="00C916AB">
        <w:rPr>
          <w:rFonts w:ascii="Cambria" w:eastAsia="Calibri" w:hAnsi="Cambria" w:cs="Times New Roman"/>
          <w:i/>
          <w:sz w:val="21"/>
          <w:szCs w:val="21"/>
          <w:lang w:val="es-ES_tradnl"/>
        </w:rPr>
        <w:t>prima facie</w:t>
      </w:r>
      <w:r w:rsidRPr="00C916AB">
        <w:rPr>
          <w:rFonts w:ascii="Cambria" w:eastAsia="Calibri" w:hAnsi="Cambria" w:cs="Times New Roman"/>
          <w:sz w:val="21"/>
          <w:szCs w:val="21"/>
          <w:lang w:val="es-ES_tradnl"/>
        </w:rPr>
        <w:t xml:space="preserve"> los requisitos de gravedad, urgencia e </w:t>
      </w:r>
      <w:proofErr w:type="spellStart"/>
      <w:r w:rsidRPr="00C916AB">
        <w:rPr>
          <w:rFonts w:ascii="Cambria" w:eastAsia="Calibri" w:hAnsi="Cambria" w:cs="Times New Roman"/>
          <w:sz w:val="21"/>
          <w:szCs w:val="21"/>
          <w:lang w:val="es-ES_tradnl"/>
        </w:rPr>
        <w:t>irreparabilidad</w:t>
      </w:r>
      <w:proofErr w:type="spellEnd"/>
      <w:r w:rsidRPr="00C916AB">
        <w:rPr>
          <w:rFonts w:ascii="Cambria" w:eastAsia="Calibri" w:hAnsi="Cambria" w:cs="Times New Roman"/>
          <w:sz w:val="21"/>
          <w:szCs w:val="21"/>
          <w:lang w:val="es-ES_tradnl"/>
        </w:rPr>
        <w:t xml:space="preserve"> contenidos en el artículo 25 de su Reglamento. En consecuencia, la Comisión solicita al Estado de Venezuela que:</w:t>
      </w:r>
    </w:p>
    <w:p w:rsidR="00E77B47" w:rsidRPr="00C916AB" w:rsidRDefault="00E77B47" w:rsidP="00E77B47">
      <w:pPr>
        <w:spacing w:after="0" w:line="240" w:lineRule="auto"/>
        <w:contextualSpacing/>
        <w:jc w:val="both"/>
        <w:rPr>
          <w:rFonts w:ascii="Cambria" w:eastAsia="Calibri" w:hAnsi="Cambria" w:cs="Times New Roman"/>
          <w:lang w:val="es-MX"/>
        </w:rPr>
      </w:pPr>
    </w:p>
    <w:p w:rsidR="001B7038" w:rsidRPr="00C916AB" w:rsidRDefault="001B7038" w:rsidP="001B7038">
      <w:pPr>
        <w:numPr>
          <w:ilvl w:val="0"/>
          <w:numId w:val="5"/>
        </w:numPr>
        <w:spacing w:after="0" w:line="240" w:lineRule="auto"/>
        <w:ind w:left="709"/>
        <w:contextualSpacing/>
        <w:jc w:val="both"/>
        <w:rPr>
          <w:rFonts w:ascii="Cambria" w:eastAsia="Calibri" w:hAnsi="Cambria" w:cs="Times New Roman"/>
          <w:lang w:val="es-ES_tradnl"/>
        </w:rPr>
      </w:pPr>
      <w:r w:rsidRPr="00C916AB">
        <w:rPr>
          <w:rFonts w:ascii="Cambria" w:eastAsia="Calibri" w:hAnsi="Cambria" w:cs="Times New Roman"/>
          <w:lang w:val="es-ES_tradnl"/>
        </w:rPr>
        <w:t xml:space="preserve">adopte las medidas necesarias para proteger los derechos a vida e integridad personal de la </w:t>
      </w:r>
      <w:r w:rsidR="00585EBB" w:rsidRPr="00C916AB">
        <w:rPr>
          <w:rFonts w:ascii="Cambria" w:eastAsia="Calibri" w:hAnsi="Cambria" w:cs="Times New Roman"/>
          <w:lang w:val="es-ES_tradnl"/>
        </w:rPr>
        <w:t>familia del señor Rafael Acosta Arévalo</w:t>
      </w:r>
      <w:r w:rsidRPr="00C916AB">
        <w:rPr>
          <w:rFonts w:ascii="Cambria" w:eastAsia="Calibri" w:hAnsi="Cambria" w:cs="Times New Roman"/>
          <w:lang w:val="es-ES_tradnl"/>
        </w:rPr>
        <w:t>;</w:t>
      </w:r>
    </w:p>
    <w:p w:rsidR="001B7038" w:rsidRPr="00C916AB" w:rsidRDefault="001B7038" w:rsidP="001B7038">
      <w:pPr>
        <w:spacing w:after="0" w:line="240" w:lineRule="auto"/>
        <w:ind w:left="709"/>
        <w:contextualSpacing/>
        <w:jc w:val="both"/>
        <w:rPr>
          <w:rFonts w:ascii="Cambria" w:eastAsia="Calibri" w:hAnsi="Cambria" w:cs="Times New Roman"/>
          <w:lang w:val="es-ES_tradnl"/>
        </w:rPr>
      </w:pPr>
    </w:p>
    <w:p w:rsidR="00265385" w:rsidRPr="00C916AB" w:rsidRDefault="00585EBB" w:rsidP="00265385">
      <w:pPr>
        <w:numPr>
          <w:ilvl w:val="0"/>
          <w:numId w:val="5"/>
        </w:numPr>
        <w:spacing w:after="0" w:line="240" w:lineRule="auto"/>
        <w:contextualSpacing/>
        <w:jc w:val="both"/>
        <w:rPr>
          <w:rFonts w:ascii="Cambria" w:eastAsia="Calibri" w:hAnsi="Cambria" w:cs="Times New Roman"/>
          <w:lang w:val="es-MX"/>
        </w:rPr>
      </w:pPr>
      <w:r w:rsidRPr="00C916AB">
        <w:rPr>
          <w:rFonts w:ascii="Cambria" w:eastAsia="Calibri" w:hAnsi="Cambria" w:cs="Times New Roman"/>
          <w:lang w:val="es-ES"/>
        </w:rPr>
        <w:t>concierte las medidas a adoptarse con las personas propuestas beneficiarias y su representante</w:t>
      </w:r>
      <w:r w:rsidR="00265385" w:rsidRPr="00C916AB">
        <w:rPr>
          <w:rFonts w:ascii="Cambria" w:eastAsia="Calibri" w:hAnsi="Cambria" w:cs="Times New Roman"/>
          <w:lang w:val="es-MX"/>
        </w:rPr>
        <w:t>;</w:t>
      </w:r>
    </w:p>
    <w:p w:rsidR="00265385" w:rsidRPr="00C916AB" w:rsidRDefault="00265385" w:rsidP="00265385">
      <w:pPr>
        <w:spacing w:after="0" w:line="240" w:lineRule="auto"/>
        <w:contextualSpacing/>
        <w:jc w:val="both"/>
        <w:rPr>
          <w:rFonts w:ascii="Cambria" w:eastAsia="Calibri" w:hAnsi="Cambria" w:cs="Times New Roman"/>
          <w:lang w:val="es-MX"/>
        </w:rPr>
      </w:pPr>
    </w:p>
    <w:p w:rsidR="00E77B47" w:rsidRPr="00C916AB" w:rsidRDefault="00E77B47" w:rsidP="00E77B47">
      <w:pPr>
        <w:numPr>
          <w:ilvl w:val="0"/>
          <w:numId w:val="5"/>
        </w:numPr>
        <w:spacing w:after="0" w:line="240" w:lineRule="auto"/>
        <w:ind w:left="709"/>
        <w:contextualSpacing/>
        <w:jc w:val="both"/>
        <w:rPr>
          <w:rFonts w:ascii="Cambria" w:eastAsia="Calibri" w:hAnsi="Cambria" w:cs="Times New Roman"/>
          <w:lang w:val="es-MX"/>
        </w:rPr>
      </w:pPr>
      <w:r w:rsidRPr="00C916AB">
        <w:rPr>
          <w:rFonts w:ascii="Cambria" w:eastAsia="Calibri" w:hAnsi="Cambria" w:cs="Times New Roman"/>
          <w:lang w:val="es-ES_tradnl"/>
        </w:rPr>
        <w:t xml:space="preserve">informe sobre las </w:t>
      </w:r>
      <w:r w:rsidRPr="00C916AB">
        <w:rPr>
          <w:rFonts w:ascii="Cambria" w:eastAsia="Calibri" w:hAnsi="Cambria" w:cs="Times New Roman"/>
          <w:lang w:val="es-ES"/>
        </w:rPr>
        <w:t>acciones adoptadas a fin de investigar los hechos alegados que dieron lugar a la adopción de la presente medida cautelar y evitar así su repetición.</w:t>
      </w:r>
    </w:p>
    <w:p w:rsidR="00E77B47" w:rsidRPr="00C916AB" w:rsidRDefault="00E77B47" w:rsidP="00E77B47">
      <w:pPr>
        <w:spacing w:after="0" w:line="240" w:lineRule="auto"/>
        <w:contextualSpacing/>
        <w:jc w:val="both"/>
        <w:rPr>
          <w:rFonts w:ascii="Cambria" w:eastAsia="Calibri" w:hAnsi="Cambria" w:cs="Times New Roman"/>
          <w:lang w:val="es-AR"/>
        </w:rPr>
      </w:pPr>
    </w:p>
    <w:p w:rsidR="00E77B47" w:rsidRPr="00C916AB" w:rsidRDefault="00E77B47" w:rsidP="00B92C6F">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La Comisión solicita al Estado de Venezuela que informe, dentro del plazo de 15 días, contados a partir de la fecha de la presente resolución, sobre la adopción de las medidas cautelares requeridas y actualizar dicha información en forma periódica. La Comisión valorará oportunamente la información que sea aportada por el Estado para decidir sobre el mantenimiento de la presente medida cautelar.</w:t>
      </w:r>
    </w:p>
    <w:p w:rsidR="00E77B47" w:rsidRPr="00C916AB" w:rsidRDefault="00E77B47" w:rsidP="00B92C6F">
      <w:pPr>
        <w:spacing w:after="0" w:line="240" w:lineRule="auto"/>
        <w:ind w:left="360"/>
        <w:contextualSpacing/>
        <w:jc w:val="both"/>
        <w:rPr>
          <w:rFonts w:ascii="Cambria" w:eastAsia="Calibri" w:hAnsi="Cambria" w:cs="Times New Roman"/>
          <w:sz w:val="21"/>
          <w:szCs w:val="21"/>
          <w:lang w:val="es-ES_tradnl"/>
        </w:rPr>
      </w:pPr>
    </w:p>
    <w:p w:rsidR="00E77B47" w:rsidRPr="00C916AB" w:rsidRDefault="00E77B47" w:rsidP="00B92C6F">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resalta que, de acuerdo con el artículo 25 (8) de su Reglamento, el otorgamiento de la presente medida cautelar y su adopción por el Estado no constituyen prejuzgamiento sobre violación alguna a los derechos protegidos </w:t>
      </w:r>
      <w:r w:rsidR="007F4F22" w:rsidRPr="00C916AB">
        <w:rPr>
          <w:rFonts w:ascii="Cambria" w:eastAsia="Calibri" w:hAnsi="Cambria" w:cs="Times New Roman"/>
          <w:sz w:val="21"/>
          <w:szCs w:val="21"/>
          <w:lang w:val="es-ES_tradnl"/>
        </w:rPr>
        <w:t>de acuerdo con los instrumentos aplicables</w:t>
      </w:r>
      <w:r w:rsidRPr="00C916AB">
        <w:rPr>
          <w:rFonts w:ascii="Cambria" w:eastAsia="Calibri" w:hAnsi="Cambria" w:cs="Times New Roman"/>
          <w:sz w:val="21"/>
          <w:szCs w:val="21"/>
          <w:lang w:val="es-ES_tradnl"/>
        </w:rPr>
        <w:t xml:space="preserve">. </w:t>
      </w:r>
    </w:p>
    <w:p w:rsidR="007F4F22" w:rsidRPr="00C916AB" w:rsidRDefault="007F4F22" w:rsidP="007F4F22">
      <w:pPr>
        <w:spacing w:after="0" w:line="240" w:lineRule="auto"/>
        <w:ind w:left="360"/>
        <w:contextualSpacing/>
        <w:jc w:val="both"/>
        <w:rPr>
          <w:rFonts w:ascii="Cambria" w:eastAsia="Calibri" w:hAnsi="Cambria" w:cs="Times New Roman"/>
          <w:sz w:val="21"/>
          <w:szCs w:val="21"/>
          <w:lang w:val="es-ES_tradnl"/>
        </w:rPr>
      </w:pPr>
    </w:p>
    <w:p w:rsidR="007F4F22" w:rsidRPr="00C916AB" w:rsidRDefault="007F4F22" w:rsidP="007F4F22">
      <w:pPr>
        <w:numPr>
          <w:ilvl w:val="0"/>
          <w:numId w:val="1"/>
        </w:numPr>
        <w:spacing w:after="0" w:line="240" w:lineRule="auto"/>
        <w:ind w:left="0" w:firstLine="360"/>
        <w:contextualSpacing/>
        <w:jc w:val="both"/>
        <w:rPr>
          <w:rFonts w:ascii="Cambria" w:eastAsia="Calibri" w:hAnsi="Cambria" w:cs="Times New Roman"/>
          <w:sz w:val="21"/>
          <w:szCs w:val="21"/>
          <w:lang w:val="es-PE"/>
        </w:rPr>
      </w:pPr>
      <w:r w:rsidRPr="00C916AB">
        <w:rPr>
          <w:rFonts w:ascii="Cambria" w:eastAsia="Calibri" w:hAnsi="Cambria" w:cs="Times New Roman"/>
          <w:sz w:val="21"/>
          <w:szCs w:val="21"/>
          <w:lang w:val="es-PE"/>
        </w:rPr>
        <w:t xml:space="preserve">La Comisión de conformidad con el artículo 25.5 del Reglamento revisará la pertinencia de mantener </w:t>
      </w:r>
      <w:r w:rsidRPr="00C916AB">
        <w:rPr>
          <w:rFonts w:ascii="Cambria" w:eastAsia="Calibri" w:hAnsi="Cambria" w:cs="Times New Roman"/>
          <w:sz w:val="21"/>
          <w:szCs w:val="21"/>
          <w:lang w:val="es-ES_tradnl"/>
        </w:rPr>
        <w:t>vigente</w:t>
      </w:r>
      <w:r w:rsidRPr="00C916AB">
        <w:rPr>
          <w:rFonts w:ascii="Cambria" w:eastAsia="Calibri" w:hAnsi="Cambria" w:cs="Times New Roman"/>
          <w:sz w:val="21"/>
          <w:szCs w:val="21"/>
          <w:lang w:val="es-PE"/>
        </w:rPr>
        <w:t xml:space="preserve"> la presente medida cautelar o bien proceder a su levantamiento. Para ello, la Comisión tendrá en cuenta la información que sea aportada por el Estado de Venezuela.</w:t>
      </w:r>
    </w:p>
    <w:p w:rsidR="00E77B47" w:rsidRPr="00C916AB" w:rsidRDefault="00E77B47" w:rsidP="00B92C6F">
      <w:pPr>
        <w:spacing w:after="0" w:line="240" w:lineRule="auto"/>
        <w:ind w:left="360"/>
        <w:contextualSpacing/>
        <w:jc w:val="both"/>
        <w:rPr>
          <w:rFonts w:ascii="Cambria" w:eastAsia="Calibri" w:hAnsi="Cambria" w:cs="Times New Roman"/>
          <w:sz w:val="21"/>
          <w:szCs w:val="21"/>
          <w:lang w:val="es-ES_tradnl"/>
        </w:rPr>
      </w:pPr>
    </w:p>
    <w:p w:rsidR="00C916AB" w:rsidRDefault="00E77B47" w:rsidP="00C916AB">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La Comisión instruye a su Secretaría Ejecutiva que notifique la pr</w:t>
      </w:r>
      <w:r w:rsidR="001B7038" w:rsidRPr="00C916AB">
        <w:rPr>
          <w:rFonts w:ascii="Cambria" w:eastAsia="Calibri" w:hAnsi="Cambria" w:cs="Times New Roman"/>
          <w:sz w:val="21"/>
          <w:szCs w:val="21"/>
          <w:lang w:val="es-ES_tradnl"/>
        </w:rPr>
        <w:t xml:space="preserve">esente resolución al Estado de </w:t>
      </w:r>
      <w:r w:rsidRPr="00C916AB">
        <w:rPr>
          <w:rFonts w:ascii="Cambria" w:eastAsia="Calibri" w:hAnsi="Cambria" w:cs="Times New Roman"/>
          <w:sz w:val="21"/>
          <w:szCs w:val="21"/>
          <w:lang w:val="es-ES_tradnl"/>
        </w:rPr>
        <w:t>Venezuela</w:t>
      </w:r>
      <w:r w:rsidR="001B7038" w:rsidRPr="00C916AB">
        <w:rPr>
          <w:rFonts w:ascii="Cambria" w:eastAsia="Calibri" w:hAnsi="Cambria" w:cs="Times New Roman"/>
          <w:sz w:val="21"/>
          <w:szCs w:val="21"/>
          <w:lang w:val="es-ES_tradnl"/>
        </w:rPr>
        <w:t xml:space="preserve"> y a l</w:t>
      </w:r>
      <w:r w:rsidR="00585EBB" w:rsidRPr="00C916AB">
        <w:rPr>
          <w:rFonts w:ascii="Cambria" w:eastAsia="Calibri" w:hAnsi="Cambria" w:cs="Times New Roman"/>
          <w:sz w:val="21"/>
          <w:szCs w:val="21"/>
          <w:lang w:val="es-ES_tradnl"/>
        </w:rPr>
        <w:t>a solicitante</w:t>
      </w:r>
      <w:r w:rsidR="001B7038" w:rsidRPr="00C916AB">
        <w:rPr>
          <w:rFonts w:ascii="Cambria" w:eastAsia="Calibri" w:hAnsi="Cambria" w:cs="Times New Roman"/>
          <w:sz w:val="21"/>
          <w:szCs w:val="21"/>
          <w:lang w:val="es-ES_tradnl"/>
        </w:rPr>
        <w:t>.</w:t>
      </w:r>
    </w:p>
    <w:p w:rsidR="00C916AB" w:rsidRDefault="00C916AB" w:rsidP="00C916AB">
      <w:pPr>
        <w:spacing w:after="0" w:line="240" w:lineRule="auto"/>
        <w:ind w:left="360"/>
        <w:contextualSpacing/>
        <w:jc w:val="both"/>
        <w:rPr>
          <w:rFonts w:ascii="Cambria" w:eastAsia="Calibri" w:hAnsi="Cambria" w:cs="Times New Roman"/>
          <w:sz w:val="21"/>
          <w:szCs w:val="21"/>
          <w:lang w:val="es-ES_tradnl"/>
        </w:rPr>
      </w:pPr>
    </w:p>
    <w:p w:rsidR="00FE4E50" w:rsidRPr="00C916AB" w:rsidRDefault="00C916AB" w:rsidP="00C916AB">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sidRPr="00C916AB">
        <w:rPr>
          <w:rFonts w:ascii="Cambria" w:hAnsi="Cambria"/>
          <w:color w:val="000000"/>
          <w:sz w:val="21"/>
          <w:szCs w:val="21"/>
          <w:lang w:val="es-ES"/>
        </w:rPr>
        <w:t xml:space="preserve">Aprobado el </w:t>
      </w:r>
      <w:r>
        <w:rPr>
          <w:rFonts w:ascii="Cambria" w:hAnsi="Cambria"/>
          <w:color w:val="000000"/>
          <w:sz w:val="21"/>
          <w:szCs w:val="21"/>
          <w:lang w:val="es-ES"/>
        </w:rPr>
        <w:t>1</w:t>
      </w:r>
      <w:r w:rsidRPr="00C916AB">
        <w:rPr>
          <w:rFonts w:ascii="Cambria" w:hAnsi="Cambria"/>
          <w:color w:val="000000"/>
          <w:sz w:val="21"/>
          <w:szCs w:val="21"/>
          <w:lang w:val="es-ES"/>
        </w:rPr>
        <w:t xml:space="preserve"> de </w:t>
      </w:r>
      <w:r>
        <w:rPr>
          <w:rFonts w:ascii="Cambria" w:hAnsi="Cambria"/>
          <w:color w:val="000000"/>
          <w:sz w:val="21"/>
          <w:szCs w:val="21"/>
          <w:lang w:val="es-ES"/>
        </w:rPr>
        <w:t>octubre</w:t>
      </w:r>
      <w:r w:rsidRPr="00C916AB">
        <w:rPr>
          <w:rFonts w:ascii="Cambria" w:hAnsi="Cambria"/>
          <w:color w:val="000000"/>
          <w:sz w:val="21"/>
          <w:szCs w:val="21"/>
          <w:lang w:val="es-ES"/>
        </w:rPr>
        <w:t xml:space="preserve"> de 2019 por: Esmeralda Arosemena de </w:t>
      </w:r>
      <w:proofErr w:type="spellStart"/>
      <w:r w:rsidRPr="00C916AB">
        <w:rPr>
          <w:rFonts w:ascii="Cambria" w:hAnsi="Cambria"/>
          <w:color w:val="000000"/>
          <w:sz w:val="21"/>
          <w:szCs w:val="21"/>
          <w:lang w:val="es-ES"/>
        </w:rPr>
        <w:t>Troitiño</w:t>
      </w:r>
      <w:proofErr w:type="spellEnd"/>
      <w:r w:rsidRPr="00C916AB">
        <w:rPr>
          <w:rFonts w:ascii="Cambria" w:hAnsi="Cambria"/>
          <w:color w:val="000000"/>
          <w:sz w:val="21"/>
          <w:szCs w:val="21"/>
          <w:lang w:val="es-ES"/>
        </w:rPr>
        <w:t>, Presidenta; Joel Hernández García, Primer Vicepresidente; Antonia Urrejola Noguera, Segunda Vicepresidenta;</w:t>
      </w:r>
      <w:r w:rsidR="001B16E4">
        <w:rPr>
          <w:rFonts w:ascii="Cambria" w:hAnsi="Cambria"/>
          <w:color w:val="000000"/>
          <w:sz w:val="21"/>
          <w:szCs w:val="21"/>
          <w:lang w:val="es-ES"/>
        </w:rPr>
        <w:t xml:space="preserve"> Margarette May Macaulay,</w:t>
      </w:r>
      <w:r w:rsidRPr="00C916AB">
        <w:rPr>
          <w:rFonts w:ascii="Cambria" w:hAnsi="Cambria"/>
          <w:color w:val="000000"/>
          <w:sz w:val="21"/>
          <w:szCs w:val="21"/>
          <w:lang w:val="es-ES"/>
        </w:rPr>
        <w:t xml:space="preserve"> </w:t>
      </w:r>
      <w:r>
        <w:rPr>
          <w:rFonts w:ascii="Cambria" w:hAnsi="Cambria"/>
          <w:color w:val="000000"/>
          <w:sz w:val="21"/>
          <w:szCs w:val="21"/>
          <w:lang w:val="es-ES"/>
        </w:rPr>
        <w:t xml:space="preserve">Francisco José Eguiguren </w:t>
      </w:r>
      <w:proofErr w:type="spellStart"/>
      <w:r>
        <w:rPr>
          <w:rFonts w:ascii="Cambria" w:hAnsi="Cambria"/>
          <w:color w:val="000000"/>
          <w:sz w:val="21"/>
          <w:szCs w:val="21"/>
          <w:lang w:val="es-ES"/>
        </w:rPr>
        <w:t>Praeli</w:t>
      </w:r>
      <w:proofErr w:type="spellEnd"/>
      <w:r>
        <w:rPr>
          <w:rFonts w:ascii="Cambria" w:hAnsi="Cambria"/>
          <w:color w:val="000000"/>
          <w:sz w:val="21"/>
          <w:szCs w:val="21"/>
          <w:lang w:val="es-ES"/>
        </w:rPr>
        <w:t xml:space="preserve"> y</w:t>
      </w:r>
      <w:r w:rsidRPr="00C916AB">
        <w:rPr>
          <w:rFonts w:ascii="Cambria" w:hAnsi="Cambria"/>
          <w:color w:val="000000"/>
          <w:sz w:val="21"/>
          <w:szCs w:val="21"/>
          <w:lang w:val="es-ES"/>
        </w:rPr>
        <w:t xml:space="preserve"> </w:t>
      </w:r>
      <w:proofErr w:type="spellStart"/>
      <w:r w:rsidRPr="00C916AB">
        <w:rPr>
          <w:rFonts w:ascii="Cambria" w:hAnsi="Cambria"/>
          <w:color w:val="000000"/>
          <w:sz w:val="21"/>
          <w:szCs w:val="21"/>
          <w:lang w:val="es-ES"/>
        </w:rPr>
        <w:t>Flávia</w:t>
      </w:r>
      <w:proofErr w:type="spellEnd"/>
      <w:r w:rsidRPr="00C916AB">
        <w:rPr>
          <w:rFonts w:ascii="Cambria" w:hAnsi="Cambria"/>
          <w:color w:val="000000"/>
          <w:sz w:val="21"/>
          <w:szCs w:val="21"/>
          <w:lang w:val="es-ES"/>
        </w:rPr>
        <w:t xml:space="preserve"> Piovesan, miembros de la CIDH.</w:t>
      </w:r>
      <w:bookmarkStart w:id="0" w:name="_GoBack"/>
      <w:bookmarkEnd w:id="0"/>
    </w:p>
    <w:p w:rsidR="00FE4E50" w:rsidRDefault="00FE4E50" w:rsidP="00FE4E50">
      <w:pPr>
        <w:spacing w:after="0" w:line="240" w:lineRule="auto"/>
        <w:contextualSpacing/>
        <w:jc w:val="both"/>
        <w:rPr>
          <w:rFonts w:ascii="Cambria" w:hAnsi="Cambria"/>
          <w:sz w:val="21"/>
          <w:szCs w:val="21"/>
          <w:lang w:val="es-AR"/>
        </w:rPr>
      </w:pPr>
    </w:p>
    <w:p w:rsidR="006835CA" w:rsidRPr="00C916AB" w:rsidRDefault="006835CA" w:rsidP="00FE4E50">
      <w:pPr>
        <w:spacing w:after="0" w:line="240" w:lineRule="auto"/>
        <w:contextualSpacing/>
        <w:jc w:val="both"/>
        <w:rPr>
          <w:rFonts w:ascii="Cambria" w:hAnsi="Cambria"/>
          <w:sz w:val="21"/>
          <w:szCs w:val="21"/>
          <w:lang w:val="es-AR"/>
        </w:rPr>
      </w:pPr>
    </w:p>
    <w:p w:rsidR="00FE4E50" w:rsidRPr="00C916AB" w:rsidRDefault="00FE4E50" w:rsidP="00FE4E50">
      <w:pPr>
        <w:spacing w:after="0" w:line="240" w:lineRule="auto"/>
        <w:contextualSpacing/>
        <w:jc w:val="both"/>
        <w:rPr>
          <w:rFonts w:ascii="Cambria" w:hAnsi="Cambria"/>
          <w:sz w:val="21"/>
          <w:szCs w:val="21"/>
          <w:lang w:val="es-AR"/>
        </w:rPr>
      </w:pPr>
    </w:p>
    <w:p w:rsidR="00FE4E50" w:rsidRPr="00C916AB" w:rsidRDefault="00FE4E50" w:rsidP="00FE4E50">
      <w:pPr>
        <w:spacing w:after="0" w:line="240" w:lineRule="auto"/>
        <w:contextualSpacing/>
        <w:jc w:val="center"/>
        <w:rPr>
          <w:rFonts w:ascii="Cambria" w:hAnsi="Cambria"/>
          <w:sz w:val="21"/>
          <w:szCs w:val="21"/>
          <w:lang w:val="pt-BR"/>
        </w:rPr>
      </w:pPr>
      <w:r w:rsidRPr="00C916AB">
        <w:rPr>
          <w:rFonts w:ascii="Cambria" w:hAnsi="Cambria"/>
          <w:sz w:val="21"/>
          <w:szCs w:val="21"/>
          <w:lang w:val="pt-BR"/>
        </w:rPr>
        <w:t>Paulo Abrão</w:t>
      </w:r>
    </w:p>
    <w:p w:rsidR="00E77B47" w:rsidRPr="00C916AB" w:rsidRDefault="00FE4E50" w:rsidP="00C916AB">
      <w:pPr>
        <w:spacing w:after="0" w:line="240" w:lineRule="auto"/>
        <w:contextualSpacing/>
        <w:jc w:val="center"/>
        <w:rPr>
          <w:rFonts w:ascii="Cambria" w:hAnsi="Cambria"/>
          <w:sz w:val="21"/>
          <w:szCs w:val="21"/>
          <w:lang w:val="es-AR"/>
        </w:rPr>
      </w:pPr>
      <w:r w:rsidRPr="00C916AB">
        <w:rPr>
          <w:rFonts w:ascii="Cambria" w:hAnsi="Cambria"/>
          <w:sz w:val="21"/>
          <w:szCs w:val="21"/>
          <w:lang w:val="pt-BR"/>
        </w:rPr>
        <w:t xml:space="preserve">Secretario </w:t>
      </w:r>
      <w:proofErr w:type="spellStart"/>
      <w:r w:rsidRPr="00C916AB">
        <w:rPr>
          <w:rFonts w:ascii="Cambria" w:hAnsi="Cambria"/>
          <w:sz w:val="21"/>
          <w:szCs w:val="21"/>
          <w:lang w:val="pt-BR"/>
        </w:rPr>
        <w:t>Ejecutivo</w:t>
      </w:r>
      <w:proofErr w:type="spellEnd"/>
    </w:p>
    <w:sectPr w:rsidR="00E77B47" w:rsidRPr="00C916AB" w:rsidSect="00E82941">
      <w:headerReference w:type="default"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62" w:rsidRDefault="00057F62" w:rsidP="00E77B47">
      <w:pPr>
        <w:spacing w:after="0" w:line="240" w:lineRule="auto"/>
      </w:pPr>
      <w:r>
        <w:separator/>
      </w:r>
    </w:p>
  </w:endnote>
  <w:endnote w:type="continuationSeparator" w:id="0">
    <w:p w:rsidR="00057F62" w:rsidRDefault="00057F62" w:rsidP="00E7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1" w:rsidRPr="00E82941" w:rsidRDefault="00C33AB6" w:rsidP="004D0312">
    <w:pPr>
      <w:pStyle w:val="Footer"/>
      <w:tabs>
        <w:tab w:val="left" w:pos="4440"/>
      </w:tabs>
      <w:rPr>
        <w:rFonts w:ascii="Calibri Light" w:hAnsi="Calibri Light"/>
        <w:sz w:val="16"/>
      </w:rPr>
    </w:pPr>
    <w:r>
      <w:rPr>
        <w:rFonts w:ascii="Calibri Light" w:hAnsi="Calibri Light"/>
        <w:sz w:val="16"/>
      </w:rPr>
      <w:tab/>
    </w:r>
    <w:r>
      <w:rPr>
        <w:rFonts w:ascii="Calibri Light" w:hAnsi="Calibri Light"/>
        <w:sz w:val="16"/>
      </w:rPr>
      <w:tab/>
    </w:r>
    <w:r w:rsidRPr="00E82941">
      <w:rPr>
        <w:rFonts w:ascii="Calibri Light" w:hAnsi="Calibri Light"/>
        <w:sz w:val="16"/>
      </w:rPr>
      <w:fldChar w:fldCharType="begin"/>
    </w:r>
    <w:r w:rsidRPr="00E82941">
      <w:rPr>
        <w:rFonts w:ascii="Calibri Light" w:hAnsi="Calibri Light"/>
        <w:sz w:val="16"/>
      </w:rPr>
      <w:instrText xml:space="preserve"> PAGE   \* MERGEFORMAT </w:instrText>
    </w:r>
    <w:r w:rsidRPr="00E82941">
      <w:rPr>
        <w:rFonts w:ascii="Calibri Light" w:hAnsi="Calibri Light"/>
        <w:sz w:val="16"/>
      </w:rPr>
      <w:fldChar w:fldCharType="separate"/>
    </w:r>
    <w:r w:rsidR="001B16E4">
      <w:rPr>
        <w:rFonts w:ascii="Calibri Light" w:hAnsi="Calibri Light"/>
        <w:noProof/>
        <w:sz w:val="16"/>
      </w:rPr>
      <w:t>- 9 -</w:t>
    </w:r>
    <w:r w:rsidRPr="00E82941">
      <w:rPr>
        <w:rFonts w:ascii="Calibri Light" w:hAnsi="Calibri Light"/>
        <w:noProof/>
        <w:sz w:val="16"/>
      </w:rPr>
      <w:fldChar w:fldCharType="end"/>
    </w:r>
  </w:p>
  <w:p w:rsidR="00E82941" w:rsidRDefault="00057F62" w:rsidP="004D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62" w:rsidRDefault="00057F62" w:rsidP="00E77B47">
      <w:pPr>
        <w:spacing w:after="0" w:line="240" w:lineRule="auto"/>
      </w:pPr>
      <w:r>
        <w:separator/>
      </w:r>
    </w:p>
  </w:footnote>
  <w:footnote w:type="continuationSeparator" w:id="0">
    <w:p w:rsidR="00057F62" w:rsidRDefault="00057F62" w:rsidP="00E77B47">
      <w:pPr>
        <w:spacing w:after="0" w:line="240" w:lineRule="auto"/>
      </w:pPr>
      <w:r>
        <w:continuationSeparator/>
      </w:r>
    </w:p>
  </w:footnote>
  <w:footnote w:id="1">
    <w:p w:rsidR="00E5011E" w:rsidRPr="00B77594" w:rsidRDefault="00E5011E"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“La autopsia del Capitán Acosta Arévalo señala como causa de la muerte, Edema cerebral severo debido a insuficiencia respiratoria aguda, conllevando a un </w:t>
      </w:r>
      <w:proofErr w:type="spellStart"/>
      <w:r w:rsidRPr="00B77594">
        <w:rPr>
          <w:rFonts w:ascii="Calibri Light" w:hAnsi="Calibri Light" w:cstheme="majorHAnsi"/>
          <w:sz w:val="16"/>
          <w:szCs w:val="16"/>
        </w:rPr>
        <w:t>tromboembolismo</w:t>
      </w:r>
      <w:proofErr w:type="spellEnd"/>
      <w:r w:rsidRPr="00B77594">
        <w:rPr>
          <w:rFonts w:ascii="Calibri Light" w:hAnsi="Calibri Light" w:cstheme="majorHAnsi"/>
          <w:sz w:val="16"/>
          <w:szCs w:val="16"/>
        </w:rPr>
        <w:t xml:space="preserve"> pulmonar, producto de una </w:t>
      </w:r>
      <w:proofErr w:type="spellStart"/>
      <w:r w:rsidRPr="00B77594">
        <w:rPr>
          <w:rFonts w:ascii="Calibri Light" w:hAnsi="Calibri Light" w:cstheme="majorHAnsi"/>
          <w:sz w:val="16"/>
          <w:szCs w:val="16"/>
        </w:rPr>
        <w:t>rabdomiolisis</w:t>
      </w:r>
      <w:proofErr w:type="spellEnd"/>
      <w:r w:rsidRPr="00B77594">
        <w:rPr>
          <w:rFonts w:ascii="Calibri Light" w:hAnsi="Calibri Light" w:cstheme="majorHAnsi"/>
          <w:sz w:val="16"/>
          <w:szCs w:val="16"/>
        </w:rPr>
        <w:t xml:space="preserve"> por politraumatismo generalizado. También reveló, que Acosta </w:t>
      </w:r>
      <w:proofErr w:type="spellStart"/>
      <w:r w:rsidRPr="00B77594">
        <w:rPr>
          <w:rFonts w:ascii="Calibri Light" w:hAnsi="Calibri Light" w:cstheme="majorHAnsi"/>
          <w:sz w:val="16"/>
          <w:szCs w:val="16"/>
        </w:rPr>
        <w:t>Arevalo</w:t>
      </w:r>
      <w:proofErr w:type="spellEnd"/>
      <w:r w:rsidRPr="00B77594">
        <w:rPr>
          <w:rFonts w:ascii="Calibri Light" w:hAnsi="Calibri Light" w:cstheme="majorHAnsi"/>
          <w:sz w:val="16"/>
          <w:szCs w:val="16"/>
        </w:rPr>
        <w:t xml:space="preserve"> presentaba 16 arcos costales fracturados, ocho de cada lado, fractura de tabique nasal, excoriaciones en hombros, codos y rodillas, hematomas en el muslo en la cara interna y ambas extremidades. Lesiones (similares a latigazos) en espalda y muslos parte posterior, un pie fracturado, múltiples escoriaciones y signos de pequeñas quemaduras en ambos pies (se presume electrocución).”.</w:t>
      </w:r>
    </w:p>
  </w:footnote>
  <w:footnote w:id="2">
    <w:p w:rsidR="00E77B47" w:rsidRPr="00B77594" w:rsidRDefault="00E77B47"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CIDH, Informe de país. Institucionalidad democrática, Estado de derecho y derechos humanos en Venezuela, 31 de diciembre de 2017, párr. 470. Disponible en: </w:t>
      </w:r>
      <w:hyperlink r:id="rId1" w:history="1">
        <w:r w:rsidRPr="00B77594">
          <w:rPr>
            <w:rStyle w:val="Hyperlink"/>
            <w:rFonts w:ascii="Calibri Light" w:hAnsi="Calibri Light"/>
            <w:sz w:val="16"/>
            <w:szCs w:val="16"/>
            <w:lang w:val="es-PE"/>
          </w:rPr>
          <w:t>http://www.oas.org/es/cidh/informes/pdfs/Venezuela2018-es.pdf</w:t>
        </w:r>
      </w:hyperlink>
      <w:r w:rsidRPr="00B77594">
        <w:rPr>
          <w:rFonts w:ascii="Calibri Light" w:hAnsi="Calibri Light"/>
          <w:sz w:val="16"/>
          <w:szCs w:val="16"/>
          <w:lang w:val="es-PE"/>
        </w:rPr>
        <w:t xml:space="preserve"> </w:t>
      </w:r>
    </w:p>
  </w:footnote>
  <w:footnote w:id="3">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w:t>
      </w:r>
      <w:r w:rsidRPr="00B77594">
        <w:rPr>
          <w:rFonts w:ascii="Calibri Light" w:eastAsia="Times New Roman" w:hAnsi="Calibri Light"/>
          <w:sz w:val="16"/>
          <w:szCs w:val="16"/>
          <w:lang w:val="es-MX"/>
        </w:rPr>
        <w:t>Esta situación se agravó al punto de producirse una alteración del orden constitucional con las Sentencias Nº 155 y 156 emitidas por el TSJ el 28 y 29 de marzo, respectivamente, en las cuales levantó las inmunidades parlamentarias a los diputados de la AN, estableció que sus actos constituyen “traición a la patria”, otorgó al Poder Ejecutivo amplios poderes discrecionales, y se arrogó competencias del Poder Legislativo. Como señaló la CIDH en su momento, “tales medidas constituyeron una usurpación de las funciones del Poder Legislativo por parte de los Poderes Judicial y Ejecutivo, así como una anulación de facto del voto popular mediante el cual fueron elegidos los diputados”</w:t>
      </w:r>
      <w:r w:rsidR="0041748B" w:rsidRPr="00B77594">
        <w:rPr>
          <w:rFonts w:ascii="Calibri Light" w:eastAsia="Times New Roman" w:hAnsi="Calibri Light"/>
          <w:sz w:val="16"/>
          <w:szCs w:val="16"/>
          <w:lang w:val="es-MX"/>
        </w:rPr>
        <w:t xml:space="preserve"> </w:t>
      </w:r>
      <w:r w:rsidRPr="00B77594">
        <w:rPr>
          <w:rFonts w:ascii="Calibri Light" w:hAnsi="Calibri Light"/>
          <w:sz w:val="16"/>
          <w:szCs w:val="16"/>
          <w:lang w:val="es-MX"/>
        </w:rPr>
        <w:t>CIDH, Comunicado de Prensa No. 041/17, CIDH condena decisiones del Tribunal Supremo de Justicia y la alteración del orden constitucional y democrático en Venezuela, 31 de marzo de 2017.</w:t>
      </w:r>
    </w:p>
  </w:footnote>
  <w:footnote w:id="4">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w:t>
      </w:r>
      <w:r w:rsidRPr="00B77594">
        <w:rPr>
          <w:rFonts w:ascii="Calibri Light" w:hAnsi="Calibri Light"/>
          <w:sz w:val="16"/>
          <w:szCs w:val="16"/>
          <w:lang w:val="es-PE"/>
        </w:rPr>
        <w:t>CIDH, Informe de país. Institucionalidad democrática, Estado de derecho y derechos humanos en Venezuela, 31 de diciembre de 2017, párr. 165.</w:t>
      </w:r>
    </w:p>
  </w:footnote>
  <w:footnote w:id="5">
    <w:p w:rsidR="00E77B47" w:rsidRPr="00B77594" w:rsidRDefault="00E77B47"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CIDH, Informe de país. Institucionalidad democrática, Estado de derecho y derechos humanos en Venezuela, 31 de diciembre de 2017, párr. 165. Disponible en: </w:t>
      </w:r>
      <w:hyperlink r:id="rId2" w:history="1">
        <w:r w:rsidRPr="00B77594">
          <w:rPr>
            <w:rStyle w:val="Hyperlink"/>
            <w:rFonts w:ascii="Calibri Light" w:hAnsi="Calibri Light"/>
            <w:sz w:val="16"/>
            <w:szCs w:val="16"/>
            <w:lang w:val="es-PE"/>
          </w:rPr>
          <w:t>http://www.oas.org/es/cidh/informes/pdfs/Venezuela2018-es.pdf</w:t>
        </w:r>
      </w:hyperlink>
      <w:r w:rsidRPr="00B77594">
        <w:rPr>
          <w:rFonts w:ascii="Calibri Light" w:hAnsi="Calibri Light"/>
          <w:sz w:val="16"/>
          <w:szCs w:val="16"/>
          <w:lang w:val="es-PE"/>
        </w:rPr>
        <w:t xml:space="preserve"> </w:t>
      </w:r>
    </w:p>
  </w:footnote>
  <w:footnote w:id="6">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CIDH, CIDH advierte sobre la falta de condiciones para la realización de elecciones libres y justas en Venezuela, 18 de mayo de 2018. Disponible en: http://www.oas.org/es/cidh/prensa/comunicados/2018/112.asp</w:t>
      </w:r>
    </w:p>
  </w:footnote>
  <w:footnote w:id="7">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CIDH, Venezuela: el sistema de salud en crisis, dicen expertos y expertas de derechos humanos, 1 de octubre de 2018. Disponible en: http://www.oas.org/es/cidh/prensa/comunicados/2018/215.asp</w:t>
      </w:r>
    </w:p>
  </w:footnote>
  <w:footnote w:id="8">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CIDH, Ante la asunción de un nuevo mandato presidencial, la CIDH alerta sobre la profundización del debilitamiento del Estado de Derecho en Venezuela, 9 de enero de 2019. Disponible en: http://www.oas.org/es/cidh/prensa/comunicados/2019/005.asp</w:t>
      </w:r>
    </w:p>
  </w:footnote>
  <w:footnote w:id="9">
    <w:p w:rsidR="00E77B47" w:rsidRPr="00B77594" w:rsidRDefault="00E77B47"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OEA, Consejo Permanente de la OEA acuerda "no reconocer la legitimidad del período del régimen de Nicolás Maduro", 10 de enero de 2019. Disponible en: </w:t>
      </w:r>
      <w:hyperlink r:id="rId3" w:history="1">
        <w:r w:rsidRPr="00B77594">
          <w:rPr>
            <w:rStyle w:val="Hyperlink"/>
            <w:rFonts w:ascii="Calibri Light" w:hAnsi="Calibri Light"/>
            <w:sz w:val="16"/>
            <w:szCs w:val="16"/>
            <w:lang w:val="es-PE"/>
          </w:rPr>
          <w:t>http://www.oas.org/es/centro_noticias/comunicado_prensa.asp?sCodigo=C-001/19</w:t>
        </w:r>
      </w:hyperlink>
      <w:r w:rsidRPr="00B77594">
        <w:rPr>
          <w:rFonts w:ascii="Calibri Light" w:hAnsi="Calibri Light"/>
          <w:sz w:val="16"/>
          <w:szCs w:val="16"/>
          <w:lang w:val="es-PE"/>
        </w:rPr>
        <w:t xml:space="preserve"> </w:t>
      </w:r>
    </w:p>
  </w:footnote>
  <w:footnote w:id="10">
    <w:p w:rsidR="00E77B47" w:rsidRPr="00B77594" w:rsidRDefault="00E77B47"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CIDH, CIDH llama a la República de Venezuela a garantizar el derecho a la protesta y a la manifestación pública, 23 de enero de 2019. Disponible en: http://www.oas.org/es/cidh/prensa/comunicados/2019/012.asp</w:t>
      </w:r>
    </w:p>
  </w:footnote>
  <w:footnote w:id="11">
    <w:p w:rsidR="006E05B2" w:rsidRPr="00B77594" w:rsidRDefault="006E05B2"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CIDH, CIDH condena muertes en protestas y llama a las instituciones del Estado a garantizar los derechos humanos de la población venezolana, 25 de enero de 2019. Disponible en: </w:t>
      </w:r>
      <w:hyperlink r:id="rId4" w:history="1">
        <w:r w:rsidRPr="00B77594">
          <w:rPr>
            <w:rStyle w:val="Hyperlink"/>
            <w:rFonts w:ascii="Calibri Light" w:hAnsi="Calibri Light"/>
            <w:sz w:val="16"/>
            <w:szCs w:val="16"/>
            <w:lang w:val="es-PE"/>
          </w:rPr>
          <w:t>http://www.oas.org/es/cidh/prensa/comunicados/2019/015.asp</w:t>
        </w:r>
      </w:hyperlink>
      <w:r w:rsidRPr="00B77594">
        <w:rPr>
          <w:rFonts w:ascii="Calibri Light" w:hAnsi="Calibri Light"/>
          <w:sz w:val="16"/>
          <w:szCs w:val="16"/>
          <w:lang w:val="es-PE"/>
        </w:rPr>
        <w:t xml:space="preserve"> </w:t>
      </w:r>
    </w:p>
  </w:footnote>
  <w:footnote w:id="12">
    <w:p w:rsidR="006E05B2" w:rsidRPr="00B77594" w:rsidRDefault="006E05B2"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CIDH, CIDH manifiesta su alarma ante las detenciones en el contexto de las protestas en Venezuela, 1 de febrero de 2019. Disponible en: </w:t>
      </w:r>
      <w:hyperlink r:id="rId5" w:history="1">
        <w:r w:rsidRPr="00B77594">
          <w:rPr>
            <w:rStyle w:val="Hyperlink"/>
            <w:rFonts w:ascii="Calibri Light" w:hAnsi="Calibri Light"/>
            <w:sz w:val="16"/>
            <w:szCs w:val="16"/>
            <w:lang w:val="es-PE"/>
          </w:rPr>
          <w:t>http://www.oas.org/es/cidh/prensa/comunicados/2019/022.asp</w:t>
        </w:r>
      </w:hyperlink>
      <w:r w:rsidRPr="00B77594">
        <w:rPr>
          <w:rFonts w:ascii="Calibri Light" w:hAnsi="Calibri Light"/>
          <w:sz w:val="16"/>
          <w:szCs w:val="16"/>
          <w:lang w:val="es-PE"/>
        </w:rPr>
        <w:t xml:space="preserve"> </w:t>
      </w:r>
    </w:p>
  </w:footnote>
  <w:footnote w:id="13">
    <w:p w:rsidR="006E05B2" w:rsidRPr="00B77594" w:rsidRDefault="006E05B2" w:rsidP="00B77594">
      <w:pPr>
        <w:pStyle w:val="FootnoteText"/>
        <w:jc w:val="both"/>
        <w:rPr>
          <w:rFonts w:ascii="Calibri Light" w:hAnsi="Calibri Light"/>
          <w:sz w:val="16"/>
          <w:szCs w:val="16"/>
          <w:lang w:val="es-PE"/>
        </w:rPr>
      </w:pPr>
      <w:r w:rsidRPr="00B77594">
        <w:rPr>
          <w:rStyle w:val="FootnoteReference"/>
          <w:rFonts w:ascii="Calibri Light" w:hAnsi="Calibri Light"/>
          <w:sz w:val="16"/>
          <w:szCs w:val="16"/>
        </w:rPr>
        <w:footnoteRef/>
      </w:r>
      <w:r w:rsidRPr="00B77594">
        <w:rPr>
          <w:rFonts w:ascii="Calibri Light" w:hAnsi="Calibri Light"/>
          <w:sz w:val="16"/>
          <w:szCs w:val="16"/>
          <w:lang w:val="es-PE"/>
        </w:rPr>
        <w:t xml:space="preserve"> CIDH, CIDH expresa su preocupación por continuo hostigamiento contra defensoras y defensores de derechos humanos en Venezuela, 22 de febrero de 2019. Disponible en: </w:t>
      </w:r>
      <w:hyperlink r:id="rId6" w:history="1">
        <w:r w:rsidRPr="00B77594">
          <w:rPr>
            <w:rStyle w:val="Hyperlink"/>
            <w:rFonts w:ascii="Calibri Light" w:hAnsi="Calibri Light"/>
            <w:sz w:val="16"/>
            <w:szCs w:val="16"/>
            <w:lang w:val="es-PE"/>
          </w:rPr>
          <w:t>http://www.oas.org/es/cidh/prensa/comunicados/2019/040.asp</w:t>
        </w:r>
      </w:hyperlink>
      <w:r w:rsidRPr="00B77594">
        <w:rPr>
          <w:rFonts w:ascii="Calibri Light" w:hAnsi="Calibri Light"/>
          <w:sz w:val="16"/>
          <w:szCs w:val="16"/>
          <w:lang w:val="es-PE"/>
        </w:rPr>
        <w:t xml:space="preserve"> </w:t>
      </w:r>
    </w:p>
  </w:footnote>
  <w:footnote w:id="14">
    <w:p w:rsidR="006E05B2" w:rsidRPr="00B77594" w:rsidRDefault="006E05B2" w:rsidP="00B77594">
      <w:pPr>
        <w:pStyle w:val="Heading1"/>
        <w:shd w:val="clear" w:color="auto" w:fill="FFFFFF"/>
        <w:spacing w:before="0"/>
        <w:jc w:val="both"/>
        <w:rPr>
          <w:rFonts w:ascii="Calibri Light" w:hAnsi="Calibri Light"/>
          <w:color w:val="auto"/>
          <w:sz w:val="16"/>
          <w:szCs w:val="16"/>
          <w:lang w:val="es-MX"/>
        </w:rPr>
      </w:pPr>
      <w:r w:rsidRPr="00B77594">
        <w:rPr>
          <w:rStyle w:val="FootnoteReference"/>
          <w:rFonts w:ascii="Calibri Light" w:eastAsia="Calibri" w:hAnsi="Calibri Light"/>
          <w:bCs/>
          <w:color w:val="auto"/>
          <w:sz w:val="16"/>
          <w:szCs w:val="16"/>
        </w:rPr>
        <w:footnoteRef/>
      </w:r>
      <w:r w:rsidRPr="00B77594">
        <w:rPr>
          <w:rStyle w:val="FootnoteReference"/>
          <w:rFonts w:ascii="Calibri Light" w:eastAsia="Calibri" w:hAnsi="Calibri Light"/>
          <w:bCs/>
          <w:color w:val="auto"/>
          <w:sz w:val="16"/>
          <w:szCs w:val="16"/>
          <w:lang w:val="es-MX"/>
        </w:rPr>
        <w:t xml:space="preserve"> </w:t>
      </w:r>
      <w:r w:rsidRPr="00B77594">
        <w:rPr>
          <w:rFonts w:ascii="Calibri Light" w:eastAsia="Calibri" w:hAnsi="Calibri Light"/>
          <w:bCs/>
          <w:color w:val="auto"/>
          <w:sz w:val="16"/>
          <w:szCs w:val="16"/>
          <w:lang w:val="es-PE"/>
        </w:rPr>
        <w:t>CIDH, CIDH y REDESCA condenan hechos de represión violenta en Venezuela y urgen al Estado venezolano a garantizar los derechos humanos de la población frente a la crisis política, económica y social, 1 de marzo de 2019. Disponible en: http://www.oas.org/es/cidh/prensa/comunicados/2019/022.asp.</w:t>
      </w:r>
    </w:p>
  </w:footnote>
  <w:footnote w:id="15">
    <w:p w:rsidR="006E05B2" w:rsidRPr="00B77594" w:rsidRDefault="006E05B2"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Expertos en Libertad de Expresión de UN y CIDH Expresan Alarma por Expansión de Mecanismos de Censura que se Aplican en Venezuela, 8 de marzo de 2019. Disponible en: http://www.oas.org/es/cidh/expresion/showarticle.asp?artID=1133&amp;lID=2.</w:t>
      </w:r>
    </w:p>
  </w:footnote>
  <w:footnote w:id="16">
    <w:p w:rsidR="006E05B2" w:rsidRPr="00B77594" w:rsidRDefault="006E05B2"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CIDH observa persistencia en afectación a los derechos humanos en Venezuela, 5 de abril de 2019. Disponible en: http://www.oas.org/es/cidh/prensa/comunicados/2019/091.asp.</w:t>
      </w:r>
    </w:p>
  </w:footnote>
  <w:footnote w:id="17">
    <w:p w:rsidR="006E05B2" w:rsidRPr="00B77594" w:rsidRDefault="006E05B2"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CIDH condena el recrudecimiento de ataques contra los miembros de la Asamblea Nacional de Venezuela, 14 de mayo de 2019. Disponible en: http://www.oas.org/es/cidh/prensa/comunicados/2019/115.asp.</w:t>
      </w:r>
    </w:p>
  </w:footnote>
  <w:footnote w:id="18">
    <w:p w:rsidR="006E05B2" w:rsidRPr="00B77594" w:rsidRDefault="006E05B2"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CIDH expresa alarma y preocupación por la muerte del Capitán Rafael Acosta Arévalo bajo custodia en Venezuela, 3 de julio de 2019. Disponible en: http://www.oas.org/es/cidh/prensa/comunicados/2019/167.asp.</w:t>
      </w:r>
    </w:p>
  </w:footnote>
  <w:footnote w:id="19">
    <w:p w:rsidR="00FC0EF0" w:rsidRPr="00B77594" w:rsidRDefault="00FC0EF0" w:rsidP="00B77594">
      <w:pPr>
        <w:pStyle w:val="FootnoteText"/>
        <w:jc w:val="both"/>
        <w:rPr>
          <w:rFonts w:ascii="Calibri Light" w:hAnsi="Calibri Light"/>
          <w:sz w:val="16"/>
          <w:szCs w:val="16"/>
          <w:lang w:val="es-MX"/>
        </w:rPr>
      </w:pPr>
      <w:r w:rsidRPr="00B77594">
        <w:rPr>
          <w:rStyle w:val="FootnoteReference"/>
          <w:rFonts w:ascii="Calibri Light" w:hAnsi="Calibri Light"/>
          <w:sz w:val="16"/>
          <w:szCs w:val="16"/>
        </w:rPr>
        <w:footnoteRef/>
      </w:r>
      <w:r w:rsidRPr="00B77594">
        <w:rPr>
          <w:rFonts w:ascii="Calibri Light" w:hAnsi="Calibri Light"/>
          <w:sz w:val="16"/>
          <w:szCs w:val="16"/>
          <w:lang w:val="es-MX"/>
        </w:rPr>
        <w:t xml:space="preserve"> Ver al respecto, Corte IDH. </w:t>
      </w:r>
      <w:r w:rsidRPr="00B77594">
        <w:rPr>
          <w:rFonts w:ascii="Calibri Light" w:hAnsi="Calibri Light"/>
          <w:i/>
          <w:sz w:val="16"/>
          <w:szCs w:val="16"/>
          <w:lang w:val="es-MX"/>
        </w:rPr>
        <w:t xml:space="preserve">Asunto Pobladores de las Comunidades del Pueblo Indígena </w:t>
      </w:r>
      <w:proofErr w:type="spellStart"/>
      <w:r w:rsidRPr="00B77594">
        <w:rPr>
          <w:rFonts w:ascii="Calibri Light" w:hAnsi="Calibri Light"/>
          <w:i/>
          <w:sz w:val="16"/>
          <w:szCs w:val="16"/>
          <w:lang w:val="es-MX"/>
        </w:rPr>
        <w:t>Miskitu</w:t>
      </w:r>
      <w:proofErr w:type="spellEnd"/>
      <w:r w:rsidRPr="00B77594">
        <w:rPr>
          <w:rFonts w:ascii="Calibri Light" w:hAnsi="Calibri Light"/>
          <w:i/>
          <w:sz w:val="16"/>
          <w:szCs w:val="16"/>
          <w:lang w:val="es-MX"/>
        </w:rPr>
        <w:t xml:space="preserve"> de la Región Costa Caribe Norte respecto de Nicaragua</w:t>
      </w:r>
      <w:r w:rsidRPr="00B77594">
        <w:rPr>
          <w:rFonts w:ascii="Calibri Light" w:hAnsi="Calibri Light"/>
          <w:sz w:val="16"/>
          <w:szCs w:val="16"/>
          <w:lang w:val="es-MX"/>
        </w:rPr>
        <w:t xml:space="preserve">. Ampliación de Medidas Provisionales. Resolución de la Corte Interamericana de Derechos Humanos de 23 de agosto de 2018, considerando 13; Corte IDH, </w:t>
      </w:r>
      <w:r w:rsidRPr="00B77594">
        <w:rPr>
          <w:rFonts w:ascii="Calibri Light" w:hAnsi="Calibri Light"/>
          <w:i/>
          <w:sz w:val="16"/>
          <w:szCs w:val="16"/>
          <w:lang w:val="es-MX"/>
        </w:rPr>
        <w:t xml:space="preserve">Asunto de los niños y adolescentes privados de libertad en el “Complexo do </w:t>
      </w:r>
      <w:proofErr w:type="spellStart"/>
      <w:r w:rsidRPr="00B77594">
        <w:rPr>
          <w:rFonts w:ascii="Calibri Light" w:hAnsi="Calibri Light"/>
          <w:i/>
          <w:sz w:val="16"/>
          <w:szCs w:val="16"/>
          <w:lang w:val="es-MX"/>
        </w:rPr>
        <w:t>Tatuapé</w:t>
      </w:r>
      <w:proofErr w:type="spellEnd"/>
      <w:r w:rsidRPr="00B77594">
        <w:rPr>
          <w:rFonts w:ascii="Calibri Light" w:hAnsi="Calibri Light"/>
          <w:i/>
          <w:sz w:val="16"/>
          <w:szCs w:val="16"/>
          <w:lang w:val="es-MX"/>
        </w:rPr>
        <w:t xml:space="preserve">” de la </w:t>
      </w:r>
      <w:proofErr w:type="spellStart"/>
      <w:r w:rsidRPr="00B77594">
        <w:rPr>
          <w:rFonts w:ascii="Calibri Light" w:hAnsi="Calibri Light"/>
          <w:i/>
          <w:sz w:val="16"/>
          <w:szCs w:val="16"/>
          <w:lang w:val="es-MX"/>
        </w:rPr>
        <w:t>Fundação</w:t>
      </w:r>
      <w:proofErr w:type="spellEnd"/>
      <w:r w:rsidRPr="00B77594">
        <w:rPr>
          <w:rFonts w:ascii="Calibri Light" w:hAnsi="Calibri Light"/>
          <w:i/>
          <w:sz w:val="16"/>
          <w:szCs w:val="16"/>
          <w:lang w:val="es-MX"/>
        </w:rPr>
        <w:t xml:space="preserve"> CASA</w:t>
      </w:r>
      <w:r w:rsidRPr="00B77594">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 Disponible en: http://www.corteidh.or.cr/docs/medidas/febem_se_03.pdf</w:t>
      </w:r>
    </w:p>
  </w:footnote>
  <w:footnote w:id="20">
    <w:p w:rsidR="00F72CC6" w:rsidRPr="00B77594" w:rsidRDefault="00F72CC6"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w:t>
      </w:r>
      <w:r w:rsidRPr="00B77594">
        <w:rPr>
          <w:rFonts w:ascii="Calibri Light" w:hAnsi="Calibri Light" w:cstheme="majorHAnsi"/>
          <w:i/>
          <w:iCs/>
          <w:sz w:val="16"/>
          <w:szCs w:val="16"/>
        </w:rPr>
        <w:t xml:space="preserve">Leopoldo López y Daniel Ceballos respecto de Venezuela </w:t>
      </w:r>
      <w:r w:rsidR="004F34FC" w:rsidRPr="00B77594">
        <w:rPr>
          <w:rFonts w:ascii="Calibri Light" w:hAnsi="Calibri Light" w:cstheme="majorHAnsi"/>
          <w:sz w:val="16"/>
          <w:szCs w:val="16"/>
        </w:rPr>
        <w:t>(MC 335-14</w:t>
      </w:r>
      <w:r w:rsidRPr="00B77594">
        <w:rPr>
          <w:rFonts w:ascii="Calibri Light" w:hAnsi="Calibri Light" w:cstheme="majorHAnsi"/>
          <w:sz w:val="16"/>
          <w:szCs w:val="16"/>
        </w:rPr>
        <w:t>), Resoluci</w:t>
      </w:r>
      <w:r w:rsidR="00F9269A" w:rsidRPr="00B77594">
        <w:rPr>
          <w:rFonts w:ascii="Calibri Light" w:hAnsi="Calibri Light" w:cstheme="majorHAnsi"/>
          <w:sz w:val="16"/>
          <w:szCs w:val="16"/>
        </w:rPr>
        <w:t xml:space="preserve">ón 12/2015, 20 de abril de 2015; </w:t>
      </w:r>
      <w:r w:rsidRPr="00B77594">
        <w:rPr>
          <w:rFonts w:ascii="Calibri Light" w:hAnsi="Calibri Light" w:cstheme="majorHAnsi"/>
          <w:sz w:val="16"/>
          <w:szCs w:val="16"/>
        </w:rPr>
        <w:t xml:space="preserve">CIDH, </w:t>
      </w:r>
      <w:r w:rsidRPr="00B77594">
        <w:rPr>
          <w:rFonts w:ascii="Calibri Light" w:hAnsi="Calibri Light" w:cstheme="majorHAnsi"/>
          <w:i/>
          <w:iCs/>
          <w:sz w:val="16"/>
          <w:szCs w:val="16"/>
        </w:rPr>
        <w:t xml:space="preserve">Miembros del partido Voluntad Popular respecto de Venezuela </w:t>
      </w:r>
      <w:r w:rsidRPr="00B77594">
        <w:rPr>
          <w:rFonts w:ascii="Calibri Light" w:hAnsi="Calibri Light" w:cstheme="majorHAnsi"/>
          <w:sz w:val="16"/>
          <w:szCs w:val="16"/>
        </w:rPr>
        <w:t>(MC-475-15), Resolución 1/17 de 14 de enero</w:t>
      </w:r>
      <w:r w:rsidR="00F9269A" w:rsidRPr="00B77594">
        <w:rPr>
          <w:rFonts w:ascii="Calibri Light" w:hAnsi="Calibri Light" w:cstheme="majorHAnsi"/>
          <w:sz w:val="16"/>
          <w:szCs w:val="16"/>
        </w:rPr>
        <w:t>.</w:t>
      </w:r>
      <w:r w:rsidR="004F34FC" w:rsidRPr="00B77594">
        <w:rPr>
          <w:rFonts w:ascii="Calibri Light" w:hAnsi="Calibri Light" w:cstheme="majorHAnsi"/>
          <w:sz w:val="16"/>
          <w:szCs w:val="16"/>
        </w:rPr>
        <w:t xml:space="preserve"> </w:t>
      </w:r>
      <w:r w:rsidR="00F9269A" w:rsidRPr="00B77594">
        <w:rPr>
          <w:rFonts w:ascii="Calibri Light" w:hAnsi="Calibri Light" w:cstheme="majorHAnsi"/>
          <w:sz w:val="16"/>
          <w:szCs w:val="16"/>
        </w:rPr>
        <w:t>D</w:t>
      </w:r>
      <w:r w:rsidRPr="00B77594">
        <w:rPr>
          <w:rFonts w:ascii="Calibri Light" w:hAnsi="Calibri Light" w:cstheme="majorHAnsi"/>
          <w:sz w:val="16"/>
          <w:szCs w:val="16"/>
        </w:rPr>
        <w:t>isponible en: http://www.oas.org/es/cidh/decisione</w:t>
      </w:r>
      <w:r w:rsidR="00F9269A" w:rsidRPr="00B77594">
        <w:rPr>
          <w:rFonts w:ascii="Calibri Light" w:hAnsi="Calibri Light" w:cstheme="majorHAnsi"/>
          <w:sz w:val="16"/>
          <w:szCs w:val="16"/>
        </w:rPr>
        <w:t>s/pdf/2017/1-17MC475-15-VE.pdf;</w:t>
      </w:r>
      <w:r w:rsidRPr="00B77594">
        <w:rPr>
          <w:rFonts w:ascii="Calibri Light" w:hAnsi="Calibri Light" w:cstheme="majorHAnsi"/>
          <w:sz w:val="16"/>
          <w:szCs w:val="16"/>
        </w:rPr>
        <w:t xml:space="preserve"> CIDH, </w:t>
      </w:r>
      <w:r w:rsidRPr="00B77594">
        <w:rPr>
          <w:rFonts w:ascii="Calibri Light" w:hAnsi="Calibri Light" w:cstheme="majorHAnsi"/>
          <w:i/>
          <w:iCs/>
          <w:sz w:val="16"/>
          <w:szCs w:val="16"/>
        </w:rPr>
        <w:t xml:space="preserve">Luis Florido respecto de Venezuela, </w:t>
      </w:r>
      <w:r w:rsidRPr="00B77594">
        <w:rPr>
          <w:rFonts w:ascii="Calibri Light" w:hAnsi="Calibri Light" w:cstheme="majorHAnsi"/>
          <w:sz w:val="16"/>
          <w:szCs w:val="16"/>
        </w:rPr>
        <w:t xml:space="preserve">Resolución </w:t>
      </w:r>
      <w:r w:rsidR="00F9269A" w:rsidRPr="00B77594">
        <w:rPr>
          <w:rFonts w:ascii="Calibri Light" w:hAnsi="Calibri Light" w:cstheme="majorHAnsi"/>
          <w:sz w:val="16"/>
          <w:szCs w:val="16"/>
        </w:rPr>
        <w:t>No. 12/17, 7 de abril de 2017;</w:t>
      </w:r>
      <w:r w:rsidRPr="00B77594">
        <w:rPr>
          <w:rFonts w:ascii="Calibri Light" w:hAnsi="Calibri Light" w:cstheme="majorHAnsi"/>
          <w:sz w:val="16"/>
          <w:szCs w:val="16"/>
        </w:rPr>
        <w:t xml:space="preserve"> CIDH, </w:t>
      </w:r>
      <w:r w:rsidRPr="00B77594">
        <w:rPr>
          <w:rFonts w:ascii="Calibri Light" w:hAnsi="Calibri Light" w:cstheme="majorHAnsi"/>
          <w:i/>
          <w:iCs/>
          <w:sz w:val="16"/>
          <w:szCs w:val="16"/>
        </w:rPr>
        <w:t xml:space="preserve">Julio Borges y otros respecto de Venezuela (MC 403-17), </w:t>
      </w:r>
      <w:r w:rsidR="00F9269A" w:rsidRPr="00B77594">
        <w:rPr>
          <w:rFonts w:ascii="Calibri Light" w:hAnsi="Calibri Light" w:cstheme="majorHAnsi"/>
          <w:sz w:val="16"/>
          <w:szCs w:val="16"/>
        </w:rPr>
        <w:t xml:space="preserve">Resolución 24/2017; </w:t>
      </w:r>
      <w:r w:rsidRPr="00B77594">
        <w:rPr>
          <w:rFonts w:ascii="Calibri Light" w:hAnsi="Calibri Light" w:cstheme="majorHAnsi"/>
          <w:sz w:val="16"/>
          <w:szCs w:val="16"/>
        </w:rPr>
        <w:t xml:space="preserve">CIDH, </w:t>
      </w:r>
      <w:r w:rsidRPr="00B77594">
        <w:rPr>
          <w:rFonts w:ascii="Calibri Light" w:hAnsi="Calibri Light" w:cstheme="majorHAnsi"/>
          <w:i/>
          <w:iCs/>
          <w:sz w:val="16"/>
          <w:szCs w:val="16"/>
        </w:rPr>
        <w:t xml:space="preserve">Henrique Capriles </w:t>
      </w:r>
      <w:proofErr w:type="spellStart"/>
      <w:r w:rsidRPr="00B77594">
        <w:rPr>
          <w:rFonts w:ascii="Calibri Light" w:hAnsi="Calibri Light" w:cstheme="majorHAnsi"/>
          <w:i/>
          <w:iCs/>
          <w:sz w:val="16"/>
          <w:szCs w:val="16"/>
        </w:rPr>
        <w:t>Radonski</w:t>
      </w:r>
      <w:proofErr w:type="spellEnd"/>
      <w:r w:rsidRPr="00B77594">
        <w:rPr>
          <w:rFonts w:ascii="Calibri Light" w:hAnsi="Calibri Light" w:cstheme="majorHAnsi"/>
          <w:i/>
          <w:iCs/>
          <w:sz w:val="16"/>
          <w:szCs w:val="16"/>
        </w:rPr>
        <w:t xml:space="preserve"> (MC 248-17), </w:t>
      </w:r>
      <w:r w:rsidRPr="00B77594">
        <w:rPr>
          <w:rFonts w:ascii="Calibri Light" w:hAnsi="Calibri Light" w:cstheme="majorHAnsi"/>
          <w:sz w:val="16"/>
          <w:szCs w:val="16"/>
        </w:rPr>
        <w:t xml:space="preserve">Resolución 15/17, 2 de junio de 2017. Disponible en: </w:t>
      </w:r>
      <w:hyperlink r:id="rId7" w:history="1">
        <w:r w:rsidR="00F9269A" w:rsidRPr="00B77594">
          <w:rPr>
            <w:rStyle w:val="Hyperlink"/>
            <w:rFonts w:ascii="Calibri Light" w:hAnsi="Calibri Light" w:cstheme="majorHAnsi"/>
            <w:sz w:val="16"/>
            <w:szCs w:val="16"/>
          </w:rPr>
          <w:t>http://www.oas.org/es/cidh/decisiones/pdf/2017/15-17MC248-17-VE.pdf</w:t>
        </w:r>
      </w:hyperlink>
      <w:r w:rsidR="00F9269A" w:rsidRPr="00B77594">
        <w:rPr>
          <w:rFonts w:ascii="Calibri Light" w:hAnsi="Calibri Light" w:cstheme="majorHAnsi"/>
          <w:sz w:val="16"/>
          <w:szCs w:val="16"/>
        </w:rPr>
        <w:t xml:space="preserve">; </w:t>
      </w:r>
      <w:r w:rsidRPr="00B77594">
        <w:rPr>
          <w:rFonts w:ascii="Calibri Light" w:hAnsi="Calibri Light" w:cstheme="majorHAnsi"/>
          <w:sz w:val="16"/>
          <w:szCs w:val="16"/>
        </w:rPr>
        <w:t xml:space="preserve">CIDH, </w:t>
      </w:r>
      <w:r w:rsidRPr="00B77594">
        <w:rPr>
          <w:rFonts w:ascii="Calibri Light" w:hAnsi="Calibri Light" w:cstheme="majorHAnsi"/>
          <w:i/>
          <w:iCs/>
          <w:sz w:val="16"/>
          <w:szCs w:val="16"/>
        </w:rPr>
        <w:t xml:space="preserve">Williams Dávila respecto de Venezuela, </w:t>
      </w:r>
      <w:r w:rsidRPr="00B77594">
        <w:rPr>
          <w:rFonts w:ascii="Calibri Light" w:hAnsi="Calibri Light" w:cstheme="majorHAnsi"/>
          <w:sz w:val="16"/>
          <w:szCs w:val="16"/>
        </w:rPr>
        <w:t>6 de septiembre de 2017 (MC 533-17), Resolución 3</w:t>
      </w:r>
      <w:r w:rsidR="00F9269A" w:rsidRPr="00B77594">
        <w:rPr>
          <w:rFonts w:ascii="Calibri Light" w:hAnsi="Calibri Light" w:cstheme="majorHAnsi"/>
          <w:sz w:val="16"/>
          <w:szCs w:val="16"/>
        </w:rPr>
        <w:t>5/2017, 6 de septiembre de 2017,</w:t>
      </w:r>
      <w:r w:rsidRPr="00B77594">
        <w:rPr>
          <w:rFonts w:ascii="Calibri Light" w:hAnsi="Calibri Light" w:cstheme="majorHAnsi"/>
          <w:sz w:val="16"/>
          <w:szCs w:val="16"/>
        </w:rPr>
        <w:t xml:space="preserve"> disponible en: </w:t>
      </w:r>
      <w:hyperlink r:id="rId8" w:history="1">
        <w:r w:rsidR="00F9269A" w:rsidRPr="00B77594">
          <w:rPr>
            <w:rStyle w:val="Hyperlink"/>
            <w:rFonts w:ascii="Calibri Light" w:hAnsi="Calibri Light" w:cstheme="majorHAnsi"/>
            <w:sz w:val="16"/>
            <w:szCs w:val="16"/>
          </w:rPr>
          <w:t>http://www.oas.org/es/cidh/decisiones/pdf/2017/35-17MC533-17-VE.pdf</w:t>
        </w:r>
      </w:hyperlink>
      <w:r w:rsidR="00F9269A" w:rsidRPr="00B77594">
        <w:rPr>
          <w:rFonts w:ascii="Calibri Light" w:hAnsi="Calibri Light" w:cstheme="majorHAnsi"/>
          <w:sz w:val="16"/>
          <w:szCs w:val="16"/>
        </w:rPr>
        <w:t xml:space="preserve">; </w:t>
      </w:r>
      <w:r w:rsidRPr="00B77594">
        <w:rPr>
          <w:rFonts w:ascii="Calibri Light" w:hAnsi="Calibri Light" w:cstheme="majorHAnsi"/>
          <w:sz w:val="16"/>
          <w:szCs w:val="16"/>
        </w:rPr>
        <w:t xml:space="preserve">CIDH, </w:t>
      </w:r>
      <w:r w:rsidRPr="00B77594">
        <w:rPr>
          <w:rFonts w:ascii="Calibri Light" w:hAnsi="Calibri Light" w:cstheme="majorHAnsi"/>
          <w:i/>
          <w:iCs/>
          <w:sz w:val="16"/>
          <w:szCs w:val="16"/>
        </w:rPr>
        <w:t xml:space="preserve">Juan Carlos </w:t>
      </w:r>
      <w:proofErr w:type="spellStart"/>
      <w:r w:rsidRPr="00B77594">
        <w:rPr>
          <w:rFonts w:ascii="Calibri Light" w:hAnsi="Calibri Light" w:cstheme="majorHAnsi"/>
          <w:i/>
          <w:iCs/>
          <w:sz w:val="16"/>
          <w:szCs w:val="16"/>
        </w:rPr>
        <w:t>Requesens</w:t>
      </w:r>
      <w:proofErr w:type="spellEnd"/>
      <w:r w:rsidRPr="00B77594">
        <w:rPr>
          <w:rFonts w:ascii="Calibri Light" w:hAnsi="Calibri Light" w:cstheme="majorHAnsi"/>
          <w:i/>
          <w:iCs/>
          <w:sz w:val="16"/>
          <w:szCs w:val="16"/>
        </w:rPr>
        <w:t xml:space="preserve"> Martínez respecto de Venezuela</w:t>
      </w:r>
      <w:r w:rsidR="00F9269A" w:rsidRPr="00B77594">
        <w:rPr>
          <w:rFonts w:ascii="Calibri Light" w:hAnsi="Calibri Light" w:cstheme="majorHAnsi"/>
          <w:i/>
          <w:iCs/>
          <w:sz w:val="16"/>
          <w:szCs w:val="16"/>
        </w:rPr>
        <w:t xml:space="preserve"> </w:t>
      </w:r>
      <w:r w:rsidR="00F9269A" w:rsidRPr="00B77594">
        <w:rPr>
          <w:rFonts w:ascii="Calibri Light" w:hAnsi="Calibri Light" w:cstheme="majorHAnsi"/>
          <w:iCs/>
          <w:sz w:val="16"/>
          <w:szCs w:val="16"/>
        </w:rPr>
        <w:t>(MC 1039-18), Resolución 79/2018</w:t>
      </w:r>
      <w:r w:rsidRPr="00B77594">
        <w:rPr>
          <w:rFonts w:ascii="Calibri Light" w:hAnsi="Calibri Light" w:cstheme="majorHAnsi"/>
          <w:i/>
          <w:iCs/>
          <w:sz w:val="16"/>
          <w:szCs w:val="16"/>
        </w:rPr>
        <w:t xml:space="preserve">, </w:t>
      </w:r>
      <w:r w:rsidRPr="00B77594">
        <w:rPr>
          <w:rFonts w:ascii="Calibri Light" w:hAnsi="Calibri Light" w:cstheme="majorHAnsi"/>
          <w:sz w:val="16"/>
          <w:szCs w:val="16"/>
        </w:rPr>
        <w:t xml:space="preserve">11 de octubre de 2018, disponible en: </w:t>
      </w:r>
      <w:hyperlink r:id="rId9" w:history="1">
        <w:r w:rsidR="00F9269A" w:rsidRPr="00B77594">
          <w:rPr>
            <w:rStyle w:val="Hyperlink"/>
            <w:rFonts w:ascii="Calibri Light" w:hAnsi="Calibri Light" w:cstheme="majorHAnsi"/>
            <w:sz w:val="16"/>
            <w:szCs w:val="16"/>
          </w:rPr>
          <w:t>http://www.oas.org/es/cidh/decisiones/pdf/2018/79-18MC1039-18-VE.pdf</w:t>
        </w:r>
      </w:hyperlink>
      <w:r w:rsidR="00F9269A" w:rsidRPr="00B77594">
        <w:rPr>
          <w:rFonts w:ascii="Calibri Light" w:hAnsi="Calibri Light" w:cstheme="majorHAnsi"/>
          <w:sz w:val="16"/>
          <w:szCs w:val="16"/>
        </w:rPr>
        <w:t xml:space="preserve">; CIDH, </w:t>
      </w:r>
      <w:r w:rsidR="00F9269A" w:rsidRPr="00B77594">
        <w:rPr>
          <w:rFonts w:ascii="Calibri Light" w:hAnsi="Calibri Light" w:cstheme="majorHAnsi"/>
          <w:i/>
          <w:sz w:val="16"/>
          <w:szCs w:val="16"/>
        </w:rPr>
        <w:t xml:space="preserve">Juan Gerardo </w:t>
      </w:r>
      <w:proofErr w:type="spellStart"/>
      <w:r w:rsidR="00F9269A" w:rsidRPr="00B77594">
        <w:rPr>
          <w:rFonts w:ascii="Calibri Light" w:hAnsi="Calibri Light" w:cstheme="majorHAnsi"/>
          <w:i/>
          <w:sz w:val="16"/>
          <w:szCs w:val="16"/>
        </w:rPr>
        <w:t>Guaidó</w:t>
      </w:r>
      <w:proofErr w:type="spellEnd"/>
      <w:r w:rsidR="00F9269A" w:rsidRPr="00B77594">
        <w:rPr>
          <w:rFonts w:ascii="Calibri Light" w:hAnsi="Calibri Light" w:cstheme="majorHAnsi"/>
          <w:i/>
          <w:sz w:val="16"/>
          <w:szCs w:val="16"/>
        </w:rPr>
        <w:t xml:space="preserve"> Márquez respecto de Venezuela</w:t>
      </w:r>
      <w:r w:rsidR="00F9269A" w:rsidRPr="00B77594">
        <w:rPr>
          <w:rFonts w:ascii="Calibri Light" w:hAnsi="Calibri Light" w:cstheme="majorHAnsi"/>
          <w:sz w:val="16"/>
          <w:szCs w:val="16"/>
        </w:rPr>
        <w:t xml:space="preserve"> (MC 70-19), Resolución 1/2019</w:t>
      </w:r>
      <w:r w:rsidR="00F9269A" w:rsidRPr="00B77594">
        <w:rPr>
          <w:rFonts w:ascii="Calibri Light" w:hAnsi="Calibri Light" w:cstheme="majorHAnsi"/>
          <w:i/>
          <w:sz w:val="16"/>
          <w:szCs w:val="16"/>
        </w:rPr>
        <w:t xml:space="preserve">, </w:t>
      </w:r>
      <w:r w:rsidR="00F9269A" w:rsidRPr="00B77594">
        <w:rPr>
          <w:rFonts w:ascii="Calibri Light" w:hAnsi="Calibri Light" w:cstheme="majorHAnsi"/>
          <w:sz w:val="16"/>
          <w:szCs w:val="16"/>
        </w:rPr>
        <w:t xml:space="preserve">25 de enero de 2019. Disponible en: </w:t>
      </w:r>
      <w:hyperlink r:id="rId10" w:history="1">
        <w:r w:rsidR="00F10192" w:rsidRPr="00B77594">
          <w:rPr>
            <w:rStyle w:val="Hyperlink"/>
            <w:rFonts w:ascii="Calibri Light" w:hAnsi="Calibri Light" w:cstheme="majorHAnsi"/>
            <w:sz w:val="16"/>
            <w:szCs w:val="16"/>
          </w:rPr>
          <w:t>http://www.oas.org/es/cidh/prensa/comunicados/2019/017A.pdf</w:t>
        </w:r>
      </w:hyperlink>
      <w:r w:rsidR="00F10192" w:rsidRPr="00B77594">
        <w:rPr>
          <w:rFonts w:ascii="Calibri Light" w:hAnsi="Calibri Light" w:cstheme="majorHAnsi"/>
          <w:sz w:val="16"/>
          <w:szCs w:val="16"/>
        </w:rPr>
        <w:t>; CIDH, Roberto Marrero y Sergio Vergara respecto de Venezuela (Ampliación, MC 70-19), Resolución 16/2019, 27 de marzo de 2019. Disponible en: http://www.oas.org/es/cidh/decisiones/pdf/2019/16-19MC70-19-VE-Ampliacion.pdf</w:t>
      </w:r>
    </w:p>
  </w:footnote>
  <w:footnote w:id="21">
    <w:p w:rsidR="00C17414" w:rsidRPr="00B77594" w:rsidRDefault="00C17414"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En el mes de julio</w:t>
      </w:r>
      <w:r w:rsidR="00245A17" w:rsidRPr="00B77594">
        <w:rPr>
          <w:rFonts w:ascii="Calibri Light" w:hAnsi="Calibri Light" w:cstheme="majorHAnsi"/>
          <w:sz w:val="16"/>
          <w:szCs w:val="16"/>
        </w:rPr>
        <w:t xml:space="preserve"> de 2016</w:t>
      </w:r>
      <w:r w:rsidRPr="00B77594">
        <w:rPr>
          <w:rFonts w:ascii="Calibri Light" w:hAnsi="Calibri Light" w:cstheme="majorHAnsi"/>
          <w:sz w:val="16"/>
          <w:szCs w:val="16"/>
        </w:rPr>
        <w:t xml:space="preserve">, la Contraloría General de la República emitió una serie de resoluciones administrativas de inhabilitación para ejercer cargos públicos contra dirigentes de la coalición de oposición Mesa de la Unidad Democrática (MUD). Dichas resoluciones fueron dictadas </w:t>
      </w:r>
      <w:r w:rsidR="00245A17" w:rsidRPr="00B77594">
        <w:rPr>
          <w:rFonts w:ascii="Calibri Light" w:hAnsi="Calibri Light" w:cstheme="majorHAnsi"/>
          <w:sz w:val="16"/>
          <w:szCs w:val="16"/>
        </w:rPr>
        <w:t xml:space="preserve">inclusive en </w:t>
      </w:r>
      <w:r w:rsidRPr="00B77594">
        <w:rPr>
          <w:rFonts w:ascii="Calibri Light" w:hAnsi="Calibri Light" w:cstheme="majorHAnsi"/>
          <w:sz w:val="16"/>
          <w:szCs w:val="16"/>
        </w:rPr>
        <w:t>contra</w:t>
      </w:r>
      <w:r w:rsidR="00245A17" w:rsidRPr="00B77594">
        <w:rPr>
          <w:rFonts w:ascii="Calibri Light" w:hAnsi="Calibri Light" w:cstheme="majorHAnsi"/>
          <w:sz w:val="16"/>
          <w:szCs w:val="16"/>
        </w:rPr>
        <w:t xml:space="preserve"> de la propuesta beneficiaria</w:t>
      </w:r>
      <w:r w:rsidRPr="00B77594">
        <w:rPr>
          <w:rFonts w:ascii="Calibri Light" w:hAnsi="Calibri Light" w:cstheme="majorHAnsi"/>
          <w:sz w:val="16"/>
          <w:szCs w:val="16"/>
        </w:rPr>
        <w:t xml:space="preserve"> María Corina Machado,</w:t>
      </w:r>
      <w:r w:rsidR="00245A17" w:rsidRPr="00B77594">
        <w:rPr>
          <w:rFonts w:ascii="Calibri Light" w:hAnsi="Calibri Light" w:cstheme="majorHAnsi"/>
          <w:sz w:val="16"/>
          <w:szCs w:val="16"/>
        </w:rPr>
        <w:t xml:space="preserve"> además de</w:t>
      </w:r>
      <w:r w:rsidR="008C1028" w:rsidRPr="00B77594">
        <w:rPr>
          <w:rFonts w:ascii="Calibri Light" w:hAnsi="Calibri Light" w:cstheme="majorHAnsi"/>
          <w:sz w:val="16"/>
          <w:szCs w:val="16"/>
        </w:rPr>
        <w:t xml:space="preserve"> </w:t>
      </w:r>
      <w:r w:rsidR="00245A17" w:rsidRPr="00B77594">
        <w:rPr>
          <w:rFonts w:ascii="Calibri Light" w:hAnsi="Calibri Light" w:cstheme="majorHAnsi"/>
          <w:sz w:val="16"/>
          <w:szCs w:val="16"/>
        </w:rPr>
        <w:t>l</w:t>
      </w:r>
      <w:r w:rsidR="008C1028" w:rsidRPr="00B77594">
        <w:rPr>
          <w:rFonts w:ascii="Calibri Light" w:hAnsi="Calibri Light" w:cstheme="majorHAnsi"/>
          <w:sz w:val="16"/>
          <w:szCs w:val="16"/>
        </w:rPr>
        <w:t>os</w:t>
      </w:r>
      <w:r w:rsidR="00245A17" w:rsidRPr="00B77594">
        <w:rPr>
          <w:rFonts w:ascii="Calibri Light" w:hAnsi="Calibri Light" w:cstheme="majorHAnsi"/>
          <w:sz w:val="16"/>
          <w:szCs w:val="16"/>
        </w:rPr>
        <w:t xml:space="preserve"> señores</w:t>
      </w:r>
      <w:r w:rsidRPr="00B77594">
        <w:rPr>
          <w:rFonts w:ascii="Calibri Light" w:hAnsi="Calibri Light" w:cstheme="majorHAnsi"/>
          <w:sz w:val="16"/>
          <w:szCs w:val="16"/>
        </w:rPr>
        <w:t xml:space="preserve"> Enzo </w:t>
      </w:r>
      <w:proofErr w:type="spellStart"/>
      <w:r w:rsidRPr="00B77594">
        <w:rPr>
          <w:rFonts w:ascii="Calibri Light" w:hAnsi="Calibri Light" w:cstheme="majorHAnsi"/>
          <w:sz w:val="16"/>
          <w:szCs w:val="16"/>
        </w:rPr>
        <w:t>Scarano</w:t>
      </w:r>
      <w:proofErr w:type="spellEnd"/>
      <w:r w:rsidRPr="00B77594">
        <w:rPr>
          <w:rFonts w:ascii="Calibri Light" w:hAnsi="Calibri Light" w:cstheme="majorHAnsi"/>
          <w:sz w:val="16"/>
          <w:szCs w:val="16"/>
        </w:rPr>
        <w:t xml:space="preserve"> y Daniel Ceballos por 12 meses; y contra </w:t>
      </w:r>
      <w:r w:rsidR="00245A17" w:rsidRPr="00B77594">
        <w:rPr>
          <w:rFonts w:ascii="Calibri Light" w:hAnsi="Calibri Light" w:cstheme="majorHAnsi"/>
          <w:sz w:val="16"/>
          <w:szCs w:val="16"/>
        </w:rPr>
        <w:t xml:space="preserve">el señor </w:t>
      </w:r>
      <w:r w:rsidRPr="00B77594">
        <w:rPr>
          <w:rFonts w:ascii="Calibri Light" w:hAnsi="Calibri Light" w:cstheme="majorHAnsi"/>
          <w:sz w:val="16"/>
          <w:szCs w:val="16"/>
        </w:rPr>
        <w:t>Pablo Pérez por 10 años. En vista de esto, y conforme a las facultades establecidas en el artículo 18 de su Estatuto, el 31 de julio, la Comisión solicitó información al Estado sobre la base legal para la imposición de dichas inhabilitaciones, así como sobre si éstas impedirían la inscripción de los posibles candidatos de oposición en los citados comicios. El Estado no presentó su respuesta. Ver CIDH, Informe Anual 2015, Capítulo IV. Venezuela, 16 de marzo de 2016, párr.1</w:t>
      </w:r>
    </w:p>
  </w:footnote>
  <w:footnote w:id="22">
    <w:p w:rsidR="00CE7EE0" w:rsidRPr="00B77594" w:rsidRDefault="00CE7EE0"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Informe Anual 2015, Capítulo IV. Venezuela, 16 de marzo de 2016, párr.76.</w:t>
      </w:r>
    </w:p>
  </w:footnote>
  <w:footnote w:id="23">
    <w:p w:rsidR="002C4134" w:rsidRPr="00B77594" w:rsidRDefault="002C4134" w:rsidP="00B77594">
      <w:pPr>
        <w:pStyle w:val="FootnoteText"/>
        <w:jc w:val="both"/>
        <w:rPr>
          <w:rFonts w:ascii="Calibri Light" w:hAnsi="Calibri Light" w:cstheme="majorHAnsi"/>
          <w:sz w:val="16"/>
          <w:szCs w:val="16"/>
        </w:rPr>
      </w:pPr>
      <w:r w:rsidRPr="00B77594">
        <w:rPr>
          <w:rStyle w:val="FootnoteReference"/>
          <w:rFonts w:ascii="Calibri Light" w:hAnsi="Calibri Light" w:cstheme="majorHAnsi"/>
          <w:sz w:val="16"/>
          <w:szCs w:val="16"/>
        </w:rPr>
        <w:footnoteRef/>
      </w:r>
      <w:r w:rsidRPr="00B77594">
        <w:rPr>
          <w:rFonts w:ascii="Calibri Light" w:hAnsi="Calibri Light" w:cstheme="majorHAnsi"/>
          <w:sz w:val="16"/>
          <w:szCs w:val="16"/>
        </w:rPr>
        <w:t xml:space="preserve"> CIDH, Resolución 3/2019. MC-115-19. Oswaldo García Palomo y otros respecto de Venezuela, 19 de febrero de 2019. Disponible en: http://www.oas.org/es/cidh/decisiones/pdf/2019/3-19MC115-19-VE.pdf; CIDH, Resolución 8/2019. MC-83-19. Luis Alexander </w:t>
      </w:r>
      <w:proofErr w:type="spellStart"/>
      <w:r w:rsidRPr="00B77594">
        <w:rPr>
          <w:rFonts w:ascii="Calibri Light" w:hAnsi="Calibri Light" w:cstheme="majorHAnsi"/>
          <w:sz w:val="16"/>
          <w:szCs w:val="16"/>
        </w:rPr>
        <w:t>Bandres</w:t>
      </w:r>
      <w:proofErr w:type="spellEnd"/>
      <w:r w:rsidRPr="00B77594">
        <w:rPr>
          <w:rFonts w:ascii="Calibri Light" w:hAnsi="Calibri Light" w:cstheme="majorHAnsi"/>
          <w:sz w:val="16"/>
          <w:szCs w:val="16"/>
        </w:rPr>
        <w:t xml:space="preserve"> Figueroa respecto de Venezuela, 28 de febrero de 2019. Disponible en: http://www.oas.org/es/cidh/decisiones/pdf/2019/8-18MC83-19-VE.pdf; CIDH, Resolución 9/2019. MC-1302-18. </w:t>
      </w:r>
      <w:proofErr w:type="spellStart"/>
      <w:r w:rsidRPr="00B77594">
        <w:rPr>
          <w:rFonts w:ascii="Calibri Light" w:hAnsi="Calibri Light" w:cstheme="majorHAnsi"/>
          <w:sz w:val="16"/>
          <w:szCs w:val="16"/>
        </w:rPr>
        <w:t>Isbert</w:t>
      </w:r>
      <w:proofErr w:type="spellEnd"/>
      <w:r w:rsidRPr="00B77594">
        <w:rPr>
          <w:rFonts w:ascii="Calibri Light" w:hAnsi="Calibri Light" w:cstheme="majorHAnsi"/>
          <w:sz w:val="16"/>
          <w:szCs w:val="16"/>
        </w:rPr>
        <w:t xml:space="preserve"> José Marín Chaparro respecto de Venezuela, 4 de marzo de 2019. Disponible en: http://www.oas.org/es/cidh/decisiones/pdf/2019/9-19MC1302-18-VE.pdf.</w:t>
      </w:r>
    </w:p>
  </w:footnote>
  <w:footnote w:id="24">
    <w:p w:rsidR="00796F91" w:rsidRPr="00B77594" w:rsidRDefault="00796F91" w:rsidP="00B77594">
      <w:pPr>
        <w:pStyle w:val="FootnoteText"/>
        <w:jc w:val="both"/>
        <w:rPr>
          <w:rFonts w:ascii="Calibri Light" w:hAnsi="Calibri Light"/>
          <w:sz w:val="16"/>
          <w:szCs w:val="16"/>
        </w:rPr>
      </w:pPr>
      <w:r w:rsidRPr="00B77594">
        <w:rPr>
          <w:rStyle w:val="FootnoteReference"/>
          <w:rFonts w:ascii="Calibri Light" w:hAnsi="Calibri Light"/>
          <w:sz w:val="16"/>
          <w:szCs w:val="16"/>
        </w:rPr>
        <w:footnoteRef/>
      </w:r>
      <w:r w:rsidRPr="00B77594">
        <w:rPr>
          <w:rFonts w:ascii="Calibri Light" w:hAnsi="Calibri Light"/>
          <w:sz w:val="16"/>
          <w:szCs w:val="16"/>
        </w:rPr>
        <w:t xml:space="preserve"> CIDH, CIDH expresa alarma y preocupación por la muerte del Capitán Rafael Acosta Arévalo bajo custodia en Venezuela, comunicado de prensa 167/19 de 3 de julio de 2019, disponible en </w:t>
      </w:r>
      <w:hyperlink r:id="rId11" w:history="1">
        <w:r w:rsidRPr="00B77594">
          <w:rPr>
            <w:rStyle w:val="Hyperlink"/>
            <w:rFonts w:ascii="Calibri Light" w:hAnsi="Calibri Light"/>
            <w:sz w:val="16"/>
            <w:szCs w:val="16"/>
          </w:rPr>
          <w:t>http://www.oas.org/es/cidh/prensa/comunicados/2019/167.asp</w:t>
        </w:r>
      </w:hyperlink>
    </w:p>
  </w:footnote>
  <w:footnote w:id="25">
    <w:p w:rsidR="00796F91" w:rsidRPr="00B77594" w:rsidRDefault="00796F91" w:rsidP="00B77594">
      <w:pPr>
        <w:pStyle w:val="FootnoteText"/>
        <w:jc w:val="both"/>
        <w:rPr>
          <w:rFonts w:ascii="Calibri Light" w:hAnsi="Calibri Light"/>
          <w:sz w:val="16"/>
          <w:szCs w:val="16"/>
        </w:rPr>
      </w:pPr>
      <w:r w:rsidRPr="00B77594">
        <w:rPr>
          <w:rStyle w:val="FootnoteReference"/>
          <w:rFonts w:ascii="Calibri Light" w:hAnsi="Calibri Light"/>
          <w:sz w:val="16"/>
          <w:szCs w:val="16"/>
        </w:rPr>
        <w:footnoteRef/>
      </w:r>
      <w:r w:rsidRPr="00B77594">
        <w:rPr>
          <w:rFonts w:ascii="Calibri Light" w:hAnsi="Calibri Light"/>
          <w:sz w:val="16"/>
          <w:szCs w:val="16"/>
        </w:rPr>
        <w:t xml:space="preserve"> Noticias ONU, Bachelet conmocionada y preocupada por la muerte en custodia del capitán Acosta Arévalo en Venezuela, 1 de julio de 2019, disponible en </w:t>
      </w:r>
      <w:hyperlink r:id="rId12" w:history="1">
        <w:r w:rsidRPr="00B77594">
          <w:rPr>
            <w:rStyle w:val="Hyperlink"/>
            <w:rFonts w:ascii="Calibri Light" w:hAnsi="Calibri Light"/>
            <w:sz w:val="16"/>
            <w:szCs w:val="16"/>
          </w:rPr>
          <w:t>https://news.un.org/es/story/2019/07/1458662</w:t>
        </w:r>
      </w:hyperlink>
      <w:r w:rsidRPr="00B77594">
        <w:rPr>
          <w:rFonts w:ascii="Calibri Light" w:hAnsi="Calibri Light"/>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BF" w:rsidRPr="00C7126F" w:rsidRDefault="00C33AB6" w:rsidP="004A4FBF">
    <w:pPr>
      <w:tabs>
        <w:tab w:val="left" w:pos="4040"/>
        <w:tab w:val="left" w:pos="4333"/>
        <w:tab w:val="center" w:pos="4680"/>
        <w:tab w:val="right" w:pos="9360"/>
      </w:tabs>
      <w:spacing w:after="0" w:line="240" w:lineRule="auto"/>
      <w:jc w:val="both"/>
      <w:rPr>
        <w:rFonts w:ascii="Cambria" w:hAnsi="Cambria"/>
        <w:sz w:val="21"/>
        <w:szCs w:val="21"/>
      </w:rPr>
    </w:pPr>
    <w:r w:rsidRPr="00C7126F">
      <w:rPr>
        <w:rFonts w:ascii="Cambria" w:hAnsi="Cambria"/>
        <w:noProof/>
        <w:sz w:val="21"/>
        <w:szCs w:val="21"/>
        <w:lang w:val="en-US" w:eastAsia="zh-CN"/>
      </w:rPr>
      <w:drawing>
        <wp:inline distT="0" distB="0" distL="0" distR="0" wp14:anchorId="127D3E3D" wp14:editId="69C973BD">
          <wp:extent cx="2352040" cy="449580"/>
          <wp:effectExtent l="0" t="0" r="0" b="762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449580"/>
                  </a:xfrm>
                  <a:prstGeom prst="rect">
                    <a:avLst/>
                  </a:prstGeom>
                  <a:noFill/>
                  <a:ln>
                    <a:noFill/>
                  </a:ln>
                </pic:spPr>
              </pic:pic>
            </a:graphicData>
          </a:graphic>
        </wp:inline>
      </w:drawing>
    </w:r>
    <w:r w:rsidRPr="00C7126F">
      <w:rPr>
        <w:rFonts w:ascii="Cambria" w:hAnsi="Cambria"/>
        <w:sz w:val="21"/>
        <w:szCs w:val="21"/>
      </w:rPr>
      <w:tab/>
    </w:r>
    <w:r w:rsidRPr="00C7126F">
      <w:rPr>
        <w:rFonts w:ascii="Cambria" w:hAnsi="Cambria"/>
        <w:sz w:val="21"/>
        <w:szCs w:val="21"/>
      </w:rPr>
      <w:tab/>
    </w:r>
    <w:r w:rsidRPr="00C7126F">
      <w:rPr>
        <w:rFonts w:ascii="Cambria" w:hAnsi="Cambria"/>
        <w:sz w:val="21"/>
        <w:szCs w:val="21"/>
      </w:rPr>
      <w:tab/>
    </w:r>
    <w:r w:rsidRPr="00C7126F">
      <w:rPr>
        <w:rFonts w:ascii="Cambria" w:hAnsi="Cambria"/>
        <w:sz w:val="21"/>
        <w:szCs w:val="21"/>
      </w:rPr>
      <w:tab/>
    </w:r>
    <w:r w:rsidRPr="00C7126F">
      <w:rPr>
        <w:rFonts w:ascii="Cambria" w:hAnsi="Cambria"/>
        <w:noProof/>
        <w:sz w:val="21"/>
        <w:szCs w:val="21"/>
        <w:lang w:val="en-US" w:eastAsia="zh-CN"/>
      </w:rPr>
      <w:drawing>
        <wp:inline distT="0" distB="0" distL="0" distR="0" wp14:anchorId="706A01BC" wp14:editId="2DD16E9A">
          <wp:extent cx="2103755" cy="539115"/>
          <wp:effectExtent l="0" t="0" r="0" b="0"/>
          <wp:docPr id="3" name="Picture 3"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755" cy="539115"/>
                  </a:xfrm>
                  <a:prstGeom prst="rect">
                    <a:avLst/>
                  </a:prstGeom>
                  <a:noFill/>
                  <a:ln>
                    <a:noFill/>
                  </a:ln>
                </pic:spPr>
              </pic:pic>
            </a:graphicData>
          </a:graphic>
        </wp:inline>
      </w:drawing>
    </w:r>
  </w:p>
  <w:p w:rsidR="004A4FBF" w:rsidRPr="00C7126F" w:rsidRDefault="00057F62" w:rsidP="004A4FBF">
    <w:pPr>
      <w:pBdr>
        <w:bottom w:val="single" w:sz="6" w:space="1" w:color="auto"/>
      </w:pBdr>
      <w:tabs>
        <w:tab w:val="center" w:pos="4680"/>
        <w:tab w:val="right" w:pos="9360"/>
      </w:tabs>
      <w:spacing w:after="0" w:line="240" w:lineRule="auto"/>
      <w:rPr>
        <w:rFonts w:ascii="Cambria" w:eastAsia="Batang" w:hAnsi="Cambria"/>
        <w:sz w:val="21"/>
        <w:szCs w:val="21"/>
        <w:lang w:val="es-ES"/>
      </w:rPr>
    </w:pPr>
  </w:p>
  <w:p w:rsidR="00C7126F" w:rsidRPr="00C7126F" w:rsidRDefault="00057F62" w:rsidP="004A4FBF">
    <w:pPr>
      <w:spacing w:after="0" w:line="240" w:lineRule="auto"/>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75E6C"/>
    <w:multiLevelType w:val="hybridMultilevel"/>
    <w:tmpl w:val="57C47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B1E3D"/>
    <w:multiLevelType w:val="hybridMultilevel"/>
    <w:tmpl w:val="E6A2837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C5518"/>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40EFD"/>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D216E"/>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C447B"/>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80990"/>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BE6FA9"/>
    <w:multiLevelType w:val="hybridMultilevel"/>
    <w:tmpl w:val="404E523E"/>
    <w:lvl w:ilvl="0" w:tplc="7700E102">
      <w:start w:val="1"/>
      <w:numFmt w:val="upperRoman"/>
      <w:lvlText w:val="%1."/>
      <w:lvlJc w:val="right"/>
      <w:pPr>
        <w:ind w:left="72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
  </w:num>
  <w:num w:numId="6">
    <w:abstractNumId w:val="6"/>
  </w:num>
  <w:num w:numId="7">
    <w:abstractNumId w:val="5"/>
  </w:num>
  <w:num w:numId="8">
    <w:abstractNumId w:val="7"/>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7"/>
    <w:rsid w:val="00004A09"/>
    <w:rsid w:val="00034E45"/>
    <w:rsid w:val="00035374"/>
    <w:rsid w:val="000519A9"/>
    <w:rsid w:val="00052BE4"/>
    <w:rsid w:val="00057F62"/>
    <w:rsid w:val="00065BA6"/>
    <w:rsid w:val="00077925"/>
    <w:rsid w:val="00080731"/>
    <w:rsid w:val="00084763"/>
    <w:rsid w:val="000920AB"/>
    <w:rsid w:val="00094090"/>
    <w:rsid w:val="000A59CE"/>
    <w:rsid w:val="000C0DCC"/>
    <w:rsid w:val="000C47F6"/>
    <w:rsid w:val="000C7706"/>
    <w:rsid w:val="000D0FC4"/>
    <w:rsid w:val="000D4BEB"/>
    <w:rsid w:val="000E2402"/>
    <w:rsid w:val="000E4FC1"/>
    <w:rsid w:val="00106769"/>
    <w:rsid w:val="001447EC"/>
    <w:rsid w:val="001538C6"/>
    <w:rsid w:val="001A3AA0"/>
    <w:rsid w:val="001B16E4"/>
    <w:rsid w:val="001B57DD"/>
    <w:rsid w:val="001B7038"/>
    <w:rsid w:val="001C2DA3"/>
    <w:rsid w:val="001D11DB"/>
    <w:rsid w:val="001F07D2"/>
    <w:rsid w:val="00201F29"/>
    <w:rsid w:val="0020599F"/>
    <w:rsid w:val="00223927"/>
    <w:rsid w:val="0022613F"/>
    <w:rsid w:val="00245A17"/>
    <w:rsid w:val="002646D3"/>
    <w:rsid w:val="00265385"/>
    <w:rsid w:val="00284408"/>
    <w:rsid w:val="002973BA"/>
    <w:rsid w:val="002A6937"/>
    <w:rsid w:val="002B5AE2"/>
    <w:rsid w:val="002C1124"/>
    <w:rsid w:val="002C2A4B"/>
    <w:rsid w:val="002C4134"/>
    <w:rsid w:val="002C4C23"/>
    <w:rsid w:val="002C5E68"/>
    <w:rsid w:val="002F58F4"/>
    <w:rsid w:val="00343A54"/>
    <w:rsid w:val="0035237E"/>
    <w:rsid w:val="00402286"/>
    <w:rsid w:val="0041748B"/>
    <w:rsid w:val="00423AA9"/>
    <w:rsid w:val="0043492A"/>
    <w:rsid w:val="00451864"/>
    <w:rsid w:val="00496A21"/>
    <w:rsid w:val="004A70C6"/>
    <w:rsid w:val="004B4CED"/>
    <w:rsid w:val="004D06D3"/>
    <w:rsid w:val="004D3CAC"/>
    <w:rsid w:val="004D7495"/>
    <w:rsid w:val="004E50E5"/>
    <w:rsid w:val="004F34FC"/>
    <w:rsid w:val="005170A9"/>
    <w:rsid w:val="00521718"/>
    <w:rsid w:val="00523981"/>
    <w:rsid w:val="00524274"/>
    <w:rsid w:val="00585EBB"/>
    <w:rsid w:val="00586B92"/>
    <w:rsid w:val="00593F61"/>
    <w:rsid w:val="005955F4"/>
    <w:rsid w:val="005D2B14"/>
    <w:rsid w:val="00602835"/>
    <w:rsid w:val="00661F5C"/>
    <w:rsid w:val="00670ECD"/>
    <w:rsid w:val="006835CA"/>
    <w:rsid w:val="00692403"/>
    <w:rsid w:val="006C5F74"/>
    <w:rsid w:val="006D2955"/>
    <w:rsid w:val="006E05B2"/>
    <w:rsid w:val="006F2603"/>
    <w:rsid w:val="006F42F9"/>
    <w:rsid w:val="0077397C"/>
    <w:rsid w:val="00775044"/>
    <w:rsid w:val="007825C9"/>
    <w:rsid w:val="00796F91"/>
    <w:rsid w:val="007D6846"/>
    <w:rsid w:val="007F4F22"/>
    <w:rsid w:val="007F6C74"/>
    <w:rsid w:val="00831807"/>
    <w:rsid w:val="00853AB7"/>
    <w:rsid w:val="00861374"/>
    <w:rsid w:val="008747B5"/>
    <w:rsid w:val="00874D97"/>
    <w:rsid w:val="008A5FC6"/>
    <w:rsid w:val="008C1028"/>
    <w:rsid w:val="008F30D8"/>
    <w:rsid w:val="008F559C"/>
    <w:rsid w:val="00903883"/>
    <w:rsid w:val="00922416"/>
    <w:rsid w:val="00943D6E"/>
    <w:rsid w:val="00983C4F"/>
    <w:rsid w:val="009A664D"/>
    <w:rsid w:val="009B7495"/>
    <w:rsid w:val="009F0FD8"/>
    <w:rsid w:val="00A10F63"/>
    <w:rsid w:val="00A13A27"/>
    <w:rsid w:val="00A41DCB"/>
    <w:rsid w:val="00A9278D"/>
    <w:rsid w:val="00A92E29"/>
    <w:rsid w:val="00B064D9"/>
    <w:rsid w:val="00B522B9"/>
    <w:rsid w:val="00B77594"/>
    <w:rsid w:val="00B8399F"/>
    <w:rsid w:val="00B92C6F"/>
    <w:rsid w:val="00BB3141"/>
    <w:rsid w:val="00BB4CF1"/>
    <w:rsid w:val="00BC113B"/>
    <w:rsid w:val="00BD2AAB"/>
    <w:rsid w:val="00BD3544"/>
    <w:rsid w:val="00C043EE"/>
    <w:rsid w:val="00C15C40"/>
    <w:rsid w:val="00C17414"/>
    <w:rsid w:val="00C33AB6"/>
    <w:rsid w:val="00C419CB"/>
    <w:rsid w:val="00C43BA0"/>
    <w:rsid w:val="00C576F1"/>
    <w:rsid w:val="00C749D2"/>
    <w:rsid w:val="00C843A5"/>
    <w:rsid w:val="00C84895"/>
    <w:rsid w:val="00C87615"/>
    <w:rsid w:val="00C916AB"/>
    <w:rsid w:val="00CB6B15"/>
    <w:rsid w:val="00CC2131"/>
    <w:rsid w:val="00CD6F3A"/>
    <w:rsid w:val="00CE7CCC"/>
    <w:rsid w:val="00CE7EE0"/>
    <w:rsid w:val="00CF5BF8"/>
    <w:rsid w:val="00D13084"/>
    <w:rsid w:val="00D16CC3"/>
    <w:rsid w:val="00D3612E"/>
    <w:rsid w:val="00D60688"/>
    <w:rsid w:val="00D8304D"/>
    <w:rsid w:val="00DA3C4D"/>
    <w:rsid w:val="00E5011E"/>
    <w:rsid w:val="00E731F1"/>
    <w:rsid w:val="00E773C0"/>
    <w:rsid w:val="00E77B47"/>
    <w:rsid w:val="00E83367"/>
    <w:rsid w:val="00EA20AA"/>
    <w:rsid w:val="00EB127D"/>
    <w:rsid w:val="00EF6F7D"/>
    <w:rsid w:val="00F10192"/>
    <w:rsid w:val="00F20FF7"/>
    <w:rsid w:val="00F22F5B"/>
    <w:rsid w:val="00F41515"/>
    <w:rsid w:val="00F553F4"/>
    <w:rsid w:val="00F5720B"/>
    <w:rsid w:val="00F72CC6"/>
    <w:rsid w:val="00F9269A"/>
    <w:rsid w:val="00F937AC"/>
    <w:rsid w:val="00F93C31"/>
    <w:rsid w:val="00FA6942"/>
    <w:rsid w:val="00FC0EF0"/>
    <w:rsid w:val="00FE4E50"/>
    <w:rsid w:val="00FF4965"/>
  </w:rsids>
  <m:mathPr>
    <m:mathFont m:val="Cambria Math"/>
    <m:brkBin m:val="before"/>
    <m:brkBinSub m:val="--"/>
    <m:smallFrac m:val="0"/>
    <m:dispDef/>
    <m:lMargin m:val="0"/>
    <m:rMargin m:val="0"/>
    <m:defJc m:val="centerGroup"/>
    <m:wrapIndent m:val="1440"/>
    <m:intLim m:val="subSup"/>
    <m:naryLim m:val="undOvr"/>
  </m:mathPr>
  <w:themeFontLang w:val="es-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47"/>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77B47"/>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77B47"/>
    <w:rPr>
      <w:sz w:val="20"/>
      <w:szCs w:val="20"/>
    </w:rPr>
  </w:style>
  <w:style w:type="paragraph" w:styleId="Footer">
    <w:name w:val="footer"/>
    <w:basedOn w:val="Normal"/>
    <w:link w:val="FooterChar"/>
    <w:uiPriority w:val="99"/>
    <w:semiHidden/>
    <w:unhideWhenUsed/>
    <w:rsid w:val="00E77B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B47"/>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E77B47"/>
    <w:rPr>
      <w:vertAlign w:val="superscript"/>
    </w:rPr>
  </w:style>
  <w:style w:type="paragraph" w:customStyle="1" w:styleId="Appelnotedebasde">
    <w:name w:val="Appel note de bas de..."/>
    <w:basedOn w:val="Normal"/>
    <w:link w:val="FootnoteReference"/>
    <w:uiPriority w:val="99"/>
    <w:rsid w:val="00E77B47"/>
    <w:pPr>
      <w:spacing w:line="240" w:lineRule="exact"/>
    </w:pPr>
    <w:rPr>
      <w:vertAlign w:val="superscript"/>
    </w:rPr>
  </w:style>
  <w:style w:type="character" w:styleId="Hyperlink">
    <w:name w:val="Hyperlink"/>
    <w:uiPriority w:val="99"/>
    <w:unhideWhenUsed/>
    <w:rsid w:val="00E77B47"/>
    <w:rPr>
      <w:color w:val="0000FF"/>
      <w:u w:val="single"/>
    </w:rPr>
  </w:style>
  <w:style w:type="character" w:styleId="CommentReference">
    <w:name w:val="annotation reference"/>
    <w:basedOn w:val="DefaultParagraphFont"/>
    <w:uiPriority w:val="99"/>
    <w:semiHidden/>
    <w:unhideWhenUsed/>
    <w:rsid w:val="00E77B47"/>
    <w:rPr>
      <w:sz w:val="16"/>
      <w:szCs w:val="16"/>
    </w:rPr>
  </w:style>
  <w:style w:type="paragraph" w:styleId="CommentText">
    <w:name w:val="annotation text"/>
    <w:basedOn w:val="Normal"/>
    <w:link w:val="CommentTextChar"/>
    <w:uiPriority w:val="99"/>
    <w:semiHidden/>
    <w:unhideWhenUsed/>
    <w:rsid w:val="00E77B47"/>
    <w:pPr>
      <w:spacing w:line="240" w:lineRule="auto"/>
    </w:pPr>
    <w:rPr>
      <w:sz w:val="20"/>
      <w:szCs w:val="20"/>
    </w:rPr>
  </w:style>
  <w:style w:type="character" w:customStyle="1" w:styleId="CommentTextChar">
    <w:name w:val="Comment Text Char"/>
    <w:basedOn w:val="DefaultParagraphFont"/>
    <w:link w:val="CommentText"/>
    <w:uiPriority w:val="99"/>
    <w:semiHidden/>
    <w:rsid w:val="00E77B47"/>
    <w:rPr>
      <w:sz w:val="20"/>
      <w:szCs w:val="20"/>
    </w:rPr>
  </w:style>
  <w:style w:type="paragraph" w:styleId="BalloonText">
    <w:name w:val="Balloon Text"/>
    <w:basedOn w:val="Normal"/>
    <w:link w:val="BalloonTextChar"/>
    <w:uiPriority w:val="99"/>
    <w:semiHidden/>
    <w:unhideWhenUsed/>
    <w:rsid w:val="00E7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47"/>
    <w:rPr>
      <w:rFonts w:ascii="Segoe UI" w:hAnsi="Segoe UI" w:cs="Segoe UI"/>
      <w:sz w:val="18"/>
      <w:szCs w:val="18"/>
    </w:rPr>
  </w:style>
  <w:style w:type="paragraph" w:styleId="ListParagraph">
    <w:name w:val="List Paragraph"/>
    <w:basedOn w:val="Normal"/>
    <w:uiPriority w:val="34"/>
    <w:qFormat/>
    <w:rsid w:val="00EF6F7D"/>
    <w:pPr>
      <w:ind w:left="720"/>
      <w:contextualSpacing/>
    </w:pPr>
  </w:style>
  <w:style w:type="paragraph" w:customStyle="1" w:styleId="Default">
    <w:name w:val="Default"/>
    <w:rsid w:val="00F72CC6"/>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F926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2F5B"/>
    <w:rPr>
      <w:b/>
      <w:bCs/>
    </w:rPr>
  </w:style>
  <w:style w:type="character" w:customStyle="1" w:styleId="CommentSubjectChar">
    <w:name w:val="Comment Subject Char"/>
    <w:basedOn w:val="CommentTextChar"/>
    <w:link w:val="CommentSubject"/>
    <w:uiPriority w:val="99"/>
    <w:semiHidden/>
    <w:rsid w:val="00F22F5B"/>
    <w:rPr>
      <w:b/>
      <w:bCs/>
      <w:sz w:val="20"/>
      <w:szCs w:val="20"/>
    </w:rPr>
  </w:style>
  <w:style w:type="paragraph" w:styleId="Revision">
    <w:name w:val="Revision"/>
    <w:hidden/>
    <w:uiPriority w:val="99"/>
    <w:semiHidden/>
    <w:rsid w:val="00CB6B15"/>
    <w:pPr>
      <w:spacing w:after="0" w:line="240" w:lineRule="auto"/>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C0EF0"/>
    <w:pPr>
      <w:spacing w:before="200" w:line="240" w:lineRule="exact"/>
    </w:pPr>
    <w:rPr>
      <w:rFonts w:ascii="Calibri" w:eastAsia="Calibri" w:hAnsi="Calibri" w:cs="Times New Roman"/>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47"/>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77B47"/>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77B47"/>
    <w:rPr>
      <w:sz w:val="20"/>
      <w:szCs w:val="20"/>
    </w:rPr>
  </w:style>
  <w:style w:type="paragraph" w:styleId="Footer">
    <w:name w:val="footer"/>
    <w:basedOn w:val="Normal"/>
    <w:link w:val="FooterChar"/>
    <w:uiPriority w:val="99"/>
    <w:semiHidden/>
    <w:unhideWhenUsed/>
    <w:rsid w:val="00E77B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B47"/>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E77B47"/>
    <w:rPr>
      <w:vertAlign w:val="superscript"/>
    </w:rPr>
  </w:style>
  <w:style w:type="paragraph" w:customStyle="1" w:styleId="Appelnotedebasde">
    <w:name w:val="Appel note de bas de..."/>
    <w:basedOn w:val="Normal"/>
    <w:link w:val="FootnoteReference"/>
    <w:uiPriority w:val="99"/>
    <w:rsid w:val="00E77B47"/>
    <w:pPr>
      <w:spacing w:line="240" w:lineRule="exact"/>
    </w:pPr>
    <w:rPr>
      <w:vertAlign w:val="superscript"/>
    </w:rPr>
  </w:style>
  <w:style w:type="character" w:styleId="Hyperlink">
    <w:name w:val="Hyperlink"/>
    <w:uiPriority w:val="99"/>
    <w:unhideWhenUsed/>
    <w:rsid w:val="00E77B47"/>
    <w:rPr>
      <w:color w:val="0000FF"/>
      <w:u w:val="single"/>
    </w:rPr>
  </w:style>
  <w:style w:type="character" w:styleId="CommentReference">
    <w:name w:val="annotation reference"/>
    <w:basedOn w:val="DefaultParagraphFont"/>
    <w:uiPriority w:val="99"/>
    <w:semiHidden/>
    <w:unhideWhenUsed/>
    <w:rsid w:val="00E77B47"/>
    <w:rPr>
      <w:sz w:val="16"/>
      <w:szCs w:val="16"/>
    </w:rPr>
  </w:style>
  <w:style w:type="paragraph" w:styleId="CommentText">
    <w:name w:val="annotation text"/>
    <w:basedOn w:val="Normal"/>
    <w:link w:val="CommentTextChar"/>
    <w:uiPriority w:val="99"/>
    <w:semiHidden/>
    <w:unhideWhenUsed/>
    <w:rsid w:val="00E77B47"/>
    <w:pPr>
      <w:spacing w:line="240" w:lineRule="auto"/>
    </w:pPr>
    <w:rPr>
      <w:sz w:val="20"/>
      <w:szCs w:val="20"/>
    </w:rPr>
  </w:style>
  <w:style w:type="character" w:customStyle="1" w:styleId="CommentTextChar">
    <w:name w:val="Comment Text Char"/>
    <w:basedOn w:val="DefaultParagraphFont"/>
    <w:link w:val="CommentText"/>
    <w:uiPriority w:val="99"/>
    <w:semiHidden/>
    <w:rsid w:val="00E77B47"/>
    <w:rPr>
      <w:sz w:val="20"/>
      <w:szCs w:val="20"/>
    </w:rPr>
  </w:style>
  <w:style w:type="paragraph" w:styleId="BalloonText">
    <w:name w:val="Balloon Text"/>
    <w:basedOn w:val="Normal"/>
    <w:link w:val="BalloonTextChar"/>
    <w:uiPriority w:val="99"/>
    <w:semiHidden/>
    <w:unhideWhenUsed/>
    <w:rsid w:val="00E7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47"/>
    <w:rPr>
      <w:rFonts w:ascii="Segoe UI" w:hAnsi="Segoe UI" w:cs="Segoe UI"/>
      <w:sz w:val="18"/>
      <w:szCs w:val="18"/>
    </w:rPr>
  </w:style>
  <w:style w:type="paragraph" w:styleId="ListParagraph">
    <w:name w:val="List Paragraph"/>
    <w:basedOn w:val="Normal"/>
    <w:uiPriority w:val="34"/>
    <w:qFormat/>
    <w:rsid w:val="00EF6F7D"/>
    <w:pPr>
      <w:ind w:left="720"/>
      <w:contextualSpacing/>
    </w:pPr>
  </w:style>
  <w:style w:type="paragraph" w:customStyle="1" w:styleId="Default">
    <w:name w:val="Default"/>
    <w:rsid w:val="00F72CC6"/>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F926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2F5B"/>
    <w:rPr>
      <w:b/>
      <w:bCs/>
    </w:rPr>
  </w:style>
  <w:style w:type="character" w:customStyle="1" w:styleId="CommentSubjectChar">
    <w:name w:val="Comment Subject Char"/>
    <w:basedOn w:val="CommentTextChar"/>
    <w:link w:val="CommentSubject"/>
    <w:uiPriority w:val="99"/>
    <w:semiHidden/>
    <w:rsid w:val="00F22F5B"/>
    <w:rPr>
      <w:b/>
      <w:bCs/>
      <w:sz w:val="20"/>
      <w:szCs w:val="20"/>
    </w:rPr>
  </w:style>
  <w:style w:type="paragraph" w:styleId="Revision">
    <w:name w:val="Revision"/>
    <w:hidden/>
    <w:uiPriority w:val="99"/>
    <w:semiHidden/>
    <w:rsid w:val="00CB6B15"/>
    <w:pPr>
      <w:spacing w:after="0" w:line="240" w:lineRule="auto"/>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C0EF0"/>
    <w:pPr>
      <w:spacing w:before="200" w:line="240" w:lineRule="exact"/>
    </w:pPr>
    <w:rPr>
      <w:rFonts w:ascii="Calibri" w:eastAsia="Calibri" w:hAnsi="Calibri" w:cs="Times New Roman"/>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1709">
      <w:bodyDiv w:val="1"/>
      <w:marLeft w:val="0"/>
      <w:marRight w:val="0"/>
      <w:marTop w:val="0"/>
      <w:marBottom w:val="0"/>
      <w:divBdr>
        <w:top w:val="none" w:sz="0" w:space="0" w:color="auto"/>
        <w:left w:val="none" w:sz="0" w:space="0" w:color="auto"/>
        <w:bottom w:val="none" w:sz="0" w:space="0" w:color="auto"/>
        <w:right w:val="none" w:sz="0" w:space="0" w:color="auto"/>
      </w:divBdr>
    </w:div>
    <w:div w:id="690839745">
      <w:bodyDiv w:val="1"/>
      <w:marLeft w:val="0"/>
      <w:marRight w:val="0"/>
      <w:marTop w:val="0"/>
      <w:marBottom w:val="0"/>
      <w:divBdr>
        <w:top w:val="none" w:sz="0" w:space="0" w:color="auto"/>
        <w:left w:val="none" w:sz="0" w:space="0" w:color="auto"/>
        <w:bottom w:val="none" w:sz="0" w:space="0" w:color="auto"/>
        <w:right w:val="none" w:sz="0" w:space="0" w:color="auto"/>
      </w:divBdr>
    </w:div>
    <w:div w:id="703483173">
      <w:bodyDiv w:val="1"/>
      <w:marLeft w:val="0"/>
      <w:marRight w:val="0"/>
      <w:marTop w:val="0"/>
      <w:marBottom w:val="0"/>
      <w:divBdr>
        <w:top w:val="none" w:sz="0" w:space="0" w:color="auto"/>
        <w:left w:val="none" w:sz="0" w:space="0" w:color="auto"/>
        <w:bottom w:val="none" w:sz="0" w:space="0" w:color="auto"/>
        <w:right w:val="none" w:sz="0" w:space="0" w:color="auto"/>
      </w:divBdr>
    </w:div>
    <w:div w:id="15124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as.org/es/cidh/prensa/comunicados/2019/022.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pdf/2017/35-17MC533-17-VE.pdf" TargetMode="External"/><Relationship Id="rId3" Type="http://schemas.openxmlformats.org/officeDocument/2006/relationships/hyperlink" Target="http://www.oas.org/es/centro_noticias/comunicado_prensa.asp?sCodigo=C-001/19" TargetMode="External"/><Relationship Id="rId7" Type="http://schemas.openxmlformats.org/officeDocument/2006/relationships/hyperlink" Target="http://www.oas.org/es/cidh/decisiones/pdf/2017/15-17MC248-17-VE.pdf" TargetMode="External"/><Relationship Id="rId12" Type="http://schemas.openxmlformats.org/officeDocument/2006/relationships/hyperlink" Target="https://news.un.org/es/story/2019/07/1458662" TargetMode="External"/><Relationship Id="rId2" Type="http://schemas.openxmlformats.org/officeDocument/2006/relationships/hyperlink" Target="http://www.oas.org/es/cidh/informes/pdfs/Venezuela2018-es.pdf" TargetMode="External"/><Relationship Id="rId1" Type="http://schemas.openxmlformats.org/officeDocument/2006/relationships/hyperlink" Target="http://www.oas.org/es/cidh/informes/pdfs/Venezuela2018-es.pdf" TargetMode="External"/><Relationship Id="rId6" Type="http://schemas.openxmlformats.org/officeDocument/2006/relationships/hyperlink" Target="http://www.oas.org/es/cidh/prensa/comunicados/2019/040.asp" TargetMode="External"/><Relationship Id="rId11" Type="http://schemas.openxmlformats.org/officeDocument/2006/relationships/hyperlink" Target="http://www.oas.org/es/cidh/prensa/comunicados/2019/167.asp" TargetMode="External"/><Relationship Id="rId5" Type="http://schemas.openxmlformats.org/officeDocument/2006/relationships/hyperlink" Target="http://www.oas.org/es/cidh/prensa/comunicados/2019/022.asp" TargetMode="External"/><Relationship Id="rId10" Type="http://schemas.openxmlformats.org/officeDocument/2006/relationships/hyperlink" Target="http://www.oas.org/es/cidh/prensa/comunicados/2019/017A.pdf" TargetMode="External"/><Relationship Id="rId4" Type="http://schemas.openxmlformats.org/officeDocument/2006/relationships/hyperlink" Target="http://www.oas.org/es/cidh/prensa/comunicados/2019/015.asp" TargetMode="External"/><Relationship Id="rId9" Type="http://schemas.openxmlformats.org/officeDocument/2006/relationships/hyperlink" Target="http://www.oas.org/es/cidh/decisiones/pdf/2018/79-18MC1039-18-V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146A-96BB-4E28-B36D-D1E97158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Luisa;JAnaya@oas.org</dc:creator>
  <cp:lastModifiedBy>%username%</cp:lastModifiedBy>
  <cp:revision>3</cp:revision>
  <cp:lastPrinted>2019-08-13T22:51:00Z</cp:lastPrinted>
  <dcterms:created xsi:type="dcterms:W3CDTF">2019-10-02T21:04:00Z</dcterms:created>
  <dcterms:modified xsi:type="dcterms:W3CDTF">2019-10-07T19:14:00Z</dcterms:modified>
</cp:coreProperties>
</file>