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A9E" w:rsidRDefault="00EF6A9E" w:rsidP="00EF6A9E">
      <w:pPr>
        <w:pStyle w:val="Heading1"/>
        <w:spacing w:before="0" w:after="0" w:line="240" w:lineRule="auto"/>
        <w:ind w:firstLine="0"/>
        <w:jc w:val="center"/>
      </w:pPr>
    </w:p>
    <w:p w:rsidR="00EF6A9E" w:rsidRDefault="00197168" w:rsidP="00EF6A9E">
      <w:pPr>
        <w:pStyle w:val="Heading1"/>
        <w:spacing w:before="0" w:after="0" w:line="240" w:lineRule="auto"/>
        <w:ind w:firstLine="0"/>
        <w:jc w:val="center"/>
      </w:pPr>
      <w:r>
        <w:t>CAPÍTULO IV.B</w:t>
      </w:r>
    </w:p>
    <w:p w:rsidR="00EF6A9E" w:rsidRPr="00EF6A9E" w:rsidRDefault="00EF6A9E" w:rsidP="00EF6A9E">
      <w:pPr>
        <w:pStyle w:val="Heading1"/>
        <w:spacing w:before="0" w:after="0" w:line="240" w:lineRule="auto"/>
        <w:ind w:firstLine="0"/>
        <w:jc w:val="center"/>
      </w:pPr>
      <w:r w:rsidRPr="00EF6A9E">
        <w:t>GUATEMALA</w:t>
      </w:r>
    </w:p>
    <w:p w:rsidR="00EF6A9E" w:rsidRPr="00975A04" w:rsidRDefault="00EF6A9E" w:rsidP="00EF6A9E">
      <w:pPr>
        <w:spacing w:after="0" w:line="240" w:lineRule="auto"/>
        <w:jc w:val="center"/>
        <w:rPr>
          <w:rFonts w:ascii="Cambria" w:hAnsi="Cambria"/>
          <w:b/>
          <w:sz w:val="20"/>
          <w:szCs w:val="20"/>
          <w:lang w:val="es-ES"/>
        </w:rPr>
      </w:pPr>
    </w:p>
    <w:p w:rsidR="00EF6A9E" w:rsidRPr="00975A04" w:rsidRDefault="00EF6A9E" w:rsidP="00EF6A9E">
      <w:pPr>
        <w:spacing w:after="0" w:line="240" w:lineRule="auto"/>
        <w:jc w:val="center"/>
        <w:rPr>
          <w:rFonts w:ascii="Cambria" w:hAnsi="Cambria"/>
          <w:b/>
          <w:sz w:val="20"/>
          <w:szCs w:val="20"/>
          <w:lang w:val="es-ES"/>
        </w:rPr>
      </w:pPr>
    </w:p>
    <w:p w:rsidR="00EF6A9E" w:rsidRPr="00975A04" w:rsidRDefault="00EF6A9E" w:rsidP="00195704">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sz w:val="20"/>
          <w:szCs w:val="20"/>
          <w:lang w:val="es-ES"/>
        </w:rPr>
      </w:pPr>
      <w:r w:rsidRPr="00975A04">
        <w:rPr>
          <w:sz w:val="20"/>
          <w:szCs w:val="20"/>
          <w:lang w:val="es-ES"/>
        </w:rPr>
        <w:t>En virtud de su función primordial de “promover la observancia y la defensa de los derechos humanos” en el Hemisferio, la Comisión ha seguido con especial atención la situación de los derechos humanos en Guatemala, observando una serie de desafíos estructurales en materia de justicia, seguridad ciudadana, marginación y discriminación que han afectado durante décadas los derechos humanos de sus habitantes.</w:t>
      </w:r>
    </w:p>
    <w:p w:rsidR="00EF6A9E" w:rsidRPr="00975A04" w:rsidRDefault="00EF6A9E" w:rsidP="00EF6A9E">
      <w:pPr>
        <w:pStyle w:val="ListParagraph"/>
        <w:ind w:left="709"/>
        <w:jc w:val="both"/>
        <w:rPr>
          <w:sz w:val="20"/>
          <w:szCs w:val="20"/>
          <w:lang w:val="es-ES"/>
        </w:rPr>
      </w:pPr>
    </w:p>
    <w:p w:rsidR="00EF6A9E" w:rsidRPr="00975A04" w:rsidRDefault="00EF6A9E" w:rsidP="00195704">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sz w:val="20"/>
          <w:szCs w:val="20"/>
          <w:lang w:val="es-ES"/>
        </w:rPr>
      </w:pPr>
      <w:r w:rsidRPr="00975A04">
        <w:rPr>
          <w:sz w:val="20"/>
          <w:szCs w:val="20"/>
          <w:lang w:val="es-ES"/>
        </w:rPr>
        <w:t xml:space="preserve">Durante el 153 período de sesiones, la CIDH decidió elaborar un informe sobre la situación de derechos humanos en Guatemala e incluirlo en el Capítulo IV.B de su Informe Anual 2014. En enero del 2015 la CIDH ofreció al Estado de Guatemala la posibilidad de extender una invitación a la CIDH para realizar una visita </w:t>
      </w:r>
      <w:r w:rsidRPr="00975A04">
        <w:rPr>
          <w:i/>
          <w:sz w:val="20"/>
          <w:szCs w:val="20"/>
          <w:lang w:val="es-ES"/>
        </w:rPr>
        <w:t xml:space="preserve">in loco </w:t>
      </w:r>
      <w:r w:rsidRPr="00975A04">
        <w:rPr>
          <w:sz w:val="20"/>
          <w:szCs w:val="20"/>
          <w:lang w:val="es-ES"/>
        </w:rPr>
        <w:t>a su país durante el 2015 con el objeto de analizar la situación de derechos humanos. De ser acordada una visita, la CIDH prepararía un informe de país y no incluiría al Estado de Guatemala en el Capítulo IV.B del Informe Anual 2014.</w:t>
      </w:r>
    </w:p>
    <w:p w:rsidR="00EF6A9E" w:rsidRPr="00975A04" w:rsidRDefault="00EF6A9E" w:rsidP="00EF6A9E">
      <w:pPr>
        <w:spacing w:after="0" w:line="240" w:lineRule="auto"/>
        <w:jc w:val="both"/>
        <w:rPr>
          <w:rFonts w:ascii="Cambria" w:hAnsi="Cambria"/>
          <w:sz w:val="20"/>
          <w:szCs w:val="20"/>
          <w:lang w:val="es-ES"/>
        </w:rPr>
      </w:pPr>
    </w:p>
    <w:p w:rsidR="00EF6A9E" w:rsidRPr="00975A04" w:rsidRDefault="00EF6A9E" w:rsidP="00195704">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sz w:val="20"/>
          <w:szCs w:val="20"/>
          <w:lang w:val="es-ES"/>
        </w:rPr>
      </w:pPr>
      <w:r w:rsidRPr="00975A04">
        <w:rPr>
          <w:sz w:val="20"/>
          <w:szCs w:val="20"/>
          <w:lang w:val="es-ES"/>
        </w:rPr>
        <w:t xml:space="preserve">El 8 de febrero de 2015, el Estado manifestó su interés en aceptar una visita </w:t>
      </w:r>
      <w:r w:rsidRPr="00975A04">
        <w:rPr>
          <w:i/>
          <w:sz w:val="20"/>
          <w:szCs w:val="20"/>
          <w:lang w:val="es-ES"/>
        </w:rPr>
        <w:t>in loco</w:t>
      </w:r>
      <w:r w:rsidRPr="00975A04">
        <w:rPr>
          <w:sz w:val="20"/>
          <w:szCs w:val="20"/>
          <w:lang w:val="es-ES"/>
        </w:rPr>
        <w:t xml:space="preserve"> para “compartir […] los esfuerzos y retos de las instituciones que permanentemente trabajan para promover y proteger los derechos humanos”. Asimismo reafirmó “la voluntad del Gobierno de Guatemala de mejorar la dinámica y el relacionamiento entre la CIDH y el Estado de Guatemala para fortalecer la colaboración y cooperación […]”. El Estado propuso que la visita se realizara en el mes de septiembre de 2015. Sin embargo, debido a actividades ya programadas, la CIDH consideró  que no era oportuna esa fecha y planteó como propuesta realizar la visita a fines de abril/principios de mayo de 2015. Al respecto, el Estado manifestó verbalmente que las fechas no eran aceptables indicando que tampoco sería posible la propuesta de septiembre en vista que se encontraban en año electoral, por lo cual no hizo posible la realización de una visita durante el 2015. En vista de lo anterior, pese a que el Estado guatemalteco dio anuencia para que la CIDH visite el país, lamentablemente, en el transcurso del año 2015 la mencionada visita no pudo realizarse en fechas factibles debido a las dificultades de las agendas estatales y de la CIDH.</w:t>
      </w:r>
    </w:p>
    <w:p w:rsidR="00EF6A9E" w:rsidRPr="00975A04" w:rsidRDefault="00EF6A9E" w:rsidP="00EF6A9E">
      <w:pPr>
        <w:spacing w:after="0" w:line="240" w:lineRule="auto"/>
        <w:jc w:val="both"/>
        <w:rPr>
          <w:rFonts w:ascii="Cambria" w:hAnsi="Cambria"/>
          <w:sz w:val="20"/>
          <w:szCs w:val="20"/>
          <w:lang w:val="es-ES"/>
        </w:rPr>
      </w:pPr>
    </w:p>
    <w:p w:rsidR="00EF6A9E" w:rsidRPr="00975A04" w:rsidRDefault="00EF6A9E" w:rsidP="00195704">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sz w:val="20"/>
          <w:szCs w:val="20"/>
          <w:lang w:val="es-ES"/>
        </w:rPr>
      </w:pPr>
      <w:r w:rsidRPr="00975A04">
        <w:rPr>
          <w:sz w:val="20"/>
          <w:szCs w:val="20"/>
          <w:lang w:val="es-ES"/>
        </w:rPr>
        <w:t>Debido a la dificultad de encontrar una nueva fecha para la realización de la referida visita por parte de la Comisión, que a su vez permita procesar la información y alcanzar la aprobación de un informe en el 2015, el 3 de agosto de 2015 la CIDH informó al Estado su decisión de elaborar un informe sobre la situación de derechos humanos en Guatemala. Para tal efecto, el 14 de agosto remitió al Estado una solicitud de información relacionada con temas de interés en la preparación del informe.</w:t>
      </w:r>
    </w:p>
    <w:p w:rsidR="00EF6A9E" w:rsidRPr="00975A04" w:rsidRDefault="00EF6A9E" w:rsidP="00EF6A9E">
      <w:pPr>
        <w:spacing w:after="0" w:line="240" w:lineRule="auto"/>
        <w:jc w:val="both"/>
        <w:rPr>
          <w:rFonts w:ascii="Cambria" w:hAnsi="Cambria"/>
          <w:sz w:val="20"/>
          <w:szCs w:val="20"/>
          <w:lang w:val="es-ES"/>
        </w:rPr>
      </w:pPr>
    </w:p>
    <w:p w:rsidR="00EF6A9E" w:rsidRPr="00975A04" w:rsidRDefault="00EF6A9E" w:rsidP="00195704">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sz w:val="20"/>
          <w:szCs w:val="20"/>
          <w:lang w:val="es-ES"/>
        </w:rPr>
      </w:pPr>
      <w:r w:rsidRPr="00975A04">
        <w:rPr>
          <w:sz w:val="20"/>
          <w:szCs w:val="20"/>
          <w:lang w:val="es-ES"/>
        </w:rPr>
        <w:t>El 16 de septiembre de 2015 el Estado solicitó una prórroga de 30 días para responder a la solicitud de información para la preparación del Informe sobre la Situación de Derechos Humanos en Guatemala. Tras conceder una prórroga de 20 días adicionales el 7 de octubre de 2015 el Estado remitió su  respuesta.</w:t>
      </w:r>
    </w:p>
    <w:p w:rsidR="00EF6A9E" w:rsidRPr="00975A04" w:rsidRDefault="00EF6A9E" w:rsidP="00EF6A9E">
      <w:pPr>
        <w:pStyle w:val="ListParagraph"/>
        <w:rPr>
          <w:sz w:val="20"/>
          <w:szCs w:val="20"/>
          <w:highlight w:val="yellow"/>
          <w:lang w:val="es-ES"/>
        </w:rPr>
      </w:pPr>
    </w:p>
    <w:p w:rsidR="00EF6A9E" w:rsidRPr="00975A04" w:rsidRDefault="00EF6A9E" w:rsidP="00195704">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sz w:val="20"/>
          <w:szCs w:val="20"/>
          <w:lang w:val="es-ES"/>
        </w:rPr>
      </w:pPr>
      <w:r w:rsidRPr="00975A04">
        <w:rPr>
          <w:sz w:val="20"/>
          <w:szCs w:val="20"/>
          <w:lang w:val="es-ES"/>
        </w:rPr>
        <w:t>Tras analizar la situación de derechos humanos del país durante el 2015, la CIDH decidió la incorporación del Estado de Guatemala en el Capítulo IV de su Informe Anual para 2015 de conformidad con el artículo 59 inciso 6(c) e inciso 6 (d.i y iii) de su Reglamento, porque considera que la situación de derechos humanos en el país presenta, entre otros factores, situaciones estructurales en materia de justicia, seguridad ciudadana, marginación y discriminación que afectan seriamente el disfrutes de los derechos humanos</w:t>
      </w:r>
      <w:r w:rsidRPr="00975A04">
        <w:rPr>
          <w:sz w:val="20"/>
          <w:szCs w:val="20"/>
          <w:lang w:val="es-AR"/>
        </w:rPr>
        <w:t>.</w:t>
      </w:r>
    </w:p>
    <w:p w:rsidR="00EF6A9E" w:rsidRPr="00975A04" w:rsidRDefault="00EF6A9E" w:rsidP="00EF6A9E">
      <w:pPr>
        <w:pStyle w:val="ListParagraph"/>
        <w:rPr>
          <w:sz w:val="20"/>
          <w:szCs w:val="20"/>
          <w:lang w:val="es-ES"/>
        </w:rPr>
      </w:pPr>
    </w:p>
    <w:p w:rsidR="00EF6A9E" w:rsidRPr="00975A04" w:rsidRDefault="00EF6A9E" w:rsidP="00195704">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sz w:val="20"/>
          <w:szCs w:val="20"/>
          <w:lang w:val="es-ES"/>
        </w:rPr>
      </w:pPr>
      <w:r w:rsidRPr="00975A04">
        <w:rPr>
          <w:sz w:val="20"/>
          <w:szCs w:val="20"/>
          <w:lang w:val="es-ES"/>
        </w:rPr>
        <w:t xml:space="preserve"> El 2 de diciembre de 2015 la CIDH trasmitió al Estado una copia de los borradores preliminares del Proyecto de Informe de país: Situación de Derechos Humanos en Guatemala Diversidad, Desigualdad y Exclusión y el proyecto de Capítulo IV B aprobados por la CIDH el 29 de noviembre de 2015, y </w:t>
      </w:r>
      <w:r w:rsidRPr="00975A04">
        <w:rPr>
          <w:sz w:val="20"/>
          <w:szCs w:val="20"/>
          <w:lang w:val="es-ES"/>
        </w:rPr>
        <w:lastRenderedPageBreak/>
        <w:t>le solicitó al Estado que remitiera sus observaciones hasta el 23 de diciembre de 2015. El 11 de diciembre de 2015, la CIDH recibió las observaciones del Estado con fecha 9 de diciembre de 2015</w:t>
      </w:r>
      <w:r w:rsidRPr="00975A04">
        <w:rPr>
          <w:rStyle w:val="FootnoteReference"/>
          <w:sz w:val="20"/>
          <w:szCs w:val="20"/>
        </w:rPr>
        <w:footnoteReference w:id="1"/>
      </w:r>
      <w:r w:rsidRPr="00975A04">
        <w:rPr>
          <w:sz w:val="20"/>
          <w:szCs w:val="20"/>
          <w:lang w:val="es-ES"/>
        </w:rPr>
        <w:t>.</w:t>
      </w:r>
      <w:r w:rsidRPr="00975A04">
        <w:rPr>
          <w:sz w:val="20"/>
          <w:szCs w:val="20"/>
          <w:lang w:val="es-AR"/>
        </w:rPr>
        <w:t xml:space="preserve"> Las observaciones y comentarios fueron revisados por la Comisión Interamericana y, en lo relevante, han sido reflejadas en el presente Capítulo IV.B, como así también, en el informe de país, cuyo resumen ejecutivo comporta el presente capítulo. Ambos informes fueron aprobados por la CIDH el 31 de diciembre de 2015.</w:t>
      </w:r>
    </w:p>
    <w:p w:rsidR="00EF6A9E" w:rsidRPr="00975A04" w:rsidRDefault="00EF6A9E" w:rsidP="00EF6A9E">
      <w:pPr>
        <w:spacing w:after="0" w:line="240" w:lineRule="auto"/>
        <w:jc w:val="both"/>
        <w:rPr>
          <w:rFonts w:ascii="Cambria" w:hAnsi="Cambria"/>
          <w:sz w:val="20"/>
          <w:szCs w:val="20"/>
          <w:lang w:val="es-ES"/>
        </w:rPr>
      </w:pPr>
    </w:p>
    <w:p w:rsidR="00EF6A9E" w:rsidRPr="00975A04" w:rsidRDefault="00EF6A9E" w:rsidP="00195704">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sz w:val="20"/>
          <w:szCs w:val="20"/>
          <w:lang w:val="es-ES"/>
        </w:rPr>
      </w:pPr>
      <w:r w:rsidRPr="00975A04">
        <w:rPr>
          <w:sz w:val="20"/>
          <w:szCs w:val="20"/>
          <w:lang w:val="es-ES"/>
        </w:rPr>
        <w:t>En sus observaciones el Estado de Guatemala cuestión los fundamentos sobre los cuales la CIDH decidió incorporar al Estado en el Capítulo IV.B de su Informe Anual 2015 al decir que “con la información analizada y sujeta a la evaluación de la CIDH, no se puede concluir fehacientemente que el Estado haya incurrido en violaciones masivas, graves y sistemáticas de los derechos humanos, pues no se han cometido crímenes perpetrados o auspiciados por el aparato estatal en contra de la población , o que revistieran de sistematicidad o generalidad. Pero si se evidencia, que existió prejuzgamiento hacia el Estado de Guatemala, desde las audiencias celebradas el 28 de octubre de 2014 con ocasión del 153 período de sesiones, donde las organizaciones de la sociedad civil, solicitaron la inclusión de Guatemala en el referido capítulo”.</w:t>
      </w:r>
    </w:p>
    <w:p w:rsidR="00EF6A9E" w:rsidRPr="00975A04" w:rsidRDefault="00EF6A9E" w:rsidP="00EF6A9E">
      <w:pPr>
        <w:pStyle w:val="ListParagraph"/>
        <w:rPr>
          <w:sz w:val="20"/>
          <w:szCs w:val="20"/>
          <w:lang w:val="es-ES"/>
        </w:rPr>
      </w:pPr>
    </w:p>
    <w:p w:rsidR="00EF6A9E" w:rsidRPr="00975A04" w:rsidRDefault="00EF6A9E" w:rsidP="00195704">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sz w:val="20"/>
          <w:szCs w:val="20"/>
          <w:lang w:val="es-ES"/>
        </w:rPr>
      </w:pPr>
      <w:r w:rsidRPr="00975A04">
        <w:rPr>
          <w:sz w:val="20"/>
          <w:szCs w:val="20"/>
          <w:lang w:val="es-ES"/>
        </w:rPr>
        <w:t>Considerando que la Comisión aprobó en el 2015 su Informe</w:t>
      </w:r>
      <w:r w:rsidRPr="00975A04">
        <w:rPr>
          <w:i/>
          <w:iCs/>
          <w:sz w:val="20"/>
          <w:szCs w:val="20"/>
          <w:lang w:val="es-ES"/>
        </w:rPr>
        <w:t xml:space="preserve"> </w:t>
      </w:r>
      <w:r w:rsidRPr="00975A04">
        <w:rPr>
          <w:iCs/>
          <w:sz w:val="20"/>
          <w:szCs w:val="20"/>
          <w:lang w:val="es-ES"/>
        </w:rPr>
        <w:t>“Situación de los derechos humanos en Guatemala</w:t>
      </w:r>
      <w:r w:rsidRPr="00975A04">
        <w:rPr>
          <w:sz w:val="20"/>
          <w:szCs w:val="20"/>
          <w:lang w:val="es-ES"/>
        </w:rPr>
        <w:t>: Diversidad, Desigualdad y Exclusión”, que analiza en detalle los factores estructurales identificados por la CIDH que afectan el disfrute de los derechos fundamentales de los habitantes en Guatemala, a continuación se incluye el Resumen Ejecutivo de dicho informe.</w:t>
      </w:r>
    </w:p>
    <w:p w:rsidR="00EF6A9E" w:rsidRDefault="00EF6A9E" w:rsidP="00EF6A9E">
      <w:pPr>
        <w:spacing w:after="0" w:line="240" w:lineRule="auto"/>
        <w:jc w:val="center"/>
        <w:rPr>
          <w:rFonts w:ascii="Cambria" w:hAnsi="Cambria"/>
          <w:b/>
          <w:sz w:val="20"/>
          <w:szCs w:val="20"/>
          <w:lang w:val="es-ES"/>
        </w:rPr>
      </w:pPr>
    </w:p>
    <w:p w:rsidR="00007713" w:rsidRPr="00007713" w:rsidRDefault="00007713" w:rsidP="00007713">
      <w:pPr>
        <w:spacing w:after="240" w:line="240" w:lineRule="auto"/>
        <w:ind w:left="720" w:right="720"/>
        <w:jc w:val="center"/>
        <w:rPr>
          <w:rFonts w:ascii="Cambria" w:hAnsi="Cambria"/>
          <w:b/>
          <w:sz w:val="20"/>
          <w:szCs w:val="20"/>
          <w:lang w:val="es-ES"/>
        </w:rPr>
      </w:pPr>
      <w:r w:rsidRPr="00007713">
        <w:rPr>
          <w:rFonts w:ascii="Cambria" w:hAnsi="Cambria"/>
          <w:b/>
          <w:sz w:val="20"/>
          <w:szCs w:val="20"/>
          <w:lang w:val="es-ES"/>
        </w:rPr>
        <w:t>RESUMEN EJECUTIVO</w:t>
      </w:r>
    </w:p>
    <w:p w:rsidR="00007713" w:rsidRPr="00007713" w:rsidRDefault="00007713" w:rsidP="00007713">
      <w:pPr>
        <w:pStyle w:val="Numberedparagraphs"/>
        <w:ind w:left="720" w:right="720" w:firstLine="0"/>
        <w:rPr>
          <w:rFonts w:asciiTheme="majorHAnsi" w:hAnsiTheme="majorHAnsi"/>
          <w:szCs w:val="20"/>
          <w:lang w:val="es-ES"/>
        </w:rPr>
      </w:pPr>
      <w:r w:rsidRPr="00007713">
        <w:rPr>
          <w:rFonts w:asciiTheme="majorHAnsi" w:hAnsiTheme="majorHAnsi"/>
          <w:szCs w:val="20"/>
          <w:lang w:val="es-ES"/>
        </w:rPr>
        <w:t>En el presente informe, la Comisión Interamericana de Derechos Humanos (en adelante “Comisión Interamericana”, “Comisión” o “CIDH”) aborda la situación de los derechos humanos en Guatemala, así como una serie de desafíos estructurales en materia de acceso a la justicia e impunidad, seguridad ciudadana, marginación y discriminación que han afectado en forma severa los derechos humanos de sus habitantes. Especial atención se da a la situación de las y los defensores de derechos humanos, periodistas, mujeres, niñas, niños y adolescentes, población LGTBI, migrantes, entre otros. En este contexto, se aborda la situación de los pueblos indígenas, quienes han visto afectado su derecho al territorio ancestral, no son consultados y sufren graves niveles de exclusión y desigualdad con generaciones afectadas por la desnutrición como consecuencia del racismo y la discriminación estructural.</w:t>
      </w:r>
    </w:p>
    <w:p w:rsidR="00007713" w:rsidRPr="00007713" w:rsidRDefault="00007713" w:rsidP="00007713">
      <w:pPr>
        <w:pStyle w:val="Numberedparagraphs"/>
        <w:ind w:left="720" w:right="720" w:firstLine="0"/>
        <w:rPr>
          <w:rFonts w:asciiTheme="majorHAnsi" w:hAnsiTheme="majorHAnsi"/>
          <w:szCs w:val="20"/>
          <w:lang w:val="es-ES"/>
        </w:rPr>
      </w:pPr>
      <w:r w:rsidRPr="00007713">
        <w:rPr>
          <w:rFonts w:asciiTheme="majorHAnsi" w:hAnsiTheme="majorHAnsi"/>
          <w:szCs w:val="20"/>
          <w:lang w:val="es-ES"/>
        </w:rPr>
        <w:t xml:space="preserve">La CIDH ha dado particular atención a la independencia y autonomía de la administración de justicia en Guatemala y a los procesos de selección y las garantías de permanencia en el cargo de los operadores de justicia. Así también, a la necesidad de que el Estado provea un sistema </w:t>
      </w:r>
      <w:r w:rsidRPr="00007713">
        <w:rPr>
          <w:rFonts w:asciiTheme="majorHAnsi" w:hAnsiTheme="majorHAnsi" w:cs="Calibri"/>
          <w:color w:val="000000"/>
          <w:szCs w:val="20"/>
          <w:shd w:val="clear" w:color="auto" w:fill="FFFFFF"/>
          <w:lang w:val="es-ES"/>
        </w:rPr>
        <w:t xml:space="preserve">de administración de justicia adecuado y eficiente, independiente e imparcial para dar respuesta a la </w:t>
      </w:r>
      <w:r w:rsidRPr="00007713">
        <w:rPr>
          <w:rFonts w:asciiTheme="majorHAnsi" w:hAnsiTheme="majorHAnsi" w:cs="Calibri"/>
          <w:szCs w:val="20"/>
          <w:lang w:val="es-ES"/>
        </w:rPr>
        <w:t>impunidad estructural que permanece por las graves violaciones de derechos humanos del pasado y del presente.</w:t>
      </w:r>
    </w:p>
    <w:p w:rsidR="00007713" w:rsidRPr="00007713" w:rsidRDefault="00007713" w:rsidP="00007713">
      <w:pPr>
        <w:pStyle w:val="Numberedparagraphs"/>
        <w:ind w:left="720" w:right="720" w:firstLine="0"/>
        <w:rPr>
          <w:rFonts w:asciiTheme="majorHAnsi" w:hAnsiTheme="majorHAnsi"/>
          <w:szCs w:val="20"/>
          <w:lang w:val="es-ES"/>
        </w:rPr>
      </w:pPr>
      <w:r w:rsidRPr="00007713">
        <w:rPr>
          <w:rFonts w:asciiTheme="majorHAnsi" w:hAnsiTheme="majorHAnsi"/>
          <w:szCs w:val="20"/>
          <w:lang w:val="es-ES"/>
        </w:rPr>
        <w:t xml:space="preserve">De especial preocupación para la CIDH ha sido la falta de cumplimiento por parte del Estado de las recomendaciones y de las sentencias de los órganos del Sistema Interamericano de Derechos Humanos (SIDH). A pesar de que Guatemala aceptó la jurisdicción de la Corte Interamericana de Derechos Humanos el 9 de marzo de 1987, y se comprometió a cumplir sus decisiones, durante el gobierno del ex Presidente Otto Pérez </w:t>
      </w:r>
      <w:r w:rsidRPr="00007713">
        <w:rPr>
          <w:rFonts w:asciiTheme="majorHAnsi" w:hAnsiTheme="majorHAnsi"/>
          <w:szCs w:val="20"/>
          <w:lang w:val="es-ES"/>
        </w:rPr>
        <w:lastRenderedPageBreak/>
        <w:t>Molina, en casos decididos e incluso en los que el Estado había aceptado responsabilidad, el Gobierno negó la obligatoriedad de los compromisos asumidos, cuestionando la competencia temporal de la Corte, e insistiendo en la legitimidad de las amnistías decretadas durante el conflicto armado interno, incluida la contenida en la Ley de Reconciliación Nacional de 1996. L</w:t>
      </w:r>
      <w:r w:rsidRPr="00007713">
        <w:rPr>
          <w:rFonts w:asciiTheme="majorHAnsi" w:hAnsiTheme="majorHAnsi" w:cs="Calibri"/>
          <w:szCs w:val="20"/>
          <w:lang w:val="es-ES"/>
        </w:rPr>
        <w:t>a CIDH observa con preocupación que, durante la administración del ex Presidente Pérez Molina, el gobierno rechazó la calificación de los hechos del conflicto como genocidio, con su efecto devastador sobre las comunidades indígenas.</w:t>
      </w:r>
    </w:p>
    <w:p w:rsidR="00007713" w:rsidRPr="00007713" w:rsidRDefault="00007713" w:rsidP="00007713">
      <w:pPr>
        <w:pStyle w:val="Numberedparagraphs"/>
        <w:ind w:left="720" w:right="720" w:firstLine="0"/>
        <w:rPr>
          <w:rFonts w:asciiTheme="majorHAnsi" w:hAnsiTheme="majorHAnsi"/>
          <w:szCs w:val="20"/>
          <w:lang w:val="es-ES"/>
        </w:rPr>
      </w:pPr>
      <w:r w:rsidRPr="00007713">
        <w:rPr>
          <w:rFonts w:asciiTheme="majorHAnsi" w:hAnsiTheme="majorHAnsi"/>
          <w:szCs w:val="20"/>
          <w:lang w:val="es-ES"/>
        </w:rPr>
        <w:t xml:space="preserve">En este sentido, a propósito de una audiencia privada de supervisión de cumplimiento de 11 sentencias contra Guatemala, la Corte Interamericana, </w:t>
      </w:r>
      <w:r w:rsidRPr="00007713">
        <w:rPr>
          <w:rFonts w:asciiTheme="majorHAnsi" w:hAnsiTheme="majorHAnsi" w:cs="Arial"/>
          <w:color w:val="000000"/>
          <w:spacing w:val="-3"/>
          <w:szCs w:val="20"/>
          <w:lang w:val="es-ES"/>
        </w:rPr>
        <w:t xml:space="preserve">en su última resolución de 21 de agosto de 2014, indicó </w:t>
      </w:r>
      <w:r w:rsidRPr="00007713">
        <w:rPr>
          <w:rFonts w:asciiTheme="majorHAnsi" w:hAnsiTheme="majorHAnsi" w:cs="Arial"/>
          <w:spacing w:val="-3"/>
          <w:szCs w:val="20"/>
          <w:lang w:val="es-ES"/>
        </w:rPr>
        <w:t>que la posición asumida por Guatemala constituía “un acto de evidente desacato del Estado respecto de la obligatoriedad de las Sentencias dictadas por este Tribunal, contrario al principio internacional de acatar sus obligaciones convencionales”. La Corte detalló la inaplicabilidad de la Ley de Reconciliación a los casos materia de la supervisión y ordenó que el Estado debía de adoptar “en definitiva, y a la mayor brevedad, todas las medidas que fueran necesarias para dar pronto cumplimiento a las Sentencias”, a</w:t>
      </w:r>
      <w:r w:rsidRPr="00007713">
        <w:rPr>
          <w:rFonts w:asciiTheme="majorHAnsi" w:hAnsiTheme="majorHAnsi"/>
          <w:szCs w:val="20"/>
          <w:lang w:val="es-ES"/>
        </w:rPr>
        <w:t>catar sus obligaciones convencionales de buena fe e informar al Tribunal</w:t>
      </w:r>
      <w:r w:rsidRPr="00007713">
        <w:rPr>
          <w:rFonts w:asciiTheme="majorHAnsi" w:hAnsiTheme="majorHAnsi"/>
          <w:szCs w:val="20"/>
          <w:vertAlign w:val="superscript"/>
          <w:lang w:val="es-ES"/>
        </w:rPr>
        <w:footnoteReference w:id="2"/>
      </w:r>
      <w:r w:rsidRPr="00007713">
        <w:rPr>
          <w:rFonts w:asciiTheme="majorHAnsi" w:hAnsiTheme="majorHAnsi"/>
          <w:szCs w:val="20"/>
          <w:lang w:val="es-ES"/>
        </w:rPr>
        <w:t>. Durante una audiencia sostenida en el 156º período ordinario de sesiones de la CIDH, realizado entre el 17 y 28 de octubre de 2015, el Estado reiteró ante la CIDH su planteamiento sobre el alcance de la competencia de la Corte Interamericana; asimismo reiteró su posición respecto a la alegada legitimidad de la amnistía como causal de extinción de responsabilidad penal en casos de violaciones a los derechos humanos cometidas durante el conflicto armado interno. La CIDH, reitera al Gobierno de Guatemala que esta posición contraviene los estándares y jurisprudencia interamericana y contribuye a la impunidad imperante.</w:t>
      </w:r>
    </w:p>
    <w:p w:rsidR="00007713" w:rsidRPr="00007713" w:rsidRDefault="00007713" w:rsidP="00007713">
      <w:pPr>
        <w:pStyle w:val="Numberedparagraphs"/>
        <w:ind w:left="720" w:right="720" w:firstLine="0"/>
        <w:rPr>
          <w:rFonts w:asciiTheme="majorHAnsi" w:hAnsiTheme="majorHAnsi"/>
          <w:szCs w:val="20"/>
          <w:lang w:val="es-ES"/>
        </w:rPr>
      </w:pPr>
      <w:r w:rsidRPr="00007713">
        <w:rPr>
          <w:rFonts w:asciiTheme="majorHAnsi" w:hAnsiTheme="majorHAnsi"/>
          <w:szCs w:val="20"/>
          <w:lang w:val="es-ES"/>
        </w:rPr>
        <w:t xml:space="preserve">No obstante, la CIDH reconoce avances en distintos ámbitos que repercuten directamente en la situación de los derechos humanos. La CIDH nota cambios </w:t>
      </w:r>
      <w:r w:rsidRPr="00007713">
        <w:rPr>
          <w:rFonts w:asciiTheme="majorHAnsi" w:hAnsiTheme="majorHAnsi" w:cs="Arial"/>
          <w:szCs w:val="20"/>
          <w:lang w:val="es-ES"/>
        </w:rPr>
        <w:t>en pro de una sociedad más respetuosa de los derechos humanos</w:t>
      </w:r>
      <w:r w:rsidRPr="00007713">
        <w:rPr>
          <w:rFonts w:asciiTheme="majorHAnsi" w:hAnsiTheme="majorHAnsi"/>
          <w:szCs w:val="20"/>
          <w:lang w:val="es-ES"/>
        </w:rPr>
        <w:t xml:space="preserve">, promovidos y provocados por el trabajo de </w:t>
      </w:r>
      <w:r w:rsidRPr="00007713">
        <w:rPr>
          <w:rFonts w:asciiTheme="majorHAnsi" w:hAnsiTheme="majorHAnsi" w:cs="Arial"/>
          <w:szCs w:val="20"/>
          <w:lang w:val="es-ES"/>
        </w:rPr>
        <w:t>funcionarios públicos comprometidos con la justicia, de</w:t>
      </w:r>
      <w:r w:rsidRPr="00007713">
        <w:rPr>
          <w:rFonts w:asciiTheme="majorHAnsi" w:hAnsiTheme="majorHAnsi"/>
          <w:szCs w:val="20"/>
          <w:lang w:val="es-ES"/>
        </w:rPr>
        <w:t xml:space="preserve"> las y los defensores de derechos humanos, y de las y los dirigentes sociales. Crucial en esta tarea ha sido el apoyo de organismos internacionales de derechos humanos, así como de la Comisión Internacional contra la Impunidad en Guatemala (CICIG).</w:t>
      </w:r>
    </w:p>
    <w:p w:rsidR="00007713" w:rsidRPr="00007713" w:rsidRDefault="00007713" w:rsidP="00007713">
      <w:pPr>
        <w:pStyle w:val="Numberedparagraphs"/>
        <w:ind w:left="720" w:right="720" w:firstLine="0"/>
        <w:rPr>
          <w:rFonts w:asciiTheme="majorHAnsi" w:hAnsiTheme="majorHAnsi"/>
          <w:szCs w:val="20"/>
          <w:lang w:val="es-ES"/>
        </w:rPr>
      </w:pPr>
      <w:r w:rsidRPr="00007713">
        <w:rPr>
          <w:rFonts w:asciiTheme="majorHAnsi" w:hAnsiTheme="majorHAnsi"/>
          <w:szCs w:val="20"/>
          <w:lang w:val="es-ES"/>
        </w:rPr>
        <w:t xml:space="preserve">A lo largo del Informe, la CIDH destaca, por ejemplo, la reducción de la tasa de homicidios en materia de seguridad ciudadana, y </w:t>
      </w:r>
      <w:r w:rsidRPr="00007713">
        <w:rPr>
          <w:rFonts w:asciiTheme="majorHAnsi" w:hAnsiTheme="majorHAnsi" w:cs="Calibri"/>
          <w:szCs w:val="20"/>
          <w:lang w:val="es-ES"/>
        </w:rPr>
        <w:t xml:space="preserve">la decisión de la </w:t>
      </w:r>
      <w:r w:rsidRPr="00007713">
        <w:rPr>
          <w:rFonts w:asciiTheme="majorHAnsi" w:hAnsiTheme="majorHAnsi"/>
          <w:szCs w:val="20"/>
          <w:lang w:val="es-ES"/>
        </w:rPr>
        <w:t xml:space="preserve">Corte de Constitucionalidad de septiembre de 2015 en materia de derechos indígenas, que por primera vez ordena </w:t>
      </w:r>
      <w:r w:rsidRPr="00007713">
        <w:rPr>
          <w:rFonts w:asciiTheme="majorHAnsi" w:hAnsiTheme="majorHAnsi" w:cs="Tahoma"/>
          <w:szCs w:val="20"/>
          <w:lang w:val="es-ES"/>
        </w:rPr>
        <w:t xml:space="preserve">se practique la consulta a las comunidades indígenas afectadas por un proyecto de inversión. </w:t>
      </w:r>
    </w:p>
    <w:p w:rsidR="00007713" w:rsidRPr="00007713" w:rsidRDefault="00007713" w:rsidP="00007713">
      <w:pPr>
        <w:pStyle w:val="Numberedparagraphs"/>
        <w:ind w:left="720" w:right="720" w:firstLine="0"/>
        <w:rPr>
          <w:rFonts w:asciiTheme="majorHAnsi" w:hAnsiTheme="majorHAnsi"/>
          <w:szCs w:val="20"/>
          <w:lang w:val="es-ES"/>
        </w:rPr>
      </w:pPr>
      <w:r w:rsidRPr="00007713">
        <w:rPr>
          <w:rFonts w:asciiTheme="majorHAnsi" w:hAnsiTheme="majorHAnsi"/>
          <w:szCs w:val="20"/>
          <w:lang w:val="es-ES"/>
        </w:rPr>
        <w:t>También en materia de administración de justicia se destaca la labor de la CICIG y el Ministerio Público en la desarticulación de redes criminales y en la lucha contra la corrupción. En este sentido, la Comisión valora que en el año 2015 se haya prorrogado el mandato a la CICIG.</w:t>
      </w:r>
      <w:r w:rsidRPr="00007713">
        <w:rPr>
          <w:rFonts w:asciiTheme="majorHAnsi" w:hAnsiTheme="majorHAnsi" w:cs="Arial"/>
          <w:szCs w:val="20"/>
          <w:lang w:val="es-ES"/>
        </w:rPr>
        <w:t xml:space="preserve"> </w:t>
      </w:r>
      <w:r w:rsidRPr="00007713">
        <w:rPr>
          <w:rFonts w:asciiTheme="majorHAnsi" w:hAnsiTheme="majorHAnsi"/>
          <w:szCs w:val="20"/>
          <w:lang w:val="es-ES"/>
        </w:rPr>
        <w:t>La CIDH valora, asimismo, los esfuerzos del Estado para crear un programa de protección a periodistas, las acciones tomadas para prevenir y combatir la trata de personas y</w:t>
      </w:r>
      <w:r w:rsidRPr="00007713">
        <w:rPr>
          <w:rFonts w:asciiTheme="majorHAnsi" w:hAnsiTheme="majorHAnsi" w:cs="Calibri"/>
          <w:szCs w:val="20"/>
          <w:lang w:val="es-ES"/>
        </w:rPr>
        <w:t xml:space="preserve">, la creación </w:t>
      </w:r>
      <w:r w:rsidRPr="00007713">
        <w:rPr>
          <w:rFonts w:asciiTheme="majorHAnsi" w:hAnsiTheme="majorHAnsi"/>
          <w:szCs w:val="20"/>
          <w:lang w:val="es-ES"/>
        </w:rPr>
        <w:t>de estadística diferenciada en materia de violencia contra la mujer que alimentan el diseño de políticas públicas, entre otros</w:t>
      </w:r>
      <w:r w:rsidRPr="00007713">
        <w:rPr>
          <w:rFonts w:asciiTheme="majorHAnsi" w:hAnsiTheme="majorHAnsi" w:cs="Calibri"/>
          <w:szCs w:val="20"/>
          <w:lang w:val="es-ES"/>
        </w:rPr>
        <w:t xml:space="preserve">. </w:t>
      </w:r>
    </w:p>
    <w:p w:rsidR="00007713" w:rsidRPr="00007713" w:rsidRDefault="00007713" w:rsidP="00007713">
      <w:pPr>
        <w:pStyle w:val="Numberedparagraphs"/>
        <w:ind w:left="720" w:right="720" w:firstLine="0"/>
        <w:rPr>
          <w:rFonts w:asciiTheme="majorHAnsi" w:hAnsiTheme="majorHAnsi"/>
          <w:szCs w:val="20"/>
          <w:lang w:val="es-ES"/>
        </w:rPr>
      </w:pPr>
      <w:r w:rsidRPr="00007713">
        <w:rPr>
          <w:rFonts w:asciiTheme="majorHAnsi" w:hAnsiTheme="majorHAnsi"/>
          <w:szCs w:val="20"/>
          <w:lang w:val="es-ES"/>
        </w:rPr>
        <w:t xml:space="preserve">El año 2015 ha sido de especial impacto para la sociedad guatemalteca. Desde la revelación del llamado “Caso La Línea” y de otra serie de actos de corrupción, la sociedad guatemalteca se volcó a las calles a exigir la renuncia del Presidente de la República. El 3 de </w:t>
      </w:r>
      <w:r w:rsidRPr="00007713">
        <w:rPr>
          <w:rFonts w:asciiTheme="majorHAnsi" w:hAnsiTheme="majorHAnsi"/>
          <w:szCs w:val="20"/>
          <w:lang w:val="es-ES"/>
        </w:rPr>
        <w:lastRenderedPageBreak/>
        <w:t>septiembre de 2015, Otto Pérez Molina renunció a la Presidencia de la República, encontrándose sometido a un proceso por su presunta participación en la red de defraudación aduanera. Según la Oficina del Alto Comisionado de las Naciones Unidas para los Derechos Humanos en Guatemala (O</w:t>
      </w:r>
      <w:r w:rsidRPr="00007713">
        <w:rPr>
          <w:rFonts w:asciiTheme="majorHAnsi" w:hAnsiTheme="majorHAnsi" w:cs="Calibri"/>
          <w:szCs w:val="20"/>
          <w:lang w:val="es-ES"/>
        </w:rPr>
        <w:t>ACNUDH</w:t>
      </w:r>
      <w:r w:rsidRPr="00007713">
        <w:rPr>
          <w:rFonts w:asciiTheme="majorHAnsi" w:hAnsiTheme="majorHAnsi"/>
          <w:szCs w:val="20"/>
          <w:lang w:val="es-ES"/>
        </w:rPr>
        <w:t xml:space="preserve">-Guatemala), “en medio de la crisis política e institucional más profunda en décadas, las y los guatemaltecos son conscientes de que solo mediante reformas integrales se logrará un verdadero cambio en el país”. </w:t>
      </w:r>
    </w:p>
    <w:p w:rsidR="00007713" w:rsidRPr="00007713" w:rsidRDefault="00007713" w:rsidP="00007713">
      <w:pPr>
        <w:pStyle w:val="Numberedparagraphs"/>
        <w:ind w:left="720" w:right="720" w:firstLine="0"/>
        <w:rPr>
          <w:rFonts w:asciiTheme="majorHAnsi" w:hAnsiTheme="majorHAnsi"/>
          <w:szCs w:val="20"/>
          <w:lang w:val="es-ES"/>
        </w:rPr>
      </w:pPr>
      <w:r w:rsidRPr="00007713">
        <w:rPr>
          <w:rFonts w:asciiTheme="majorHAnsi" w:hAnsiTheme="majorHAnsi"/>
          <w:szCs w:val="20"/>
          <w:lang w:val="es-ES"/>
        </w:rPr>
        <w:t xml:space="preserve">El 25 de octubre de 2015, James Ernesto Morales fue elegido en segunda vuelta como Presidente de la República, quién asumirá el cargo el 14 de enero de 2016. El nuevo gobierno tiene desafíos cruciales en materia de derechos humanos. Tomar medidas para asegurar a las y los guatemaltecos vivir en un país libre de violencia, continuar la lucha contra la impunidad, la corrupción, la exclusión y la discriminación, son solo algunos de ellos. La Comisión llama al nuevo gobierno a retomar la agenda de los Acuerdos de Paz y a garantizar el cumplimiento de las recomendaciones de la CIDH y de las sentencias de la Corte Interamericana. </w:t>
      </w:r>
    </w:p>
    <w:p w:rsidR="00007713" w:rsidRPr="00007713" w:rsidRDefault="00007713" w:rsidP="00007713">
      <w:pPr>
        <w:pStyle w:val="Numberedparagraphs"/>
        <w:ind w:left="720" w:right="720" w:firstLine="0"/>
        <w:rPr>
          <w:rFonts w:asciiTheme="majorHAnsi" w:hAnsiTheme="majorHAnsi"/>
          <w:szCs w:val="20"/>
          <w:lang w:val="es-ES"/>
        </w:rPr>
      </w:pPr>
      <w:r w:rsidRPr="00007713">
        <w:rPr>
          <w:rFonts w:asciiTheme="majorHAnsi" w:hAnsiTheme="majorHAnsi"/>
          <w:szCs w:val="20"/>
          <w:lang w:val="es-ES"/>
        </w:rPr>
        <w:t>En relación con la elaboración del presente informe y, como consecuencia de la información recibida durante los últimos años sobre la situación de derechos humanos en Guatemala</w:t>
      </w:r>
      <w:r w:rsidRPr="00007713">
        <w:rPr>
          <w:rFonts w:asciiTheme="majorHAnsi" w:hAnsiTheme="majorHAnsi"/>
          <w:szCs w:val="20"/>
          <w:vertAlign w:val="superscript"/>
          <w:lang w:val="es-ES"/>
        </w:rPr>
        <w:footnoteReference w:id="3"/>
      </w:r>
      <w:r w:rsidRPr="00007713">
        <w:rPr>
          <w:rFonts w:asciiTheme="majorHAnsi" w:hAnsiTheme="majorHAnsi"/>
          <w:szCs w:val="20"/>
          <w:lang w:val="es-ES"/>
        </w:rPr>
        <w:t xml:space="preserve">, la CIDH solicitó al Estado de Guatemala su anuencia para realizar una visita </w:t>
      </w:r>
      <w:r w:rsidRPr="00007713">
        <w:rPr>
          <w:rFonts w:asciiTheme="majorHAnsi" w:hAnsiTheme="majorHAnsi"/>
          <w:i/>
          <w:szCs w:val="20"/>
          <w:lang w:val="es-ES"/>
        </w:rPr>
        <w:t>in loco</w:t>
      </w:r>
      <w:r w:rsidRPr="00007713">
        <w:rPr>
          <w:rFonts w:asciiTheme="majorHAnsi" w:hAnsiTheme="majorHAnsi"/>
          <w:szCs w:val="20"/>
          <w:lang w:val="es-ES"/>
        </w:rPr>
        <w:t xml:space="preserve"> con el objeto de verificar la situación </w:t>
      </w:r>
      <w:r w:rsidRPr="00007713">
        <w:rPr>
          <w:rFonts w:asciiTheme="majorHAnsi" w:hAnsiTheme="majorHAnsi"/>
          <w:i/>
          <w:szCs w:val="20"/>
          <w:lang w:val="es-ES"/>
        </w:rPr>
        <w:t>in situ</w:t>
      </w:r>
      <w:r w:rsidRPr="00007713">
        <w:rPr>
          <w:rFonts w:asciiTheme="majorHAnsi" w:hAnsiTheme="majorHAnsi"/>
          <w:szCs w:val="20"/>
          <w:lang w:val="es-ES"/>
        </w:rPr>
        <w:t>. Además de la verificación, la visita permitiría tener la oportunidad de reunirse con autoridades del Estado, representantes de la sociedad civil y autoridades indígenas para recabar y compartir información. Lamentablemente, en el transcurso del año 2015, la mencionada visita no pudo realizarse en fechas factibles. Ante ello, la Comisión solicitó información sobre la situación de derechos humanos al Estado, al Procurador de Derechos Humanos, así como a organizaciones de la sociedad civil. La CIDH también ha tomado en cuenta la amplia gama de información reflejada en sus otros mecanismos, entre audiencias, medidas cautelares y el sistema de casos.</w:t>
      </w:r>
    </w:p>
    <w:p w:rsidR="00007713" w:rsidRPr="00007713" w:rsidRDefault="00007713" w:rsidP="00007713">
      <w:pPr>
        <w:pStyle w:val="Numberedparagraphs"/>
        <w:ind w:left="720" w:right="720" w:firstLine="0"/>
        <w:rPr>
          <w:rFonts w:asciiTheme="majorHAnsi" w:hAnsiTheme="majorHAnsi"/>
          <w:szCs w:val="20"/>
          <w:lang w:val="es-ES"/>
        </w:rPr>
      </w:pPr>
      <w:r w:rsidRPr="00007713">
        <w:rPr>
          <w:rFonts w:asciiTheme="majorHAnsi" w:hAnsiTheme="majorHAnsi"/>
          <w:szCs w:val="20"/>
          <w:lang w:val="es-ES"/>
        </w:rPr>
        <w:t xml:space="preserve">La </w:t>
      </w:r>
      <w:r w:rsidRPr="00007713">
        <w:rPr>
          <w:rFonts w:asciiTheme="majorHAnsi" w:hAnsiTheme="majorHAnsi" w:cs="Arial"/>
          <w:szCs w:val="20"/>
          <w:lang w:val="es-ES"/>
        </w:rPr>
        <w:t xml:space="preserve">pobreza, el racismo, la discriminación, la exclusión, la violencia y la impunidad han sido constantes observadas en Guatemala por esta Comisión en el ejercicio de sus distintas funciones. Lo anterior, enmarcado en una estructura estatal débil, con pocos recursos por la escasa recaudación fiscal y con un alto nivel de corrupción. </w:t>
      </w:r>
    </w:p>
    <w:p w:rsidR="00007713" w:rsidRPr="00007713" w:rsidRDefault="00007713" w:rsidP="00007713">
      <w:pPr>
        <w:pStyle w:val="Numberedparagraphs"/>
        <w:ind w:left="720" w:right="720" w:firstLine="0"/>
        <w:rPr>
          <w:rFonts w:asciiTheme="majorHAnsi" w:hAnsiTheme="majorHAnsi"/>
          <w:szCs w:val="20"/>
          <w:lang w:val="es-ES"/>
        </w:rPr>
      </w:pPr>
      <w:r w:rsidRPr="00007713">
        <w:rPr>
          <w:rFonts w:asciiTheme="majorHAnsi" w:hAnsiTheme="majorHAnsi"/>
          <w:spacing w:val="-2"/>
          <w:szCs w:val="20"/>
          <w:lang w:val="es-ES"/>
        </w:rPr>
        <w:t>Si bien la CIDH reconoce que la grave situación de derechos humanos en Guatemala afecta a todos sus habitantes y permea todas las esferas de la sociedad, la CIDH decidió centrar el presente informe en tres aspectos fundamentales: seguridad ciudadana, la administración de justicia y la situación de desigualdad y exclusión de los pueblos indígenas.</w:t>
      </w:r>
    </w:p>
    <w:p w:rsidR="00007713" w:rsidRPr="00007713" w:rsidRDefault="00007713" w:rsidP="00007713">
      <w:pPr>
        <w:pStyle w:val="Numberedparagraphs"/>
        <w:ind w:left="720" w:right="720" w:firstLine="0"/>
        <w:rPr>
          <w:rFonts w:asciiTheme="majorHAnsi" w:hAnsiTheme="majorHAnsi"/>
          <w:szCs w:val="20"/>
          <w:lang w:val="es-ES"/>
        </w:rPr>
      </w:pPr>
      <w:r w:rsidRPr="00007713">
        <w:rPr>
          <w:rFonts w:asciiTheme="majorHAnsi" w:hAnsiTheme="majorHAnsi"/>
          <w:szCs w:val="20"/>
          <w:lang w:val="es-ES"/>
        </w:rPr>
        <w:t xml:space="preserve">La Comisión analiza la situación de desigualdad y exclusión que sufren los pueblos indígenas en Guatemala consecuencia del racismo y la discriminación estructural, situación que a la vez se ve reflejada en la negativa del Estado de reconocer el genocidio que sufrió el pueblo maya durante el conflicto armado interno. Por otra parte, la CIDH observa que continúa la falta de protección de los derechos humanos de los pueblos y comunidades indígenas conforme a los estándares internacionales, que estaría provocando daños sociales </w:t>
      </w:r>
      <w:r w:rsidRPr="00007713">
        <w:rPr>
          <w:rFonts w:asciiTheme="majorHAnsi" w:hAnsiTheme="majorHAnsi"/>
          <w:szCs w:val="20"/>
          <w:lang w:val="es-ES"/>
        </w:rPr>
        <w:lastRenderedPageBreak/>
        <w:t>y ambientales en los territorios indígenas, como el despojo de las tierras y la contaminación de sus aguas.</w:t>
      </w:r>
    </w:p>
    <w:p w:rsidR="00007713" w:rsidRPr="00007713" w:rsidRDefault="00007713" w:rsidP="00007713">
      <w:pPr>
        <w:pStyle w:val="Numberedparagraphs"/>
        <w:ind w:left="720" w:right="720" w:firstLine="0"/>
        <w:rPr>
          <w:rFonts w:asciiTheme="majorHAnsi" w:hAnsiTheme="majorHAnsi"/>
          <w:szCs w:val="20"/>
          <w:lang w:val="es-ES"/>
        </w:rPr>
      </w:pPr>
      <w:r w:rsidRPr="00007713">
        <w:rPr>
          <w:rFonts w:asciiTheme="majorHAnsi" w:hAnsiTheme="majorHAnsi"/>
          <w:szCs w:val="20"/>
          <w:lang w:val="es-ES"/>
        </w:rPr>
        <w:t xml:space="preserve">En el capítulo sobre “Diversidad, Discriminación, </w:t>
      </w:r>
      <w:r w:rsidRPr="00007713">
        <w:rPr>
          <w:rFonts w:asciiTheme="majorHAnsi" w:hAnsiTheme="majorHAnsi" w:cs="Arial"/>
          <w:color w:val="1A1A1A"/>
          <w:szCs w:val="20"/>
          <w:lang w:val="es-ES"/>
        </w:rPr>
        <w:t>Desigualdad y Exclusión de los pueblos indígenas”</w:t>
      </w:r>
      <w:r w:rsidRPr="00007713">
        <w:rPr>
          <w:rFonts w:asciiTheme="majorHAnsi" w:hAnsiTheme="majorHAnsi"/>
          <w:szCs w:val="20"/>
          <w:lang w:val="es-ES"/>
        </w:rPr>
        <w:t>, la CIDH utiliza la valiosa información y testimonios recopilados en la visita realizada del 21 al 30 de agosto de 2013 por la entonces Relatora sobre los Derechos de los Pueblos Indígenas de la CIDH Dinah Shelton</w:t>
      </w:r>
      <w:r w:rsidRPr="00007713">
        <w:rPr>
          <w:rFonts w:asciiTheme="majorHAnsi" w:hAnsiTheme="majorHAnsi"/>
          <w:szCs w:val="20"/>
          <w:vertAlign w:val="superscript"/>
          <w:lang w:val="es-ES"/>
        </w:rPr>
        <w:footnoteReference w:id="4"/>
      </w:r>
      <w:r w:rsidRPr="00007713">
        <w:rPr>
          <w:rFonts w:asciiTheme="majorHAnsi" w:hAnsiTheme="majorHAnsi"/>
          <w:szCs w:val="20"/>
          <w:lang w:val="es-ES"/>
        </w:rPr>
        <w:t>. Durante los 10 días de visita, la delegación se reunió con autoridades del Estado y con autoridades, líderes y lideresas indígenas. Asimismo, con académicos y organizaciones de la sociedad civil. Las diversas actividades se realizaron en Ciudad de Guatemala, Cobán, Valle del Polochic, Nebaj, Huehuetenango, Totonicapán, San Marcos y en Chichicastenango. El objetivo de la visita fue recabar información sobre la situación de los pueblos indígenas en Guatemala, con particular énfasis en la discriminación y exclusión de los pueblos indígenas, así como en la situación de sus tierras, territorios y recursos naturales, y el derecho a la consulta previa, libre e informada.</w:t>
      </w:r>
    </w:p>
    <w:p w:rsidR="00007713" w:rsidRPr="00007713" w:rsidRDefault="00007713" w:rsidP="00007713">
      <w:pPr>
        <w:pStyle w:val="Numberedparagraphs"/>
        <w:ind w:left="720" w:right="720" w:firstLine="0"/>
        <w:rPr>
          <w:rFonts w:asciiTheme="majorHAnsi" w:hAnsiTheme="majorHAnsi"/>
          <w:szCs w:val="20"/>
          <w:lang w:val="es-ES"/>
        </w:rPr>
      </w:pPr>
      <w:r w:rsidRPr="00007713">
        <w:rPr>
          <w:rFonts w:asciiTheme="majorHAnsi" w:hAnsiTheme="majorHAnsi"/>
          <w:spacing w:val="-2"/>
          <w:szCs w:val="20"/>
          <w:lang w:val="es-ES"/>
        </w:rPr>
        <w:t>En materia de seguridad ciudadana, la CIDH observa que, d</w:t>
      </w:r>
      <w:r w:rsidRPr="00007713">
        <w:rPr>
          <w:rFonts w:asciiTheme="majorHAnsi" w:hAnsiTheme="majorHAnsi"/>
          <w:szCs w:val="20"/>
          <w:lang w:val="es-ES"/>
        </w:rPr>
        <w:t xml:space="preserve">esde hace varios años, en especial a partir del año 2000, se presenta un escenario de violencia generalizada con momentos muy altos (2008 y 2009) y con tendencia a decrecer, pero siempre en un nivel de cifras que convierte a Guatemala en unos de los países más violentos de Latinoamérica. Según ha indicado el Programa de las Naciones Unidas para el Desarrollo (PNUD), los altos índices de violencia e inseguridad que padece Guatemala estarían relacionados con la exclusión social y la falta de aplicación de la ley, en un contexto de debilidad institucional del Estado que aumenta los niveles de violencia por la ineficacia para resolver la problemática, en la que se insertan grupos clandestinos que generan redes con instituciones estatales. En este contexto de violencia e inseguridad, la CIDH </w:t>
      </w:r>
      <w:r w:rsidRPr="00007713">
        <w:rPr>
          <w:rFonts w:asciiTheme="majorHAnsi" w:hAnsiTheme="majorHAnsi" w:cs="Calibri"/>
          <w:szCs w:val="20"/>
          <w:lang w:val="es-ES"/>
        </w:rPr>
        <w:t>observa una serie de situaciones que agravan el escenario, como el resurgimiento de las desapariciones, asociadas en parte importante, al actuar del crimen organizado; la grave problemática de los linchamientos y el uso desmesurado y poco supervisado de la seguridad privada.</w:t>
      </w:r>
    </w:p>
    <w:p w:rsidR="00007713" w:rsidRPr="00007713" w:rsidRDefault="00007713" w:rsidP="00007713">
      <w:pPr>
        <w:pStyle w:val="Numberedparagraphs"/>
        <w:ind w:left="720" w:right="720" w:firstLine="0"/>
        <w:rPr>
          <w:rFonts w:asciiTheme="majorHAnsi" w:hAnsiTheme="majorHAnsi"/>
          <w:szCs w:val="20"/>
          <w:lang w:val="es-ES"/>
        </w:rPr>
      </w:pPr>
      <w:r w:rsidRPr="00007713">
        <w:rPr>
          <w:rFonts w:asciiTheme="majorHAnsi" w:hAnsiTheme="majorHAnsi" w:cs="Calibri"/>
          <w:szCs w:val="20"/>
          <w:lang w:val="es-ES"/>
        </w:rPr>
        <w:t xml:space="preserve">El Estado guatemalteco ha dado como respuestas a la situación de violencia e inseguridad una serie de políticas y estrategias. Sin embargo, algunas de sus acciones y omisiones, como el debilitamiento continuo de la Policía Nacional Civil, el uso desproporcionado de los </w:t>
      </w:r>
      <w:r w:rsidRPr="00007713">
        <w:rPr>
          <w:rFonts w:asciiTheme="majorHAnsi" w:eastAsia="Times New Roman" w:hAnsiTheme="majorHAnsi" w:cs="Helvetica"/>
          <w:szCs w:val="20"/>
          <w:lang w:val="es-ES"/>
        </w:rPr>
        <w:t xml:space="preserve">estados de excepción, la militarización de la seguridad ciudadana y la creación de </w:t>
      </w:r>
      <w:r w:rsidRPr="00007713">
        <w:rPr>
          <w:rFonts w:asciiTheme="majorHAnsi" w:hAnsiTheme="majorHAnsi" w:cs="Arial"/>
          <w:color w:val="1A1A1A"/>
          <w:szCs w:val="20"/>
          <w:lang w:val="es-ES"/>
        </w:rPr>
        <w:t>escuadrones especiales,</w:t>
      </w:r>
      <w:r w:rsidRPr="00007713">
        <w:rPr>
          <w:rFonts w:asciiTheme="majorHAnsi" w:hAnsiTheme="majorHAnsi" w:cs="Calibri"/>
          <w:szCs w:val="20"/>
          <w:lang w:val="es-ES"/>
        </w:rPr>
        <w:t xml:space="preserve"> han generado mayor tensión e incrementado el problema.</w:t>
      </w:r>
    </w:p>
    <w:p w:rsidR="00007713" w:rsidRPr="00007713" w:rsidRDefault="00007713" w:rsidP="00007713">
      <w:pPr>
        <w:pStyle w:val="Numberedparagraphs"/>
        <w:ind w:left="720" w:right="720" w:firstLine="0"/>
        <w:rPr>
          <w:rFonts w:asciiTheme="majorHAnsi" w:hAnsiTheme="majorHAnsi"/>
          <w:szCs w:val="20"/>
          <w:lang w:val="es-ES"/>
        </w:rPr>
      </w:pPr>
      <w:r w:rsidRPr="00007713">
        <w:rPr>
          <w:rFonts w:asciiTheme="majorHAnsi" w:hAnsiTheme="majorHAnsi" w:cs="Calibri"/>
          <w:szCs w:val="20"/>
          <w:lang w:val="es-ES"/>
        </w:rPr>
        <w:t xml:space="preserve">En adición al contexto de violencia e inseguridad, se observa la situación de quienes, por su rol en la sociedad, o por haber sido sometidos a discriminación históricamente, sufren </w:t>
      </w:r>
      <w:r w:rsidRPr="00007713">
        <w:rPr>
          <w:rFonts w:asciiTheme="majorHAnsi" w:hAnsiTheme="majorHAnsi"/>
          <w:szCs w:val="20"/>
          <w:lang w:val="es-ES"/>
        </w:rPr>
        <w:t>un impacto diferenciado</w:t>
      </w:r>
      <w:r w:rsidRPr="00007713">
        <w:rPr>
          <w:rFonts w:asciiTheme="majorHAnsi" w:hAnsiTheme="majorHAnsi" w:cs="Calibri"/>
          <w:szCs w:val="20"/>
          <w:lang w:val="es-ES"/>
        </w:rPr>
        <w:t xml:space="preserve"> por la violencia y la discriminación.</w:t>
      </w:r>
      <w:r w:rsidRPr="00007713">
        <w:rPr>
          <w:rFonts w:asciiTheme="majorHAnsi" w:hAnsiTheme="majorHAnsi"/>
          <w:szCs w:val="20"/>
          <w:lang w:val="es-ES"/>
        </w:rPr>
        <w:t xml:space="preserve"> En esta situación se encuentran aquellas personas que </w:t>
      </w:r>
      <w:r w:rsidRPr="00007713">
        <w:rPr>
          <w:rFonts w:asciiTheme="majorHAnsi" w:hAnsiTheme="majorHAnsi" w:cs="Calibri"/>
          <w:szCs w:val="20"/>
          <w:lang w:val="es-ES"/>
        </w:rPr>
        <w:t xml:space="preserve">defienden los derechos humanos, incluidas autoridades y líderes indígenas, ambientalistas, líderes sindicales, operadores de justicia, entre otros. Así también, las </w:t>
      </w:r>
      <w:r w:rsidRPr="00007713">
        <w:rPr>
          <w:rFonts w:asciiTheme="majorHAnsi" w:hAnsiTheme="majorHAnsi" w:cs="Arial"/>
          <w:color w:val="1A1A1A"/>
          <w:szCs w:val="20"/>
          <w:lang w:val="es-ES"/>
        </w:rPr>
        <w:t>mujeres, los niños, niñas y adolescentes, los periodistas</w:t>
      </w:r>
      <w:r w:rsidRPr="00007713">
        <w:rPr>
          <w:rFonts w:asciiTheme="majorHAnsi" w:hAnsiTheme="majorHAnsi" w:cs="Arial"/>
          <w:szCs w:val="20"/>
          <w:lang w:val="es-ES"/>
        </w:rPr>
        <w:t>, los m</w:t>
      </w:r>
      <w:r w:rsidRPr="00007713">
        <w:rPr>
          <w:rFonts w:asciiTheme="majorHAnsi" w:hAnsiTheme="majorHAnsi"/>
          <w:szCs w:val="20"/>
          <w:lang w:val="es-ES"/>
        </w:rPr>
        <w:t xml:space="preserve">igrantes y refugiados, la población LGBTI, las personas con discapacidad, y </w:t>
      </w:r>
      <w:r w:rsidRPr="00007713">
        <w:rPr>
          <w:rFonts w:asciiTheme="majorHAnsi" w:hAnsiTheme="majorHAnsi" w:cs="Arial"/>
          <w:color w:val="1A1A1A"/>
          <w:szCs w:val="20"/>
          <w:lang w:val="es-ES"/>
        </w:rPr>
        <w:t>las personas privadas de libertad</w:t>
      </w:r>
      <w:r w:rsidRPr="00007713">
        <w:rPr>
          <w:rFonts w:asciiTheme="majorHAnsi" w:hAnsiTheme="majorHAnsi"/>
          <w:szCs w:val="20"/>
          <w:lang w:val="es-ES"/>
        </w:rPr>
        <w:t>.</w:t>
      </w:r>
    </w:p>
    <w:p w:rsidR="00007713" w:rsidRPr="00007713" w:rsidRDefault="00007713" w:rsidP="00007713">
      <w:pPr>
        <w:pStyle w:val="Numberedparagraphs"/>
        <w:ind w:left="720" w:right="720" w:firstLine="0"/>
        <w:rPr>
          <w:rFonts w:asciiTheme="majorHAnsi" w:hAnsiTheme="majorHAnsi"/>
          <w:szCs w:val="20"/>
          <w:lang w:val="es-ES"/>
        </w:rPr>
      </w:pPr>
      <w:r w:rsidRPr="00007713">
        <w:rPr>
          <w:rFonts w:asciiTheme="majorHAnsi" w:hAnsiTheme="majorHAnsi"/>
          <w:szCs w:val="20"/>
          <w:lang w:val="es-ES"/>
        </w:rPr>
        <w:t xml:space="preserve">Según lo reportado por la </w:t>
      </w:r>
      <w:r w:rsidRPr="00007713">
        <w:rPr>
          <w:rFonts w:asciiTheme="majorHAnsi" w:hAnsiTheme="majorHAnsi"/>
          <w:bCs/>
          <w:szCs w:val="20"/>
          <w:lang w:val="es-ES"/>
        </w:rPr>
        <w:t xml:space="preserve">Unidad de Protección a Defensoras y Defensores de Derechos Humanos de Guatemala (UDEFEGUA) se habrían registrado </w:t>
      </w:r>
      <w:r w:rsidRPr="00007713">
        <w:rPr>
          <w:rFonts w:asciiTheme="majorHAnsi" w:hAnsiTheme="majorHAnsi"/>
          <w:szCs w:val="20"/>
          <w:lang w:val="es-ES"/>
        </w:rPr>
        <w:t xml:space="preserve">380 ataques o </w:t>
      </w:r>
      <w:r w:rsidRPr="00007713">
        <w:rPr>
          <w:rFonts w:asciiTheme="majorHAnsi" w:hAnsiTheme="majorHAnsi"/>
          <w:szCs w:val="20"/>
          <w:lang w:val="es-ES"/>
        </w:rPr>
        <w:lastRenderedPageBreak/>
        <w:t>agresiones en contra de defensoras y defensores de derechos humanos entre enero y</w:t>
      </w:r>
      <w:r w:rsidRPr="00007713">
        <w:rPr>
          <w:rFonts w:asciiTheme="majorHAnsi" w:hAnsiTheme="majorHAnsi"/>
          <w:bCs/>
          <w:szCs w:val="20"/>
          <w:lang w:val="es-ES"/>
        </w:rPr>
        <w:t xml:space="preserve"> septiembre del 2015. </w:t>
      </w:r>
      <w:r w:rsidRPr="00007713">
        <w:rPr>
          <w:rFonts w:asciiTheme="majorHAnsi" w:hAnsiTheme="majorHAnsi"/>
          <w:szCs w:val="20"/>
          <w:lang w:val="es-ES"/>
        </w:rPr>
        <w:t xml:space="preserve">Ataques o agresiones que incluirían asesinatos, amenazas, detenciones arbitrarias, persecución y vigilancia. De acuerdo a la misma organización, </w:t>
      </w:r>
      <w:r w:rsidRPr="00007713">
        <w:rPr>
          <w:rFonts w:asciiTheme="majorHAnsi" w:hAnsiTheme="majorHAnsi"/>
          <w:bCs/>
          <w:szCs w:val="20"/>
          <w:lang w:val="es-ES"/>
        </w:rPr>
        <w:t xml:space="preserve">en el 2014 se habrían registrado </w:t>
      </w:r>
      <w:r w:rsidRPr="00007713">
        <w:rPr>
          <w:rFonts w:asciiTheme="majorHAnsi" w:hAnsiTheme="majorHAnsi"/>
          <w:szCs w:val="20"/>
          <w:lang w:val="es-ES"/>
        </w:rPr>
        <w:t xml:space="preserve">814 ataques. Las agresiones han estado dirigidas a las y los defensores que trabajan las principales problemáticas que afectan al país en materia de derechos humanos, como aquellos que se dedican a la defensa de los derechos de los pueblos indígenas, el territorio, la tierra y el medioambiente sano, y representan a las víctimas del conflicto armado interno o líderes sindicales. </w:t>
      </w:r>
      <w:r w:rsidRPr="00007713">
        <w:rPr>
          <w:rFonts w:asciiTheme="majorHAnsi" w:hAnsiTheme="majorHAnsi"/>
          <w:bCs/>
          <w:szCs w:val="20"/>
          <w:lang w:val="es-ES"/>
        </w:rPr>
        <w:t>La CIDH lamenta estos hechos, llama a su esclarecimiento</w:t>
      </w:r>
      <w:r w:rsidRPr="00007713">
        <w:rPr>
          <w:rFonts w:asciiTheme="majorHAnsi" w:hAnsiTheme="majorHAnsi"/>
          <w:szCs w:val="20"/>
          <w:lang w:val="es-ES"/>
        </w:rPr>
        <w:t xml:space="preserve"> y reitera que la labor de las y los defensores es fundamental para la implementación de los derechos humanos, así como para la existencia plena de la democracia y el Estado de Derecho.</w:t>
      </w:r>
    </w:p>
    <w:p w:rsidR="00007713" w:rsidRPr="00007713" w:rsidRDefault="00007713" w:rsidP="00007713">
      <w:pPr>
        <w:pStyle w:val="Numberedparagraphs"/>
        <w:ind w:left="720" w:right="720" w:firstLine="0"/>
        <w:rPr>
          <w:rFonts w:asciiTheme="majorHAnsi" w:hAnsiTheme="majorHAnsi"/>
          <w:szCs w:val="20"/>
          <w:lang w:val="es-ES"/>
        </w:rPr>
      </w:pPr>
      <w:r w:rsidRPr="00007713">
        <w:rPr>
          <w:rFonts w:asciiTheme="majorHAnsi" w:hAnsiTheme="majorHAnsi"/>
          <w:szCs w:val="20"/>
          <w:lang w:val="es-ES"/>
        </w:rPr>
        <w:t xml:space="preserve">La CIDH destaca la necesidad en Guatemala de una administración de justicia eficiente, independiente y autónoma para el fortalecimiento de la democracia y la vigencia del Estado de Derecho. Un Poder Judicial que reúne tales características, pone límites a los abusos de autoridad y es garante de la legalidad y la protección de los derechos de todas las personas. En este ámbito, de especial preocupación para la CIDH ha sido la situación de la </w:t>
      </w:r>
      <w:r w:rsidRPr="00007713">
        <w:rPr>
          <w:rFonts w:asciiTheme="majorHAnsi" w:hAnsiTheme="majorHAnsi" w:cs="Arial"/>
          <w:color w:val="1A1A1A"/>
          <w:szCs w:val="20"/>
          <w:lang w:val="es-ES"/>
        </w:rPr>
        <w:t>independencia judicial, en relación con los procesos de selección y la permanencia en el cargo de los operadores de justicia; el acceso a la justicia y la impunidad, legado del conflicto armado interno.</w:t>
      </w:r>
    </w:p>
    <w:p w:rsidR="00007713" w:rsidRPr="00007713" w:rsidRDefault="00007713" w:rsidP="00007713">
      <w:pPr>
        <w:pStyle w:val="Numberedparagraphs"/>
        <w:ind w:left="720" w:right="720" w:firstLine="0"/>
        <w:rPr>
          <w:rFonts w:asciiTheme="majorHAnsi" w:hAnsiTheme="majorHAnsi"/>
          <w:szCs w:val="20"/>
          <w:lang w:val="es-ES"/>
        </w:rPr>
      </w:pPr>
      <w:r w:rsidRPr="00007713">
        <w:rPr>
          <w:rFonts w:asciiTheme="majorHAnsi" w:hAnsiTheme="majorHAnsi"/>
          <w:szCs w:val="20"/>
          <w:lang w:val="es-ES"/>
        </w:rPr>
        <w:t xml:space="preserve">Durante el 2014 y 2015, la CIDH recibió información sobre las afectaciones a la independencia judicial en Guatemala por la falta de idoneidad de los procesos de nombramiento y selección de las y los operadores de justicia. Asimismo, continuó recibiendo información sobre los preocupantes índices de impunidad que, entre otros efectos, repercute directamente en el acceso a la justicia. </w:t>
      </w:r>
      <w:r w:rsidRPr="00007713">
        <w:rPr>
          <w:rFonts w:asciiTheme="majorHAnsi" w:hAnsiTheme="majorHAnsi" w:cs="Calibri"/>
          <w:szCs w:val="20"/>
          <w:lang w:val="es-ES"/>
        </w:rPr>
        <w:t>La CIDH observa que el índice de impunidad por el delito de homicidio, según un informe de la CICIG de noviembre de 2015</w:t>
      </w:r>
      <w:r w:rsidRPr="00007713">
        <w:rPr>
          <w:rStyle w:val="FootnoteReference"/>
          <w:rFonts w:asciiTheme="majorHAnsi" w:hAnsiTheme="majorHAnsi" w:cs="Calibri"/>
          <w:szCs w:val="20"/>
          <w:lang w:val="es-ES"/>
        </w:rPr>
        <w:footnoteReference w:id="5"/>
      </w:r>
      <w:r w:rsidRPr="00007713">
        <w:rPr>
          <w:rFonts w:asciiTheme="majorHAnsi" w:hAnsiTheme="majorHAnsi" w:cs="Calibri"/>
          <w:szCs w:val="20"/>
          <w:lang w:val="es-ES"/>
        </w:rPr>
        <w:t xml:space="preserve">, fluctúa en los años 2008 y 2014 entre un 99,1% y un 98,4%, con ciertas reducciones dependiendo de los años y la materia. A ello se suma que </w:t>
      </w:r>
      <w:r w:rsidRPr="00007713">
        <w:rPr>
          <w:rFonts w:asciiTheme="majorHAnsi" w:eastAsia="Times New Roman" w:hAnsiTheme="majorHAnsi"/>
          <w:szCs w:val="20"/>
          <w:lang w:val="es-ES"/>
        </w:rPr>
        <w:t>la mayor parte de los hechos ocurridos durante el conflicto armado (</w:t>
      </w:r>
      <w:r w:rsidRPr="00007713">
        <w:rPr>
          <w:rFonts w:asciiTheme="majorHAnsi" w:hAnsiTheme="majorHAnsi"/>
          <w:bCs/>
          <w:szCs w:val="20"/>
          <w:lang w:val="es-ES"/>
        </w:rPr>
        <w:t xml:space="preserve">1960 y 1996) permanecerían impunes. </w:t>
      </w:r>
      <w:r w:rsidRPr="00007713">
        <w:rPr>
          <w:rFonts w:asciiTheme="majorHAnsi" w:hAnsiTheme="majorHAnsi" w:cs="Calibri"/>
          <w:szCs w:val="20"/>
          <w:lang w:val="es-ES"/>
        </w:rPr>
        <w:t xml:space="preserve">Ahora bien, se </w:t>
      </w:r>
      <w:r w:rsidRPr="00007713">
        <w:rPr>
          <w:rFonts w:asciiTheme="majorHAnsi" w:eastAsia="Times New Roman" w:hAnsiTheme="majorHAnsi"/>
          <w:szCs w:val="20"/>
          <w:lang w:val="es-ES"/>
        </w:rPr>
        <w:t xml:space="preserve">destacan avances logrados por los operadores de justicia, como la declaración de autoejecutabilidad de las sentencias emitida por la Corte Interamericana, dictada por la Cámara Penal de la Corte Suprema de Justicia, así como el avance en la investigación, juzgamiento y condena en varios casos. Al respecto, se requieren mayores esfuerzos ante la magnitud de los casos que aún se encuentran en la impunidad, incluyendo la rectificación de la posición del Gobierno, en cuanto a cuestionar la competencia de la Corte Interamericana e insistir </w:t>
      </w:r>
      <w:r w:rsidRPr="00007713">
        <w:rPr>
          <w:rFonts w:asciiTheme="majorHAnsi" w:hAnsiTheme="majorHAnsi"/>
          <w:szCs w:val="20"/>
          <w:lang w:val="es-ES"/>
        </w:rPr>
        <w:t>en la legitimidad de las amnistías decretadas durante el conflicto armado interno</w:t>
      </w:r>
      <w:r w:rsidRPr="00007713">
        <w:rPr>
          <w:rFonts w:asciiTheme="majorHAnsi" w:eastAsia="Times New Roman" w:hAnsiTheme="majorHAnsi"/>
          <w:szCs w:val="20"/>
          <w:lang w:val="es-ES"/>
        </w:rPr>
        <w:t xml:space="preserve">. </w:t>
      </w:r>
    </w:p>
    <w:p w:rsidR="00007713" w:rsidRPr="00007713" w:rsidRDefault="00007713" w:rsidP="00007713">
      <w:pPr>
        <w:pStyle w:val="Numberedparagraphs"/>
        <w:ind w:left="720" w:right="720" w:firstLine="0"/>
        <w:rPr>
          <w:rFonts w:asciiTheme="majorHAnsi" w:hAnsiTheme="majorHAnsi"/>
          <w:szCs w:val="20"/>
          <w:lang w:val="es-ES"/>
        </w:rPr>
      </w:pPr>
      <w:r w:rsidRPr="00007713">
        <w:rPr>
          <w:rFonts w:asciiTheme="majorHAnsi" w:hAnsiTheme="majorHAnsi"/>
          <w:szCs w:val="20"/>
          <w:lang w:val="es-ES"/>
        </w:rPr>
        <w:t xml:space="preserve">Termina el informe con una serie de recomendaciones que la CIDH hace al Estado y desde ya ofrece sus buenos oficios para acompañar el proceso de implementación. En sus observaciones a este proyecto de informe, el Estado guatemalteco manifestó que: </w:t>
      </w:r>
    </w:p>
    <w:p w:rsidR="00007713" w:rsidRPr="00007713" w:rsidRDefault="00007713" w:rsidP="00007713">
      <w:pPr>
        <w:pStyle w:val="Citalarga"/>
        <w:ind w:left="720" w:right="720"/>
        <w:rPr>
          <w:sz w:val="20"/>
        </w:rPr>
      </w:pPr>
      <w:r w:rsidRPr="00007713">
        <w:rPr>
          <w:sz w:val="20"/>
        </w:rPr>
        <w:t>desarrollará sus máximos esfuerzos para superar los retos que persisten originados en las manifestaciones de violencia multicausal, discriminación y exclusión, e implementará las medidas indispensables que posibiliten erradicar la pobreza crítica, prevenir y combatir el delito, así como la conflictividad que imposibilitan el pleno desarrollo de sus habitantes de ahí la utilidad de atender aquellas recomendaciones del informe de país, que se consideren pertinentes y oportunas, […]</w:t>
      </w:r>
      <w:r w:rsidRPr="00007713">
        <w:rPr>
          <w:rStyle w:val="FootnoteReference"/>
          <w:sz w:val="20"/>
        </w:rPr>
        <w:footnoteReference w:id="6"/>
      </w:r>
      <w:r w:rsidRPr="00007713">
        <w:rPr>
          <w:sz w:val="20"/>
        </w:rPr>
        <w:t>.</w:t>
      </w:r>
    </w:p>
    <w:p w:rsidR="00007713" w:rsidRPr="00007713" w:rsidRDefault="00007713" w:rsidP="00007713">
      <w:pPr>
        <w:pStyle w:val="Numberedparagraphs"/>
        <w:ind w:left="720" w:right="720" w:firstLine="0"/>
        <w:rPr>
          <w:rFonts w:asciiTheme="majorHAnsi" w:hAnsiTheme="majorHAnsi"/>
          <w:szCs w:val="20"/>
          <w:lang w:val="es-ES"/>
        </w:rPr>
      </w:pPr>
      <w:r w:rsidRPr="00007713">
        <w:rPr>
          <w:rFonts w:asciiTheme="majorHAnsi" w:hAnsiTheme="majorHAnsi"/>
          <w:szCs w:val="20"/>
          <w:lang w:val="es-ES"/>
        </w:rPr>
        <w:lastRenderedPageBreak/>
        <w:t>La Comisión agradece los aportes del Estado y de la sociedad civil para la realización del presente informe, en particular, los testimonios de cientos de autoridades y líderes y lideresas indígenas que le permitieron comprender mejor, desde sus voces, la situación vivida en Guatemala</w:t>
      </w:r>
      <w:r w:rsidRPr="00007713">
        <w:rPr>
          <w:rStyle w:val="FootnoteReference"/>
          <w:rFonts w:asciiTheme="majorHAnsi" w:hAnsiTheme="majorHAnsi"/>
          <w:szCs w:val="20"/>
          <w:lang w:val="es-ES"/>
        </w:rPr>
        <w:footnoteReference w:id="7"/>
      </w:r>
      <w:r w:rsidRPr="00007713">
        <w:rPr>
          <w:rFonts w:asciiTheme="majorHAnsi" w:hAnsiTheme="majorHAnsi"/>
          <w:szCs w:val="20"/>
          <w:lang w:val="es-ES"/>
        </w:rPr>
        <w:t xml:space="preserve">. </w:t>
      </w:r>
    </w:p>
    <w:p w:rsidR="00007713" w:rsidRPr="00510294" w:rsidRDefault="00007713" w:rsidP="00EF6A9E">
      <w:pPr>
        <w:spacing w:after="0" w:line="240" w:lineRule="auto"/>
        <w:jc w:val="center"/>
        <w:rPr>
          <w:rFonts w:ascii="Cambria" w:hAnsi="Cambria"/>
          <w:b/>
          <w:sz w:val="20"/>
          <w:szCs w:val="20"/>
          <w:lang w:val="es-ES"/>
        </w:rPr>
      </w:pPr>
    </w:p>
    <w:sectPr w:rsidR="00007713" w:rsidRPr="00510294" w:rsidSect="00197168">
      <w:headerReference w:type="default" r:id="rId9"/>
      <w:footerReference w:type="default" r:id="rId10"/>
      <w:headerReference w:type="first" r:id="rId11"/>
      <w:pgSz w:w="12240" w:h="15840"/>
      <w:pgMar w:top="1440" w:right="1440" w:bottom="1440" w:left="1440" w:header="720" w:footer="720" w:gutter="0"/>
      <w:pgNumType w:start="64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704" w:rsidRDefault="00195704" w:rsidP="00A343FF">
      <w:pPr>
        <w:spacing w:after="0" w:line="240" w:lineRule="auto"/>
      </w:pPr>
      <w:r>
        <w:separator/>
      </w:r>
    </w:p>
  </w:endnote>
  <w:endnote w:type="continuationSeparator" w:id="0">
    <w:p w:rsidR="00195704" w:rsidRDefault="00195704"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Univers">
    <w:altName w:val="Arial"/>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Ubuntu">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503" w:rsidRPr="00A72869" w:rsidRDefault="003D1503">
    <w:pPr>
      <w:pStyle w:val="Footer"/>
      <w:jc w:val="center"/>
      <w:rPr>
        <w:color w:val="7F7F7F"/>
        <w:sz w:val="16"/>
      </w:rPr>
    </w:pPr>
    <w:r w:rsidRPr="00A72869">
      <w:rPr>
        <w:color w:val="7F7F7F"/>
        <w:sz w:val="16"/>
      </w:rPr>
      <w:fldChar w:fldCharType="begin"/>
    </w:r>
    <w:r w:rsidRPr="00A72869">
      <w:rPr>
        <w:color w:val="7F7F7F"/>
        <w:sz w:val="16"/>
      </w:rPr>
      <w:instrText xml:space="preserve"> PAGE   \* MERGEFORMAT </w:instrText>
    </w:r>
    <w:r w:rsidRPr="00A72869">
      <w:rPr>
        <w:color w:val="7F7F7F"/>
        <w:sz w:val="16"/>
      </w:rPr>
      <w:fldChar w:fldCharType="separate"/>
    </w:r>
    <w:r w:rsidR="00D961EC">
      <w:rPr>
        <w:noProof/>
        <w:color w:val="7F7F7F"/>
        <w:sz w:val="16"/>
      </w:rPr>
      <w:t>646</w:t>
    </w:r>
    <w:r w:rsidRPr="00A72869">
      <w:rPr>
        <w:noProof/>
        <w:color w:val="7F7F7F"/>
        <w:sz w:val="16"/>
      </w:rPr>
      <w:fldChar w:fldCharType="end"/>
    </w:r>
  </w:p>
  <w:p w:rsidR="003D1503" w:rsidRDefault="003D15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704" w:rsidRDefault="00195704" w:rsidP="00A343FF">
      <w:pPr>
        <w:spacing w:after="0" w:line="240" w:lineRule="auto"/>
      </w:pPr>
      <w:r>
        <w:separator/>
      </w:r>
    </w:p>
  </w:footnote>
  <w:footnote w:type="continuationSeparator" w:id="0">
    <w:p w:rsidR="00195704" w:rsidRDefault="00195704" w:rsidP="00A343FF">
      <w:pPr>
        <w:spacing w:after="0" w:line="240" w:lineRule="auto"/>
      </w:pPr>
      <w:r>
        <w:continuationSeparator/>
      </w:r>
    </w:p>
  </w:footnote>
  <w:footnote w:id="1">
    <w:p w:rsidR="00EF6A9E" w:rsidRPr="00007713" w:rsidRDefault="00EF6A9E" w:rsidP="00D961EC">
      <w:pPr>
        <w:pStyle w:val="FootnoteText"/>
        <w:spacing w:after="120"/>
        <w:ind w:firstLine="720"/>
        <w:jc w:val="both"/>
        <w:rPr>
          <w:rFonts w:ascii="Cambria" w:hAnsi="Cambria"/>
          <w:sz w:val="16"/>
          <w:szCs w:val="16"/>
          <w:lang w:val="es-AR"/>
        </w:rPr>
      </w:pPr>
      <w:bookmarkStart w:id="0" w:name="_GoBack"/>
      <w:r w:rsidRPr="00007713">
        <w:rPr>
          <w:rStyle w:val="FootnoteReference"/>
          <w:rFonts w:ascii="Cambria" w:hAnsi="Cambria"/>
          <w:sz w:val="16"/>
          <w:szCs w:val="16"/>
        </w:rPr>
        <w:footnoteRef/>
      </w:r>
      <w:r w:rsidRPr="00007713">
        <w:rPr>
          <w:rFonts w:ascii="Cambria" w:hAnsi="Cambria"/>
          <w:sz w:val="16"/>
          <w:szCs w:val="16"/>
          <w:lang w:val="es-AR"/>
        </w:rPr>
        <w:t xml:space="preserve"> Comunicación del Estado, Asunto: </w:t>
      </w:r>
      <w:hyperlink r:id="rId1" w:history="1">
        <w:r w:rsidRPr="00007713">
          <w:rPr>
            <w:rStyle w:val="Hyperlink"/>
            <w:rFonts w:ascii="Cambria" w:hAnsi="Cambria"/>
            <w:color w:val="auto"/>
            <w:sz w:val="16"/>
            <w:szCs w:val="16"/>
            <w:lang w:val="es-AR"/>
          </w:rPr>
          <w:t>Informe del Estado de Guatemala respecto al “Proyecto de Informe General sobre la Situación de Derechos Humanos en Guatemala”, Capitulo IV Guatemal</w:t>
        </w:r>
        <w:r w:rsidR="003C08DF" w:rsidRPr="00007713">
          <w:rPr>
            <w:rStyle w:val="Hyperlink"/>
            <w:rFonts w:ascii="Cambria" w:hAnsi="Cambria"/>
            <w:color w:val="auto"/>
            <w:sz w:val="16"/>
            <w:szCs w:val="16"/>
            <w:lang w:val="es-AR"/>
          </w:rPr>
          <w:t>a; y la Comunicación del 14 de a</w:t>
        </w:r>
        <w:r w:rsidRPr="00007713">
          <w:rPr>
            <w:rStyle w:val="Hyperlink"/>
            <w:rFonts w:ascii="Cambria" w:hAnsi="Cambria"/>
            <w:color w:val="auto"/>
            <w:sz w:val="16"/>
            <w:szCs w:val="16"/>
            <w:lang w:val="es-AR"/>
          </w:rPr>
          <w:t>gosto de 2015 de la CIDH Ref. P-766-2015/AFAF/HN/wr-er</w:t>
        </w:r>
      </w:hyperlink>
      <w:r w:rsidRPr="00007713">
        <w:rPr>
          <w:rFonts w:ascii="Cambria" w:hAnsi="Cambria"/>
          <w:sz w:val="16"/>
          <w:szCs w:val="16"/>
          <w:lang w:val="es-AR"/>
        </w:rPr>
        <w:t xml:space="preserve">, con fecha 6 de octubre de 2015 y </w:t>
      </w:r>
      <w:hyperlink r:id="rId2" w:history="1">
        <w:r w:rsidRPr="00007713">
          <w:rPr>
            <w:rStyle w:val="Hyperlink"/>
            <w:rFonts w:ascii="Cambria" w:hAnsi="Cambria"/>
            <w:color w:val="auto"/>
            <w:sz w:val="16"/>
            <w:szCs w:val="16"/>
            <w:lang w:val="es-AR"/>
          </w:rPr>
          <w:t>Comunicación del Estado con observaciones adicionales del Estado de Guatemala respecto al “Proyecto de Informe General sobre la Situación de Derechos Humanos en Guatemala”. Nota Ref. P-925-2015/AFAF/hm</w:t>
        </w:r>
      </w:hyperlink>
      <w:r w:rsidRPr="00007713">
        <w:rPr>
          <w:rFonts w:ascii="Cambria" w:hAnsi="Cambria"/>
          <w:sz w:val="16"/>
          <w:szCs w:val="16"/>
          <w:lang w:val="es-AR"/>
        </w:rPr>
        <w:t xml:space="preserve"> de 9 de diciembre de 2015 recibido en la Secretaria el 11 de diciembre del mismo año. </w:t>
      </w:r>
      <w:r w:rsidR="003C08DF" w:rsidRPr="00007713">
        <w:rPr>
          <w:rFonts w:ascii="Cambria" w:hAnsi="Cambria"/>
          <w:sz w:val="16"/>
          <w:szCs w:val="16"/>
          <w:lang w:val="es-AR"/>
        </w:rPr>
        <w:t xml:space="preserve">Disponibles en: </w:t>
      </w:r>
      <w:hyperlink r:id="rId3" w:history="1">
        <w:r w:rsidR="000161DC" w:rsidRPr="00007713">
          <w:rPr>
            <w:rStyle w:val="Hyperlink"/>
            <w:rFonts w:ascii="Cambria" w:hAnsi="Cambria"/>
            <w:color w:val="auto"/>
            <w:sz w:val="16"/>
            <w:szCs w:val="16"/>
            <w:lang w:val="es-AR"/>
          </w:rPr>
          <w:t>http://www.oas.org/es/cidh/docs/anual/2015/doc-es/GT-Informe-del-Estado2015..pdf</w:t>
        </w:r>
      </w:hyperlink>
      <w:r w:rsidR="003C08DF" w:rsidRPr="00007713">
        <w:rPr>
          <w:rFonts w:ascii="Cambria" w:hAnsi="Cambria"/>
          <w:sz w:val="16"/>
          <w:szCs w:val="16"/>
          <w:lang w:val="es-AR"/>
        </w:rPr>
        <w:t xml:space="preserve"> y http://www.oas.org/</w:t>
      </w:r>
      <w:r w:rsidR="000161DC" w:rsidRPr="00007713">
        <w:rPr>
          <w:rFonts w:ascii="Cambria" w:hAnsi="Cambria"/>
          <w:sz w:val="16"/>
          <w:szCs w:val="16"/>
          <w:lang w:val="es-AR"/>
        </w:rPr>
        <w:t>es/cidh/docs/anual/2015/doc-es/GT</w:t>
      </w:r>
      <w:r w:rsidR="003C08DF" w:rsidRPr="00007713">
        <w:rPr>
          <w:rFonts w:ascii="Cambria" w:hAnsi="Cambria"/>
          <w:sz w:val="16"/>
          <w:szCs w:val="16"/>
          <w:lang w:val="es-AR"/>
        </w:rPr>
        <w:t>-</w:t>
      </w:r>
      <w:r w:rsidR="000161DC" w:rsidRPr="00007713">
        <w:rPr>
          <w:rFonts w:ascii="Cambria" w:hAnsi="Cambria"/>
          <w:sz w:val="16"/>
          <w:szCs w:val="16"/>
          <w:lang w:val="es-AR"/>
        </w:rPr>
        <w:t>Observaciones-adicionales2015.pdf</w:t>
      </w:r>
      <w:r w:rsidRPr="00007713">
        <w:rPr>
          <w:rFonts w:ascii="Cambria" w:hAnsi="Cambria"/>
          <w:sz w:val="16"/>
          <w:szCs w:val="16"/>
          <w:lang w:val="es-AR"/>
        </w:rPr>
        <w:t xml:space="preserve"> </w:t>
      </w:r>
    </w:p>
  </w:footnote>
  <w:footnote w:id="2">
    <w:p w:rsidR="00007713" w:rsidRPr="00007713" w:rsidRDefault="00007713" w:rsidP="00D961EC">
      <w:pPr>
        <w:pStyle w:val="FootnoteText"/>
        <w:spacing w:after="120"/>
        <w:ind w:firstLine="720"/>
        <w:jc w:val="both"/>
        <w:rPr>
          <w:rFonts w:asciiTheme="minorHAnsi" w:hAnsiTheme="minorHAnsi"/>
          <w:sz w:val="16"/>
          <w:szCs w:val="16"/>
          <w:lang w:val="es-ES_tradnl"/>
        </w:rPr>
      </w:pPr>
      <w:r w:rsidRPr="00007713">
        <w:rPr>
          <w:rStyle w:val="FootnoteReference"/>
          <w:rFonts w:asciiTheme="minorHAnsi" w:hAnsiTheme="minorHAnsi"/>
          <w:sz w:val="16"/>
          <w:szCs w:val="16"/>
          <w:lang w:val="es-ES_tradnl"/>
        </w:rPr>
        <w:footnoteRef/>
      </w:r>
      <w:r>
        <w:rPr>
          <w:rFonts w:asciiTheme="minorHAnsi" w:hAnsiTheme="minorHAnsi"/>
          <w:sz w:val="16"/>
          <w:szCs w:val="16"/>
          <w:lang w:val="es-ES_tradnl"/>
        </w:rPr>
        <w:t xml:space="preserve"> </w:t>
      </w:r>
      <w:r w:rsidRPr="00007713">
        <w:rPr>
          <w:rFonts w:asciiTheme="minorHAnsi" w:hAnsiTheme="minorHAnsi"/>
          <w:sz w:val="16"/>
          <w:szCs w:val="16"/>
          <w:lang w:val="es-ES_tradnl"/>
        </w:rPr>
        <w:t xml:space="preserve">Corte IDH. </w:t>
      </w:r>
      <w:r w:rsidRPr="00007713">
        <w:rPr>
          <w:rFonts w:asciiTheme="minorHAnsi" w:hAnsiTheme="minorHAnsi"/>
          <w:i/>
          <w:sz w:val="16"/>
          <w:szCs w:val="16"/>
          <w:lang w:val="es-ES_tradnl"/>
        </w:rPr>
        <w:t>Caso Supervisión conjunta de 11 casos Vs. Guatemala</w:t>
      </w:r>
      <w:r w:rsidRPr="00007713">
        <w:rPr>
          <w:rFonts w:asciiTheme="minorHAnsi" w:hAnsiTheme="minorHAnsi"/>
          <w:sz w:val="16"/>
          <w:szCs w:val="16"/>
          <w:lang w:val="es-ES_tradnl"/>
        </w:rPr>
        <w:t xml:space="preserve">. Supervisión de Cumplimiento de Sentencia. Resolución de la Corte Interamericana de Derechos Humanos de 21 de agosto de 2014. </w:t>
      </w:r>
    </w:p>
  </w:footnote>
  <w:footnote w:id="3">
    <w:p w:rsidR="00007713" w:rsidRPr="00007713" w:rsidRDefault="00007713" w:rsidP="00D961EC">
      <w:pPr>
        <w:spacing w:after="120" w:line="240" w:lineRule="auto"/>
        <w:ind w:firstLine="720"/>
        <w:jc w:val="both"/>
        <w:rPr>
          <w:rFonts w:asciiTheme="minorHAnsi" w:hAnsiTheme="minorHAnsi"/>
          <w:sz w:val="16"/>
          <w:szCs w:val="16"/>
          <w:lang w:val="es-ES"/>
        </w:rPr>
      </w:pPr>
      <w:r w:rsidRPr="00007713">
        <w:rPr>
          <w:rStyle w:val="FootnoteReference"/>
          <w:rFonts w:asciiTheme="minorHAnsi" w:hAnsiTheme="minorHAnsi"/>
          <w:sz w:val="16"/>
          <w:szCs w:val="16"/>
        </w:rPr>
        <w:footnoteRef/>
      </w:r>
      <w:r>
        <w:rPr>
          <w:rStyle w:val="FootnoteReference"/>
          <w:rFonts w:asciiTheme="minorHAnsi" w:hAnsiTheme="minorHAnsi"/>
          <w:sz w:val="16"/>
          <w:szCs w:val="16"/>
          <w:lang w:val="es-ES"/>
        </w:rPr>
        <w:t xml:space="preserve"> </w:t>
      </w:r>
      <w:r w:rsidRPr="00007713">
        <w:rPr>
          <w:rFonts w:asciiTheme="minorHAnsi" w:hAnsiTheme="minorHAnsi"/>
          <w:sz w:val="16"/>
          <w:szCs w:val="16"/>
          <w:lang w:val="es-ES"/>
        </w:rPr>
        <w:t xml:space="preserve">La Comisión ha seguido con especial atención la situación de los derechos humanos en Guatemala, y ha observado a través de sus informes, una serie de asuntos estructurales en materia de seguridad, violencia, justicia, marginación y discriminación que han afectado durante décadas los derechos humanos de sus habitantes. El monitoreo de la situación lo ha realizado a través de sus diferentes mecanismos: </w:t>
      </w:r>
      <w:r w:rsidRPr="00007713">
        <w:rPr>
          <w:rFonts w:asciiTheme="minorHAnsi" w:hAnsiTheme="minorHAnsi"/>
          <w:spacing w:val="-2"/>
          <w:sz w:val="16"/>
          <w:szCs w:val="16"/>
          <w:lang w:val="es-ES"/>
        </w:rPr>
        <w:t xml:space="preserve">Visitas </w:t>
      </w:r>
      <w:r w:rsidRPr="00007713">
        <w:rPr>
          <w:rFonts w:asciiTheme="minorHAnsi" w:hAnsiTheme="minorHAnsi"/>
          <w:i/>
          <w:spacing w:val="-2"/>
          <w:sz w:val="16"/>
          <w:szCs w:val="16"/>
          <w:lang w:val="es-ES"/>
        </w:rPr>
        <w:t>in loco</w:t>
      </w:r>
      <w:r w:rsidRPr="00007713">
        <w:rPr>
          <w:rFonts w:asciiTheme="minorHAnsi" w:hAnsiTheme="minorHAnsi"/>
          <w:spacing w:val="-2"/>
          <w:sz w:val="16"/>
          <w:szCs w:val="16"/>
          <w:lang w:val="es-ES"/>
        </w:rPr>
        <w:t xml:space="preserve">, informes de país, capítulo IV del Informe Anual, sistema de casos y de medidas cautelares, comunicados de prensa. Asimismo, audiencias públicas; solicitudes de información al Estado con fundamento en el artículo 41 de la Convención Americana sobre Derechos Humanos, entre otros. </w:t>
      </w:r>
      <w:r w:rsidRPr="00007713">
        <w:rPr>
          <w:rFonts w:asciiTheme="minorHAnsi" w:hAnsiTheme="minorHAnsi"/>
          <w:sz w:val="16"/>
          <w:szCs w:val="16"/>
          <w:lang w:val="es-ES"/>
        </w:rPr>
        <w:t xml:space="preserve">Guatemala estuvo incluida en el Capítulo IV del Informe Anual en los siguientes años: 1983-1984, 1984-1985, 1985-1986, 1986-1987, </w:t>
      </w:r>
      <w:r w:rsidRPr="00007713">
        <w:rPr>
          <w:rFonts w:asciiTheme="minorHAnsi" w:hAnsiTheme="minorHAnsi" w:cs="Arial"/>
          <w:sz w:val="16"/>
          <w:szCs w:val="16"/>
          <w:lang w:val="es-ES"/>
        </w:rPr>
        <w:t>1987</w:t>
      </w:r>
      <w:r w:rsidRPr="00007713">
        <w:rPr>
          <w:rFonts w:asciiTheme="minorHAnsi" w:hAnsiTheme="minorHAnsi"/>
          <w:sz w:val="16"/>
          <w:szCs w:val="16"/>
          <w:lang w:val="es-ES"/>
        </w:rPr>
        <w:t xml:space="preserve">-1988, 1988-1989, 1989-1990, 1990-1991, 1991, 1993, 1994, 1996, 1997 y 2003. </w:t>
      </w:r>
      <w:r w:rsidRPr="00007713">
        <w:rPr>
          <w:rFonts w:asciiTheme="minorHAnsi" w:hAnsiTheme="minorHAnsi" w:cs="Arial"/>
          <w:sz w:val="16"/>
          <w:szCs w:val="16"/>
          <w:lang w:val="es-ES"/>
        </w:rPr>
        <w:t>Asimismo,</w:t>
      </w:r>
      <w:r w:rsidRPr="00007713">
        <w:rPr>
          <w:rFonts w:asciiTheme="minorHAnsi" w:hAnsiTheme="minorHAnsi"/>
          <w:sz w:val="16"/>
          <w:szCs w:val="16"/>
          <w:lang w:val="es-ES"/>
        </w:rPr>
        <w:t xml:space="preserve"> la CIDH ha publicado informes especiales sobre la situación de derechos humanos en el país en 1981, 1983, 1985, 1993, 1994, 2001 y 2003. En seguimiento a sus informes sobre país, estuvo incluida en el Capítulo V del Informe Anual en los años 2002 y 2004.</w:t>
      </w:r>
    </w:p>
  </w:footnote>
  <w:footnote w:id="4">
    <w:p w:rsidR="00007713" w:rsidRPr="00007713" w:rsidRDefault="00007713" w:rsidP="00D961EC">
      <w:pPr>
        <w:pStyle w:val="FootnoteText"/>
        <w:spacing w:after="120"/>
        <w:ind w:firstLine="720"/>
        <w:jc w:val="both"/>
        <w:rPr>
          <w:rFonts w:asciiTheme="minorHAnsi" w:hAnsiTheme="minorHAnsi"/>
          <w:sz w:val="16"/>
          <w:szCs w:val="16"/>
          <w:lang w:val="es-ES_tradnl"/>
        </w:rPr>
      </w:pPr>
      <w:r w:rsidRPr="00007713">
        <w:rPr>
          <w:rStyle w:val="FootnoteReference"/>
          <w:rFonts w:asciiTheme="minorHAnsi" w:hAnsiTheme="minorHAnsi"/>
          <w:sz w:val="16"/>
          <w:szCs w:val="16"/>
          <w:lang w:val="es-ES_tradnl"/>
        </w:rPr>
        <w:footnoteRef/>
      </w:r>
      <w:r>
        <w:rPr>
          <w:rFonts w:asciiTheme="minorHAnsi" w:hAnsiTheme="minorHAnsi"/>
          <w:sz w:val="16"/>
          <w:szCs w:val="16"/>
          <w:lang w:val="es-ES_tradnl"/>
        </w:rPr>
        <w:t xml:space="preserve"> </w:t>
      </w:r>
      <w:r w:rsidRPr="00007713">
        <w:rPr>
          <w:rFonts w:asciiTheme="minorHAnsi" w:hAnsiTheme="minorHAnsi"/>
          <w:sz w:val="16"/>
          <w:szCs w:val="16"/>
          <w:lang w:val="es-ES_tradnl"/>
        </w:rPr>
        <w:t xml:space="preserve">En la oportunidad la entonces comisionada constató que “el racismo y la discriminación contra los pueblos indígenas persiste en Guatemala, pero también que el gobierno ha iniciado varios nuevos programas para atender la situación. Desafortunadamente, persiste una incidencia desproporcionada de la pobreza, la pobreza extrema y la desnutrición infantil en la población indígena rural”. Asimismo, indicó que “[t]ambién resulta alarmante que todas las licencias vigentes para explotación minera y plantas hidroeléctricas han sido otorgadas sin implementar la consulta previa, libre e informada a la que el Estado está obligado por los tratados internacionales suscritos por Guatemala”. CIDH, Comunicado de Prensa No. </w:t>
      </w:r>
      <w:hyperlink r:id="rId4" w:history="1">
        <w:r w:rsidRPr="00007713">
          <w:rPr>
            <w:rFonts w:asciiTheme="minorHAnsi" w:hAnsiTheme="minorHAnsi" w:cs="Tahoma"/>
            <w:sz w:val="16"/>
            <w:szCs w:val="16"/>
            <w:u w:val="single" w:color="A6A6A6" w:themeColor="background1" w:themeShade="A6"/>
            <w:lang w:val="es-ES_tradnl"/>
          </w:rPr>
          <w:t>66/13 - Relatoría sobre los Derechos de los Pueblos Indígenas realizó visita de trabajo a Guatemala</w:t>
        </w:r>
        <w:r w:rsidRPr="00007713">
          <w:rPr>
            <w:rFonts w:asciiTheme="minorHAnsi" w:hAnsiTheme="minorHAnsi" w:cs="Tahoma"/>
            <w:sz w:val="16"/>
            <w:szCs w:val="16"/>
            <w:lang w:val="es-ES_tradnl"/>
          </w:rPr>
          <w:t>.</w:t>
        </w:r>
      </w:hyperlink>
      <w:r w:rsidRPr="00007713">
        <w:rPr>
          <w:rFonts w:asciiTheme="minorHAnsi" w:hAnsiTheme="minorHAnsi" w:cs="Tahoma"/>
          <w:sz w:val="16"/>
          <w:szCs w:val="16"/>
          <w:lang w:val="es-ES_tradnl"/>
        </w:rPr>
        <w:t xml:space="preserve"> Washington, D.C., 18 de septiembre de 2013.</w:t>
      </w:r>
    </w:p>
  </w:footnote>
  <w:footnote w:id="5">
    <w:p w:rsidR="00007713" w:rsidRPr="00007713" w:rsidRDefault="00007713" w:rsidP="00D961EC">
      <w:pPr>
        <w:pStyle w:val="FootnoteText"/>
        <w:spacing w:after="120"/>
        <w:ind w:firstLine="720"/>
        <w:jc w:val="both"/>
        <w:rPr>
          <w:rFonts w:asciiTheme="minorHAnsi" w:hAnsiTheme="minorHAnsi"/>
          <w:sz w:val="16"/>
          <w:szCs w:val="16"/>
          <w:lang w:val="es-ES_tradnl"/>
        </w:rPr>
      </w:pPr>
      <w:r w:rsidRPr="00007713">
        <w:rPr>
          <w:rStyle w:val="FootnoteReference"/>
          <w:rFonts w:asciiTheme="minorHAnsi" w:hAnsiTheme="minorHAnsi"/>
          <w:sz w:val="16"/>
          <w:szCs w:val="16"/>
          <w:lang w:val="es-ES_tradnl"/>
        </w:rPr>
        <w:footnoteRef/>
      </w:r>
      <w:r>
        <w:rPr>
          <w:rStyle w:val="FootnoteReference"/>
          <w:rFonts w:asciiTheme="minorHAnsi" w:hAnsiTheme="minorHAnsi"/>
          <w:sz w:val="16"/>
          <w:szCs w:val="16"/>
          <w:lang w:val="es-ES_tradnl"/>
        </w:rPr>
        <w:t xml:space="preserve"> </w:t>
      </w:r>
      <w:r w:rsidRPr="00007713">
        <w:rPr>
          <w:rFonts w:asciiTheme="minorHAnsi" w:hAnsiTheme="minorHAnsi"/>
          <w:sz w:val="16"/>
          <w:szCs w:val="16"/>
          <w:lang w:val="es-ES_tradnl"/>
        </w:rPr>
        <w:t>La CICIG define impunidad como la falta de denuncia, investigación, captura, enjuiciamiento, soluciones positivas para las víctimas y/o condena de los responsables de los delitos tipificados en la legislación de Guatemala y centra su informe en el tema de las sentencias condenatorias. CICIG, Comunicado de prensa 091,</w:t>
      </w:r>
      <w:r w:rsidRPr="00007713">
        <w:rPr>
          <w:rFonts w:asciiTheme="minorHAnsi" w:hAnsiTheme="minorHAnsi" w:cs="Arial"/>
          <w:sz w:val="16"/>
          <w:szCs w:val="16"/>
          <w:lang w:val="es-ES_tradnl"/>
        </w:rPr>
        <w:t xml:space="preserve"> </w:t>
      </w:r>
      <w:hyperlink r:id="rId5" w:history="1">
        <w:r w:rsidRPr="00007713">
          <w:rPr>
            <w:rStyle w:val="Hyperlink"/>
            <w:rFonts w:asciiTheme="minorHAnsi" w:hAnsiTheme="minorHAnsi"/>
            <w:color w:val="auto"/>
            <w:sz w:val="16"/>
            <w:szCs w:val="16"/>
            <w:u w:color="A6A6A6" w:themeColor="background1" w:themeShade="A6"/>
            <w:lang w:val="es-ES_tradnl"/>
          </w:rPr>
          <w:t>Sistema de Medición de Impunidad en Guatemala</w:t>
        </w:r>
      </w:hyperlink>
      <w:r w:rsidRPr="00007713">
        <w:rPr>
          <w:rFonts w:asciiTheme="minorHAnsi" w:hAnsiTheme="minorHAnsi"/>
          <w:sz w:val="16"/>
          <w:szCs w:val="16"/>
          <w:lang w:val="es-ES_tradnl"/>
        </w:rPr>
        <w:t>, 27 de noviembre de 2015.</w:t>
      </w:r>
    </w:p>
  </w:footnote>
  <w:footnote w:id="6">
    <w:p w:rsidR="00007713" w:rsidRPr="00007713" w:rsidRDefault="00007713" w:rsidP="00D961EC">
      <w:pPr>
        <w:pStyle w:val="FootnoteText"/>
        <w:spacing w:after="120"/>
        <w:ind w:firstLine="720"/>
        <w:jc w:val="both"/>
        <w:rPr>
          <w:rFonts w:asciiTheme="minorHAnsi" w:hAnsiTheme="minorHAnsi"/>
          <w:sz w:val="16"/>
          <w:szCs w:val="16"/>
          <w:lang w:val="es-AR"/>
        </w:rPr>
      </w:pPr>
      <w:r w:rsidRPr="00007713">
        <w:rPr>
          <w:rStyle w:val="FootnoteReference"/>
          <w:rFonts w:asciiTheme="minorHAnsi" w:hAnsiTheme="minorHAnsi"/>
          <w:sz w:val="16"/>
          <w:szCs w:val="16"/>
        </w:rPr>
        <w:footnoteRef/>
      </w:r>
      <w:r>
        <w:rPr>
          <w:rStyle w:val="FootnoteReference"/>
          <w:rFonts w:asciiTheme="minorHAnsi" w:hAnsiTheme="minorHAnsi"/>
          <w:sz w:val="16"/>
          <w:szCs w:val="16"/>
          <w:lang w:val="es-ES"/>
        </w:rPr>
        <w:t xml:space="preserve"> </w:t>
      </w:r>
      <w:hyperlink r:id="rId6" w:history="1">
        <w:r w:rsidRPr="00007713">
          <w:rPr>
            <w:rStyle w:val="Hyperlink"/>
            <w:rFonts w:asciiTheme="minorHAnsi" w:hAnsiTheme="minorHAnsi"/>
            <w:color w:val="auto"/>
            <w:sz w:val="16"/>
            <w:szCs w:val="16"/>
            <w:u w:color="A6A6A6" w:themeColor="background1" w:themeShade="A6"/>
            <w:lang w:val="es-AR"/>
          </w:rPr>
          <w:t>Observaciones adicionales del Estado de Guatemala respecto al “Proyecto del Informe de país, titulado: Situación de Derechos Humanos en Guatemala: seguridad ciudadana, acceso a la justicia, diversidad, desigualdad y exclusión</w:t>
        </w:r>
      </w:hyperlink>
      <w:r w:rsidRPr="00007713">
        <w:rPr>
          <w:rFonts w:asciiTheme="minorHAnsi" w:hAnsiTheme="minorHAnsi"/>
          <w:sz w:val="16"/>
          <w:szCs w:val="16"/>
          <w:lang w:val="es-AR"/>
        </w:rPr>
        <w:t xml:space="preserve">” (en adelante Proyecto de Informe sobre la Situación de Derechos Humanos en Guatemala). Nota Ref. P-925-2015/AFAF/hm de 9 de diciembre de 2015 recibido en la Secretaría Ejecutiva de la CIDH el 11 de diciembre del mismo año, págs. 1 y 5. Disponible en: </w:t>
      </w:r>
      <w:hyperlink r:id="rId7" w:history="1">
        <w:r w:rsidRPr="00007713">
          <w:rPr>
            <w:rStyle w:val="Hyperlink"/>
            <w:rFonts w:asciiTheme="minorHAnsi" w:hAnsiTheme="minorHAnsi"/>
            <w:color w:val="auto"/>
            <w:sz w:val="16"/>
            <w:szCs w:val="16"/>
            <w:u w:color="A6A6A6" w:themeColor="background1" w:themeShade="A6"/>
            <w:lang w:val="es-AR"/>
          </w:rPr>
          <w:t>http://www.oas.org/es/cidh/docs/anual/2015/doc-es/GT-Observaciones-adicionales2015.pdf</w:t>
        </w:r>
      </w:hyperlink>
    </w:p>
  </w:footnote>
  <w:footnote w:id="7">
    <w:p w:rsidR="00007713" w:rsidRPr="00007713" w:rsidRDefault="00007713" w:rsidP="00D961EC">
      <w:pPr>
        <w:pStyle w:val="FootnoteText"/>
        <w:spacing w:after="120"/>
        <w:ind w:firstLine="720"/>
        <w:jc w:val="both"/>
        <w:rPr>
          <w:rFonts w:asciiTheme="minorHAnsi" w:hAnsiTheme="minorHAnsi"/>
          <w:sz w:val="16"/>
          <w:szCs w:val="16"/>
          <w:lang w:val="es-ES"/>
        </w:rPr>
      </w:pPr>
      <w:r w:rsidRPr="00007713">
        <w:rPr>
          <w:rStyle w:val="FootnoteReference"/>
          <w:rFonts w:asciiTheme="minorHAnsi" w:hAnsiTheme="minorHAnsi"/>
          <w:sz w:val="16"/>
          <w:szCs w:val="16"/>
        </w:rPr>
        <w:footnoteRef/>
      </w:r>
      <w:r w:rsidRPr="00007713">
        <w:rPr>
          <w:sz w:val="16"/>
          <w:szCs w:val="16"/>
          <w:lang w:val="es-ES"/>
        </w:rPr>
        <w:t xml:space="preserve"> </w:t>
      </w:r>
      <w:r w:rsidRPr="00007713">
        <w:rPr>
          <w:rFonts w:asciiTheme="minorHAnsi" w:hAnsiTheme="minorHAnsi"/>
          <w:sz w:val="16"/>
          <w:szCs w:val="16"/>
          <w:lang w:val="es-ES"/>
        </w:rPr>
        <w:t xml:space="preserve">Los testimonios </w:t>
      </w:r>
      <w:r w:rsidRPr="00007713">
        <w:rPr>
          <w:rStyle w:val="FootnoteReference"/>
          <w:rFonts w:asciiTheme="minorHAnsi" w:hAnsiTheme="minorHAnsi"/>
          <w:sz w:val="16"/>
          <w:szCs w:val="16"/>
          <w:lang w:val="es-ES"/>
        </w:rPr>
        <w:t>recibidos</w:t>
      </w:r>
      <w:r w:rsidRPr="00007713">
        <w:rPr>
          <w:rFonts w:asciiTheme="minorHAnsi" w:hAnsiTheme="minorHAnsi"/>
          <w:sz w:val="16"/>
          <w:szCs w:val="16"/>
          <w:lang w:val="es-ES"/>
        </w:rPr>
        <w:t xml:space="preserve"> fueron resultado de la visita on loco de la entonces relatora Dinah Shelton en su visita realizada a Guatemala en el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503" w:rsidRPr="0058688A" w:rsidRDefault="00DF42B6" w:rsidP="00ED4C58">
    <w:pPr>
      <w:pStyle w:val="Header"/>
      <w:jc w:val="center"/>
      <w:rPr>
        <w:lang w:val="es-ES_tradnl"/>
      </w:rPr>
    </w:pPr>
    <w:r>
      <w:rPr>
        <w:noProof/>
      </w:rPr>
      <w:drawing>
        <wp:inline distT="0" distB="0" distL="0" distR="0" wp14:anchorId="5AAD3E8D" wp14:editId="43458FAC">
          <wp:extent cx="2286000" cy="122555"/>
          <wp:effectExtent l="0" t="0" r="0" b="0"/>
          <wp:docPr id="1" name="Picture 1"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22555"/>
                  </a:xfrm>
                  <a:prstGeom prst="rect">
                    <a:avLst/>
                  </a:prstGeom>
                  <a:noFill/>
                  <a:ln>
                    <a:noFill/>
                  </a:ln>
                </pic:spPr>
              </pic:pic>
            </a:graphicData>
          </a:graphic>
        </wp:inline>
      </w:drawing>
    </w:r>
  </w:p>
  <w:p w:rsidR="003D1503" w:rsidRDefault="00195704">
    <w:pPr>
      <w:pStyle w:val="Header"/>
    </w:pPr>
    <w:r>
      <w:pict>
        <v:rect id="_x0000_i1025"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503" w:rsidRDefault="00DF42B6" w:rsidP="003D1503">
    <w:pPr>
      <w:pStyle w:val="Header"/>
    </w:pPr>
    <w:r>
      <w:rPr>
        <w:noProof/>
      </w:rPr>
      <w:drawing>
        <wp:anchor distT="0" distB="0" distL="114300" distR="114300" simplePos="0" relativeHeight="251657216" behindDoc="1" locked="0" layoutInCell="1" allowOverlap="1" wp14:anchorId="5EA59B44" wp14:editId="12425B1E">
          <wp:simplePos x="0" y="0"/>
          <wp:positionH relativeFrom="column">
            <wp:posOffset>-28575</wp:posOffset>
          </wp:positionH>
          <wp:positionV relativeFrom="paragraph">
            <wp:posOffset>-38100</wp:posOffset>
          </wp:positionV>
          <wp:extent cx="1725930" cy="381000"/>
          <wp:effectExtent l="0" t="0" r="7620" b="0"/>
          <wp:wrapThrough wrapText="bothSides">
            <wp:wrapPolygon edited="0">
              <wp:start x="0" y="0"/>
              <wp:lineTo x="0" y="20520"/>
              <wp:lineTo x="21457" y="20520"/>
              <wp:lineTo x="21457" y="0"/>
              <wp:lineTo x="0" y="0"/>
            </wp:wrapPolygon>
          </wp:wrapThrough>
          <wp:docPr id="5" name="Picture 5" descr="IA2015-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A2015-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930" cy="3810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16AE5874" wp14:editId="398429B7">
          <wp:simplePos x="0" y="0"/>
          <wp:positionH relativeFrom="column">
            <wp:posOffset>3981450</wp:posOffset>
          </wp:positionH>
          <wp:positionV relativeFrom="paragraph">
            <wp:posOffset>-57150</wp:posOffset>
          </wp:positionV>
          <wp:extent cx="1962150" cy="433705"/>
          <wp:effectExtent l="0" t="0" r="0" b="4445"/>
          <wp:wrapThrough wrapText="bothSides">
            <wp:wrapPolygon edited="0">
              <wp:start x="0" y="0"/>
              <wp:lineTo x="0" y="20873"/>
              <wp:lineTo x="21390" y="20873"/>
              <wp:lineTo x="21390" y="0"/>
              <wp:lineTo x="0" y="0"/>
            </wp:wrapPolygon>
          </wp:wrapThrough>
          <wp:docPr id="6" name="Picture 6"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h-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150" cy="433705"/>
                  </a:xfrm>
                  <a:prstGeom prst="rect">
                    <a:avLst/>
                  </a:prstGeom>
                  <a:noFill/>
                </pic:spPr>
              </pic:pic>
            </a:graphicData>
          </a:graphic>
          <wp14:sizeRelH relativeFrom="page">
            <wp14:pctWidth>0</wp14:pctWidth>
          </wp14:sizeRelH>
          <wp14:sizeRelV relativeFrom="page">
            <wp14:pctHeight>0</wp14:pctHeight>
          </wp14:sizeRelV>
        </wp:anchor>
      </w:drawing>
    </w:r>
  </w:p>
  <w:p w:rsidR="003D1503" w:rsidRDefault="003D1503" w:rsidP="003D1503">
    <w:pPr>
      <w:pStyle w:val="Header"/>
    </w:pPr>
  </w:p>
  <w:p w:rsidR="003D1503" w:rsidRDefault="00195704" w:rsidP="003D1503">
    <w:pPr>
      <w:pStyle w:val="Header"/>
    </w:pPr>
    <w:r>
      <w:pict>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630"/>
        </w:tabs>
        <w:ind w:left="90" w:firstLine="720"/>
      </w:pPr>
      <w:rPr>
        <w:rFonts w:ascii="Cambria" w:eastAsia="Times New Roman" w:hAnsi="Cambria" w:cs="Cambria"/>
        <w:b w:val="0"/>
        <w:color w:val="auto"/>
        <w:position w:val="0"/>
        <w:sz w:val="20"/>
        <w:szCs w:val="20"/>
        <w:vertAlign w:val="baseline"/>
        <w:lang w:val="es-EC"/>
      </w:rPr>
    </w:lvl>
  </w:abstractNum>
  <w:abstractNum w:abstractNumId="1">
    <w:nsid w:val="00000003"/>
    <w:multiLevelType w:val="singleLevel"/>
    <w:tmpl w:val="00000003"/>
    <w:name w:val="WW8Num3"/>
    <w:lvl w:ilvl="0">
      <w:start w:val="1"/>
      <w:numFmt w:val="upperLetter"/>
      <w:lvlText w:val="%1."/>
      <w:lvlJc w:val="left"/>
      <w:pPr>
        <w:tabs>
          <w:tab w:val="num" w:pos="0"/>
        </w:tabs>
        <w:ind w:left="720" w:hanging="360"/>
      </w:pPr>
      <w:rPr>
        <w:rFonts w:ascii="Cambria" w:hAnsi="Cambria" w:cs="Arial" w:hint="default"/>
        <w:b/>
        <w:bCs/>
        <w:i/>
        <w:iCs/>
        <w:sz w:val="28"/>
        <w:szCs w:val="28"/>
        <w:lang w:val="es-AR"/>
      </w:rPr>
    </w:lvl>
  </w:abstractNum>
  <w:abstractNum w:abstractNumId="2">
    <w:nsid w:val="053270A8"/>
    <w:multiLevelType w:val="hybridMultilevel"/>
    <w:tmpl w:val="AD10E59E"/>
    <w:lvl w:ilvl="0" w:tplc="9896302C">
      <w:start w:val="1"/>
      <w:numFmt w:val="lowerLetter"/>
      <w:lvlText w:val="%1."/>
      <w:lvlJc w:val="left"/>
      <w:pPr>
        <w:ind w:left="1080" w:hanging="360"/>
      </w:pPr>
      <w:rPr>
        <w:rFonts w:hint="default"/>
        <w:b/>
      </w:rPr>
    </w:lvl>
    <w:lvl w:ilvl="1" w:tplc="0409001B">
      <w:start w:val="1"/>
      <w:numFmt w:val="lowerRoman"/>
      <w:lvlText w:val="%2."/>
      <w:lvlJc w:val="right"/>
      <w:pPr>
        <w:ind w:left="1800" w:hanging="360"/>
      </w:pPr>
    </w:lvl>
    <w:lvl w:ilvl="2" w:tplc="1B6E930C">
      <w:start w:val="7"/>
      <w:numFmt w:val="decimal"/>
      <w:lvlText w:val="%3."/>
      <w:lvlJc w:val="left"/>
      <w:pPr>
        <w:ind w:left="2700" w:hanging="360"/>
      </w:pPr>
      <w:rPr>
        <w:rFonts w:hint="default"/>
      </w:rPr>
    </w:lvl>
    <w:lvl w:ilvl="3" w:tplc="B22EFCE8">
      <w:start w:val="1"/>
      <w:numFmt w:val="upperLetter"/>
      <w:pStyle w:val="Heading3"/>
      <w:lvlText w:val="%4."/>
      <w:lvlJc w:val="left"/>
      <w:pPr>
        <w:ind w:left="3240" w:hanging="360"/>
      </w:pPr>
      <w:rPr>
        <w:rFonts w:hint="default"/>
        <w:b/>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3B5889"/>
    <w:multiLevelType w:val="hybridMultilevel"/>
    <w:tmpl w:val="F82AFD58"/>
    <w:lvl w:ilvl="0" w:tplc="0C0A000F">
      <w:start w:val="1"/>
      <w:numFmt w:val="decimal"/>
      <w:lvlText w:val="%1."/>
      <w:lvlJc w:val="left"/>
      <w:pPr>
        <w:ind w:left="760" w:hanging="360"/>
      </w:pPr>
    </w:lvl>
    <w:lvl w:ilvl="1" w:tplc="0C0A0019" w:tentative="1">
      <w:start w:val="1"/>
      <w:numFmt w:val="lowerLetter"/>
      <w:lvlText w:val="%2."/>
      <w:lvlJc w:val="left"/>
      <w:pPr>
        <w:ind w:left="1480" w:hanging="360"/>
      </w:pPr>
    </w:lvl>
    <w:lvl w:ilvl="2" w:tplc="0C0A001B" w:tentative="1">
      <w:start w:val="1"/>
      <w:numFmt w:val="lowerRoman"/>
      <w:lvlText w:val="%3."/>
      <w:lvlJc w:val="right"/>
      <w:pPr>
        <w:ind w:left="2200" w:hanging="180"/>
      </w:pPr>
    </w:lvl>
    <w:lvl w:ilvl="3" w:tplc="0C0A000F" w:tentative="1">
      <w:start w:val="1"/>
      <w:numFmt w:val="decimal"/>
      <w:lvlText w:val="%4."/>
      <w:lvlJc w:val="left"/>
      <w:pPr>
        <w:ind w:left="2920" w:hanging="360"/>
      </w:pPr>
    </w:lvl>
    <w:lvl w:ilvl="4" w:tplc="0C0A0019" w:tentative="1">
      <w:start w:val="1"/>
      <w:numFmt w:val="lowerLetter"/>
      <w:lvlText w:val="%5."/>
      <w:lvlJc w:val="left"/>
      <w:pPr>
        <w:ind w:left="3640" w:hanging="360"/>
      </w:pPr>
    </w:lvl>
    <w:lvl w:ilvl="5" w:tplc="0C0A001B" w:tentative="1">
      <w:start w:val="1"/>
      <w:numFmt w:val="lowerRoman"/>
      <w:lvlText w:val="%6."/>
      <w:lvlJc w:val="right"/>
      <w:pPr>
        <w:ind w:left="4360" w:hanging="180"/>
      </w:pPr>
    </w:lvl>
    <w:lvl w:ilvl="6" w:tplc="0C0A000F" w:tentative="1">
      <w:start w:val="1"/>
      <w:numFmt w:val="decimal"/>
      <w:lvlText w:val="%7."/>
      <w:lvlJc w:val="left"/>
      <w:pPr>
        <w:ind w:left="5080" w:hanging="360"/>
      </w:pPr>
    </w:lvl>
    <w:lvl w:ilvl="7" w:tplc="0C0A0019" w:tentative="1">
      <w:start w:val="1"/>
      <w:numFmt w:val="lowerLetter"/>
      <w:lvlText w:val="%8."/>
      <w:lvlJc w:val="left"/>
      <w:pPr>
        <w:ind w:left="5800" w:hanging="360"/>
      </w:pPr>
    </w:lvl>
    <w:lvl w:ilvl="8" w:tplc="0C0A001B" w:tentative="1">
      <w:start w:val="1"/>
      <w:numFmt w:val="lowerRoman"/>
      <w:lvlText w:val="%9."/>
      <w:lvlJc w:val="right"/>
      <w:pPr>
        <w:ind w:left="6520" w:hanging="180"/>
      </w:pPr>
    </w:lvl>
  </w:abstractNum>
  <w:abstractNum w:abstractNumId="4">
    <w:nsid w:val="170E238A"/>
    <w:multiLevelType w:val="hybridMultilevel"/>
    <w:tmpl w:val="D0BA04F4"/>
    <w:lvl w:ilvl="0" w:tplc="6D5A7AA0">
      <w:start w:val="1"/>
      <w:numFmt w:val="upperRoman"/>
      <w:pStyle w:val="Heading2"/>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56C3263"/>
    <w:multiLevelType w:val="hybridMultilevel"/>
    <w:tmpl w:val="F5D2279C"/>
    <w:lvl w:ilvl="0" w:tplc="0EAC293A">
      <w:start w:val="1"/>
      <w:numFmt w:val="decimal"/>
      <w:pStyle w:val="Numberedparagraphs"/>
      <w:lvlText w:val="%1."/>
      <w:lvlJc w:val="left"/>
      <w:pPr>
        <w:ind w:left="360" w:hanging="360"/>
      </w:pPr>
      <w:rPr>
        <w:rFonts w:ascii="Cambria" w:hAnsi="Cambria" w:hint="default"/>
        <w:b w:val="0"/>
        <w:i w:val="0"/>
        <w:color w:val="595959" w:themeColor="text1" w:themeTint="A6"/>
        <w:sz w:val="18"/>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B0F"/>
    <w:rsid w:val="00007713"/>
    <w:rsid w:val="00014CD1"/>
    <w:rsid w:val="000161DC"/>
    <w:rsid w:val="0001720F"/>
    <w:rsid w:val="00034E6A"/>
    <w:rsid w:val="00043A4B"/>
    <w:rsid w:val="0005228B"/>
    <w:rsid w:val="0006625E"/>
    <w:rsid w:val="00082C9D"/>
    <w:rsid w:val="0009683D"/>
    <w:rsid w:val="000A576D"/>
    <w:rsid w:val="000F06B2"/>
    <w:rsid w:val="000F09A1"/>
    <w:rsid w:val="001459E0"/>
    <w:rsid w:val="001732A0"/>
    <w:rsid w:val="00192DFF"/>
    <w:rsid w:val="00195704"/>
    <w:rsid w:val="00197168"/>
    <w:rsid w:val="001A0C93"/>
    <w:rsid w:val="001B7D92"/>
    <w:rsid w:val="001C0A6D"/>
    <w:rsid w:val="001D05B5"/>
    <w:rsid w:val="001F495A"/>
    <w:rsid w:val="00207710"/>
    <w:rsid w:val="0021669C"/>
    <w:rsid w:val="00217A39"/>
    <w:rsid w:val="00250058"/>
    <w:rsid w:val="0027465C"/>
    <w:rsid w:val="00276C99"/>
    <w:rsid w:val="00294904"/>
    <w:rsid w:val="002978F7"/>
    <w:rsid w:val="002A39B2"/>
    <w:rsid w:val="002B0B2A"/>
    <w:rsid w:val="002B1BC1"/>
    <w:rsid w:val="002C2A8C"/>
    <w:rsid w:val="003316FE"/>
    <w:rsid w:val="00333D65"/>
    <w:rsid w:val="00341054"/>
    <w:rsid w:val="003506D5"/>
    <w:rsid w:val="003879D2"/>
    <w:rsid w:val="00393310"/>
    <w:rsid w:val="003A01A5"/>
    <w:rsid w:val="003A3C27"/>
    <w:rsid w:val="003B6B4B"/>
    <w:rsid w:val="003C08DF"/>
    <w:rsid w:val="003C7FE5"/>
    <w:rsid w:val="003D1503"/>
    <w:rsid w:val="003D2391"/>
    <w:rsid w:val="003E3690"/>
    <w:rsid w:val="003E4E57"/>
    <w:rsid w:val="00402DAB"/>
    <w:rsid w:val="00404497"/>
    <w:rsid w:val="004409C5"/>
    <w:rsid w:val="004470D5"/>
    <w:rsid w:val="0044730E"/>
    <w:rsid w:val="004A15BA"/>
    <w:rsid w:val="004B36DE"/>
    <w:rsid w:val="004D7999"/>
    <w:rsid w:val="00510294"/>
    <w:rsid w:val="00524564"/>
    <w:rsid w:val="00530AC4"/>
    <w:rsid w:val="00532515"/>
    <w:rsid w:val="0053685D"/>
    <w:rsid w:val="0058688A"/>
    <w:rsid w:val="00590BCD"/>
    <w:rsid w:val="00591E5D"/>
    <w:rsid w:val="0059437B"/>
    <w:rsid w:val="005A737B"/>
    <w:rsid w:val="005B23B6"/>
    <w:rsid w:val="005B6763"/>
    <w:rsid w:val="005C5563"/>
    <w:rsid w:val="005E2EF9"/>
    <w:rsid w:val="005F4AAA"/>
    <w:rsid w:val="005F5410"/>
    <w:rsid w:val="00604132"/>
    <w:rsid w:val="00604F1C"/>
    <w:rsid w:val="0065528C"/>
    <w:rsid w:val="00661E1B"/>
    <w:rsid w:val="006964C0"/>
    <w:rsid w:val="006966D9"/>
    <w:rsid w:val="006C2FCD"/>
    <w:rsid w:val="006D07CE"/>
    <w:rsid w:val="006D30B7"/>
    <w:rsid w:val="006F0429"/>
    <w:rsid w:val="00721303"/>
    <w:rsid w:val="0073756F"/>
    <w:rsid w:val="007470A8"/>
    <w:rsid w:val="00750568"/>
    <w:rsid w:val="007507A4"/>
    <w:rsid w:val="00757B80"/>
    <w:rsid w:val="00786D5D"/>
    <w:rsid w:val="00787E26"/>
    <w:rsid w:val="007C2CC3"/>
    <w:rsid w:val="007C351D"/>
    <w:rsid w:val="007D4142"/>
    <w:rsid w:val="007D543E"/>
    <w:rsid w:val="007D7641"/>
    <w:rsid w:val="007E0922"/>
    <w:rsid w:val="007E3EA3"/>
    <w:rsid w:val="007E4ED5"/>
    <w:rsid w:val="007E5BEF"/>
    <w:rsid w:val="007F5F4E"/>
    <w:rsid w:val="00804CE7"/>
    <w:rsid w:val="00807BAA"/>
    <w:rsid w:val="00826863"/>
    <w:rsid w:val="00834C8B"/>
    <w:rsid w:val="00853812"/>
    <w:rsid w:val="008550EF"/>
    <w:rsid w:val="008707C1"/>
    <w:rsid w:val="008727DD"/>
    <w:rsid w:val="0087353E"/>
    <w:rsid w:val="008970EA"/>
    <w:rsid w:val="008E754B"/>
    <w:rsid w:val="008E7F9E"/>
    <w:rsid w:val="00900692"/>
    <w:rsid w:val="009200CA"/>
    <w:rsid w:val="00921E28"/>
    <w:rsid w:val="009331A5"/>
    <w:rsid w:val="00941BEE"/>
    <w:rsid w:val="00952E51"/>
    <w:rsid w:val="00965EB7"/>
    <w:rsid w:val="00975A04"/>
    <w:rsid w:val="009907C7"/>
    <w:rsid w:val="009B350F"/>
    <w:rsid w:val="009C4021"/>
    <w:rsid w:val="009C4D87"/>
    <w:rsid w:val="009E00C0"/>
    <w:rsid w:val="00A25CA7"/>
    <w:rsid w:val="00A262E1"/>
    <w:rsid w:val="00A27477"/>
    <w:rsid w:val="00A343FF"/>
    <w:rsid w:val="00A36AFD"/>
    <w:rsid w:val="00A40621"/>
    <w:rsid w:val="00A523F3"/>
    <w:rsid w:val="00A72869"/>
    <w:rsid w:val="00AA5E39"/>
    <w:rsid w:val="00AB7261"/>
    <w:rsid w:val="00AE0A21"/>
    <w:rsid w:val="00AE1B0F"/>
    <w:rsid w:val="00B056D9"/>
    <w:rsid w:val="00B2086A"/>
    <w:rsid w:val="00B2161A"/>
    <w:rsid w:val="00B36719"/>
    <w:rsid w:val="00B55555"/>
    <w:rsid w:val="00B6247C"/>
    <w:rsid w:val="00B7087E"/>
    <w:rsid w:val="00B74089"/>
    <w:rsid w:val="00B806AC"/>
    <w:rsid w:val="00B93993"/>
    <w:rsid w:val="00BA6927"/>
    <w:rsid w:val="00BB00B1"/>
    <w:rsid w:val="00BE5DD5"/>
    <w:rsid w:val="00C04C07"/>
    <w:rsid w:val="00C10AC7"/>
    <w:rsid w:val="00C16946"/>
    <w:rsid w:val="00C226F7"/>
    <w:rsid w:val="00C251CE"/>
    <w:rsid w:val="00C716F6"/>
    <w:rsid w:val="00C95411"/>
    <w:rsid w:val="00CA2777"/>
    <w:rsid w:val="00CB1BFE"/>
    <w:rsid w:val="00CB2985"/>
    <w:rsid w:val="00CC4274"/>
    <w:rsid w:val="00CD6648"/>
    <w:rsid w:val="00CE1706"/>
    <w:rsid w:val="00CE1DFB"/>
    <w:rsid w:val="00D05BCC"/>
    <w:rsid w:val="00D13990"/>
    <w:rsid w:val="00D222B7"/>
    <w:rsid w:val="00D5166A"/>
    <w:rsid w:val="00D63997"/>
    <w:rsid w:val="00D82E91"/>
    <w:rsid w:val="00D83D60"/>
    <w:rsid w:val="00D961EC"/>
    <w:rsid w:val="00DB7346"/>
    <w:rsid w:val="00DD46A5"/>
    <w:rsid w:val="00DE7228"/>
    <w:rsid w:val="00DF0FE5"/>
    <w:rsid w:val="00DF42B6"/>
    <w:rsid w:val="00E01189"/>
    <w:rsid w:val="00E04605"/>
    <w:rsid w:val="00E20C80"/>
    <w:rsid w:val="00E24DFC"/>
    <w:rsid w:val="00E3040C"/>
    <w:rsid w:val="00E3648E"/>
    <w:rsid w:val="00E76ACB"/>
    <w:rsid w:val="00EC27A2"/>
    <w:rsid w:val="00EC7F9E"/>
    <w:rsid w:val="00ED38AB"/>
    <w:rsid w:val="00ED4C58"/>
    <w:rsid w:val="00ED549B"/>
    <w:rsid w:val="00EF1BD7"/>
    <w:rsid w:val="00EF6A9E"/>
    <w:rsid w:val="00F06E69"/>
    <w:rsid w:val="00F165BF"/>
    <w:rsid w:val="00F52F31"/>
    <w:rsid w:val="00F54F60"/>
    <w:rsid w:val="00F66FEE"/>
    <w:rsid w:val="00F70BB5"/>
    <w:rsid w:val="00F7226C"/>
    <w:rsid w:val="00F841DF"/>
    <w:rsid w:val="00FA7C65"/>
    <w:rsid w:val="00FB1DAF"/>
    <w:rsid w:val="00FC0FE2"/>
    <w:rsid w:val="00FC66C2"/>
    <w:rsid w:val="00FD4705"/>
    <w:rsid w:val="00FF51A9"/>
    <w:rsid w:val="00FF6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3D1503"/>
    <w:pPr>
      <w:keepNext/>
      <w:spacing w:before="240" w:after="60"/>
      <w:ind w:firstLine="720"/>
      <w:outlineLvl w:val="0"/>
    </w:pPr>
    <w:rPr>
      <w:rFonts w:ascii="Cambria" w:eastAsia="Times New Roman" w:hAnsi="Cambria"/>
      <w:b/>
      <w:bCs/>
      <w:kern w:val="32"/>
      <w:sz w:val="32"/>
      <w:szCs w:val="32"/>
      <w:lang w:val="es-ES"/>
    </w:rPr>
  </w:style>
  <w:style w:type="paragraph" w:styleId="Heading2">
    <w:name w:val="heading 2"/>
    <w:basedOn w:val="Normal"/>
    <w:link w:val="Heading2Char"/>
    <w:qFormat/>
    <w:rsid w:val="009E00C0"/>
    <w:pPr>
      <w:numPr>
        <w:numId w:val="2"/>
      </w:numPr>
      <w:spacing w:after="0" w:line="240" w:lineRule="auto"/>
      <w:ind w:left="720" w:firstLine="0"/>
      <w:jc w:val="both"/>
      <w:outlineLvl w:val="1"/>
    </w:pPr>
    <w:rPr>
      <w:rFonts w:ascii="Cambria" w:hAnsi="Cambria" w:cs="Arial"/>
      <w:b/>
      <w:szCs w:val="20"/>
      <w:lang w:val="es-PY"/>
    </w:rPr>
  </w:style>
  <w:style w:type="paragraph" w:styleId="Heading3">
    <w:name w:val="heading 3"/>
    <w:basedOn w:val="Normal"/>
    <w:next w:val="Normal"/>
    <w:link w:val="Heading3Char"/>
    <w:unhideWhenUsed/>
    <w:qFormat/>
    <w:rsid w:val="009E00C0"/>
    <w:pPr>
      <w:numPr>
        <w:ilvl w:val="3"/>
        <w:numId w:val="1"/>
      </w:numPr>
      <w:spacing w:after="0" w:line="240" w:lineRule="auto"/>
      <w:ind w:left="1440" w:hanging="720"/>
      <w:jc w:val="both"/>
      <w:outlineLvl w:val="2"/>
    </w:pPr>
    <w:rPr>
      <w:rFonts w:ascii="Cambria" w:hAnsi="Cambria" w:cs="Arial"/>
      <w:b/>
      <w:sz w:val="20"/>
      <w:szCs w:val="20"/>
      <w:lang w:val="es-PY"/>
    </w:rPr>
  </w:style>
  <w:style w:type="paragraph" w:styleId="Heading4">
    <w:name w:val="heading 4"/>
    <w:basedOn w:val="Normal"/>
    <w:next w:val="Normal"/>
    <w:link w:val="Heading4Char"/>
    <w:uiPriority w:val="9"/>
    <w:semiHidden/>
    <w:unhideWhenUsed/>
    <w:qFormat/>
    <w:rsid w:val="009907C7"/>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rsid w:val="00A343FF"/>
    <w:rPr>
      <w:rFonts w:ascii="Tahoma" w:hAnsi="Tahoma" w:cs="Tahoma"/>
      <w:sz w:val="16"/>
      <w:szCs w:val="16"/>
    </w:rPr>
  </w:style>
  <w:style w:type="paragraph" w:styleId="NoSpacing">
    <w:name w:val="No Spacing"/>
    <w:link w:val="NoSpacingChar"/>
    <w:uiPriority w:val="1"/>
    <w:qFormat/>
    <w:rsid w:val="00F52F31"/>
    <w:rPr>
      <w:rFonts w:eastAsia="MS Mincho" w:cs="Arial"/>
      <w:sz w:val="22"/>
      <w:szCs w:val="22"/>
      <w:lang w:eastAsia="ja-JP"/>
    </w:rPr>
  </w:style>
  <w:style w:type="character" w:customStyle="1" w:styleId="NoSpacingChar">
    <w:name w:val="No Spacing Char"/>
    <w:link w:val="NoSpacing"/>
    <w:uiPriority w:val="1"/>
    <w:rsid w:val="00F52F31"/>
    <w:rPr>
      <w:rFonts w:eastAsia="MS Mincho" w:cs="Arial"/>
      <w:sz w:val="22"/>
      <w:szCs w:val="22"/>
      <w:lang w:eastAsia="ja-JP"/>
    </w:rPr>
  </w:style>
  <w:style w:type="paragraph" w:styleId="NormalWeb">
    <w:name w:val="Normal (Web)"/>
    <w:basedOn w:val="Normal"/>
    <w:uiPriority w:val="99"/>
    <w:unhideWhenUsed/>
    <w:rsid w:val="0001720F"/>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aliases w:val="Parragrap"/>
    <w:link w:val="ListParagraphChar"/>
    <w:uiPriority w:val="34"/>
    <w:qFormat/>
    <w:rsid w:val="00CE1706"/>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paragraph" w:customStyle="1" w:styleId="Default">
    <w:name w:val="Default"/>
    <w:rsid w:val="00CE1706"/>
    <w:pPr>
      <w:autoSpaceDE w:val="0"/>
      <w:autoSpaceDN w:val="0"/>
      <w:adjustRightInd w:val="0"/>
    </w:pPr>
    <w:rPr>
      <w:rFonts w:ascii="Times New Roman" w:eastAsia="Arial Unicode MS" w:hAnsi="Times New Roman"/>
      <w:color w:val="000000"/>
      <w:sz w:val="24"/>
      <w:szCs w:val="24"/>
      <w:bdr w:val="nil"/>
      <w:lang w:eastAsia="es-ES"/>
    </w:rPr>
  </w:style>
  <w:style w:type="character" w:customStyle="1" w:styleId="Heading1Char">
    <w:name w:val="Heading 1 Char"/>
    <w:link w:val="Heading1"/>
    <w:rsid w:val="003D1503"/>
    <w:rPr>
      <w:rFonts w:ascii="Cambria" w:eastAsia="Times New Roman" w:hAnsi="Cambria"/>
      <w:b/>
      <w:bCs/>
      <w:kern w:val="32"/>
      <w:sz w:val="32"/>
      <w:szCs w:val="32"/>
      <w:lang w:val="es-ES"/>
    </w:rPr>
  </w:style>
  <w:style w:type="character" w:customStyle="1" w:styleId="Heading2Char">
    <w:name w:val="Heading 2 Char"/>
    <w:link w:val="Heading2"/>
    <w:rsid w:val="009E00C0"/>
    <w:rPr>
      <w:rFonts w:ascii="Cambria" w:hAnsi="Cambria" w:cs="Arial"/>
      <w:b/>
      <w:sz w:val="22"/>
      <w:lang w:val="es-PY"/>
    </w:rPr>
  </w:style>
  <w:style w:type="character" w:customStyle="1" w:styleId="Heading3Char">
    <w:name w:val="Heading 3 Char"/>
    <w:link w:val="Heading3"/>
    <w:rsid w:val="009E00C0"/>
    <w:rPr>
      <w:rFonts w:ascii="Cambria" w:hAnsi="Cambria" w:cs="Arial"/>
      <w:b/>
      <w:lang w:val="es-PY"/>
    </w:rPr>
  </w:style>
  <w:style w:type="character" w:customStyle="1" w:styleId="Heading4Char">
    <w:name w:val="Heading 4 Char"/>
    <w:link w:val="Heading4"/>
    <w:uiPriority w:val="9"/>
    <w:semiHidden/>
    <w:rsid w:val="009907C7"/>
    <w:rPr>
      <w:rFonts w:eastAsia="Times New Roman"/>
      <w:b/>
      <w:bCs/>
      <w:sz w:val="28"/>
      <w:szCs w:val="28"/>
    </w:rPr>
  </w:style>
  <w:style w:type="numbering" w:customStyle="1" w:styleId="NoList1">
    <w:name w:val="No List1"/>
    <w:next w:val="NoList"/>
    <w:uiPriority w:val="99"/>
    <w:semiHidden/>
    <w:unhideWhenUsed/>
    <w:rsid w:val="009907C7"/>
  </w:style>
  <w:style w:type="numbering" w:customStyle="1" w:styleId="NoList11">
    <w:name w:val="No List11"/>
    <w:next w:val="NoList"/>
    <w:uiPriority w:val="99"/>
    <w:semiHidden/>
    <w:unhideWhenUsed/>
    <w:rsid w:val="009907C7"/>
  </w:style>
  <w:style w:type="paragraph" w:styleId="Title">
    <w:name w:val="Title"/>
    <w:basedOn w:val="Normal"/>
    <w:link w:val="TitleChar"/>
    <w:qFormat/>
    <w:rsid w:val="009907C7"/>
    <w:pPr>
      <w:spacing w:after="0" w:line="240" w:lineRule="auto"/>
      <w:jc w:val="center"/>
    </w:pPr>
    <w:rPr>
      <w:rFonts w:ascii="Univers" w:eastAsia="MS Mincho" w:hAnsi="Univers"/>
      <w:b/>
      <w:spacing w:val="-2"/>
      <w:szCs w:val="20"/>
      <w:lang w:val="es-PY"/>
    </w:rPr>
  </w:style>
  <w:style w:type="character" w:customStyle="1" w:styleId="TitleChar">
    <w:name w:val="Title Char"/>
    <w:link w:val="Title"/>
    <w:rsid w:val="009907C7"/>
    <w:rPr>
      <w:rFonts w:ascii="Univers" w:eastAsia="MS Mincho" w:hAnsi="Univers"/>
      <w:b/>
      <w:spacing w:val="-2"/>
      <w:sz w:val="22"/>
      <w:lang w:val="es-PY"/>
    </w:rPr>
  </w:style>
  <w:style w:type="character" w:styleId="FootnoteReference">
    <w:name w:val="footnote reference"/>
    <w:aliases w:val="Footnotes refss,Texto de nota al pie,Appel note de bas de page,referencia nota al pie,BVI fnr,Footnote number,f,Ref. de nota al pie.,Footnote symbol,Footnote,4_G,16 Point,Superscript 6 Point,Texto nota al pie,Ref. de nota al pi,Ref,f1"/>
    <w:link w:val="BVIfnrCar1CarCarCarCar"/>
    <w:uiPriority w:val="99"/>
    <w:qFormat/>
    <w:rsid w:val="009907C7"/>
    <w:rPr>
      <w:vertAlign w:val="superscript"/>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Texto nota pie [MM]"/>
    <w:basedOn w:val="Normal"/>
    <w:link w:val="FootnoteTextChar"/>
    <w:uiPriority w:val="99"/>
    <w:qFormat/>
    <w:rsid w:val="009907C7"/>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rsid w:val="009907C7"/>
    <w:rPr>
      <w:rFonts w:ascii="Times New Roman" w:eastAsia="Times New Roman" w:hAnsi="Times New Roman"/>
    </w:rPr>
  </w:style>
  <w:style w:type="character" w:styleId="Hyperlink">
    <w:name w:val="Hyperlink"/>
    <w:uiPriority w:val="99"/>
    <w:rsid w:val="009907C7"/>
    <w:rPr>
      <w:color w:val="0000FF"/>
      <w:u w:val="single"/>
    </w:rPr>
  </w:style>
  <w:style w:type="character" w:customStyle="1" w:styleId="apple-converted-space">
    <w:name w:val="apple-converted-space"/>
    <w:rsid w:val="009907C7"/>
  </w:style>
  <w:style w:type="character" w:styleId="Strong">
    <w:name w:val="Strong"/>
    <w:uiPriority w:val="22"/>
    <w:qFormat/>
    <w:rsid w:val="009907C7"/>
    <w:rPr>
      <w:b/>
      <w:bCs/>
    </w:rPr>
  </w:style>
  <w:style w:type="character" w:customStyle="1" w:styleId="FootnoteTextChar1">
    <w:name w:val="Footnote Text Char1"/>
    <w:aliases w:val="Footnote Text Char Char Char Char Char Char2,Footnote Text Char Char Char Char Char3,Footnote reference Char2,FA Fu Char2,Footnote Text Char Char Char Char3,Texto nota pie [MM] Char1,FA Fußnotentext Char2,FA Fuﬂnotentext Char2"/>
    <w:uiPriority w:val="99"/>
    <w:locked/>
    <w:rsid w:val="009907C7"/>
    <w:rPr>
      <w:sz w:val="24"/>
      <w:lang w:val="en-US" w:eastAsia="en-US" w:bidi="ar-SA"/>
    </w:rPr>
  </w:style>
  <w:style w:type="character" w:styleId="FollowedHyperlink">
    <w:name w:val="FollowedHyperlink"/>
    <w:rsid w:val="009907C7"/>
    <w:rPr>
      <w:color w:val="800080"/>
      <w:u w:val="single"/>
    </w:rPr>
  </w:style>
  <w:style w:type="character" w:customStyle="1" w:styleId="pagesubhead">
    <w:name w:val="pagesubhead"/>
    <w:rsid w:val="009907C7"/>
  </w:style>
  <w:style w:type="character" w:styleId="Emphasis">
    <w:name w:val="Emphasis"/>
    <w:uiPriority w:val="20"/>
    <w:qFormat/>
    <w:rsid w:val="009907C7"/>
    <w:rPr>
      <w:i/>
      <w:iCs/>
    </w:rPr>
  </w:style>
  <w:style w:type="character" w:customStyle="1" w:styleId="SingleTxtGChar">
    <w:name w:val="_ Single Txt_G Char"/>
    <w:link w:val="SingleTxtG"/>
    <w:locked/>
    <w:rsid w:val="009907C7"/>
    <w:rPr>
      <w:lang w:val="es-ES" w:eastAsia="es-ES"/>
    </w:rPr>
  </w:style>
  <w:style w:type="paragraph" w:customStyle="1" w:styleId="SingleTxtG">
    <w:name w:val="_ Single Txt_G"/>
    <w:basedOn w:val="Normal"/>
    <w:link w:val="SingleTxtGChar"/>
    <w:rsid w:val="009907C7"/>
    <w:pPr>
      <w:spacing w:after="120" w:line="240" w:lineRule="atLeast"/>
      <w:ind w:left="1134" w:right="1134"/>
      <w:jc w:val="both"/>
    </w:pPr>
    <w:rPr>
      <w:sz w:val="20"/>
      <w:szCs w:val="20"/>
      <w:lang w:val="es-ES" w:eastAsia="es-ES"/>
    </w:rPr>
  </w:style>
  <w:style w:type="character" w:customStyle="1" w:styleId="MBlanchard">
    <w:name w:val="MBlanchard"/>
    <w:semiHidden/>
    <w:rsid w:val="009907C7"/>
    <w:rPr>
      <w:rFonts w:ascii="Arial" w:hAnsi="Arial" w:cs="Arial"/>
      <w:color w:val="000080"/>
      <w:sz w:val="20"/>
      <w:szCs w:val="20"/>
    </w:rPr>
  </w:style>
  <w:style w:type="paragraph" w:styleId="BodyTextIndent2">
    <w:name w:val="Body Text Indent 2"/>
    <w:basedOn w:val="Normal"/>
    <w:link w:val="BodyTextIndent2Char"/>
    <w:rsid w:val="009907C7"/>
    <w:pPr>
      <w:spacing w:after="0" w:line="240" w:lineRule="auto"/>
      <w:ind w:firstLine="720"/>
      <w:jc w:val="both"/>
    </w:pPr>
    <w:rPr>
      <w:rFonts w:ascii="Univers" w:eastAsia="Times New Roman" w:hAnsi="Univers"/>
      <w:szCs w:val="20"/>
      <w:lang w:val="es-CL"/>
    </w:rPr>
  </w:style>
  <w:style w:type="character" w:customStyle="1" w:styleId="BodyTextIndent2Char">
    <w:name w:val="Body Text Indent 2 Char"/>
    <w:link w:val="BodyTextIndent2"/>
    <w:rsid w:val="009907C7"/>
    <w:rPr>
      <w:rFonts w:ascii="Univers" w:eastAsia="Times New Roman" w:hAnsi="Univers"/>
      <w:sz w:val="22"/>
      <w:lang w:val="es-CL"/>
    </w:rPr>
  </w:style>
  <w:style w:type="paragraph" w:styleId="List">
    <w:name w:val="List"/>
    <w:basedOn w:val="Normal"/>
    <w:rsid w:val="009907C7"/>
    <w:pPr>
      <w:widowControl w:val="0"/>
      <w:autoSpaceDE w:val="0"/>
      <w:autoSpaceDN w:val="0"/>
      <w:adjustRightInd w:val="0"/>
      <w:spacing w:after="0" w:line="240" w:lineRule="auto"/>
      <w:ind w:left="283" w:hanging="283"/>
    </w:pPr>
    <w:rPr>
      <w:rFonts w:ascii="Times New Roman" w:eastAsia="Times New Roman" w:hAnsi="Times New Roman"/>
      <w:sz w:val="24"/>
      <w:szCs w:val="24"/>
      <w:lang w:val="es-ES" w:eastAsia="es-CO"/>
    </w:rPr>
  </w:style>
  <w:style w:type="paragraph" w:styleId="BodyText">
    <w:name w:val="Body Text"/>
    <w:basedOn w:val="Normal"/>
    <w:link w:val="BodyTextChar"/>
    <w:uiPriority w:val="99"/>
    <w:unhideWhenUsed/>
    <w:rsid w:val="009907C7"/>
    <w:pPr>
      <w:spacing w:after="120"/>
    </w:pPr>
  </w:style>
  <w:style w:type="character" w:customStyle="1" w:styleId="BodyTextChar">
    <w:name w:val="Body Text Char"/>
    <w:link w:val="BodyText"/>
    <w:uiPriority w:val="99"/>
    <w:rsid w:val="009907C7"/>
    <w:rPr>
      <w:sz w:val="22"/>
      <w:szCs w:val="22"/>
    </w:rPr>
  </w:style>
  <w:style w:type="paragraph" w:styleId="PlainText">
    <w:name w:val="Plain Text"/>
    <w:basedOn w:val="Normal"/>
    <w:link w:val="PlainTextChar"/>
    <w:uiPriority w:val="99"/>
    <w:unhideWhenUsed/>
    <w:rsid w:val="009907C7"/>
    <w:pPr>
      <w:spacing w:after="0" w:line="240" w:lineRule="auto"/>
    </w:pPr>
    <w:rPr>
      <w:szCs w:val="21"/>
    </w:rPr>
  </w:style>
  <w:style w:type="character" w:customStyle="1" w:styleId="PlainTextChar">
    <w:name w:val="Plain Text Char"/>
    <w:link w:val="PlainText"/>
    <w:uiPriority w:val="99"/>
    <w:rsid w:val="009907C7"/>
    <w:rPr>
      <w:sz w:val="22"/>
      <w:szCs w:val="21"/>
    </w:rPr>
  </w:style>
  <w:style w:type="paragraph" w:styleId="BodyTextIndent">
    <w:name w:val="Body Text Indent"/>
    <w:basedOn w:val="Normal"/>
    <w:link w:val="BodyTextIndentChar"/>
    <w:uiPriority w:val="99"/>
    <w:semiHidden/>
    <w:unhideWhenUsed/>
    <w:rsid w:val="009907C7"/>
    <w:pPr>
      <w:spacing w:after="120"/>
      <w:ind w:left="360"/>
    </w:pPr>
  </w:style>
  <w:style w:type="character" w:customStyle="1" w:styleId="BodyTextIndentChar">
    <w:name w:val="Body Text Indent Char"/>
    <w:link w:val="BodyTextIndent"/>
    <w:uiPriority w:val="99"/>
    <w:semiHidden/>
    <w:rsid w:val="009907C7"/>
    <w:rPr>
      <w:sz w:val="22"/>
      <w:szCs w:val="22"/>
    </w:rPr>
  </w:style>
  <w:style w:type="paragraph" w:customStyle="1" w:styleId="Footnotes">
    <w:name w:val="Footnotes"/>
    <w:basedOn w:val="FootnoteText"/>
    <w:qFormat/>
    <w:rsid w:val="009907C7"/>
    <w:pPr>
      <w:spacing w:after="120"/>
      <w:jc w:val="both"/>
    </w:pPr>
    <w:rPr>
      <w:rFonts w:ascii="Cambria" w:eastAsia="Calibri" w:hAnsi="Cambria"/>
      <w:sz w:val="18"/>
    </w:rPr>
  </w:style>
  <w:style w:type="paragraph" w:styleId="EndnoteText">
    <w:name w:val="endnote text"/>
    <w:basedOn w:val="Normal"/>
    <w:link w:val="EndnoteTextChar"/>
    <w:uiPriority w:val="99"/>
    <w:semiHidden/>
    <w:unhideWhenUsed/>
    <w:rsid w:val="009907C7"/>
    <w:rPr>
      <w:sz w:val="20"/>
      <w:szCs w:val="20"/>
    </w:rPr>
  </w:style>
  <w:style w:type="character" w:customStyle="1" w:styleId="EndnoteTextChar">
    <w:name w:val="Endnote Text Char"/>
    <w:basedOn w:val="DefaultParagraphFont"/>
    <w:link w:val="EndnoteText"/>
    <w:uiPriority w:val="99"/>
    <w:semiHidden/>
    <w:rsid w:val="009907C7"/>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uiPriority w:val="99"/>
    <w:rsid w:val="009907C7"/>
    <w:pPr>
      <w:spacing w:before="200" w:after="160" w:line="240" w:lineRule="exact"/>
    </w:pPr>
    <w:rPr>
      <w:sz w:val="20"/>
      <w:szCs w:val="20"/>
      <w:vertAlign w:val="superscript"/>
    </w:rPr>
  </w:style>
  <w:style w:type="character" w:customStyle="1" w:styleId="st1">
    <w:name w:val="st1"/>
    <w:rsid w:val="009907C7"/>
  </w:style>
  <w:style w:type="paragraph" w:customStyle="1" w:styleId="FootnotesrefssCharChar">
    <w:name w:val="Footnotes refss Char Char"/>
    <w:aliases w:val="Texto de nota al pie Char Char,Appel note de bas de page Char Char,Footnote number Char Char,referencia nota al pie Char Char,BVI fnr Char Char,f Char Char,4_G Char Char,16 Point Char Char,R"/>
    <w:basedOn w:val="Normal"/>
    <w:uiPriority w:val="99"/>
    <w:rsid w:val="009907C7"/>
    <w:pPr>
      <w:spacing w:after="160" w:line="240" w:lineRule="exact"/>
    </w:pPr>
    <w:rPr>
      <w:vertAlign w:val="superscript"/>
    </w:rPr>
  </w:style>
  <w:style w:type="character" w:customStyle="1" w:styleId="ListParagraphChar">
    <w:name w:val="List Paragraph Char"/>
    <w:aliases w:val="Parragrap Char"/>
    <w:link w:val="ListParagraph"/>
    <w:uiPriority w:val="34"/>
    <w:locked/>
    <w:rsid w:val="009907C7"/>
    <w:rPr>
      <w:rFonts w:ascii="Cambria" w:eastAsia="Cambria" w:hAnsi="Cambria" w:cs="Cambria"/>
      <w:color w:val="000000"/>
      <w:sz w:val="24"/>
      <w:szCs w:val="24"/>
      <w:u w:color="000000"/>
      <w:bdr w:val="nil"/>
      <w:lang w:eastAsia="es-ES"/>
    </w:rPr>
  </w:style>
  <w:style w:type="character" w:customStyle="1" w:styleId="reporttitle">
    <w:name w:val="report_title"/>
    <w:rsid w:val="009907C7"/>
    <w:rPr>
      <w:rFonts w:ascii="Verdana" w:hAnsi="Verdana" w:hint="default"/>
      <w:b/>
      <w:bCs/>
      <w:color w:val="333333"/>
      <w:sz w:val="18"/>
      <w:szCs w:val="18"/>
    </w:rPr>
  </w:style>
  <w:style w:type="character" w:customStyle="1" w:styleId="hps">
    <w:name w:val="hps"/>
    <w:rsid w:val="009907C7"/>
  </w:style>
  <w:style w:type="character" w:customStyle="1" w:styleId="documenttype-speakerwriter">
    <w:name w:val="document_type_-_speaker_writer"/>
    <w:rsid w:val="009907C7"/>
    <w:rPr>
      <w:rFonts w:ascii="Verdana" w:hAnsi="Verdana" w:hint="default"/>
      <w:b/>
      <w:bCs/>
      <w:color w:val="777777"/>
      <w:sz w:val="18"/>
      <w:szCs w:val="18"/>
    </w:rPr>
  </w:style>
  <w:style w:type="character" w:customStyle="1" w:styleId="officialsbureau">
    <w:name w:val="official_s_bureau"/>
    <w:rsid w:val="009907C7"/>
    <w:rPr>
      <w:rFonts w:ascii="Verdana" w:hAnsi="Verdana" w:hint="default"/>
      <w:b/>
      <w:bCs/>
      <w:color w:val="000000"/>
      <w:sz w:val="18"/>
      <w:szCs w:val="18"/>
    </w:rPr>
  </w:style>
  <w:style w:type="character" w:customStyle="1" w:styleId="Caracteresdenotaalpie">
    <w:name w:val="Caracteres de nota al pie"/>
    <w:rsid w:val="009907C7"/>
    <w:rPr>
      <w:vertAlign w:val="superscript"/>
    </w:rPr>
  </w:style>
  <w:style w:type="character" w:customStyle="1" w:styleId="mce2">
    <w:name w:val="mce2"/>
    <w:rsid w:val="009907C7"/>
    <w:rPr>
      <w:rFonts w:ascii="Ubuntu" w:hAnsi="Ubuntu" w:cs="Ubuntu" w:hint="default"/>
      <w:b w:val="0"/>
      <w:bCs w:val="0"/>
      <w:i w:val="0"/>
      <w:iCs w:val="0"/>
      <w:color w:val="333333"/>
      <w:sz w:val="24"/>
      <w:szCs w:val="24"/>
    </w:rPr>
  </w:style>
  <w:style w:type="paragraph" w:customStyle="1" w:styleId="BVIfnrCarCar1Car">
    <w:name w:val="BVI fnr Car Car1 Car"/>
    <w:aliases w:val="BVI fnr Car Car Car,BVI fnr Car Car Car Car1 Car,BVI fnr Car Car Car Car Car Car Car,BVI fnr Car Car Car Car Char Car Car Car Car,BVI fnr Car Car2 Car Car Car,BVI fnr Car Car1"/>
    <w:basedOn w:val="Normal"/>
    <w:uiPriority w:val="99"/>
    <w:rsid w:val="00EF6A9E"/>
    <w:pPr>
      <w:spacing w:after="160" w:line="240" w:lineRule="exact"/>
    </w:pPr>
    <w:rPr>
      <w:rFonts w:ascii="Times New Roman" w:eastAsia="Times New Roman" w:hAnsi="Times New Roman"/>
      <w:sz w:val="20"/>
      <w:szCs w:val="20"/>
      <w:vertAlign w:val="superscript"/>
    </w:rPr>
  </w:style>
  <w:style w:type="paragraph" w:customStyle="1" w:styleId="Char2">
    <w:name w:val="Char2"/>
    <w:basedOn w:val="Normal"/>
    <w:uiPriority w:val="99"/>
    <w:rsid w:val="00007713"/>
    <w:pPr>
      <w:spacing w:after="160" w:line="240" w:lineRule="exact"/>
    </w:pPr>
    <w:rPr>
      <w:rFonts w:ascii="Times New Roman" w:eastAsia="MS Mincho" w:hAnsi="Times New Roman"/>
      <w:sz w:val="20"/>
      <w:szCs w:val="20"/>
      <w:vertAlign w:val="superscript"/>
    </w:rPr>
  </w:style>
  <w:style w:type="paragraph" w:customStyle="1" w:styleId="Numberedparagraphs">
    <w:name w:val="Numbered paragraphs"/>
    <w:basedOn w:val="Normal"/>
    <w:qFormat/>
    <w:rsid w:val="00007713"/>
    <w:pPr>
      <w:numPr>
        <w:numId w:val="4"/>
      </w:numPr>
      <w:spacing w:after="240" w:line="240" w:lineRule="auto"/>
      <w:ind w:left="547" w:hanging="547"/>
      <w:jc w:val="both"/>
    </w:pPr>
    <w:rPr>
      <w:rFonts w:ascii="Cambria" w:hAnsi="Cambria"/>
      <w:sz w:val="20"/>
    </w:rPr>
  </w:style>
  <w:style w:type="paragraph" w:customStyle="1" w:styleId="Citalarga">
    <w:name w:val="Cita larga"/>
    <w:basedOn w:val="Normal"/>
    <w:qFormat/>
    <w:rsid w:val="00007713"/>
    <w:pPr>
      <w:spacing w:after="240" w:line="240" w:lineRule="auto"/>
      <w:ind w:left="1166" w:right="619"/>
      <w:jc w:val="both"/>
    </w:pPr>
    <w:rPr>
      <w:rFonts w:asciiTheme="majorHAnsi" w:eastAsia="MS Mincho" w:hAnsiTheme="majorHAnsi" w:cs="Tahoma"/>
      <w:sz w:val="18"/>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3D1503"/>
    <w:pPr>
      <w:keepNext/>
      <w:spacing w:before="240" w:after="60"/>
      <w:ind w:firstLine="720"/>
      <w:outlineLvl w:val="0"/>
    </w:pPr>
    <w:rPr>
      <w:rFonts w:ascii="Cambria" w:eastAsia="Times New Roman" w:hAnsi="Cambria"/>
      <w:b/>
      <w:bCs/>
      <w:kern w:val="32"/>
      <w:sz w:val="32"/>
      <w:szCs w:val="32"/>
      <w:lang w:val="es-ES"/>
    </w:rPr>
  </w:style>
  <w:style w:type="paragraph" w:styleId="Heading2">
    <w:name w:val="heading 2"/>
    <w:basedOn w:val="Normal"/>
    <w:link w:val="Heading2Char"/>
    <w:qFormat/>
    <w:rsid w:val="009E00C0"/>
    <w:pPr>
      <w:numPr>
        <w:numId w:val="2"/>
      </w:numPr>
      <w:spacing w:after="0" w:line="240" w:lineRule="auto"/>
      <w:ind w:left="720" w:firstLine="0"/>
      <w:jc w:val="both"/>
      <w:outlineLvl w:val="1"/>
    </w:pPr>
    <w:rPr>
      <w:rFonts w:ascii="Cambria" w:hAnsi="Cambria" w:cs="Arial"/>
      <w:b/>
      <w:szCs w:val="20"/>
      <w:lang w:val="es-PY"/>
    </w:rPr>
  </w:style>
  <w:style w:type="paragraph" w:styleId="Heading3">
    <w:name w:val="heading 3"/>
    <w:basedOn w:val="Normal"/>
    <w:next w:val="Normal"/>
    <w:link w:val="Heading3Char"/>
    <w:unhideWhenUsed/>
    <w:qFormat/>
    <w:rsid w:val="009E00C0"/>
    <w:pPr>
      <w:numPr>
        <w:ilvl w:val="3"/>
        <w:numId w:val="1"/>
      </w:numPr>
      <w:spacing w:after="0" w:line="240" w:lineRule="auto"/>
      <w:ind w:left="1440" w:hanging="720"/>
      <w:jc w:val="both"/>
      <w:outlineLvl w:val="2"/>
    </w:pPr>
    <w:rPr>
      <w:rFonts w:ascii="Cambria" w:hAnsi="Cambria" w:cs="Arial"/>
      <w:b/>
      <w:sz w:val="20"/>
      <w:szCs w:val="20"/>
      <w:lang w:val="es-PY"/>
    </w:rPr>
  </w:style>
  <w:style w:type="paragraph" w:styleId="Heading4">
    <w:name w:val="heading 4"/>
    <w:basedOn w:val="Normal"/>
    <w:next w:val="Normal"/>
    <w:link w:val="Heading4Char"/>
    <w:uiPriority w:val="9"/>
    <w:semiHidden/>
    <w:unhideWhenUsed/>
    <w:qFormat/>
    <w:rsid w:val="009907C7"/>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rsid w:val="00A343FF"/>
    <w:rPr>
      <w:rFonts w:ascii="Tahoma" w:hAnsi="Tahoma" w:cs="Tahoma"/>
      <w:sz w:val="16"/>
      <w:szCs w:val="16"/>
    </w:rPr>
  </w:style>
  <w:style w:type="paragraph" w:styleId="NoSpacing">
    <w:name w:val="No Spacing"/>
    <w:link w:val="NoSpacingChar"/>
    <w:uiPriority w:val="1"/>
    <w:qFormat/>
    <w:rsid w:val="00F52F31"/>
    <w:rPr>
      <w:rFonts w:eastAsia="MS Mincho" w:cs="Arial"/>
      <w:sz w:val="22"/>
      <w:szCs w:val="22"/>
      <w:lang w:eastAsia="ja-JP"/>
    </w:rPr>
  </w:style>
  <w:style w:type="character" w:customStyle="1" w:styleId="NoSpacingChar">
    <w:name w:val="No Spacing Char"/>
    <w:link w:val="NoSpacing"/>
    <w:uiPriority w:val="1"/>
    <w:rsid w:val="00F52F31"/>
    <w:rPr>
      <w:rFonts w:eastAsia="MS Mincho" w:cs="Arial"/>
      <w:sz w:val="22"/>
      <w:szCs w:val="22"/>
      <w:lang w:eastAsia="ja-JP"/>
    </w:rPr>
  </w:style>
  <w:style w:type="paragraph" w:styleId="NormalWeb">
    <w:name w:val="Normal (Web)"/>
    <w:basedOn w:val="Normal"/>
    <w:uiPriority w:val="99"/>
    <w:unhideWhenUsed/>
    <w:rsid w:val="0001720F"/>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aliases w:val="Parragrap"/>
    <w:link w:val="ListParagraphChar"/>
    <w:uiPriority w:val="34"/>
    <w:qFormat/>
    <w:rsid w:val="00CE1706"/>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paragraph" w:customStyle="1" w:styleId="Default">
    <w:name w:val="Default"/>
    <w:rsid w:val="00CE1706"/>
    <w:pPr>
      <w:autoSpaceDE w:val="0"/>
      <w:autoSpaceDN w:val="0"/>
      <w:adjustRightInd w:val="0"/>
    </w:pPr>
    <w:rPr>
      <w:rFonts w:ascii="Times New Roman" w:eastAsia="Arial Unicode MS" w:hAnsi="Times New Roman"/>
      <w:color w:val="000000"/>
      <w:sz w:val="24"/>
      <w:szCs w:val="24"/>
      <w:bdr w:val="nil"/>
      <w:lang w:eastAsia="es-ES"/>
    </w:rPr>
  </w:style>
  <w:style w:type="character" w:customStyle="1" w:styleId="Heading1Char">
    <w:name w:val="Heading 1 Char"/>
    <w:link w:val="Heading1"/>
    <w:rsid w:val="003D1503"/>
    <w:rPr>
      <w:rFonts w:ascii="Cambria" w:eastAsia="Times New Roman" w:hAnsi="Cambria"/>
      <w:b/>
      <w:bCs/>
      <w:kern w:val="32"/>
      <w:sz w:val="32"/>
      <w:szCs w:val="32"/>
      <w:lang w:val="es-ES"/>
    </w:rPr>
  </w:style>
  <w:style w:type="character" w:customStyle="1" w:styleId="Heading2Char">
    <w:name w:val="Heading 2 Char"/>
    <w:link w:val="Heading2"/>
    <w:rsid w:val="009E00C0"/>
    <w:rPr>
      <w:rFonts w:ascii="Cambria" w:hAnsi="Cambria" w:cs="Arial"/>
      <w:b/>
      <w:sz w:val="22"/>
      <w:lang w:val="es-PY"/>
    </w:rPr>
  </w:style>
  <w:style w:type="character" w:customStyle="1" w:styleId="Heading3Char">
    <w:name w:val="Heading 3 Char"/>
    <w:link w:val="Heading3"/>
    <w:rsid w:val="009E00C0"/>
    <w:rPr>
      <w:rFonts w:ascii="Cambria" w:hAnsi="Cambria" w:cs="Arial"/>
      <w:b/>
      <w:lang w:val="es-PY"/>
    </w:rPr>
  </w:style>
  <w:style w:type="character" w:customStyle="1" w:styleId="Heading4Char">
    <w:name w:val="Heading 4 Char"/>
    <w:link w:val="Heading4"/>
    <w:uiPriority w:val="9"/>
    <w:semiHidden/>
    <w:rsid w:val="009907C7"/>
    <w:rPr>
      <w:rFonts w:eastAsia="Times New Roman"/>
      <w:b/>
      <w:bCs/>
      <w:sz w:val="28"/>
      <w:szCs w:val="28"/>
    </w:rPr>
  </w:style>
  <w:style w:type="numbering" w:customStyle="1" w:styleId="NoList1">
    <w:name w:val="No List1"/>
    <w:next w:val="NoList"/>
    <w:uiPriority w:val="99"/>
    <w:semiHidden/>
    <w:unhideWhenUsed/>
    <w:rsid w:val="009907C7"/>
  </w:style>
  <w:style w:type="numbering" w:customStyle="1" w:styleId="NoList11">
    <w:name w:val="No List11"/>
    <w:next w:val="NoList"/>
    <w:uiPriority w:val="99"/>
    <w:semiHidden/>
    <w:unhideWhenUsed/>
    <w:rsid w:val="009907C7"/>
  </w:style>
  <w:style w:type="paragraph" w:styleId="Title">
    <w:name w:val="Title"/>
    <w:basedOn w:val="Normal"/>
    <w:link w:val="TitleChar"/>
    <w:qFormat/>
    <w:rsid w:val="009907C7"/>
    <w:pPr>
      <w:spacing w:after="0" w:line="240" w:lineRule="auto"/>
      <w:jc w:val="center"/>
    </w:pPr>
    <w:rPr>
      <w:rFonts w:ascii="Univers" w:eastAsia="MS Mincho" w:hAnsi="Univers"/>
      <w:b/>
      <w:spacing w:val="-2"/>
      <w:szCs w:val="20"/>
      <w:lang w:val="es-PY"/>
    </w:rPr>
  </w:style>
  <w:style w:type="character" w:customStyle="1" w:styleId="TitleChar">
    <w:name w:val="Title Char"/>
    <w:link w:val="Title"/>
    <w:rsid w:val="009907C7"/>
    <w:rPr>
      <w:rFonts w:ascii="Univers" w:eastAsia="MS Mincho" w:hAnsi="Univers"/>
      <w:b/>
      <w:spacing w:val="-2"/>
      <w:sz w:val="22"/>
      <w:lang w:val="es-PY"/>
    </w:rPr>
  </w:style>
  <w:style w:type="character" w:styleId="FootnoteReference">
    <w:name w:val="footnote reference"/>
    <w:aliases w:val="Footnotes refss,Texto de nota al pie,Appel note de bas de page,referencia nota al pie,BVI fnr,Footnote number,f,Ref. de nota al pie.,Footnote symbol,Footnote,4_G,16 Point,Superscript 6 Point,Texto nota al pie,Ref. de nota al pi,Ref,f1"/>
    <w:link w:val="BVIfnrCar1CarCarCarCar"/>
    <w:uiPriority w:val="99"/>
    <w:qFormat/>
    <w:rsid w:val="009907C7"/>
    <w:rPr>
      <w:vertAlign w:val="superscript"/>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Texto nota pie [MM]"/>
    <w:basedOn w:val="Normal"/>
    <w:link w:val="FootnoteTextChar"/>
    <w:uiPriority w:val="99"/>
    <w:qFormat/>
    <w:rsid w:val="009907C7"/>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rsid w:val="009907C7"/>
    <w:rPr>
      <w:rFonts w:ascii="Times New Roman" w:eastAsia="Times New Roman" w:hAnsi="Times New Roman"/>
    </w:rPr>
  </w:style>
  <w:style w:type="character" w:styleId="Hyperlink">
    <w:name w:val="Hyperlink"/>
    <w:uiPriority w:val="99"/>
    <w:rsid w:val="009907C7"/>
    <w:rPr>
      <w:color w:val="0000FF"/>
      <w:u w:val="single"/>
    </w:rPr>
  </w:style>
  <w:style w:type="character" w:customStyle="1" w:styleId="apple-converted-space">
    <w:name w:val="apple-converted-space"/>
    <w:rsid w:val="009907C7"/>
  </w:style>
  <w:style w:type="character" w:styleId="Strong">
    <w:name w:val="Strong"/>
    <w:uiPriority w:val="22"/>
    <w:qFormat/>
    <w:rsid w:val="009907C7"/>
    <w:rPr>
      <w:b/>
      <w:bCs/>
    </w:rPr>
  </w:style>
  <w:style w:type="character" w:customStyle="1" w:styleId="FootnoteTextChar1">
    <w:name w:val="Footnote Text Char1"/>
    <w:aliases w:val="Footnote Text Char Char Char Char Char Char2,Footnote Text Char Char Char Char Char3,Footnote reference Char2,FA Fu Char2,Footnote Text Char Char Char Char3,Texto nota pie [MM] Char1,FA Fußnotentext Char2,FA Fuﬂnotentext Char2"/>
    <w:uiPriority w:val="99"/>
    <w:locked/>
    <w:rsid w:val="009907C7"/>
    <w:rPr>
      <w:sz w:val="24"/>
      <w:lang w:val="en-US" w:eastAsia="en-US" w:bidi="ar-SA"/>
    </w:rPr>
  </w:style>
  <w:style w:type="character" w:styleId="FollowedHyperlink">
    <w:name w:val="FollowedHyperlink"/>
    <w:rsid w:val="009907C7"/>
    <w:rPr>
      <w:color w:val="800080"/>
      <w:u w:val="single"/>
    </w:rPr>
  </w:style>
  <w:style w:type="character" w:customStyle="1" w:styleId="pagesubhead">
    <w:name w:val="pagesubhead"/>
    <w:rsid w:val="009907C7"/>
  </w:style>
  <w:style w:type="character" w:styleId="Emphasis">
    <w:name w:val="Emphasis"/>
    <w:uiPriority w:val="20"/>
    <w:qFormat/>
    <w:rsid w:val="009907C7"/>
    <w:rPr>
      <w:i/>
      <w:iCs/>
    </w:rPr>
  </w:style>
  <w:style w:type="character" w:customStyle="1" w:styleId="SingleTxtGChar">
    <w:name w:val="_ Single Txt_G Char"/>
    <w:link w:val="SingleTxtG"/>
    <w:locked/>
    <w:rsid w:val="009907C7"/>
    <w:rPr>
      <w:lang w:val="es-ES" w:eastAsia="es-ES"/>
    </w:rPr>
  </w:style>
  <w:style w:type="paragraph" w:customStyle="1" w:styleId="SingleTxtG">
    <w:name w:val="_ Single Txt_G"/>
    <w:basedOn w:val="Normal"/>
    <w:link w:val="SingleTxtGChar"/>
    <w:rsid w:val="009907C7"/>
    <w:pPr>
      <w:spacing w:after="120" w:line="240" w:lineRule="atLeast"/>
      <w:ind w:left="1134" w:right="1134"/>
      <w:jc w:val="both"/>
    </w:pPr>
    <w:rPr>
      <w:sz w:val="20"/>
      <w:szCs w:val="20"/>
      <w:lang w:val="es-ES" w:eastAsia="es-ES"/>
    </w:rPr>
  </w:style>
  <w:style w:type="character" w:customStyle="1" w:styleId="MBlanchard">
    <w:name w:val="MBlanchard"/>
    <w:semiHidden/>
    <w:rsid w:val="009907C7"/>
    <w:rPr>
      <w:rFonts w:ascii="Arial" w:hAnsi="Arial" w:cs="Arial"/>
      <w:color w:val="000080"/>
      <w:sz w:val="20"/>
      <w:szCs w:val="20"/>
    </w:rPr>
  </w:style>
  <w:style w:type="paragraph" w:styleId="BodyTextIndent2">
    <w:name w:val="Body Text Indent 2"/>
    <w:basedOn w:val="Normal"/>
    <w:link w:val="BodyTextIndent2Char"/>
    <w:rsid w:val="009907C7"/>
    <w:pPr>
      <w:spacing w:after="0" w:line="240" w:lineRule="auto"/>
      <w:ind w:firstLine="720"/>
      <w:jc w:val="both"/>
    </w:pPr>
    <w:rPr>
      <w:rFonts w:ascii="Univers" w:eastAsia="Times New Roman" w:hAnsi="Univers"/>
      <w:szCs w:val="20"/>
      <w:lang w:val="es-CL"/>
    </w:rPr>
  </w:style>
  <w:style w:type="character" w:customStyle="1" w:styleId="BodyTextIndent2Char">
    <w:name w:val="Body Text Indent 2 Char"/>
    <w:link w:val="BodyTextIndent2"/>
    <w:rsid w:val="009907C7"/>
    <w:rPr>
      <w:rFonts w:ascii="Univers" w:eastAsia="Times New Roman" w:hAnsi="Univers"/>
      <w:sz w:val="22"/>
      <w:lang w:val="es-CL"/>
    </w:rPr>
  </w:style>
  <w:style w:type="paragraph" w:styleId="List">
    <w:name w:val="List"/>
    <w:basedOn w:val="Normal"/>
    <w:rsid w:val="009907C7"/>
    <w:pPr>
      <w:widowControl w:val="0"/>
      <w:autoSpaceDE w:val="0"/>
      <w:autoSpaceDN w:val="0"/>
      <w:adjustRightInd w:val="0"/>
      <w:spacing w:after="0" w:line="240" w:lineRule="auto"/>
      <w:ind w:left="283" w:hanging="283"/>
    </w:pPr>
    <w:rPr>
      <w:rFonts w:ascii="Times New Roman" w:eastAsia="Times New Roman" w:hAnsi="Times New Roman"/>
      <w:sz w:val="24"/>
      <w:szCs w:val="24"/>
      <w:lang w:val="es-ES" w:eastAsia="es-CO"/>
    </w:rPr>
  </w:style>
  <w:style w:type="paragraph" w:styleId="BodyText">
    <w:name w:val="Body Text"/>
    <w:basedOn w:val="Normal"/>
    <w:link w:val="BodyTextChar"/>
    <w:uiPriority w:val="99"/>
    <w:unhideWhenUsed/>
    <w:rsid w:val="009907C7"/>
    <w:pPr>
      <w:spacing w:after="120"/>
    </w:pPr>
  </w:style>
  <w:style w:type="character" w:customStyle="1" w:styleId="BodyTextChar">
    <w:name w:val="Body Text Char"/>
    <w:link w:val="BodyText"/>
    <w:uiPriority w:val="99"/>
    <w:rsid w:val="009907C7"/>
    <w:rPr>
      <w:sz w:val="22"/>
      <w:szCs w:val="22"/>
    </w:rPr>
  </w:style>
  <w:style w:type="paragraph" w:styleId="PlainText">
    <w:name w:val="Plain Text"/>
    <w:basedOn w:val="Normal"/>
    <w:link w:val="PlainTextChar"/>
    <w:uiPriority w:val="99"/>
    <w:unhideWhenUsed/>
    <w:rsid w:val="009907C7"/>
    <w:pPr>
      <w:spacing w:after="0" w:line="240" w:lineRule="auto"/>
    </w:pPr>
    <w:rPr>
      <w:szCs w:val="21"/>
    </w:rPr>
  </w:style>
  <w:style w:type="character" w:customStyle="1" w:styleId="PlainTextChar">
    <w:name w:val="Plain Text Char"/>
    <w:link w:val="PlainText"/>
    <w:uiPriority w:val="99"/>
    <w:rsid w:val="009907C7"/>
    <w:rPr>
      <w:sz w:val="22"/>
      <w:szCs w:val="21"/>
    </w:rPr>
  </w:style>
  <w:style w:type="paragraph" w:styleId="BodyTextIndent">
    <w:name w:val="Body Text Indent"/>
    <w:basedOn w:val="Normal"/>
    <w:link w:val="BodyTextIndentChar"/>
    <w:uiPriority w:val="99"/>
    <w:semiHidden/>
    <w:unhideWhenUsed/>
    <w:rsid w:val="009907C7"/>
    <w:pPr>
      <w:spacing w:after="120"/>
      <w:ind w:left="360"/>
    </w:pPr>
  </w:style>
  <w:style w:type="character" w:customStyle="1" w:styleId="BodyTextIndentChar">
    <w:name w:val="Body Text Indent Char"/>
    <w:link w:val="BodyTextIndent"/>
    <w:uiPriority w:val="99"/>
    <w:semiHidden/>
    <w:rsid w:val="009907C7"/>
    <w:rPr>
      <w:sz w:val="22"/>
      <w:szCs w:val="22"/>
    </w:rPr>
  </w:style>
  <w:style w:type="paragraph" w:customStyle="1" w:styleId="Footnotes">
    <w:name w:val="Footnotes"/>
    <w:basedOn w:val="FootnoteText"/>
    <w:qFormat/>
    <w:rsid w:val="009907C7"/>
    <w:pPr>
      <w:spacing w:after="120"/>
      <w:jc w:val="both"/>
    </w:pPr>
    <w:rPr>
      <w:rFonts w:ascii="Cambria" w:eastAsia="Calibri" w:hAnsi="Cambria"/>
      <w:sz w:val="18"/>
    </w:rPr>
  </w:style>
  <w:style w:type="paragraph" w:styleId="EndnoteText">
    <w:name w:val="endnote text"/>
    <w:basedOn w:val="Normal"/>
    <w:link w:val="EndnoteTextChar"/>
    <w:uiPriority w:val="99"/>
    <w:semiHidden/>
    <w:unhideWhenUsed/>
    <w:rsid w:val="009907C7"/>
    <w:rPr>
      <w:sz w:val="20"/>
      <w:szCs w:val="20"/>
    </w:rPr>
  </w:style>
  <w:style w:type="character" w:customStyle="1" w:styleId="EndnoteTextChar">
    <w:name w:val="Endnote Text Char"/>
    <w:basedOn w:val="DefaultParagraphFont"/>
    <w:link w:val="EndnoteText"/>
    <w:uiPriority w:val="99"/>
    <w:semiHidden/>
    <w:rsid w:val="009907C7"/>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uiPriority w:val="99"/>
    <w:rsid w:val="009907C7"/>
    <w:pPr>
      <w:spacing w:before="200" w:after="160" w:line="240" w:lineRule="exact"/>
    </w:pPr>
    <w:rPr>
      <w:sz w:val="20"/>
      <w:szCs w:val="20"/>
      <w:vertAlign w:val="superscript"/>
    </w:rPr>
  </w:style>
  <w:style w:type="character" w:customStyle="1" w:styleId="st1">
    <w:name w:val="st1"/>
    <w:rsid w:val="009907C7"/>
  </w:style>
  <w:style w:type="paragraph" w:customStyle="1" w:styleId="FootnotesrefssCharChar">
    <w:name w:val="Footnotes refss Char Char"/>
    <w:aliases w:val="Texto de nota al pie Char Char,Appel note de bas de page Char Char,Footnote number Char Char,referencia nota al pie Char Char,BVI fnr Char Char,f Char Char,4_G Char Char,16 Point Char Char,R"/>
    <w:basedOn w:val="Normal"/>
    <w:uiPriority w:val="99"/>
    <w:rsid w:val="009907C7"/>
    <w:pPr>
      <w:spacing w:after="160" w:line="240" w:lineRule="exact"/>
    </w:pPr>
    <w:rPr>
      <w:vertAlign w:val="superscript"/>
    </w:rPr>
  </w:style>
  <w:style w:type="character" w:customStyle="1" w:styleId="ListParagraphChar">
    <w:name w:val="List Paragraph Char"/>
    <w:aliases w:val="Parragrap Char"/>
    <w:link w:val="ListParagraph"/>
    <w:uiPriority w:val="34"/>
    <w:locked/>
    <w:rsid w:val="009907C7"/>
    <w:rPr>
      <w:rFonts w:ascii="Cambria" w:eastAsia="Cambria" w:hAnsi="Cambria" w:cs="Cambria"/>
      <w:color w:val="000000"/>
      <w:sz w:val="24"/>
      <w:szCs w:val="24"/>
      <w:u w:color="000000"/>
      <w:bdr w:val="nil"/>
      <w:lang w:eastAsia="es-ES"/>
    </w:rPr>
  </w:style>
  <w:style w:type="character" w:customStyle="1" w:styleId="reporttitle">
    <w:name w:val="report_title"/>
    <w:rsid w:val="009907C7"/>
    <w:rPr>
      <w:rFonts w:ascii="Verdana" w:hAnsi="Verdana" w:hint="default"/>
      <w:b/>
      <w:bCs/>
      <w:color w:val="333333"/>
      <w:sz w:val="18"/>
      <w:szCs w:val="18"/>
    </w:rPr>
  </w:style>
  <w:style w:type="character" w:customStyle="1" w:styleId="hps">
    <w:name w:val="hps"/>
    <w:rsid w:val="009907C7"/>
  </w:style>
  <w:style w:type="character" w:customStyle="1" w:styleId="documenttype-speakerwriter">
    <w:name w:val="document_type_-_speaker_writer"/>
    <w:rsid w:val="009907C7"/>
    <w:rPr>
      <w:rFonts w:ascii="Verdana" w:hAnsi="Verdana" w:hint="default"/>
      <w:b/>
      <w:bCs/>
      <w:color w:val="777777"/>
      <w:sz w:val="18"/>
      <w:szCs w:val="18"/>
    </w:rPr>
  </w:style>
  <w:style w:type="character" w:customStyle="1" w:styleId="officialsbureau">
    <w:name w:val="official_s_bureau"/>
    <w:rsid w:val="009907C7"/>
    <w:rPr>
      <w:rFonts w:ascii="Verdana" w:hAnsi="Verdana" w:hint="default"/>
      <w:b/>
      <w:bCs/>
      <w:color w:val="000000"/>
      <w:sz w:val="18"/>
      <w:szCs w:val="18"/>
    </w:rPr>
  </w:style>
  <w:style w:type="character" w:customStyle="1" w:styleId="Caracteresdenotaalpie">
    <w:name w:val="Caracteres de nota al pie"/>
    <w:rsid w:val="009907C7"/>
    <w:rPr>
      <w:vertAlign w:val="superscript"/>
    </w:rPr>
  </w:style>
  <w:style w:type="character" w:customStyle="1" w:styleId="mce2">
    <w:name w:val="mce2"/>
    <w:rsid w:val="009907C7"/>
    <w:rPr>
      <w:rFonts w:ascii="Ubuntu" w:hAnsi="Ubuntu" w:cs="Ubuntu" w:hint="default"/>
      <w:b w:val="0"/>
      <w:bCs w:val="0"/>
      <w:i w:val="0"/>
      <w:iCs w:val="0"/>
      <w:color w:val="333333"/>
      <w:sz w:val="24"/>
      <w:szCs w:val="24"/>
    </w:rPr>
  </w:style>
  <w:style w:type="paragraph" w:customStyle="1" w:styleId="BVIfnrCarCar1Car">
    <w:name w:val="BVI fnr Car Car1 Car"/>
    <w:aliases w:val="BVI fnr Car Car Car,BVI fnr Car Car Car Car1 Car,BVI fnr Car Car Car Car Car Car Car,BVI fnr Car Car Car Car Char Car Car Car Car,BVI fnr Car Car2 Car Car Car,BVI fnr Car Car1"/>
    <w:basedOn w:val="Normal"/>
    <w:uiPriority w:val="99"/>
    <w:rsid w:val="00EF6A9E"/>
    <w:pPr>
      <w:spacing w:after="160" w:line="240" w:lineRule="exact"/>
    </w:pPr>
    <w:rPr>
      <w:rFonts w:ascii="Times New Roman" w:eastAsia="Times New Roman" w:hAnsi="Times New Roman"/>
      <w:sz w:val="20"/>
      <w:szCs w:val="20"/>
      <w:vertAlign w:val="superscript"/>
    </w:rPr>
  </w:style>
  <w:style w:type="paragraph" w:customStyle="1" w:styleId="Char2">
    <w:name w:val="Char2"/>
    <w:basedOn w:val="Normal"/>
    <w:uiPriority w:val="99"/>
    <w:rsid w:val="00007713"/>
    <w:pPr>
      <w:spacing w:after="160" w:line="240" w:lineRule="exact"/>
    </w:pPr>
    <w:rPr>
      <w:rFonts w:ascii="Times New Roman" w:eastAsia="MS Mincho" w:hAnsi="Times New Roman"/>
      <w:sz w:val="20"/>
      <w:szCs w:val="20"/>
      <w:vertAlign w:val="superscript"/>
    </w:rPr>
  </w:style>
  <w:style w:type="paragraph" w:customStyle="1" w:styleId="Numberedparagraphs">
    <w:name w:val="Numbered paragraphs"/>
    <w:basedOn w:val="Normal"/>
    <w:qFormat/>
    <w:rsid w:val="00007713"/>
    <w:pPr>
      <w:numPr>
        <w:numId w:val="4"/>
      </w:numPr>
      <w:spacing w:after="240" w:line="240" w:lineRule="auto"/>
      <w:ind w:left="547" w:hanging="547"/>
      <w:jc w:val="both"/>
    </w:pPr>
    <w:rPr>
      <w:rFonts w:ascii="Cambria" w:hAnsi="Cambria"/>
      <w:sz w:val="20"/>
    </w:rPr>
  </w:style>
  <w:style w:type="paragraph" w:customStyle="1" w:styleId="Citalarga">
    <w:name w:val="Cita larga"/>
    <w:basedOn w:val="Normal"/>
    <w:qFormat/>
    <w:rsid w:val="00007713"/>
    <w:pPr>
      <w:spacing w:after="240" w:line="240" w:lineRule="auto"/>
      <w:ind w:left="1166" w:right="619"/>
      <w:jc w:val="both"/>
    </w:pPr>
    <w:rPr>
      <w:rFonts w:asciiTheme="majorHAnsi" w:eastAsia="MS Mincho" w:hAnsiTheme="majorHAnsi" w:cs="Tahoma"/>
      <w:sz w:val="18"/>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676086">
      <w:bodyDiv w:val="1"/>
      <w:marLeft w:val="0"/>
      <w:marRight w:val="0"/>
      <w:marTop w:val="0"/>
      <w:marBottom w:val="0"/>
      <w:divBdr>
        <w:top w:val="none" w:sz="0" w:space="0" w:color="auto"/>
        <w:left w:val="none" w:sz="0" w:space="0" w:color="auto"/>
        <w:bottom w:val="none" w:sz="0" w:space="0" w:color="auto"/>
        <w:right w:val="none" w:sz="0" w:space="0" w:color="auto"/>
      </w:divBdr>
    </w:div>
    <w:div w:id="666327642">
      <w:bodyDiv w:val="1"/>
      <w:marLeft w:val="0"/>
      <w:marRight w:val="0"/>
      <w:marTop w:val="0"/>
      <w:marBottom w:val="0"/>
      <w:divBdr>
        <w:top w:val="none" w:sz="0" w:space="0" w:color="auto"/>
        <w:left w:val="none" w:sz="0" w:space="0" w:color="auto"/>
        <w:bottom w:val="none" w:sz="0" w:space="0" w:color="auto"/>
        <w:right w:val="none" w:sz="0" w:space="0" w:color="auto"/>
      </w:divBdr>
    </w:div>
    <w:div w:id="1063601096">
      <w:bodyDiv w:val="1"/>
      <w:marLeft w:val="0"/>
      <w:marRight w:val="0"/>
      <w:marTop w:val="0"/>
      <w:marBottom w:val="0"/>
      <w:divBdr>
        <w:top w:val="none" w:sz="0" w:space="0" w:color="auto"/>
        <w:left w:val="none" w:sz="0" w:space="0" w:color="auto"/>
        <w:bottom w:val="none" w:sz="0" w:space="0" w:color="auto"/>
        <w:right w:val="none" w:sz="0" w:space="0" w:color="auto"/>
      </w:divBdr>
    </w:div>
    <w:div w:id="1529560861">
      <w:bodyDiv w:val="1"/>
      <w:marLeft w:val="0"/>
      <w:marRight w:val="0"/>
      <w:marTop w:val="0"/>
      <w:marBottom w:val="0"/>
      <w:divBdr>
        <w:top w:val="none" w:sz="0" w:space="0" w:color="auto"/>
        <w:left w:val="none" w:sz="0" w:space="0" w:color="auto"/>
        <w:bottom w:val="none" w:sz="0" w:space="0" w:color="auto"/>
        <w:right w:val="none" w:sz="0" w:space="0" w:color="auto"/>
      </w:divBdr>
    </w:div>
    <w:div w:id="200547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oas.org/es/cidh/docs/anual/2015/doc-es/GT-Informe-del-Estado2015..pdf" TargetMode="External"/><Relationship Id="rId7" Type="http://schemas.openxmlformats.org/officeDocument/2006/relationships/hyperlink" Target="http://www.oas.org/es/cidh/docs/anual/2015/doc-es/GT-Observaciones-adicionales2015.pdf" TargetMode="External"/><Relationship Id="rId2" Type="http://schemas.openxmlformats.org/officeDocument/2006/relationships/hyperlink" Target="http://www.oas.org/es/cidh/docs/anual/2015/doc-es/GT-Observaciones-adicionales2015.pdf" TargetMode="External"/><Relationship Id="rId1" Type="http://schemas.openxmlformats.org/officeDocument/2006/relationships/hyperlink" Target="http://www.oas.org/es/cidh/docs/anual/2015/doc-es/GT-Informe-del-Estado2015.pdf.pdf" TargetMode="External"/><Relationship Id="rId6" Type="http://schemas.openxmlformats.org/officeDocument/2006/relationships/hyperlink" Target="http://www.oas.org/es/cidh/docs/anual/2015/doc-es/GT-Observaciones-adicionales2015.pdf" TargetMode="External"/><Relationship Id="rId5" Type="http://schemas.openxmlformats.org/officeDocument/2006/relationships/hyperlink" Target="http://www.cicig.org/index.php?mact=News,cntnt01,detail,0&amp;cntnt01articleid=668&amp;cntnt01returnid=534" TargetMode="External"/><Relationship Id="rId4" Type="http://schemas.openxmlformats.org/officeDocument/2006/relationships/hyperlink" Target="http://www.oas.org/es/cidh/prensa/comunicados/2013/066.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ontana\Documents\Eva%20Fontana\GRAFICA%20CIDH\cartas\pruebas\Carta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7784F-D195-4D82-B3A6-E5EA6A3E6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Cartas-es.dotx</Template>
  <TotalTime>3</TotalTime>
  <Pages>7</Pages>
  <Words>3360</Words>
  <Characters>18548</Characters>
  <Application>Microsoft Office Word</Application>
  <DocSecurity>0</DocSecurity>
  <Lines>304</Lines>
  <Paragraphs>51</Paragraphs>
  <ScaleCrop>false</ScaleCrop>
  <HeadingPairs>
    <vt:vector size="2" baseType="variant">
      <vt:variant>
        <vt:lpstr>Title</vt:lpstr>
      </vt:variant>
      <vt:variant>
        <vt:i4>1</vt:i4>
      </vt:variant>
    </vt:vector>
  </HeadingPairs>
  <TitlesOfParts>
    <vt:vector size="1" baseType="lpstr">
      <vt:lpstr>Informe Anual 2015 - Capítulo IV.B Cuba</vt:lpstr>
    </vt:vector>
  </TitlesOfParts>
  <Company/>
  <LinksUpToDate>false</LinksUpToDate>
  <CharactersWithSpaces>21857</CharactersWithSpaces>
  <SharedDoc>false</SharedDoc>
  <HLinks>
    <vt:vector size="1344" baseType="variant">
      <vt:variant>
        <vt:i4>2359317</vt:i4>
      </vt:variant>
      <vt:variant>
        <vt:i4>669</vt:i4>
      </vt:variant>
      <vt:variant>
        <vt:i4>0</vt:i4>
      </vt:variant>
      <vt:variant>
        <vt:i4>5</vt:i4>
      </vt:variant>
      <vt:variant>
        <vt:lpwstr>http://www.paho.org/cub/index.php?option=com_content&amp;view=article&amp;id=470:la-oms-valida-la-eliminacion-de-cuba-de-la-transmision-de-madre-a-hijo-del-vih-y-de-la-sifilis&amp;Itemid=418</vt:lpwstr>
      </vt:variant>
      <vt:variant>
        <vt:lpwstr/>
      </vt:variant>
      <vt:variant>
        <vt:i4>2359304</vt:i4>
      </vt:variant>
      <vt:variant>
        <vt:i4>666</vt:i4>
      </vt:variant>
      <vt:variant>
        <vt:i4>0</vt:i4>
      </vt:variant>
      <vt:variant>
        <vt:i4>5</vt:i4>
      </vt:variant>
      <vt:variant>
        <vt:lpwstr>http://www.paho.org/cub/index.php?option=com_content&amp;view=article&amp;id=470:la-oms-valida-la-eliminacion-de-cuba-de-la-transmision-de-madre-a-hijo-del-vih-y-de-la-sifilis&amp;catid=711:2014-2015-cub-01-vigilancia-y-control-de-enfermedades-trasmisibles&amp;Itemid=418</vt:lpwstr>
      </vt:variant>
      <vt:variant>
        <vt:lpwstr/>
      </vt:variant>
      <vt:variant>
        <vt:i4>2883680</vt:i4>
      </vt:variant>
      <vt:variant>
        <vt:i4>663</vt:i4>
      </vt:variant>
      <vt:variant>
        <vt:i4>0</vt:i4>
      </vt:variant>
      <vt:variant>
        <vt:i4>5</vt:i4>
      </vt:variant>
      <vt:variant>
        <vt:lpwstr>http://blogs.unicef.org/2015/07/10/cuba-un-hito-hacia-una-generacion-libre-de-sida/</vt:lpwstr>
      </vt:variant>
      <vt:variant>
        <vt:lpwstr/>
      </vt:variant>
      <vt:variant>
        <vt:i4>2359317</vt:i4>
      </vt:variant>
      <vt:variant>
        <vt:i4>660</vt:i4>
      </vt:variant>
      <vt:variant>
        <vt:i4>0</vt:i4>
      </vt:variant>
      <vt:variant>
        <vt:i4>5</vt:i4>
      </vt:variant>
      <vt:variant>
        <vt:lpwstr>http://www.paho.org/cub/index.php?option=com_content&amp;view=article&amp;id=470:la-oms-valida-la-eliminacion-de-cuba-de-la-transmision-de-madre-a-hijo-del-vih-y-de-la-sifilis&amp;Itemid=418</vt:lpwstr>
      </vt:variant>
      <vt:variant>
        <vt:lpwstr/>
      </vt:variant>
      <vt:variant>
        <vt:i4>2359304</vt:i4>
      </vt:variant>
      <vt:variant>
        <vt:i4>657</vt:i4>
      </vt:variant>
      <vt:variant>
        <vt:i4>0</vt:i4>
      </vt:variant>
      <vt:variant>
        <vt:i4>5</vt:i4>
      </vt:variant>
      <vt:variant>
        <vt:lpwstr>http://www.paho.org/cub/index.php?option=com_content&amp;view=article&amp;id=470:la-oms-valida-la-eliminacion-de-cuba-de-la-transmision-de-madre-a-hijo-del-vih-y-de-la-sifilis&amp;catid=711:2014-2015-cub-01-vigilancia-y-control-de-enfermedades-trasmisibles&amp;Itemid=418</vt:lpwstr>
      </vt:variant>
      <vt:variant>
        <vt:lpwstr/>
      </vt:variant>
      <vt:variant>
        <vt:i4>5046355</vt:i4>
      </vt:variant>
      <vt:variant>
        <vt:i4>654</vt:i4>
      </vt:variant>
      <vt:variant>
        <vt:i4>0</vt:i4>
      </vt:variant>
      <vt:variant>
        <vt:i4>5</vt:i4>
      </vt:variant>
      <vt:variant>
        <vt:lpwstr>http://www.cubanet.org/noticias/amenazan-con-desalojar-a-familias-en-santa-clara/</vt:lpwstr>
      </vt:variant>
      <vt:variant>
        <vt:lpwstr/>
      </vt:variant>
      <vt:variant>
        <vt:i4>5701695</vt:i4>
      </vt:variant>
      <vt:variant>
        <vt:i4>651</vt:i4>
      </vt:variant>
      <vt:variant>
        <vt:i4>0</vt:i4>
      </vt:variant>
      <vt:variant>
        <vt:i4>5</vt:i4>
      </vt:variant>
      <vt:variant>
        <vt:lpwstr>http://www.directorio.org/comunicadosdeprensa/note.php?note_id=4339</vt:lpwstr>
      </vt:variant>
      <vt:variant>
        <vt:lpwstr/>
      </vt:variant>
      <vt:variant>
        <vt:i4>3735674</vt:i4>
      </vt:variant>
      <vt:variant>
        <vt:i4>648</vt:i4>
      </vt:variant>
      <vt:variant>
        <vt:i4>0</vt:i4>
      </vt:variant>
      <vt:variant>
        <vt:i4>5</vt:i4>
      </vt:variant>
      <vt:variant>
        <vt:lpwstr>http://www.oas.org/es/cidh/multimedia/sesiones/154/default.asp</vt:lpwstr>
      </vt:variant>
      <vt:variant>
        <vt:lpwstr/>
      </vt:variant>
      <vt:variant>
        <vt:i4>3735674</vt:i4>
      </vt:variant>
      <vt:variant>
        <vt:i4>645</vt:i4>
      </vt:variant>
      <vt:variant>
        <vt:i4>0</vt:i4>
      </vt:variant>
      <vt:variant>
        <vt:i4>5</vt:i4>
      </vt:variant>
      <vt:variant>
        <vt:lpwstr>http://www.oas.org/es/cidh/multimedia/sesiones/154/default.asp</vt:lpwstr>
      </vt:variant>
      <vt:variant>
        <vt:lpwstr/>
      </vt:variant>
      <vt:variant>
        <vt:i4>1245265</vt:i4>
      </vt:variant>
      <vt:variant>
        <vt:i4>642</vt:i4>
      </vt:variant>
      <vt:variant>
        <vt:i4>0</vt:i4>
      </vt:variant>
      <vt:variant>
        <vt:i4>5</vt:i4>
      </vt:variant>
      <vt:variant>
        <vt:lpwstr>http://www.unesco.org/new/es/media-services/single-view/news/presentan_en_cuba_informe_de_seguimiento_de_educacion_para_todos_2015/</vt:lpwstr>
      </vt:variant>
      <vt:variant>
        <vt:lpwstr>.VYHp3XlOXcs</vt:lpwstr>
      </vt:variant>
      <vt:variant>
        <vt:i4>589833</vt:i4>
      </vt:variant>
      <vt:variant>
        <vt:i4>639</vt:i4>
      </vt:variant>
      <vt:variant>
        <vt:i4>0</vt:i4>
      </vt:variant>
      <vt:variant>
        <vt:i4>5</vt:i4>
      </vt:variant>
      <vt:variant>
        <vt:lpwstr>http://unesdoc.unesco.org/images/0023/002324/232435s.pdf</vt:lpwstr>
      </vt:variant>
      <vt:variant>
        <vt:lpwstr/>
      </vt:variant>
      <vt:variant>
        <vt:i4>8323151</vt:i4>
      </vt:variant>
      <vt:variant>
        <vt:i4>636</vt:i4>
      </vt:variant>
      <vt:variant>
        <vt:i4>0</vt:i4>
      </vt:variant>
      <vt:variant>
        <vt:i4>5</vt:i4>
      </vt:variant>
      <vt:variant>
        <vt:lpwstr>http://www.mtss.cu/sites/default/files/decretos/codigo_de_trabajo_2.pdf</vt:lpwstr>
      </vt:variant>
      <vt:variant>
        <vt:lpwstr/>
      </vt:variant>
      <vt:variant>
        <vt:i4>1900563</vt:i4>
      </vt:variant>
      <vt:variant>
        <vt:i4>633</vt:i4>
      </vt:variant>
      <vt:variant>
        <vt:i4>0</vt:i4>
      </vt:variant>
      <vt:variant>
        <vt:i4>5</vt:i4>
      </vt:variant>
      <vt:variant>
        <vt:lpwstr>http://www.ilo.org/dyn/normlex/es/f?p=1000:13100:0::NO:13100:P13100_COMMENT_ID:3176731:NO</vt:lpwstr>
      </vt:variant>
      <vt:variant>
        <vt:lpwstr/>
      </vt:variant>
      <vt:variant>
        <vt:i4>2752628</vt:i4>
      </vt:variant>
      <vt:variant>
        <vt:i4>630</vt:i4>
      </vt:variant>
      <vt:variant>
        <vt:i4>0</vt:i4>
      </vt:variant>
      <vt:variant>
        <vt:i4>5</vt:i4>
      </vt:variant>
      <vt:variant>
        <vt:lpwstr>https://freedomhouse.org/report/freedom-world/2015/cuba</vt:lpwstr>
      </vt:variant>
      <vt:variant>
        <vt:lpwstr>.VaQMv3lOXct</vt:lpwstr>
      </vt:variant>
      <vt:variant>
        <vt:i4>1245227</vt:i4>
      </vt:variant>
      <vt:variant>
        <vt:i4>627</vt:i4>
      </vt:variant>
      <vt:variant>
        <vt:i4>0</vt:i4>
      </vt:variant>
      <vt:variant>
        <vt:i4>5</vt:i4>
      </vt:variant>
      <vt:variant>
        <vt:lpwstr>http://www.ilo.org/dyn/normlex/es/f?p=1000:50002:0::NO:50002:P50002_COMPLAINT_TEXT_ID:2907759</vt:lpwstr>
      </vt:variant>
      <vt:variant>
        <vt:lpwstr/>
      </vt:variant>
      <vt:variant>
        <vt:i4>5963844</vt:i4>
      </vt:variant>
      <vt:variant>
        <vt:i4>624</vt:i4>
      </vt:variant>
      <vt:variant>
        <vt:i4>0</vt:i4>
      </vt:variant>
      <vt:variant>
        <vt:i4>5</vt:i4>
      </vt:variant>
      <vt:variant>
        <vt:lpwstr>http://www.fao.org/3/a-i4636s.pdf</vt:lpwstr>
      </vt:variant>
      <vt:variant>
        <vt:lpwstr/>
      </vt:variant>
      <vt:variant>
        <vt:i4>5963844</vt:i4>
      </vt:variant>
      <vt:variant>
        <vt:i4>621</vt:i4>
      </vt:variant>
      <vt:variant>
        <vt:i4>0</vt:i4>
      </vt:variant>
      <vt:variant>
        <vt:i4>5</vt:i4>
      </vt:variant>
      <vt:variant>
        <vt:lpwstr>http://www.fao.org/3/a-i4636s.pdf</vt:lpwstr>
      </vt:variant>
      <vt:variant>
        <vt:lpwstr/>
      </vt:variant>
      <vt:variant>
        <vt:i4>5963844</vt:i4>
      </vt:variant>
      <vt:variant>
        <vt:i4>618</vt:i4>
      </vt:variant>
      <vt:variant>
        <vt:i4>0</vt:i4>
      </vt:variant>
      <vt:variant>
        <vt:i4>5</vt:i4>
      </vt:variant>
      <vt:variant>
        <vt:lpwstr>http://www.fao.org/3/a-i4636s.pdf</vt:lpwstr>
      </vt:variant>
      <vt:variant>
        <vt:lpwstr/>
      </vt:variant>
      <vt:variant>
        <vt:i4>5963844</vt:i4>
      </vt:variant>
      <vt:variant>
        <vt:i4>615</vt:i4>
      </vt:variant>
      <vt:variant>
        <vt:i4>0</vt:i4>
      </vt:variant>
      <vt:variant>
        <vt:i4>5</vt:i4>
      </vt:variant>
      <vt:variant>
        <vt:lpwstr>http://www.fao.org/3/a-i4636s.pdf</vt:lpwstr>
      </vt:variant>
      <vt:variant>
        <vt:lpwstr/>
      </vt:variant>
      <vt:variant>
        <vt:i4>4587537</vt:i4>
      </vt:variant>
      <vt:variant>
        <vt:i4>612</vt:i4>
      </vt:variant>
      <vt:variant>
        <vt:i4>0</vt:i4>
      </vt:variant>
      <vt:variant>
        <vt:i4>5</vt:i4>
      </vt:variant>
      <vt:variant>
        <vt:lpwstr>https://www.cubanet.org/mas-noticias/cubanos-sin-derecho-a-la-privacidad/</vt:lpwstr>
      </vt:variant>
      <vt:variant>
        <vt:lpwstr/>
      </vt:variant>
      <vt:variant>
        <vt:i4>5505096</vt:i4>
      </vt:variant>
      <vt:variant>
        <vt:i4>609</vt:i4>
      </vt:variant>
      <vt:variant>
        <vt:i4>0</vt:i4>
      </vt:variant>
      <vt:variant>
        <vt:i4>5</vt:i4>
      </vt:variant>
      <vt:variant>
        <vt:lpwstr>https://www.cubanet.org/actualidad-destacados/enjuiciar-a-opositores-por-delitos-comunes-estrategia-del-gobierno-cubano/</vt:lpwstr>
      </vt:variant>
      <vt:variant>
        <vt:lpwstr/>
      </vt:variant>
      <vt:variant>
        <vt:i4>5898241</vt:i4>
      </vt:variant>
      <vt:variant>
        <vt:i4>606</vt:i4>
      </vt:variant>
      <vt:variant>
        <vt:i4>0</vt:i4>
      </vt:variant>
      <vt:variant>
        <vt:i4>5</vt:i4>
      </vt:variant>
      <vt:variant>
        <vt:lpwstr>http://www.granma.co/2015/03/sorprendente-mira-por-que-esta-preso-un.html</vt:lpwstr>
      </vt:variant>
      <vt:variant>
        <vt:lpwstr/>
      </vt:variant>
      <vt:variant>
        <vt:i4>2424893</vt:i4>
      </vt:variant>
      <vt:variant>
        <vt:i4>603</vt:i4>
      </vt:variant>
      <vt:variant>
        <vt:i4>0</vt:i4>
      </vt:variant>
      <vt:variant>
        <vt:i4>5</vt:i4>
      </vt:variant>
      <vt:variant>
        <vt:lpwstr>http://www.martinoticias.com/content/reporta-cuba-danilo-maldonado-el-sexto-/97206.html</vt:lpwstr>
      </vt:variant>
      <vt:variant>
        <vt:lpwstr/>
      </vt:variant>
      <vt:variant>
        <vt:i4>65652</vt:i4>
      </vt:variant>
      <vt:variant>
        <vt:i4>600</vt:i4>
      </vt:variant>
      <vt:variant>
        <vt:i4>0</vt:i4>
      </vt:variant>
      <vt:variant>
        <vt:i4>5</vt:i4>
      </vt:variant>
      <vt:variant>
        <vt:lpwstr>http://www.diariodecuba.com/cuba/1419616804_12025.html</vt:lpwstr>
      </vt:variant>
      <vt:variant>
        <vt:lpwstr/>
      </vt:variant>
      <vt:variant>
        <vt:i4>1048636</vt:i4>
      </vt:variant>
      <vt:variant>
        <vt:i4>597</vt:i4>
      </vt:variant>
      <vt:variant>
        <vt:i4>0</vt:i4>
      </vt:variant>
      <vt:variant>
        <vt:i4>5</vt:i4>
      </vt:variant>
      <vt:variant>
        <vt:lpwstr>http://www.diariodecuba.com/derechos-humanos/1435695763_15448.html</vt:lpwstr>
      </vt:variant>
      <vt:variant>
        <vt:lpwstr/>
      </vt:variant>
      <vt:variant>
        <vt:i4>6815862</vt:i4>
      </vt:variant>
      <vt:variant>
        <vt:i4>594</vt:i4>
      </vt:variant>
      <vt:variant>
        <vt:i4>0</vt:i4>
      </vt:variant>
      <vt:variant>
        <vt:i4>5</vt:i4>
      </vt:variant>
      <vt:variant>
        <vt:lpwstr>http://centrocubalex.com/2015/03/25/cuba-artista-encarcelado-por-pintar-los-nombres-fidel-y-raul-en-dos-puerquitos/</vt:lpwstr>
      </vt:variant>
      <vt:variant>
        <vt:lpwstr/>
      </vt:variant>
      <vt:variant>
        <vt:i4>1900632</vt:i4>
      </vt:variant>
      <vt:variant>
        <vt:i4>591</vt:i4>
      </vt:variant>
      <vt:variant>
        <vt:i4>0</vt:i4>
      </vt:variant>
      <vt:variant>
        <vt:i4>5</vt:i4>
      </vt:variant>
      <vt:variant>
        <vt:lpwstr>http://delsexto.blogspot.com/</vt:lpwstr>
      </vt:variant>
      <vt:variant>
        <vt:lpwstr/>
      </vt:variant>
      <vt:variant>
        <vt:i4>1441821</vt:i4>
      </vt:variant>
      <vt:variant>
        <vt:i4>588</vt:i4>
      </vt:variant>
      <vt:variant>
        <vt:i4>0</vt:i4>
      </vt:variant>
      <vt:variant>
        <vt:i4>5</vt:i4>
      </vt:variant>
      <vt:variant>
        <vt:lpwstr>http://www.abc.es/internacional/20150625/abci-preso-intentar-performance-cerdos-201506232126.html</vt:lpwstr>
      </vt:variant>
      <vt:variant>
        <vt:lpwstr/>
      </vt:variant>
      <vt:variant>
        <vt:i4>1507384</vt:i4>
      </vt:variant>
      <vt:variant>
        <vt:i4>585</vt:i4>
      </vt:variant>
      <vt:variant>
        <vt:i4>0</vt:i4>
      </vt:variant>
      <vt:variant>
        <vt:i4>5</vt:i4>
      </vt:variant>
      <vt:variant>
        <vt:lpwstr>http://www.diariodecuba.com/derechos-humanos/1432139470_14683.html</vt:lpwstr>
      </vt:variant>
      <vt:variant>
        <vt:lpwstr/>
      </vt:variant>
      <vt:variant>
        <vt:i4>7602232</vt:i4>
      </vt:variant>
      <vt:variant>
        <vt:i4>582</vt:i4>
      </vt:variant>
      <vt:variant>
        <vt:i4>0</vt:i4>
      </vt:variant>
      <vt:variant>
        <vt:i4>5</vt:i4>
      </vt:variant>
      <vt:variant>
        <vt:lpwstr>http://iclep.org/alerta-el-regimen-desarrolla-intensa-represion-contra-periodistas-ciudadanos-de-iclep/</vt:lpwstr>
      </vt:variant>
      <vt:variant>
        <vt:lpwstr/>
      </vt:variant>
      <vt:variant>
        <vt:i4>3473450</vt:i4>
      </vt:variant>
      <vt:variant>
        <vt:i4>579</vt:i4>
      </vt:variant>
      <vt:variant>
        <vt:i4>0</vt:i4>
      </vt:variant>
      <vt:variant>
        <vt:i4>5</vt:i4>
      </vt:variant>
      <vt:variant>
        <vt:lpwstr>https://www.cubanet.org/noticias/intensa-represion-contra-periodistas-ciudadanos-de-iclep/</vt:lpwstr>
      </vt:variant>
      <vt:variant>
        <vt:lpwstr/>
      </vt:variant>
      <vt:variant>
        <vt:i4>65619</vt:i4>
      </vt:variant>
      <vt:variant>
        <vt:i4>576</vt:i4>
      </vt:variant>
      <vt:variant>
        <vt:i4>0</vt:i4>
      </vt:variant>
      <vt:variant>
        <vt:i4>5</vt:i4>
      </vt:variant>
      <vt:variant>
        <vt:lpwstr>http://www.cihpress.com/2015/08/informe-sobre-detenciones-arbitrarias-y.html</vt:lpwstr>
      </vt:variant>
      <vt:variant>
        <vt:lpwstr/>
      </vt:variant>
      <vt:variant>
        <vt:i4>5832733</vt:i4>
      </vt:variant>
      <vt:variant>
        <vt:i4>573</vt:i4>
      </vt:variant>
      <vt:variant>
        <vt:i4>0</vt:i4>
      </vt:variant>
      <vt:variant>
        <vt:i4>5</vt:i4>
      </vt:variant>
      <vt:variant>
        <vt:lpwstr>https://www.cubanet.org/noticias/ensangrentado-domingo-de-represion/</vt:lpwstr>
      </vt:variant>
      <vt:variant>
        <vt:lpwstr/>
      </vt:variant>
      <vt:variant>
        <vt:i4>1114200</vt:i4>
      </vt:variant>
      <vt:variant>
        <vt:i4>570</vt:i4>
      </vt:variant>
      <vt:variant>
        <vt:i4>0</vt:i4>
      </vt:variant>
      <vt:variant>
        <vt:i4>5</vt:i4>
      </vt:variant>
      <vt:variant>
        <vt:lpwstr>https://www.cubanet.org/noticias/damas-de-blanco-y-activistas-detenidos-en-otro-domingo-de-represion/</vt:lpwstr>
      </vt:variant>
      <vt:variant>
        <vt:lpwstr/>
      </vt:variant>
      <vt:variant>
        <vt:i4>6225991</vt:i4>
      </vt:variant>
      <vt:variant>
        <vt:i4>567</vt:i4>
      </vt:variant>
      <vt:variant>
        <vt:i4>0</vt:i4>
      </vt:variant>
      <vt:variant>
        <vt:i4>5</vt:i4>
      </vt:variant>
      <vt:variant>
        <vt:lpwstr>http://www.martinoticias.com/content/reporta-cuba-reporteros-independientes-acosados-detenidos-reprimidos/99819.html</vt:lpwstr>
      </vt:variant>
      <vt:variant>
        <vt:lpwstr/>
      </vt:variant>
      <vt:variant>
        <vt:i4>7733271</vt:i4>
      </vt:variant>
      <vt:variant>
        <vt:i4>564</vt:i4>
      </vt:variant>
      <vt:variant>
        <vt:i4>0</vt:i4>
      </vt:variant>
      <vt:variant>
        <vt:i4>5</vt:i4>
      </vt:variant>
      <vt:variant>
        <vt:lpwstr>http://damasdeblanco.org/images/stories/2015/InformeTrimDB05a07_2015.pdf</vt:lpwstr>
      </vt:variant>
      <vt:variant>
        <vt:lpwstr/>
      </vt:variant>
      <vt:variant>
        <vt:i4>262150</vt:i4>
      </vt:variant>
      <vt:variant>
        <vt:i4>561</vt:i4>
      </vt:variant>
      <vt:variant>
        <vt:i4>0</vt:i4>
      </vt:variant>
      <vt:variant>
        <vt:i4>5</vt:i4>
      </vt:variant>
      <vt:variant>
        <vt:lpwstr>https://www.cubanet.org/actualidad-destacados/cronica-de-un-performance-que-termino-en-la-carcel/</vt:lpwstr>
      </vt:variant>
      <vt:variant>
        <vt:lpwstr/>
      </vt:variant>
      <vt:variant>
        <vt:i4>65619</vt:i4>
      </vt:variant>
      <vt:variant>
        <vt:i4>558</vt:i4>
      </vt:variant>
      <vt:variant>
        <vt:i4>0</vt:i4>
      </vt:variant>
      <vt:variant>
        <vt:i4>5</vt:i4>
      </vt:variant>
      <vt:variant>
        <vt:lpwstr>http://www.cihpress.com/2015/08/informe-sobre-detenciones-arbitrarias-y.html</vt:lpwstr>
      </vt:variant>
      <vt:variant>
        <vt:lpwstr/>
      </vt:variant>
      <vt:variant>
        <vt:i4>6422652</vt:i4>
      </vt:variant>
      <vt:variant>
        <vt:i4>555</vt:i4>
      </vt:variant>
      <vt:variant>
        <vt:i4>0</vt:i4>
      </vt:variant>
      <vt:variant>
        <vt:i4>5</vt:i4>
      </vt:variant>
      <vt:variant>
        <vt:lpwstr>https://www.cubanet.org/noticias/devuelven-equipos-wi-fi-decomisados-en-sonado-operativo-policial/</vt:lpwstr>
      </vt:variant>
      <vt:variant>
        <vt:lpwstr/>
      </vt:variant>
      <vt:variant>
        <vt:i4>6488172</vt:i4>
      </vt:variant>
      <vt:variant>
        <vt:i4>552</vt:i4>
      </vt:variant>
      <vt:variant>
        <vt:i4>0</vt:i4>
      </vt:variant>
      <vt:variant>
        <vt:i4>5</vt:i4>
      </vt:variant>
      <vt:variant>
        <vt:lpwstr>https://www.cubanet.org/mas-noticias/golpeados-y-detenidos-dos-miembros-de-unpacu-en-caimanera/</vt:lpwstr>
      </vt:variant>
      <vt:variant>
        <vt:lpwstr/>
      </vt:variant>
      <vt:variant>
        <vt:i4>3211299</vt:i4>
      </vt:variant>
      <vt:variant>
        <vt:i4>549</vt:i4>
      </vt:variant>
      <vt:variant>
        <vt:i4>0</vt:i4>
      </vt:variant>
      <vt:variant>
        <vt:i4>5</vt:i4>
      </vt:variant>
      <vt:variant>
        <vt:lpwstr>http://www.martinoticias.com/media/photogallery/96662.html</vt:lpwstr>
      </vt:variant>
      <vt:variant>
        <vt:lpwstr/>
      </vt:variant>
      <vt:variant>
        <vt:i4>5767171</vt:i4>
      </vt:variant>
      <vt:variant>
        <vt:i4>546</vt:i4>
      </vt:variant>
      <vt:variant>
        <vt:i4>0</vt:i4>
      </vt:variant>
      <vt:variant>
        <vt:i4>5</vt:i4>
      </vt:variant>
      <vt:variant>
        <vt:lpwstr>https://www.cubanet.org/noticias/apaleado-dirigente-de-unpacu-en-guantanamo/</vt:lpwstr>
      </vt:variant>
      <vt:variant>
        <vt:lpwstr/>
      </vt:variant>
      <vt:variant>
        <vt:i4>3670051</vt:i4>
      </vt:variant>
      <vt:variant>
        <vt:i4>543</vt:i4>
      </vt:variant>
      <vt:variant>
        <vt:i4>0</vt:i4>
      </vt:variant>
      <vt:variant>
        <vt:i4>5</vt:i4>
      </vt:variant>
      <vt:variant>
        <vt:lpwstr>http://iclep.org/wp-content/uploads/2015/08/Informe-de-la-CCDHRN-Julio-2015.pdf</vt:lpwstr>
      </vt:variant>
      <vt:variant>
        <vt:lpwstr/>
      </vt:variant>
      <vt:variant>
        <vt:i4>3539070</vt:i4>
      </vt:variant>
      <vt:variant>
        <vt:i4>540</vt:i4>
      </vt:variant>
      <vt:variant>
        <vt:i4>0</vt:i4>
      </vt:variant>
      <vt:variant>
        <vt:i4>5</vt:i4>
      </vt:variant>
      <vt:variant>
        <vt:lpwstr>https://www.youtube.com/watch?v=KbAp1nNtDac</vt:lpwstr>
      </vt:variant>
      <vt:variant>
        <vt:lpwstr/>
      </vt:variant>
      <vt:variant>
        <vt:i4>3604534</vt:i4>
      </vt:variant>
      <vt:variant>
        <vt:i4>537</vt:i4>
      </vt:variant>
      <vt:variant>
        <vt:i4>0</vt:i4>
      </vt:variant>
      <vt:variant>
        <vt:i4>5</vt:i4>
      </vt:variant>
      <vt:variant>
        <vt:lpwstr>http://www.martinoticias.com/content/reporta-cuba-arrestan-golpean-periodista-independiente/101169.html</vt:lpwstr>
      </vt:variant>
      <vt:variant>
        <vt:lpwstr/>
      </vt:variant>
      <vt:variant>
        <vt:i4>1966141</vt:i4>
      </vt:variant>
      <vt:variant>
        <vt:i4>534</vt:i4>
      </vt:variant>
      <vt:variant>
        <vt:i4>0</vt:i4>
      </vt:variant>
      <vt:variant>
        <vt:i4>5</vt:i4>
      </vt:variant>
      <vt:variant>
        <vt:lpwstr>http://www.diariodecuba.com/derechos-humanos/1434715292_15242.html</vt:lpwstr>
      </vt:variant>
      <vt:variant>
        <vt:lpwstr/>
      </vt:variant>
      <vt:variant>
        <vt:i4>7143542</vt:i4>
      </vt:variant>
      <vt:variant>
        <vt:i4>531</vt:i4>
      </vt:variant>
      <vt:variant>
        <vt:i4>0</vt:i4>
      </vt:variant>
      <vt:variant>
        <vt:i4>5</vt:i4>
      </vt:variant>
      <vt:variant>
        <vt:lpwstr>http://cubaenvivo.net/2015/06/23/carta-abierta-del-periodista-independiente-lazaro-yuri-valle-roca/</vt:lpwstr>
      </vt:variant>
      <vt:variant>
        <vt:lpwstr/>
      </vt:variant>
      <vt:variant>
        <vt:i4>1769551</vt:i4>
      </vt:variant>
      <vt:variant>
        <vt:i4>528</vt:i4>
      </vt:variant>
      <vt:variant>
        <vt:i4>0</vt:i4>
      </vt:variant>
      <vt:variant>
        <vt:i4>5</vt:i4>
      </vt:variant>
      <vt:variant>
        <vt:lpwstr>http://www.diariolasamericas.com/4847_cuba/3177947_la-sip-expresa-preocupacion-por-el-acoso-que-sufren-periodistas-cubanos.html</vt:lpwstr>
      </vt:variant>
      <vt:variant>
        <vt:lpwstr/>
      </vt:variant>
      <vt:variant>
        <vt:i4>5505029</vt:i4>
      </vt:variant>
      <vt:variant>
        <vt:i4>525</vt:i4>
      </vt:variant>
      <vt:variant>
        <vt:i4>0</vt:i4>
      </vt:variant>
      <vt:variant>
        <vt:i4>5</vt:i4>
      </vt:variant>
      <vt:variant>
        <vt:lpwstr>http://www.sipiapa.org/me-siento-como-un-reportero-de-guerra-dijo-lazaro-yuri-valle-roca/</vt:lpwstr>
      </vt:variant>
      <vt:variant>
        <vt:lpwstr/>
      </vt:variant>
      <vt:variant>
        <vt:i4>1900600</vt:i4>
      </vt:variant>
      <vt:variant>
        <vt:i4>522</vt:i4>
      </vt:variant>
      <vt:variant>
        <vt:i4>0</vt:i4>
      </vt:variant>
      <vt:variant>
        <vt:i4>5</vt:i4>
      </vt:variant>
      <vt:variant>
        <vt:lpwstr>http://www.diariodecuba.com/derechos-humanos/1432425294_14751.html</vt:lpwstr>
      </vt:variant>
      <vt:variant>
        <vt:lpwstr/>
      </vt:variant>
      <vt:variant>
        <vt:i4>7733360</vt:i4>
      </vt:variant>
      <vt:variant>
        <vt:i4>519</vt:i4>
      </vt:variant>
      <vt:variant>
        <vt:i4>0</vt:i4>
      </vt:variant>
      <vt:variant>
        <vt:i4>5</vt:i4>
      </vt:variant>
      <vt:variant>
        <vt:lpwstr>https://www.cubanet.org/mas-noticias/autoridades-del-aeropuerto-jose-marti-detuvieron-a-periodistas-independientes/</vt:lpwstr>
      </vt:variant>
      <vt:variant>
        <vt:lpwstr/>
      </vt:variant>
      <vt:variant>
        <vt:i4>3735654</vt:i4>
      </vt:variant>
      <vt:variant>
        <vt:i4>516</vt:i4>
      </vt:variant>
      <vt:variant>
        <vt:i4>0</vt:i4>
      </vt:variant>
      <vt:variant>
        <vt:i4>5</vt:i4>
      </vt:variant>
      <vt:variant>
        <vt:lpwstr>http://ccdhrn.org/wp-content/uploads/OVERVIEW-MAYO-2015.pdf</vt:lpwstr>
      </vt:variant>
      <vt:variant>
        <vt:lpwstr/>
      </vt:variant>
      <vt:variant>
        <vt:i4>393223</vt:i4>
      </vt:variant>
      <vt:variant>
        <vt:i4>513</vt:i4>
      </vt:variant>
      <vt:variant>
        <vt:i4>0</vt:i4>
      </vt:variant>
      <vt:variant>
        <vt:i4>5</vt:i4>
      </vt:variant>
      <vt:variant>
        <vt:lpwstr>http://ccdhrn.org/wp-content/uploads/2015.03-CCDHRN1.pdf</vt:lpwstr>
      </vt:variant>
      <vt:variant>
        <vt:lpwstr/>
      </vt:variant>
      <vt:variant>
        <vt:i4>458759</vt:i4>
      </vt:variant>
      <vt:variant>
        <vt:i4>510</vt:i4>
      </vt:variant>
      <vt:variant>
        <vt:i4>0</vt:i4>
      </vt:variant>
      <vt:variant>
        <vt:i4>5</vt:i4>
      </vt:variant>
      <vt:variant>
        <vt:lpwstr>http://ccdhrn.org/wp-content/uploads/2015.01-CCDHRN2.pdf</vt:lpwstr>
      </vt:variant>
      <vt:variant>
        <vt:lpwstr/>
      </vt:variant>
      <vt:variant>
        <vt:i4>7995496</vt:i4>
      </vt:variant>
      <vt:variant>
        <vt:i4>507</vt:i4>
      </vt:variant>
      <vt:variant>
        <vt:i4>0</vt:i4>
      </vt:variant>
      <vt:variant>
        <vt:i4>5</vt:i4>
      </vt:variant>
      <vt:variant>
        <vt:lpwstr>http://ccdhrn.org/wp-content/uploads/2015.04-CCDHRNpdf1.pdf</vt:lpwstr>
      </vt:variant>
      <vt:variant>
        <vt:lpwstr/>
      </vt:variant>
      <vt:variant>
        <vt:i4>2424955</vt:i4>
      </vt:variant>
      <vt:variant>
        <vt:i4>504</vt:i4>
      </vt:variant>
      <vt:variant>
        <vt:i4>0</vt:i4>
      </vt:variant>
      <vt:variant>
        <vt:i4>5</vt:i4>
      </vt:variant>
      <vt:variant>
        <vt:lpwstr>http://www.martinoticias.com/content/reporteros-sin-fronteras-denuncia-arresto-de-periodista-holguinero/88925.html</vt:lpwstr>
      </vt:variant>
      <vt:variant>
        <vt:lpwstr/>
      </vt:variant>
      <vt:variant>
        <vt:i4>7405617</vt:i4>
      </vt:variant>
      <vt:variant>
        <vt:i4>501</vt:i4>
      </vt:variant>
      <vt:variant>
        <vt:i4>0</vt:i4>
      </vt:variant>
      <vt:variant>
        <vt:i4>5</vt:i4>
      </vt:variant>
      <vt:variant>
        <vt:lpwstr>http://es.rsf.org/cuba-detienen-a-un-corresponsal-de-17-03-2015,47691.html</vt:lpwstr>
      </vt:variant>
      <vt:variant>
        <vt:lpwstr/>
      </vt:variant>
      <vt:variant>
        <vt:i4>131154</vt:i4>
      </vt:variant>
      <vt:variant>
        <vt:i4>498</vt:i4>
      </vt:variant>
      <vt:variant>
        <vt:i4>0</vt:i4>
      </vt:variant>
      <vt:variant>
        <vt:i4>5</vt:i4>
      </vt:variant>
      <vt:variant>
        <vt:lpwstr>https://www.cubanet.org/noticias/damas-de-blanco-rompen-esquema-represivo-de-la-seguridad-del-estado/</vt:lpwstr>
      </vt:variant>
      <vt:variant>
        <vt:lpwstr/>
      </vt:variant>
      <vt:variant>
        <vt:i4>7733271</vt:i4>
      </vt:variant>
      <vt:variant>
        <vt:i4>495</vt:i4>
      </vt:variant>
      <vt:variant>
        <vt:i4>0</vt:i4>
      </vt:variant>
      <vt:variant>
        <vt:i4>5</vt:i4>
      </vt:variant>
      <vt:variant>
        <vt:lpwstr>http://damasdeblanco.org/images/stories/2015/InformeTrimDB05a07_2015.pdf</vt:lpwstr>
      </vt:variant>
      <vt:variant>
        <vt:lpwstr/>
      </vt:variant>
      <vt:variant>
        <vt:i4>917510</vt:i4>
      </vt:variant>
      <vt:variant>
        <vt:i4>492</vt:i4>
      </vt:variant>
      <vt:variant>
        <vt:i4>0</vt:i4>
      </vt:variant>
      <vt:variant>
        <vt:i4>5</vt:i4>
      </vt:variant>
      <vt:variant>
        <vt:lpwstr>https://www.cubanet.org/noticias/fin-de-performance-y-arresto-a-tania-bruguera-en-jornada-represiva/</vt:lpwstr>
      </vt:variant>
      <vt:variant>
        <vt:lpwstr/>
      </vt:variant>
      <vt:variant>
        <vt:i4>4325467</vt:i4>
      </vt:variant>
      <vt:variant>
        <vt:i4>489</vt:i4>
      </vt:variant>
      <vt:variant>
        <vt:i4>0</vt:i4>
      </vt:variant>
      <vt:variant>
        <vt:i4>5</vt:i4>
      </vt:variant>
      <vt:variant>
        <vt:lpwstr>http://www.bbc.com/mundo/noticias/2014/12/141230_tania_bruguera_evento_performance_habana_wbm</vt:lpwstr>
      </vt:variant>
      <vt:variant>
        <vt:lpwstr/>
      </vt:variant>
      <vt:variant>
        <vt:i4>7340134</vt:i4>
      </vt:variant>
      <vt:variant>
        <vt:i4>486</vt:i4>
      </vt:variant>
      <vt:variant>
        <vt:i4>0</vt:i4>
      </vt:variant>
      <vt:variant>
        <vt:i4>5</vt:i4>
      </vt:variant>
      <vt:variant>
        <vt:lpwstr>http://www.martinoticias.com/content/liberada-tania-bruguera-segundo-arresto/83491.html</vt:lpwstr>
      </vt:variant>
      <vt:variant>
        <vt:lpwstr/>
      </vt:variant>
      <vt:variant>
        <vt:i4>3801111</vt:i4>
      </vt:variant>
      <vt:variant>
        <vt:i4>483</vt:i4>
      </vt:variant>
      <vt:variant>
        <vt:i4>0</vt:i4>
      </vt:variant>
      <vt:variant>
        <vt:i4>5</vt:i4>
      </vt:variant>
      <vt:variant>
        <vt:lpwstr>http://www.bbc.com/mundo/ultimas_noticias/2015/01/150102_ultnot_tania_bruguera_arrestan</vt:lpwstr>
      </vt:variant>
      <vt:variant>
        <vt:lpwstr/>
      </vt:variant>
      <vt:variant>
        <vt:i4>1704013</vt:i4>
      </vt:variant>
      <vt:variant>
        <vt:i4>480</vt:i4>
      </vt:variant>
      <vt:variant>
        <vt:i4>0</vt:i4>
      </vt:variant>
      <vt:variant>
        <vt:i4>5</vt:i4>
      </vt:variant>
      <vt:variant>
        <vt:lpwstr>http://www.cihpress.com/2015/03/bruguera-denuncia-la-falta-de-libertad.html</vt:lpwstr>
      </vt:variant>
      <vt:variant>
        <vt:lpwstr>.VZsL_Rt_NBd</vt:lpwstr>
      </vt:variant>
      <vt:variant>
        <vt:i4>3014689</vt:i4>
      </vt:variant>
      <vt:variant>
        <vt:i4>477</vt:i4>
      </vt:variant>
      <vt:variant>
        <vt:i4>0</vt:i4>
      </vt:variant>
      <vt:variant>
        <vt:i4>5</vt:i4>
      </vt:variant>
      <vt:variant>
        <vt:lpwstr>http://www.martinoticias.com/media/video/cuba-tania-bruguera-lectura-texto-hannah-arendt-la-bienal-/94816.html</vt:lpwstr>
      </vt:variant>
      <vt:variant>
        <vt:lpwstr/>
      </vt:variant>
      <vt:variant>
        <vt:i4>7995497</vt:i4>
      </vt:variant>
      <vt:variant>
        <vt:i4>474</vt:i4>
      </vt:variant>
      <vt:variant>
        <vt:i4>0</vt:i4>
      </vt:variant>
      <vt:variant>
        <vt:i4>5</vt:i4>
      </vt:variant>
      <vt:variant>
        <vt:lpwstr>https://www.cubanet.org/destacados/la-internet-en-manos-de-revendedores-video/</vt:lpwstr>
      </vt:variant>
      <vt:variant>
        <vt:lpwstr/>
      </vt:variant>
      <vt:variant>
        <vt:i4>6160458</vt:i4>
      </vt:variant>
      <vt:variant>
        <vt:i4>471</vt:i4>
      </vt:variant>
      <vt:variant>
        <vt:i4>0</vt:i4>
      </vt:variant>
      <vt:variant>
        <vt:i4>5</vt:i4>
      </vt:variant>
      <vt:variant>
        <vt:lpwstr>https://www.cubanet.org/noticias/posible-restriccion-al-acceso-wifi/</vt:lpwstr>
      </vt:variant>
      <vt:variant>
        <vt:lpwstr/>
      </vt:variant>
      <vt:variant>
        <vt:i4>5505032</vt:i4>
      </vt:variant>
      <vt:variant>
        <vt:i4>468</vt:i4>
      </vt:variant>
      <vt:variant>
        <vt:i4>0</vt:i4>
      </vt:variant>
      <vt:variant>
        <vt:i4>5</vt:i4>
      </vt:variant>
      <vt:variant>
        <vt:lpwstr>http://www.reuters.com/article/2015/07/02/us-cuba-internet-idUSKCN0PC2JB20150702</vt:lpwstr>
      </vt:variant>
      <vt:variant>
        <vt:lpwstr/>
      </vt:variant>
      <vt:variant>
        <vt:i4>4194368</vt:i4>
      </vt:variant>
      <vt:variant>
        <vt:i4>465</vt:i4>
      </vt:variant>
      <vt:variant>
        <vt:i4>0</vt:i4>
      </vt:variant>
      <vt:variant>
        <vt:i4>5</vt:i4>
      </vt:variant>
      <vt:variant>
        <vt:lpwstr>http://hipertextual.com/2015/07/cuba-wifi</vt:lpwstr>
      </vt:variant>
      <vt:variant>
        <vt:lpwstr/>
      </vt:variant>
      <vt:variant>
        <vt:i4>8192121</vt:i4>
      </vt:variant>
      <vt:variant>
        <vt:i4>462</vt:i4>
      </vt:variant>
      <vt:variant>
        <vt:i4>0</vt:i4>
      </vt:variant>
      <vt:variant>
        <vt:i4>5</vt:i4>
      </vt:variant>
      <vt:variant>
        <vt:lpwstr>http://www.martinoticias.com/content/etecsa-ofrece-wifi-gratis-habaneros/98006.html</vt:lpwstr>
      </vt:variant>
      <vt:variant>
        <vt:lpwstr/>
      </vt:variant>
      <vt:variant>
        <vt:i4>2228273</vt:i4>
      </vt:variant>
      <vt:variant>
        <vt:i4>459</vt:i4>
      </vt:variant>
      <vt:variant>
        <vt:i4>0</vt:i4>
      </vt:variant>
      <vt:variant>
        <vt:i4>5</vt:i4>
      </vt:variant>
      <vt:variant>
        <vt:lpwstr>http://www.efe.com/efe/america/tecnologia/los-cubanos-cuentan-desde-hoy-con-35-zonas-de-internet-wifi/20000036-2654323</vt:lpwstr>
      </vt:variant>
      <vt:variant>
        <vt:lpwstr/>
      </vt:variant>
      <vt:variant>
        <vt:i4>6946916</vt:i4>
      </vt:variant>
      <vt:variant>
        <vt:i4>456</vt:i4>
      </vt:variant>
      <vt:variant>
        <vt:i4>0</vt:i4>
      </vt:variant>
      <vt:variant>
        <vt:i4>5</vt:i4>
      </vt:variant>
      <vt:variant>
        <vt:lpwstr>http://www.lacapital.com.ar/el-mundo/Red-wi-fi-publica-el-nuevo-servicio-que-entusiasma-en-Cuba-20150703-0021.html</vt:lpwstr>
      </vt:variant>
      <vt:variant>
        <vt:lpwstr/>
      </vt:variant>
      <vt:variant>
        <vt:i4>7733367</vt:i4>
      </vt:variant>
      <vt:variant>
        <vt:i4>453</vt:i4>
      </vt:variant>
      <vt:variant>
        <vt:i4>0</vt:i4>
      </vt:variant>
      <vt:variant>
        <vt:i4>5</vt:i4>
      </vt:variant>
      <vt:variant>
        <vt:lpwstr>http://www.infolatam.com/2015/07/05/los-cubanos-estrenan-entusiasmados-sus-nuevos-espacios-wifi-en-zonas-publicas/</vt:lpwstr>
      </vt:variant>
      <vt:variant>
        <vt:lpwstr/>
      </vt:variant>
      <vt:variant>
        <vt:i4>7340131</vt:i4>
      </vt:variant>
      <vt:variant>
        <vt:i4>450</vt:i4>
      </vt:variant>
      <vt:variant>
        <vt:i4>0</vt:i4>
      </vt:variant>
      <vt:variant>
        <vt:i4>5</vt:i4>
      </vt:variant>
      <vt:variant>
        <vt:lpwstr>https://www.cubanet.org/mas-noticias/la-red-de-bibliotecas-civicas-comunitarias-se-reorganiza/</vt:lpwstr>
      </vt:variant>
      <vt:variant>
        <vt:lpwstr/>
      </vt:variant>
      <vt:variant>
        <vt:i4>1179674</vt:i4>
      </vt:variant>
      <vt:variant>
        <vt:i4>447</vt:i4>
      </vt:variant>
      <vt:variant>
        <vt:i4>0</vt:i4>
      </vt:variant>
      <vt:variant>
        <vt:i4>5</vt:i4>
      </vt:variant>
      <vt:variant>
        <vt:lpwstr>https://www.cubanet.org/mas-noticias/periodismo-cubano-la-libertad-de-expresion-es-todavia-un-sueno/</vt:lpwstr>
      </vt:variant>
      <vt:variant>
        <vt:lpwstr/>
      </vt:variant>
      <vt:variant>
        <vt:i4>1441881</vt:i4>
      </vt:variant>
      <vt:variant>
        <vt:i4>444</vt:i4>
      </vt:variant>
      <vt:variant>
        <vt:i4>0</vt:i4>
      </vt:variant>
      <vt:variant>
        <vt:i4>5</vt:i4>
      </vt:variant>
      <vt:variant>
        <vt:lpwstr>http://www.oas.org/es/cidh/expresion/docs/informes/anuales/Informe%20Anual%202014.pdf</vt:lpwstr>
      </vt:variant>
      <vt:variant>
        <vt:lpwstr/>
      </vt:variant>
      <vt:variant>
        <vt:i4>2097276</vt:i4>
      </vt:variant>
      <vt:variant>
        <vt:i4>441</vt:i4>
      </vt:variant>
      <vt:variant>
        <vt:i4>0</vt:i4>
      </vt:variant>
      <vt:variant>
        <vt:i4>5</vt:i4>
      </vt:variant>
      <vt:variant>
        <vt:lpwstr>http://www.cihpress.com/2015/05/crisis-en-carceles-del-oriente-cubano.html</vt:lpwstr>
      </vt:variant>
      <vt:variant>
        <vt:lpwstr>.VYiNj3lOX5o</vt:lpwstr>
      </vt:variant>
      <vt:variant>
        <vt:i4>1572886</vt:i4>
      </vt:variant>
      <vt:variant>
        <vt:i4>438</vt:i4>
      </vt:variant>
      <vt:variant>
        <vt:i4>0</vt:i4>
      </vt:variant>
      <vt:variant>
        <vt:i4>5</vt:i4>
      </vt:variant>
      <vt:variant>
        <vt:lpwstr>http://www.cihpress.com/2015/05/brote-diarreico-en-prision-de-la-habana.html</vt:lpwstr>
      </vt:variant>
      <vt:variant>
        <vt:lpwstr>.VYiO8nlOX5o</vt:lpwstr>
      </vt:variant>
      <vt:variant>
        <vt:i4>1572886</vt:i4>
      </vt:variant>
      <vt:variant>
        <vt:i4>435</vt:i4>
      </vt:variant>
      <vt:variant>
        <vt:i4>0</vt:i4>
      </vt:variant>
      <vt:variant>
        <vt:i4>5</vt:i4>
      </vt:variant>
      <vt:variant>
        <vt:lpwstr>http://www.cihpress.com/2015/05/brote-diarreico-en-prision-de-la-habana.html</vt:lpwstr>
      </vt:variant>
      <vt:variant>
        <vt:lpwstr>.VYiO8nlOX5o</vt:lpwstr>
      </vt:variant>
      <vt:variant>
        <vt:i4>5439556</vt:i4>
      </vt:variant>
      <vt:variant>
        <vt:i4>432</vt:i4>
      </vt:variant>
      <vt:variant>
        <vt:i4>0</vt:i4>
      </vt:variant>
      <vt:variant>
        <vt:i4>5</vt:i4>
      </vt:variant>
      <vt:variant>
        <vt:lpwstr>http://observacuba.org/declaran-cuarentena-medica-por-epidemia-de-colera-en-prisiones-de-villa-clara/</vt:lpwstr>
      </vt:variant>
      <vt:variant>
        <vt:lpwstr/>
      </vt:variant>
      <vt:variant>
        <vt:i4>196697</vt:i4>
      </vt:variant>
      <vt:variant>
        <vt:i4>429</vt:i4>
      </vt:variant>
      <vt:variant>
        <vt:i4>0</vt:i4>
      </vt:variant>
      <vt:variant>
        <vt:i4>5</vt:i4>
      </vt:variant>
      <vt:variant>
        <vt:lpwstr>http://observacuba.org/el-ano-2014-cierra-con-un-notable-crecimiento-de-muertes-por-suicidio-en-el-interior-de-las-prisiones-cubanas/</vt:lpwstr>
      </vt:variant>
      <vt:variant>
        <vt:lpwstr/>
      </vt:variant>
      <vt:variant>
        <vt:i4>2555959</vt:i4>
      </vt:variant>
      <vt:variant>
        <vt:i4>426</vt:i4>
      </vt:variant>
      <vt:variant>
        <vt:i4>0</vt:i4>
      </vt:variant>
      <vt:variant>
        <vt:i4>5</vt:i4>
      </vt:variant>
      <vt:variant>
        <vt:lpwstr>http://observacuba.org/sosa-fortuny-el-hambre-continua-siendo-uno-de-los-metodos-de-tortura-mas-crueles-empleados-en-las-prisiones/</vt:lpwstr>
      </vt:variant>
      <vt:variant>
        <vt:lpwstr/>
      </vt:variant>
      <vt:variant>
        <vt:i4>3866729</vt:i4>
      </vt:variant>
      <vt:variant>
        <vt:i4>423</vt:i4>
      </vt:variant>
      <vt:variant>
        <vt:i4>0</vt:i4>
      </vt:variant>
      <vt:variant>
        <vt:i4>5</vt:i4>
      </vt:variant>
      <vt:variant>
        <vt:lpwstr>http://www.ipsnoticias.net/2015/02/cuba-requiere-actualizar-lucha-contra-nuevas-formas-de-racismo/</vt:lpwstr>
      </vt:variant>
      <vt:variant>
        <vt:lpwstr/>
      </vt:variant>
      <vt:variant>
        <vt:i4>3866729</vt:i4>
      </vt:variant>
      <vt:variant>
        <vt:i4>420</vt:i4>
      </vt:variant>
      <vt:variant>
        <vt:i4>0</vt:i4>
      </vt:variant>
      <vt:variant>
        <vt:i4>5</vt:i4>
      </vt:variant>
      <vt:variant>
        <vt:lpwstr>http://www.ipsnoticias.net/2015/02/cuba-requiere-actualizar-lucha-contra-nuevas-formas-de-racismo/</vt:lpwstr>
      </vt:variant>
      <vt:variant>
        <vt:lpwstr/>
      </vt:variant>
      <vt:variant>
        <vt:i4>3866729</vt:i4>
      </vt:variant>
      <vt:variant>
        <vt:i4>417</vt:i4>
      </vt:variant>
      <vt:variant>
        <vt:i4>0</vt:i4>
      </vt:variant>
      <vt:variant>
        <vt:i4>5</vt:i4>
      </vt:variant>
      <vt:variant>
        <vt:lpwstr>http://www.ipsnoticias.net/2015/02/cuba-requiere-actualizar-lucha-contra-nuevas-formas-de-racismo/</vt:lpwstr>
      </vt:variant>
      <vt:variant>
        <vt:lpwstr/>
      </vt:variant>
      <vt:variant>
        <vt:i4>7864436</vt:i4>
      </vt:variant>
      <vt:variant>
        <vt:i4>414</vt:i4>
      </vt:variant>
      <vt:variant>
        <vt:i4>0</vt:i4>
      </vt:variant>
      <vt:variant>
        <vt:i4>5</vt:i4>
      </vt:variant>
      <vt:variant>
        <vt:lpwstr>http://www.pcc.cu/pdf/congresos_asambleas/vi_congreso/tabloide_objetivos_conferencia.pdf</vt:lpwstr>
      </vt:variant>
      <vt:variant>
        <vt:lpwstr/>
      </vt:variant>
      <vt:variant>
        <vt:i4>119</vt:i4>
      </vt:variant>
      <vt:variant>
        <vt:i4>411</vt:i4>
      </vt:variant>
      <vt:variant>
        <vt:i4>0</vt:i4>
      </vt:variant>
      <vt:variant>
        <vt:i4>5</vt:i4>
      </vt:variant>
      <vt:variant>
        <vt:lpwstr>http://www.diariodecuba.com/cuba/1438324616_16038.html</vt:lpwstr>
      </vt:variant>
      <vt:variant>
        <vt:lpwstr/>
      </vt:variant>
      <vt:variant>
        <vt:i4>327770</vt:i4>
      </vt:variant>
      <vt:variant>
        <vt:i4>408</vt:i4>
      </vt:variant>
      <vt:variant>
        <vt:i4>0</vt:i4>
      </vt:variant>
      <vt:variant>
        <vt:i4>5</vt:i4>
      </vt:variant>
      <vt:variant>
        <vt:lpwstr>http://www.cir-integracion-racial-cuba.org/textosimprescindibles/%c2%bfcuanto-va-a-demorar-la-integracion-racial-en-cuba/</vt:lpwstr>
      </vt:variant>
      <vt:variant>
        <vt:lpwstr/>
      </vt:variant>
      <vt:variant>
        <vt:i4>2949164</vt:i4>
      </vt:variant>
      <vt:variant>
        <vt:i4>405</vt:i4>
      </vt:variant>
      <vt:variant>
        <vt:i4>0</vt:i4>
      </vt:variant>
      <vt:variant>
        <vt:i4>5</vt:i4>
      </vt:variant>
      <vt:variant>
        <vt:lpwstr>http://archivo.cubarte.cult.cu/periodico/noticias/en-cuba-i-jornada-contra-la-discriminacion-racial/173899.html</vt:lpwstr>
      </vt:variant>
      <vt:variant>
        <vt:lpwstr/>
      </vt:variant>
      <vt:variant>
        <vt:i4>5963805</vt:i4>
      </vt:variant>
      <vt:variant>
        <vt:i4>402</vt:i4>
      </vt:variant>
      <vt:variant>
        <vt:i4>0</vt:i4>
      </vt:variant>
      <vt:variant>
        <vt:i4>5</vt:i4>
      </vt:variant>
      <vt:variant>
        <vt:lpwstr>http://www.one.cu/informenacional2012.htm</vt:lpwstr>
      </vt:variant>
      <vt:variant>
        <vt:lpwstr/>
      </vt:variant>
      <vt:variant>
        <vt:i4>3407920</vt:i4>
      </vt:variant>
      <vt:variant>
        <vt:i4>399</vt:i4>
      </vt:variant>
      <vt:variant>
        <vt:i4>0</vt:i4>
      </vt:variant>
      <vt:variant>
        <vt:i4>5</vt:i4>
      </vt:variant>
      <vt:variant>
        <vt:lpwstr>http://www.sela.org/view/index.asp?ms=258&amp;pageMs=97501</vt:lpwstr>
      </vt:variant>
      <vt:variant>
        <vt:lpwstr/>
      </vt:variant>
      <vt:variant>
        <vt:i4>6422572</vt:i4>
      </vt:variant>
      <vt:variant>
        <vt:i4>396</vt:i4>
      </vt:variant>
      <vt:variant>
        <vt:i4>0</vt:i4>
      </vt:variant>
      <vt:variant>
        <vt:i4>5</vt:i4>
      </vt:variant>
      <vt:variant>
        <vt:lpwstr>http://www.washingtonblade.com/2015/05/20/cuban-trans-advocate-government-seeks-to-destroy-us/</vt:lpwstr>
      </vt:variant>
      <vt:variant>
        <vt:lpwstr/>
      </vt:variant>
      <vt:variant>
        <vt:i4>6226009</vt:i4>
      </vt:variant>
      <vt:variant>
        <vt:i4>393</vt:i4>
      </vt:variant>
      <vt:variant>
        <vt:i4>0</vt:i4>
      </vt:variant>
      <vt:variant>
        <vt:i4>5</vt:i4>
      </vt:variant>
      <vt:variant>
        <vt:lpwstr>http://www.cidh.org/</vt:lpwstr>
      </vt:variant>
      <vt:variant>
        <vt:lpwstr/>
      </vt:variant>
      <vt:variant>
        <vt:i4>6226009</vt:i4>
      </vt:variant>
      <vt:variant>
        <vt:i4>390</vt:i4>
      </vt:variant>
      <vt:variant>
        <vt:i4>0</vt:i4>
      </vt:variant>
      <vt:variant>
        <vt:i4>5</vt:i4>
      </vt:variant>
      <vt:variant>
        <vt:lpwstr>http://www.cidh.org/</vt:lpwstr>
      </vt:variant>
      <vt:variant>
        <vt:lpwstr/>
      </vt:variant>
      <vt:variant>
        <vt:i4>6226009</vt:i4>
      </vt:variant>
      <vt:variant>
        <vt:i4>387</vt:i4>
      </vt:variant>
      <vt:variant>
        <vt:i4>0</vt:i4>
      </vt:variant>
      <vt:variant>
        <vt:i4>5</vt:i4>
      </vt:variant>
      <vt:variant>
        <vt:lpwstr>http://www.cidh.org/</vt:lpwstr>
      </vt:variant>
      <vt:variant>
        <vt:lpwstr/>
      </vt:variant>
      <vt:variant>
        <vt:i4>6226009</vt:i4>
      </vt:variant>
      <vt:variant>
        <vt:i4>384</vt:i4>
      </vt:variant>
      <vt:variant>
        <vt:i4>0</vt:i4>
      </vt:variant>
      <vt:variant>
        <vt:i4>5</vt:i4>
      </vt:variant>
      <vt:variant>
        <vt:lpwstr>http://www.cidh.org/</vt:lpwstr>
      </vt:variant>
      <vt:variant>
        <vt:lpwstr/>
      </vt:variant>
      <vt:variant>
        <vt:i4>7340085</vt:i4>
      </vt:variant>
      <vt:variant>
        <vt:i4>381</vt:i4>
      </vt:variant>
      <vt:variant>
        <vt:i4>0</vt:i4>
      </vt:variant>
      <vt:variant>
        <vt:i4>5</vt:i4>
      </vt:variant>
      <vt:variant>
        <vt:lpwstr>http://www.14ymedio.com/nacional/Muere-transexual-apedreado-Pinar-Rio_0_1775822401.html</vt:lpwstr>
      </vt:variant>
      <vt:variant>
        <vt:lpwstr/>
      </vt:variant>
      <vt:variant>
        <vt:i4>1441803</vt:i4>
      </vt:variant>
      <vt:variant>
        <vt:i4>378</vt:i4>
      </vt:variant>
      <vt:variant>
        <vt:i4>0</vt:i4>
      </vt:variant>
      <vt:variant>
        <vt:i4>5</vt:i4>
      </vt:variant>
      <vt:variant>
        <vt:lpwstr>http://ernestoverarod.blogspot.com/2015/08/comunidad-lgbt-en-cuba-atraviesa-por.html</vt:lpwstr>
      </vt:variant>
      <vt:variant>
        <vt:lpwstr/>
      </vt:variant>
      <vt:variant>
        <vt:i4>7864360</vt:i4>
      </vt:variant>
      <vt:variant>
        <vt:i4>375</vt:i4>
      </vt:variant>
      <vt:variant>
        <vt:i4>0</vt:i4>
      </vt:variant>
      <vt:variant>
        <vt:i4>5</vt:i4>
      </vt:variant>
      <vt:variant>
        <vt:lpwstr>http://ernestoverarod.blogspot.com/</vt:lpwstr>
      </vt:variant>
      <vt:variant>
        <vt:lpwstr/>
      </vt:variant>
      <vt:variant>
        <vt:i4>1376262</vt:i4>
      </vt:variant>
      <vt:variant>
        <vt:i4>372</vt:i4>
      </vt:variant>
      <vt:variant>
        <vt:i4>0</vt:i4>
      </vt:variant>
      <vt:variant>
        <vt:i4>5</vt:i4>
      </vt:variant>
      <vt:variant>
        <vt:lpwstr>http://www.washingtonblade.com/2015/05/27/amid-change-lgbt-cubans-face-lingering-challenges/</vt:lpwstr>
      </vt:variant>
      <vt:variant>
        <vt:lpwstr/>
      </vt:variant>
      <vt:variant>
        <vt:i4>6226009</vt:i4>
      </vt:variant>
      <vt:variant>
        <vt:i4>369</vt:i4>
      </vt:variant>
      <vt:variant>
        <vt:i4>0</vt:i4>
      </vt:variant>
      <vt:variant>
        <vt:i4>5</vt:i4>
      </vt:variant>
      <vt:variant>
        <vt:lpwstr>http://www.cidh.org/</vt:lpwstr>
      </vt:variant>
      <vt:variant>
        <vt:lpwstr/>
      </vt:variant>
      <vt:variant>
        <vt:i4>393306</vt:i4>
      </vt:variant>
      <vt:variant>
        <vt:i4>366</vt:i4>
      </vt:variant>
      <vt:variant>
        <vt:i4>0</vt:i4>
      </vt:variant>
      <vt:variant>
        <vt:i4>5</vt:i4>
      </vt:variant>
      <vt:variant>
        <vt:lpwstr>http://www.washingtonblade.com/2015/05/23/cuban-lgbt-advocate-challenges-mariela-castro/</vt:lpwstr>
      </vt:variant>
      <vt:variant>
        <vt:lpwstr/>
      </vt:variant>
      <vt:variant>
        <vt:i4>6422572</vt:i4>
      </vt:variant>
      <vt:variant>
        <vt:i4>363</vt:i4>
      </vt:variant>
      <vt:variant>
        <vt:i4>0</vt:i4>
      </vt:variant>
      <vt:variant>
        <vt:i4>5</vt:i4>
      </vt:variant>
      <vt:variant>
        <vt:lpwstr>http://www.washingtonblade.com/2015/05/20/cuban-trans-advocate-government-seeks-to-destroy-us/</vt:lpwstr>
      </vt:variant>
      <vt:variant>
        <vt:lpwstr/>
      </vt:variant>
      <vt:variant>
        <vt:i4>6226009</vt:i4>
      </vt:variant>
      <vt:variant>
        <vt:i4>360</vt:i4>
      </vt:variant>
      <vt:variant>
        <vt:i4>0</vt:i4>
      </vt:variant>
      <vt:variant>
        <vt:i4>5</vt:i4>
      </vt:variant>
      <vt:variant>
        <vt:lpwstr>http://www.cidh.org/</vt:lpwstr>
      </vt:variant>
      <vt:variant>
        <vt:lpwstr/>
      </vt:variant>
      <vt:variant>
        <vt:i4>6226009</vt:i4>
      </vt:variant>
      <vt:variant>
        <vt:i4>357</vt:i4>
      </vt:variant>
      <vt:variant>
        <vt:i4>0</vt:i4>
      </vt:variant>
      <vt:variant>
        <vt:i4>5</vt:i4>
      </vt:variant>
      <vt:variant>
        <vt:lpwstr>http://www.cidh.org/</vt:lpwstr>
      </vt:variant>
      <vt:variant>
        <vt:lpwstr/>
      </vt:variant>
      <vt:variant>
        <vt:i4>6422651</vt:i4>
      </vt:variant>
      <vt:variant>
        <vt:i4>354</vt:i4>
      </vt:variant>
      <vt:variant>
        <vt:i4>0</vt:i4>
      </vt:variant>
      <vt:variant>
        <vt:i4>5</vt:i4>
      </vt:variant>
      <vt:variant>
        <vt:lpwstr>http://www.washingtonblade.com/2015/05/16/mariela-castro-leads-lgbt-march/</vt:lpwstr>
      </vt:variant>
      <vt:variant>
        <vt:lpwstr/>
      </vt:variant>
      <vt:variant>
        <vt:i4>7209056</vt:i4>
      </vt:variant>
      <vt:variant>
        <vt:i4>351</vt:i4>
      </vt:variant>
      <vt:variant>
        <vt:i4>0</vt:i4>
      </vt:variant>
      <vt:variant>
        <vt:i4>5</vt:i4>
      </vt:variant>
      <vt:variant>
        <vt:lpwstr>http://www.uscg.mil/hq/cg5/cg531/AMIO/FlowStats/FY.asp</vt:lpwstr>
      </vt:variant>
      <vt:variant>
        <vt:lpwstr/>
      </vt:variant>
      <vt:variant>
        <vt:i4>5767254</vt:i4>
      </vt:variant>
      <vt:variant>
        <vt:i4>348</vt:i4>
      </vt:variant>
      <vt:variant>
        <vt:i4>0</vt:i4>
      </vt:variant>
      <vt:variant>
        <vt:i4>5</vt:i4>
      </vt:variant>
      <vt:variant>
        <vt:lpwstr>http://america.aljazeera.com/articles/2015/8/14/cuban-migration-increases-fears-grow.html</vt:lpwstr>
      </vt:variant>
      <vt:variant>
        <vt:lpwstr/>
      </vt:variant>
      <vt:variant>
        <vt:i4>3407930</vt:i4>
      </vt:variant>
      <vt:variant>
        <vt:i4>345</vt:i4>
      </vt:variant>
      <vt:variant>
        <vt:i4>0</vt:i4>
      </vt:variant>
      <vt:variant>
        <vt:i4>5</vt:i4>
      </vt:variant>
      <vt:variant>
        <vt:lpwstr>http://www.acnur.org/t3/recursos/estadisticas/</vt:lpwstr>
      </vt:variant>
      <vt:variant>
        <vt:lpwstr/>
      </vt:variant>
      <vt:variant>
        <vt:i4>3539000</vt:i4>
      </vt:variant>
      <vt:variant>
        <vt:i4>342</vt:i4>
      </vt:variant>
      <vt:variant>
        <vt:i4>0</vt:i4>
      </vt:variant>
      <vt:variant>
        <vt:i4>5</vt:i4>
      </vt:variant>
      <vt:variant>
        <vt:lpwstr>http://www.washingtonblade.com/2015/07/15/cuban-lgbt-advocates-harassed-at-havana-airport/</vt:lpwstr>
      </vt:variant>
      <vt:variant>
        <vt:lpwstr/>
      </vt:variant>
      <vt:variant>
        <vt:i4>7667828</vt:i4>
      </vt:variant>
      <vt:variant>
        <vt:i4>339</vt:i4>
      </vt:variant>
      <vt:variant>
        <vt:i4>0</vt:i4>
      </vt:variant>
      <vt:variant>
        <vt:i4>5</vt:i4>
      </vt:variant>
      <vt:variant>
        <vt:lpwstr>http://www.14ymedio.com/nacional/Sexto-confirma-huelga-hambre_0_1841815814.html</vt:lpwstr>
      </vt:variant>
      <vt:variant>
        <vt:lpwstr/>
      </vt:variant>
      <vt:variant>
        <vt:i4>4194309</vt:i4>
      </vt:variant>
      <vt:variant>
        <vt:i4>336</vt:i4>
      </vt:variant>
      <vt:variant>
        <vt:i4>0</vt:i4>
      </vt:variant>
      <vt:variant>
        <vt:i4>5</vt:i4>
      </vt:variant>
      <vt:variant>
        <vt:lpwstr>http://www.acnur.org/t3/fileadmin/Documentos/BDL/2012/8950.pdf?view=1</vt:lpwstr>
      </vt:variant>
      <vt:variant>
        <vt:lpwstr/>
      </vt:variant>
      <vt:variant>
        <vt:i4>4194309</vt:i4>
      </vt:variant>
      <vt:variant>
        <vt:i4>333</vt:i4>
      </vt:variant>
      <vt:variant>
        <vt:i4>0</vt:i4>
      </vt:variant>
      <vt:variant>
        <vt:i4>5</vt:i4>
      </vt:variant>
      <vt:variant>
        <vt:lpwstr>http://www.acnur.org/t3/fileadmin/Documentos/BDL/2012/8950.pdf?view=1</vt:lpwstr>
      </vt:variant>
      <vt:variant>
        <vt:lpwstr/>
      </vt:variant>
      <vt:variant>
        <vt:i4>4194309</vt:i4>
      </vt:variant>
      <vt:variant>
        <vt:i4>330</vt:i4>
      </vt:variant>
      <vt:variant>
        <vt:i4>0</vt:i4>
      </vt:variant>
      <vt:variant>
        <vt:i4>5</vt:i4>
      </vt:variant>
      <vt:variant>
        <vt:lpwstr>http://www.acnur.org/t3/fileadmin/Documentos/BDL/2012/8950.pdf?view=1</vt:lpwstr>
      </vt:variant>
      <vt:variant>
        <vt:lpwstr/>
      </vt:variant>
      <vt:variant>
        <vt:i4>2293807</vt:i4>
      </vt:variant>
      <vt:variant>
        <vt:i4>327</vt:i4>
      </vt:variant>
      <vt:variant>
        <vt:i4>0</vt:i4>
      </vt:variant>
      <vt:variant>
        <vt:i4>5</vt:i4>
      </vt:variant>
      <vt:variant>
        <vt:lpwstr>http://www.washingtonblade.com/2015/06/28/cuban-police-prevent-activist-from-attending-pride-march/</vt:lpwstr>
      </vt:variant>
      <vt:variant>
        <vt:lpwstr/>
      </vt:variant>
      <vt:variant>
        <vt:i4>6553646</vt:i4>
      </vt:variant>
      <vt:variant>
        <vt:i4>324</vt:i4>
      </vt:variant>
      <vt:variant>
        <vt:i4>0</vt:i4>
      </vt:variant>
      <vt:variant>
        <vt:i4>5</vt:i4>
      </vt:variant>
      <vt:variant>
        <vt:lpwstr>http://www.hrw.org/es/world-report/2015/country-chapters/268142</vt:lpwstr>
      </vt:variant>
      <vt:variant>
        <vt:lpwstr/>
      </vt:variant>
      <vt:variant>
        <vt:i4>1704021</vt:i4>
      </vt:variant>
      <vt:variant>
        <vt:i4>321</vt:i4>
      </vt:variant>
      <vt:variant>
        <vt:i4>0</vt:i4>
      </vt:variant>
      <vt:variant>
        <vt:i4>5</vt:i4>
      </vt:variant>
      <vt:variant>
        <vt:lpwstr>http://www.gacetaoficial.cu/html/regulacionesmigratoriasparaC.H.html</vt:lpwstr>
      </vt:variant>
      <vt:variant>
        <vt:lpwstr/>
      </vt:variant>
      <vt:variant>
        <vt:i4>458831</vt:i4>
      </vt:variant>
      <vt:variant>
        <vt:i4>318</vt:i4>
      </vt:variant>
      <vt:variant>
        <vt:i4>0</vt:i4>
      </vt:variant>
      <vt:variant>
        <vt:i4>5</vt:i4>
      </vt:variant>
      <vt:variant>
        <vt:lpwstr>http://www.oas.org/es/cidh/docs/pdfs/penademuerte.pdf</vt:lpwstr>
      </vt:variant>
      <vt:variant>
        <vt:lpwstr/>
      </vt:variant>
      <vt:variant>
        <vt:i4>4128876</vt:i4>
      </vt:variant>
      <vt:variant>
        <vt:i4>315</vt:i4>
      </vt:variant>
      <vt:variant>
        <vt:i4>0</vt:i4>
      </vt:variant>
      <vt:variant>
        <vt:i4>5</vt:i4>
      </vt:variant>
      <vt:variant>
        <vt:lpwstr>http://www.oas.org/es/cidh/defensores/docs/pdf/Operadores-de-Justicia-2013.pdf</vt:lpwstr>
      </vt:variant>
      <vt:variant>
        <vt:lpwstr/>
      </vt:variant>
      <vt:variant>
        <vt:i4>4456476</vt:i4>
      </vt:variant>
      <vt:variant>
        <vt:i4>312</vt:i4>
      </vt:variant>
      <vt:variant>
        <vt:i4>0</vt:i4>
      </vt:variant>
      <vt:variant>
        <vt:i4>5</vt:i4>
      </vt:variant>
      <vt:variant>
        <vt:lpwstr>http://www.14ymedio.com/nacional/indulto-incluye-considerados-politicos-disidencia_0_1852614730.html</vt:lpwstr>
      </vt:variant>
      <vt:variant>
        <vt:lpwstr/>
      </vt:variant>
      <vt:variant>
        <vt:i4>3866679</vt:i4>
      </vt:variant>
      <vt:variant>
        <vt:i4>309</vt:i4>
      </vt:variant>
      <vt:variant>
        <vt:i4>0</vt:i4>
      </vt:variant>
      <vt:variant>
        <vt:i4>5</vt:i4>
      </vt:variant>
      <vt:variant>
        <vt:lpwstr>http://papafranciscoencuba.cubaminrex.cu/articulos/acordo-consejo-de-estado-indultar-sancionados-en-ocasion-de-la-visita-de-su-santidad</vt:lpwstr>
      </vt:variant>
      <vt:variant>
        <vt:lpwstr/>
      </vt:variant>
      <vt:variant>
        <vt:i4>3866679</vt:i4>
      </vt:variant>
      <vt:variant>
        <vt:i4>306</vt:i4>
      </vt:variant>
      <vt:variant>
        <vt:i4>0</vt:i4>
      </vt:variant>
      <vt:variant>
        <vt:i4>5</vt:i4>
      </vt:variant>
      <vt:variant>
        <vt:lpwstr>http://papafranciscoencuba.cubaminrex.cu/articulos/acordo-consejo-de-estado-indultar-sancionados-en-ocasion-de-la-visita-de-su-santidad</vt:lpwstr>
      </vt:variant>
      <vt:variant>
        <vt:lpwstr/>
      </vt:variant>
      <vt:variant>
        <vt:i4>1376274</vt:i4>
      </vt:variant>
      <vt:variant>
        <vt:i4>303</vt:i4>
      </vt:variant>
      <vt:variant>
        <vt:i4>0</vt:i4>
      </vt:variant>
      <vt:variant>
        <vt:i4>5</vt:i4>
      </vt:variant>
      <vt:variant>
        <vt:lpwstr>http://www.rsf-es.org/news/cuba-14-anos-de-carcel-para-el-periodista-jose-antonio-torres/</vt:lpwstr>
      </vt:variant>
      <vt:variant>
        <vt:lpwstr/>
      </vt:variant>
      <vt:variant>
        <vt:i4>4522072</vt:i4>
      </vt:variant>
      <vt:variant>
        <vt:i4>300</vt:i4>
      </vt:variant>
      <vt:variant>
        <vt:i4>0</vt:i4>
      </vt:variant>
      <vt:variant>
        <vt:i4>5</vt:i4>
      </vt:variant>
      <vt:variant>
        <vt:lpwstr>http://www.14ymedio.com/reportajes/inocencia-espia_0_1714028583.html</vt:lpwstr>
      </vt:variant>
      <vt:variant>
        <vt:lpwstr/>
      </vt:variant>
      <vt:variant>
        <vt:i4>6094918</vt:i4>
      </vt:variant>
      <vt:variant>
        <vt:i4>297</vt:i4>
      </vt:variant>
      <vt:variant>
        <vt:i4>0</vt:i4>
      </vt:variant>
      <vt:variant>
        <vt:i4>5</vt:i4>
      </vt:variant>
      <vt:variant>
        <vt:lpwstr>http://www.sipiapa.org/sip-beneplacito-por-flexibilizacion-de-regimen-carcelario-para-periodista-cubano/</vt:lpwstr>
      </vt:variant>
      <vt:variant>
        <vt:lpwstr/>
      </vt:variant>
      <vt:variant>
        <vt:i4>589908</vt:i4>
      </vt:variant>
      <vt:variant>
        <vt:i4>294</vt:i4>
      </vt:variant>
      <vt:variant>
        <vt:i4>0</vt:i4>
      </vt:variant>
      <vt:variant>
        <vt:i4>5</vt:i4>
      </vt:variant>
      <vt:variant>
        <vt:lpwstr>https://www.cubanet.org/noticias/cuba-5-liberados-de-presunta-lista-de-presos-politicos/</vt:lpwstr>
      </vt:variant>
      <vt:variant>
        <vt:lpwstr/>
      </vt:variant>
      <vt:variant>
        <vt:i4>3276828</vt:i4>
      </vt:variant>
      <vt:variant>
        <vt:i4>291</vt:i4>
      </vt:variant>
      <vt:variant>
        <vt:i4>0</vt:i4>
      </vt:variant>
      <vt:variant>
        <vt:i4>5</vt:i4>
      </vt:variant>
      <vt:variant>
        <vt:lpwstr>http://internacional.elpais.com/internacional/2015/01/06/actualidad/1420570342_796738.html</vt:lpwstr>
      </vt:variant>
      <vt:variant>
        <vt:lpwstr/>
      </vt:variant>
      <vt:variant>
        <vt:i4>851997</vt:i4>
      </vt:variant>
      <vt:variant>
        <vt:i4>288</vt:i4>
      </vt:variant>
      <vt:variant>
        <vt:i4>0</vt:i4>
      </vt:variant>
      <vt:variant>
        <vt:i4>5</vt:i4>
      </vt:variant>
      <vt:variant>
        <vt:lpwstr>http://www.univision.com/noticias/el-vaticano/inician-huelga-de-hambre-los-disidentes-cubanos-detenidos-por-acercarse-al-papa</vt:lpwstr>
      </vt:variant>
      <vt:variant>
        <vt:lpwstr/>
      </vt:variant>
      <vt:variant>
        <vt:i4>4587611</vt:i4>
      </vt:variant>
      <vt:variant>
        <vt:i4>285</vt:i4>
      </vt:variant>
      <vt:variant>
        <vt:i4>0</vt:i4>
      </vt:variant>
      <vt:variant>
        <vt:i4>5</vt:i4>
      </vt:variant>
      <vt:variant>
        <vt:lpwstr>http://www.amnestyusa.org/news/press-releases/release-of-graffiti-artist-in-cuba-must-herald-new-approach-to-dissent</vt:lpwstr>
      </vt:variant>
      <vt:variant>
        <vt:lpwstr/>
      </vt:variant>
      <vt:variant>
        <vt:i4>5636118</vt:i4>
      </vt:variant>
      <vt:variant>
        <vt:i4>282</vt:i4>
      </vt:variant>
      <vt:variant>
        <vt:i4>0</vt:i4>
      </vt:variant>
      <vt:variant>
        <vt:i4>5</vt:i4>
      </vt:variant>
      <vt:variant>
        <vt:lpwstr>http://www.diariolasamericas.com/4847_cuba/3304921_grafitero-cubano-el-sexto-carcel-huelga-hambre.html</vt:lpwstr>
      </vt:variant>
      <vt:variant>
        <vt:lpwstr/>
      </vt:variant>
      <vt:variant>
        <vt:i4>852037</vt:i4>
      </vt:variant>
      <vt:variant>
        <vt:i4>279</vt:i4>
      </vt:variant>
      <vt:variant>
        <vt:i4>0</vt:i4>
      </vt:variant>
      <vt:variant>
        <vt:i4>5</vt:i4>
      </vt:variant>
      <vt:variant>
        <vt:lpwstr>http://www.martinoticias.com/media/video/cuba-el-sexto-huelga-de-hambre-preso-sin-juicio-/102888.html</vt:lpwstr>
      </vt:variant>
      <vt:variant>
        <vt:lpwstr/>
      </vt:variant>
      <vt:variant>
        <vt:i4>7012456</vt:i4>
      </vt:variant>
      <vt:variant>
        <vt:i4>276</vt:i4>
      </vt:variant>
      <vt:variant>
        <vt:i4>0</vt:i4>
      </vt:variant>
      <vt:variant>
        <vt:i4>5</vt:i4>
      </vt:variant>
      <vt:variant>
        <vt:lpwstr>http://www.cihpress.com/2015/08/ingresan-disidente-guantanamero-en.html</vt:lpwstr>
      </vt:variant>
      <vt:variant>
        <vt:lpwstr>.Ved4MXlOVpg</vt:lpwstr>
      </vt:variant>
      <vt:variant>
        <vt:i4>1966151</vt:i4>
      </vt:variant>
      <vt:variant>
        <vt:i4>273</vt:i4>
      </vt:variant>
      <vt:variant>
        <vt:i4>0</vt:i4>
      </vt:variant>
      <vt:variant>
        <vt:i4>5</vt:i4>
      </vt:variant>
      <vt:variant>
        <vt:lpwstr>http://www.martinoticias.com/media/video/cuba-opositor-huelga-de-hambre-cargos-trafico-humano/102371.html</vt:lpwstr>
      </vt:variant>
      <vt:variant>
        <vt:lpwstr/>
      </vt:variant>
      <vt:variant>
        <vt:i4>3145784</vt:i4>
      </vt:variant>
      <vt:variant>
        <vt:i4>270</vt:i4>
      </vt:variant>
      <vt:variant>
        <vt:i4>0</vt:i4>
      </vt:variant>
      <vt:variant>
        <vt:i4>5</vt:i4>
      </vt:variant>
      <vt:variant>
        <vt:lpwstr>http://observacuba.org/que-levante-la-mano-la-justicia/</vt:lpwstr>
      </vt:variant>
      <vt:variant>
        <vt:lpwstr/>
      </vt:variant>
      <vt:variant>
        <vt:i4>3276915</vt:i4>
      </vt:variant>
      <vt:variant>
        <vt:i4>267</vt:i4>
      </vt:variant>
      <vt:variant>
        <vt:i4>0</vt:i4>
      </vt:variant>
      <vt:variant>
        <vt:i4>5</vt:i4>
      </vt:variant>
      <vt:variant>
        <vt:lpwstr>http://www.elnuevoherald.com/noticias/mundo/america-latina/cuba-es/article25730179.html</vt:lpwstr>
      </vt:variant>
      <vt:variant>
        <vt:lpwstr/>
      </vt:variant>
      <vt:variant>
        <vt:i4>6226009</vt:i4>
      </vt:variant>
      <vt:variant>
        <vt:i4>264</vt:i4>
      </vt:variant>
      <vt:variant>
        <vt:i4>0</vt:i4>
      </vt:variant>
      <vt:variant>
        <vt:i4>5</vt:i4>
      </vt:variant>
      <vt:variant>
        <vt:lpwstr>http://www.cidh.org/</vt:lpwstr>
      </vt:variant>
      <vt:variant>
        <vt:lpwstr/>
      </vt:variant>
      <vt:variant>
        <vt:i4>1376262</vt:i4>
      </vt:variant>
      <vt:variant>
        <vt:i4>261</vt:i4>
      </vt:variant>
      <vt:variant>
        <vt:i4>0</vt:i4>
      </vt:variant>
      <vt:variant>
        <vt:i4>5</vt:i4>
      </vt:variant>
      <vt:variant>
        <vt:lpwstr>http://www.washingtonblade.com/2015/05/27/amid-change-lgbt-cubans-face-lingering-challenges/</vt:lpwstr>
      </vt:variant>
      <vt:variant>
        <vt:lpwstr/>
      </vt:variant>
      <vt:variant>
        <vt:i4>5177362</vt:i4>
      </vt:variant>
      <vt:variant>
        <vt:i4>258</vt:i4>
      </vt:variant>
      <vt:variant>
        <vt:i4>0</vt:i4>
      </vt:variant>
      <vt:variant>
        <vt:i4>5</vt:i4>
      </vt:variant>
      <vt:variant>
        <vt:lpwstr>http://www.washingtonblade.com/2015/05/26/lgbt-advocate-challenges-cuban-human-rights-record/</vt:lpwstr>
      </vt:variant>
      <vt:variant>
        <vt:lpwstr/>
      </vt:variant>
      <vt:variant>
        <vt:i4>3670051</vt:i4>
      </vt:variant>
      <vt:variant>
        <vt:i4>255</vt:i4>
      </vt:variant>
      <vt:variant>
        <vt:i4>0</vt:i4>
      </vt:variant>
      <vt:variant>
        <vt:i4>5</vt:i4>
      </vt:variant>
      <vt:variant>
        <vt:lpwstr>http://iclep.org/wp-content/uploads/2015/08/Informe-de-la-CCDHRN-Julio-2015.pdf</vt:lpwstr>
      </vt:variant>
      <vt:variant>
        <vt:lpwstr/>
      </vt:variant>
      <vt:variant>
        <vt:i4>6750306</vt:i4>
      </vt:variant>
      <vt:variant>
        <vt:i4>252</vt:i4>
      </vt:variant>
      <vt:variant>
        <vt:i4>0</vt:i4>
      </vt:variant>
      <vt:variant>
        <vt:i4>5</vt:i4>
      </vt:variant>
      <vt:variant>
        <vt:lpwstr>http://www.miscelaneasdecuba.net/web/Article/Index/52e8b6793a682e0734c48b27</vt:lpwstr>
      </vt:variant>
      <vt:variant>
        <vt:lpwstr/>
      </vt:variant>
      <vt:variant>
        <vt:i4>1245233</vt:i4>
      </vt:variant>
      <vt:variant>
        <vt:i4>249</vt:i4>
      </vt:variant>
      <vt:variant>
        <vt:i4>0</vt:i4>
      </vt:variant>
      <vt:variant>
        <vt:i4>5</vt:i4>
      </vt:variant>
      <vt:variant>
        <vt:lpwstr>http://www.diariodecuba.com/derechos-humanos/1434908843_15274.html</vt:lpwstr>
      </vt:variant>
      <vt:variant>
        <vt:lpwstr/>
      </vt:variant>
      <vt:variant>
        <vt:i4>2818101</vt:i4>
      </vt:variant>
      <vt:variant>
        <vt:i4>246</vt:i4>
      </vt:variant>
      <vt:variant>
        <vt:i4>0</vt:i4>
      </vt:variant>
      <vt:variant>
        <vt:i4>5</vt:i4>
      </vt:variant>
      <vt:variant>
        <vt:lpwstr>https://www.cubanet.org/mas-noticias/activista-estuvo-46-dias-en-huelga-de-hambre/</vt:lpwstr>
      </vt:variant>
      <vt:variant>
        <vt:lpwstr/>
      </vt:variant>
      <vt:variant>
        <vt:i4>1245211</vt:i4>
      </vt:variant>
      <vt:variant>
        <vt:i4>243</vt:i4>
      </vt:variant>
      <vt:variant>
        <vt:i4>0</vt:i4>
      </vt:variant>
      <vt:variant>
        <vt:i4>5</vt:i4>
      </vt:variant>
      <vt:variant>
        <vt:lpwstr>http://www.unpacu.org/listado-de-142-detenidos-de-unpacu-en-la-visita-del-papa-francisco/</vt:lpwstr>
      </vt:variant>
      <vt:variant>
        <vt:lpwstr/>
      </vt:variant>
      <vt:variant>
        <vt:i4>3211386</vt:i4>
      </vt:variant>
      <vt:variant>
        <vt:i4>240</vt:i4>
      </vt:variant>
      <vt:variant>
        <vt:i4>0</vt:i4>
      </vt:variant>
      <vt:variant>
        <vt:i4>5</vt:i4>
      </vt:variant>
      <vt:variant>
        <vt:lpwstr>http://www.elnuevoherald.com/noticias/mundo/america-latina/cuba-es/article35892627.html</vt:lpwstr>
      </vt:variant>
      <vt:variant>
        <vt:lpwstr/>
      </vt:variant>
      <vt:variant>
        <vt:i4>5570570</vt:i4>
      </vt:variant>
      <vt:variant>
        <vt:i4>237</vt:i4>
      </vt:variant>
      <vt:variant>
        <vt:i4>0</vt:i4>
      </vt:variant>
      <vt:variant>
        <vt:i4>5</vt:i4>
      </vt:variant>
      <vt:variant>
        <vt:lpwstr>https://www.cubanet.org/noticias/arrestan-a-unas-40-damas-de-blanco-y-a-una-docena-de-disidentes/</vt:lpwstr>
      </vt:variant>
      <vt:variant>
        <vt:lpwstr/>
      </vt:variant>
      <vt:variant>
        <vt:i4>6619250</vt:i4>
      </vt:variant>
      <vt:variant>
        <vt:i4>234</vt:i4>
      </vt:variant>
      <vt:variant>
        <vt:i4>0</vt:i4>
      </vt:variant>
      <vt:variant>
        <vt:i4>5</vt:i4>
      </vt:variant>
      <vt:variant>
        <vt:lpwstr>http://cubademocraciayvida.org/web/article.asp?artID=29242</vt:lpwstr>
      </vt:variant>
      <vt:variant>
        <vt:lpwstr/>
      </vt:variant>
      <vt:variant>
        <vt:i4>7536748</vt:i4>
      </vt:variant>
      <vt:variant>
        <vt:i4>231</vt:i4>
      </vt:variant>
      <vt:variant>
        <vt:i4>0</vt:i4>
      </vt:variant>
      <vt:variant>
        <vt:i4>5</vt:i4>
      </vt:variant>
      <vt:variant>
        <vt:lpwstr>http://www.unpacu.org/cuba-23-nuevos-detenidos-ayer-dia-26-el-regimen-castrista-persiste-en-violar-derechos-y-libertades-fundamentales/</vt:lpwstr>
      </vt:variant>
      <vt:variant>
        <vt:lpwstr/>
      </vt:variant>
      <vt:variant>
        <vt:i4>2293799</vt:i4>
      </vt:variant>
      <vt:variant>
        <vt:i4>228</vt:i4>
      </vt:variant>
      <vt:variant>
        <vt:i4>0</vt:i4>
      </vt:variant>
      <vt:variant>
        <vt:i4>5</vt:i4>
      </vt:variant>
      <vt:variant>
        <vt:lpwstr>https://www.youtube.com/watch?v=MWNoxCRnAIA</vt:lpwstr>
      </vt:variant>
      <vt:variant>
        <vt:lpwstr/>
      </vt:variant>
      <vt:variant>
        <vt:i4>327775</vt:i4>
      </vt:variant>
      <vt:variant>
        <vt:i4>225</vt:i4>
      </vt:variant>
      <vt:variant>
        <vt:i4>0</vt:i4>
      </vt:variant>
      <vt:variant>
        <vt:i4>5</vt:i4>
      </vt:variant>
      <vt:variant>
        <vt:lpwstr>https://www.cubanet.org/noticias/detenidos-opositores-en-aeropuerto-de-la-habana/</vt:lpwstr>
      </vt:variant>
      <vt:variant>
        <vt:lpwstr/>
      </vt:variant>
      <vt:variant>
        <vt:i4>3670141</vt:i4>
      </vt:variant>
      <vt:variant>
        <vt:i4>222</vt:i4>
      </vt:variant>
      <vt:variant>
        <vt:i4>0</vt:i4>
      </vt:variant>
      <vt:variant>
        <vt:i4>5</vt:i4>
      </vt:variant>
      <vt:variant>
        <vt:lpwstr>http://www.elnuevoherald.com/noticias/mundo/america-latina/cuba-es/article35895921.html</vt:lpwstr>
      </vt:variant>
      <vt:variant>
        <vt:lpwstr/>
      </vt:variant>
      <vt:variant>
        <vt:i4>5701702</vt:i4>
      </vt:variant>
      <vt:variant>
        <vt:i4>219</vt:i4>
      </vt:variant>
      <vt:variant>
        <vt:i4>0</vt:i4>
      </vt:variant>
      <vt:variant>
        <vt:i4>5</vt:i4>
      </vt:variant>
      <vt:variant>
        <vt:lpwstr>http://damasdeblanco.org/index.php/derechos-humanos/1999-informe-semanal-del-movimiento-damas-de-blanco-24-de-febrero-de-2015</vt:lpwstr>
      </vt:variant>
      <vt:variant>
        <vt:lpwstr/>
      </vt:variant>
      <vt:variant>
        <vt:i4>5963781</vt:i4>
      </vt:variant>
      <vt:variant>
        <vt:i4>216</vt:i4>
      </vt:variant>
      <vt:variant>
        <vt:i4>0</vt:i4>
      </vt:variant>
      <vt:variant>
        <vt:i4>5</vt:i4>
      </vt:variant>
      <vt:variant>
        <vt:lpwstr>http://www.damasdeblanco.org/index.php/derechos-humanos/2125-informe-de-represion-del-movimiento-damas-de-blanco-laura-pollan-septiembre-de-2015</vt:lpwstr>
      </vt:variant>
      <vt:variant>
        <vt:lpwstr/>
      </vt:variant>
      <vt:variant>
        <vt:i4>4390989</vt:i4>
      </vt:variant>
      <vt:variant>
        <vt:i4>213</vt:i4>
      </vt:variant>
      <vt:variant>
        <vt:i4>0</vt:i4>
      </vt:variant>
      <vt:variant>
        <vt:i4>5</vt:i4>
      </vt:variant>
      <vt:variant>
        <vt:lpwstr>http://damasdeblanco.org/index.php/derechos-humanos/2064-informe-del-11no-domingo-represivo-del-dse-contra-el-movimiento-damas-de-blanco-laura-pollan</vt:lpwstr>
      </vt:variant>
      <vt:variant>
        <vt:lpwstr/>
      </vt:variant>
      <vt:variant>
        <vt:i4>7733363</vt:i4>
      </vt:variant>
      <vt:variant>
        <vt:i4>210</vt:i4>
      </vt:variant>
      <vt:variant>
        <vt:i4>0</vt:i4>
      </vt:variant>
      <vt:variant>
        <vt:i4>5</vt:i4>
      </vt:variant>
      <vt:variant>
        <vt:lpwstr>http://damasdeblanco.org/index.php/derechos-humanos/2054-informe-del-decimo-domingo-represivo-del-dse-contra-el-movimiento-damas-de-blanco-laura-pollan</vt:lpwstr>
      </vt:variant>
      <vt:variant>
        <vt:lpwstr/>
      </vt:variant>
      <vt:variant>
        <vt:i4>1835091</vt:i4>
      </vt:variant>
      <vt:variant>
        <vt:i4>207</vt:i4>
      </vt:variant>
      <vt:variant>
        <vt:i4>0</vt:i4>
      </vt:variant>
      <vt:variant>
        <vt:i4>5</vt:i4>
      </vt:variant>
      <vt:variant>
        <vt:lpwstr>http://damasdeblanco.org/index.php/derechos-humanos/2052-informe-represivo-dom-7-de-junio-de-2015</vt:lpwstr>
      </vt:variant>
      <vt:variant>
        <vt:lpwstr/>
      </vt:variant>
      <vt:variant>
        <vt:i4>1245261</vt:i4>
      </vt:variant>
      <vt:variant>
        <vt:i4>204</vt:i4>
      </vt:variant>
      <vt:variant>
        <vt:i4>0</vt:i4>
      </vt:variant>
      <vt:variant>
        <vt:i4>5</vt:i4>
      </vt:variant>
      <vt:variant>
        <vt:lpwstr>http://damasdeblanco.org/index.php/derechos-humanos/2048-informe-semanal-del-movimiento-damas-de-blanco-laura-pollan-1-de-junio-2015</vt:lpwstr>
      </vt:variant>
      <vt:variant>
        <vt:lpwstr/>
      </vt:variant>
      <vt:variant>
        <vt:i4>6225937</vt:i4>
      </vt:variant>
      <vt:variant>
        <vt:i4>201</vt:i4>
      </vt:variant>
      <vt:variant>
        <vt:i4>0</vt:i4>
      </vt:variant>
      <vt:variant>
        <vt:i4>5</vt:i4>
      </vt:variant>
      <vt:variant>
        <vt:lpwstr>http://damasdeblanco.org/index.php/derechos-humanos/2050-informe-de-represion-correspondiente-al-mes-de-mayo-2015</vt:lpwstr>
      </vt:variant>
      <vt:variant>
        <vt:lpwstr/>
      </vt:variant>
      <vt:variant>
        <vt:i4>2097256</vt:i4>
      </vt:variant>
      <vt:variant>
        <vt:i4>198</vt:i4>
      </vt:variant>
      <vt:variant>
        <vt:i4>0</vt:i4>
      </vt:variant>
      <vt:variant>
        <vt:i4>5</vt:i4>
      </vt:variant>
      <vt:variant>
        <vt:lpwstr>http://damasdeblanco.org/index.php/testimonios/26-documentos/2047-informe-del-movimiento-damas-de-blanco-laura-pollan-mayo-de-2015</vt:lpwstr>
      </vt:variant>
      <vt:variant>
        <vt:lpwstr/>
      </vt:variant>
      <vt:variant>
        <vt:i4>1114140</vt:i4>
      </vt:variant>
      <vt:variant>
        <vt:i4>195</vt:i4>
      </vt:variant>
      <vt:variant>
        <vt:i4>0</vt:i4>
      </vt:variant>
      <vt:variant>
        <vt:i4>5</vt:i4>
      </vt:variant>
      <vt:variant>
        <vt:lpwstr>http://damasdeblanco.org/index.php/derechos-humanos/2040-informe-semanal-del-movimiento-damas-de-blanco-laura-pollan-25-de-mayo-2015</vt:lpwstr>
      </vt:variant>
      <vt:variant>
        <vt:lpwstr/>
      </vt:variant>
      <vt:variant>
        <vt:i4>2424875</vt:i4>
      </vt:variant>
      <vt:variant>
        <vt:i4>191</vt:i4>
      </vt:variant>
      <vt:variant>
        <vt:i4>0</vt:i4>
      </vt:variant>
      <vt:variant>
        <vt:i4>5</vt:i4>
      </vt:variant>
      <vt:variant>
        <vt:lpwstr>http://damasdeblanco.org/index.php/derechos-humanos/2035-informe-semanal-del-movimiento-damas-de-blanco-laura-pollan-3-de-mayo-2015</vt:lpwstr>
      </vt:variant>
      <vt:variant>
        <vt:lpwstr/>
      </vt:variant>
      <vt:variant>
        <vt:i4>1310750</vt:i4>
      </vt:variant>
      <vt:variant>
        <vt:i4>189</vt:i4>
      </vt:variant>
      <vt:variant>
        <vt:i4>0</vt:i4>
      </vt:variant>
      <vt:variant>
        <vt:i4>5</vt:i4>
      </vt:variant>
      <vt:variant>
        <vt:lpwstr>http://damasdeblanco.org/index.php/derechos-humanos/2036-informe-semanal-del-movimiento-damas-de-blanco-laura-pollan-10-de-mayo-2015</vt:lpwstr>
      </vt:variant>
      <vt:variant>
        <vt:lpwstr/>
      </vt:variant>
      <vt:variant>
        <vt:i4>6225937</vt:i4>
      </vt:variant>
      <vt:variant>
        <vt:i4>186</vt:i4>
      </vt:variant>
      <vt:variant>
        <vt:i4>0</vt:i4>
      </vt:variant>
      <vt:variant>
        <vt:i4>5</vt:i4>
      </vt:variant>
      <vt:variant>
        <vt:lpwstr>http://damasdeblanco.org/index.php/derechos-humanos/2050-informe-de-represion-correspondiente-al-mes-de-mayo-2015</vt:lpwstr>
      </vt:variant>
      <vt:variant>
        <vt:lpwstr/>
      </vt:variant>
      <vt:variant>
        <vt:i4>8257633</vt:i4>
      </vt:variant>
      <vt:variant>
        <vt:i4>183</vt:i4>
      </vt:variant>
      <vt:variant>
        <vt:i4>0</vt:i4>
      </vt:variant>
      <vt:variant>
        <vt:i4>5</vt:i4>
      </vt:variant>
      <vt:variant>
        <vt:lpwstr>http://damasdeblanco.org/index.php/derechos-humanos/2033-informe-damas-de-blanco-abril-2015</vt:lpwstr>
      </vt:variant>
      <vt:variant>
        <vt:lpwstr/>
      </vt:variant>
      <vt:variant>
        <vt:i4>1441874</vt:i4>
      </vt:variant>
      <vt:variant>
        <vt:i4>180</vt:i4>
      </vt:variant>
      <vt:variant>
        <vt:i4>0</vt:i4>
      </vt:variant>
      <vt:variant>
        <vt:i4>5</vt:i4>
      </vt:variant>
      <vt:variant>
        <vt:lpwstr>http://damasdeblanco.org/index.php/derechos-humanos/2028-informe-semanal-del-movimiento-damas-de-blanco-laura-pollan-20-de-abril-de-2015</vt:lpwstr>
      </vt:variant>
      <vt:variant>
        <vt:lpwstr/>
      </vt:variant>
      <vt:variant>
        <vt:i4>6225937</vt:i4>
      </vt:variant>
      <vt:variant>
        <vt:i4>177</vt:i4>
      </vt:variant>
      <vt:variant>
        <vt:i4>0</vt:i4>
      </vt:variant>
      <vt:variant>
        <vt:i4>5</vt:i4>
      </vt:variant>
      <vt:variant>
        <vt:lpwstr>http://damasdeblanco.org/index.php/derechos-humanos/2050-informe-de-represion-correspondiente-al-mes-de-mayo-2015</vt:lpwstr>
      </vt:variant>
      <vt:variant>
        <vt:lpwstr/>
      </vt:variant>
      <vt:variant>
        <vt:i4>4259913</vt:i4>
      </vt:variant>
      <vt:variant>
        <vt:i4>174</vt:i4>
      </vt:variant>
      <vt:variant>
        <vt:i4>0</vt:i4>
      </vt:variant>
      <vt:variant>
        <vt:i4>5</vt:i4>
      </vt:variant>
      <vt:variant>
        <vt:lpwstr>http://damasdeblanco.org/index.php/derechos-humanos/2016-informe-semanal-del-movimiento-damas-de-blanco-29-de-marzo-2015</vt:lpwstr>
      </vt:variant>
      <vt:variant>
        <vt:lpwstr/>
      </vt:variant>
      <vt:variant>
        <vt:i4>4194393</vt:i4>
      </vt:variant>
      <vt:variant>
        <vt:i4>171</vt:i4>
      </vt:variant>
      <vt:variant>
        <vt:i4>0</vt:i4>
      </vt:variant>
      <vt:variant>
        <vt:i4>5</vt:i4>
      </vt:variant>
      <vt:variant>
        <vt:lpwstr>http://damasdeblanco.org/index.php/derechos-humanos/2015-informe-semanal-del-movimiento-damas-de-blanco-22-marzo-2015</vt:lpwstr>
      </vt:variant>
      <vt:variant>
        <vt:lpwstr/>
      </vt:variant>
      <vt:variant>
        <vt:i4>6225937</vt:i4>
      </vt:variant>
      <vt:variant>
        <vt:i4>168</vt:i4>
      </vt:variant>
      <vt:variant>
        <vt:i4>0</vt:i4>
      </vt:variant>
      <vt:variant>
        <vt:i4>5</vt:i4>
      </vt:variant>
      <vt:variant>
        <vt:lpwstr>http://damasdeblanco.org/index.php/derechos-humanos/2050-informe-de-represion-correspondiente-al-mes-de-mayo-2015</vt:lpwstr>
      </vt:variant>
      <vt:variant>
        <vt:lpwstr/>
      </vt:variant>
      <vt:variant>
        <vt:i4>5701702</vt:i4>
      </vt:variant>
      <vt:variant>
        <vt:i4>165</vt:i4>
      </vt:variant>
      <vt:variant>
        <vt:i4>0</vt:i4>
      </vt:variant>
      <vt:variant>
        <vt:i4>5</vt:i4>
      </vt:variant>
      <vt:variant>
        <vt:lpwstr>http://damasdeblanco.org/index.php/derechos-humanos/1999-informe-semanal-del-movimiento-damas-de-blanco-24-de-febrero-de-2015</vt:lpwstr>
      </vt:variant>
      <vt:variant>
        <vt:lpwstr/>
      </vt:variant>
      <vt:variant>
        <vt:i4>196637</vt:i4>
      </vt:variant>
      <vt:variant>
        <vt:i4>162</vt:i4>
      </vt:variant>
      <vt:variant>
        <vt:i4>0</vt:i4>
      </vt:variant>
      <vt:variant>
        <vt:i4>5</vt:i4>
      </vt:variant>
      <vt:variant>
        <vt:lpwstr>http://damasdeblanco.org/index.php/derechos-humanos/1994-informe-semanal-del-movimiento-damas-de-blanco-1-de-febrero-de-2015</vt:lpwstr>
      </vt:variant>
      <vt:variant>
        <vt:lpwstr/>
      </vt:variant>
      <vt:variant>
        <vt:i4>6225937</vt:i4>
      </vt:variant>
      <vt:variant>
        <vt:i4>159</vt:i4>
      </vt:variant>
      <vt:variant>
        <vt:i4>0</vt:i4>
      </vt:variant>
      <vt:variant>
        <vt:i4>5</vt:i4>
      </vt:variant>
      <vt:variant>
        <vt:lpwstr>http://damasdeblanco.org/index.php/derechos-humanos/2050-informe-de-represion-correspondiente-al-mes-de-mayo-2015</vt:lpwstr>
      </vt:variant>
      <vt:variant>
        <vt:lpwstr/>
      </vt:variant>
      <vt:variant>
        <vt:i4>6422574</vt:i4>
      </vt:variant>
      <vt:variant>
        <vt:i4>156</vt:i4>
      </vt:variant>
      <vt:variant>
        <vt:i4>0</vt:i4>
      </vt:variant>
      <vt:variant>
        <vt:i4>5</vt:i4>
      </vt:variant>
      <vt:variant>
        <vt:lpwstr>http://damasdeblanco.org/index.php/derechos-humanos/1988-informe-semanal-del-movimiento-damas-de-blanco-domingo-25-de-enero-de-2015</vt:lpwstr>
      </vt:variant>
      <vt:variant>
        <vt:lpwstr/>
      </vt:variant>
      <vt:variant>
        <vt:i4>6291566</vt:i4>
      </vt:variant>
      <vt:variant>
        <vt:i4>153</vt:i4>
      </vt:variant>
      <vt:variant>
        <vt:i4>0</vt:i4>
      </vt:variant>
      <vt:variant>
        <vt:i4>5</vt:i4>
      </vt:variant>
      <vt:variant>
        <vt:lpwstr>http://damasdeblanco.org/index.php/derechos-humanos/1976-informe-semanal-del-movimiento-damas-de-blanco-5-de-enero-de-2015</vt:lpwstr>
      </vt:variant>
      <vt:variant>
        <vt:lpwstr/>
      </vt:variant>
      <vt:variant>
        <vt:i4>2621482</vt:i4>
      </vt:variant>
      <vt:variant>
        <vt:i4>150</vt:i4>
      </vt:variant>
      <vt:variant>
        <vt:i4>0</vt:i4>
      </vt:variant>
      <vt:variant>
        <vt:i4>5</vt:i4>
      </vt:variant>
      <vt:variant>
        <vt:lpwstr>http://damasdeblanco.org/index.php/derechos-humanos/1979-informe-semanal-del-movimiento-damas-de-blanco-12-de-enero-de-2015</vt:lpwstr>
      </vt:variant>
      <vt:variant>
        <vt:lpwstr/>
      </vt:variant>
      <vt:variant>
        <vt:i4>2621477</vt:i4>
      </vt:variant>
      <vt:variant>
        <vt:i4>147</vt:i4>
      </vt:variant>
      <vt:variant>
        <vt:i4>0</vt:i4>
      </vt:variant>
      <vt:variant>
        <vt:i4>5</vt:i4>
      </vt:variant>
      <vt:variant>
        <vt:lpwstr>http://damasdeblanco.org/index.php/derechos-humanos/1983-informe-semanal-del-movimiento-damas-de-blanco-18-de-enero-de-2015</vt:lpwstr>
      </vt:variant>
      <vt:variant>
        <vt:lpwstr/>
      </vt:variant>
      <vt:variant>
        <vt:i4>5701653</vt:i4>
      </vt:variant>
      <vt:variant>
        <vt:i4>144</vt:i4>
      </vt:variant>
      <vt:variant>
        <vt:i4>0</vt:i4>
      </vt:variant>
      <vt:variant>
        <vt:i4>5</vt:i4>
      </vt:variant>
      <vt:variant>
        <vt:lpwstr>http://www.damasdeblanco.com/</vt:lpwstr>
      </vt:variant>
      <vt:variant>
        <vt:lpwstr/>
      </vt:variant>
      <vt:variant>
        <vt:i4>2883629</vt:i4>
      </vt:variant>
      <vt:variant>
        <vt:i4>141</vt:i4>
      </vt:variant>
      <vt:variant>
        <vt:i4>0</vt:i4>
      </vt:variant>
      <vt:variant>
        <vt:i4>5</vt:i4>
      </vt:variant>
      <vt:variant>
        <vt:lpwstr>http://www.miscelaneasdecuba.net/web/Article/Index/55ef3ada3a682e0ba848c099</vt:lpwstr>
      </vt:variant>
      <vt:variant>
        <vt:lpwstr>.VfAzV3lOVpg</vt:lpwstr>
      </vt:variant>
      <vt:variant>
        <vt:i4>2949154</vt:i4>
      </vt:variant>
      <vt:variant>
        <vt:i4>138</vt:i4>
      </vt:variant>
      <vt:variant>
        <vt:i4>0</vt:i4>
      </vt:variant>
      <vt:variant>
        <vt:i4>5</vt:i4>
      </vt:variant>
      <vt:variant>
        <vt:lpwstr>http://www.cihpress.com/2015/10/informe-sobre-detenciones-arbitrarias.html</vt:lpwstr>
      </vt:variant>
      <vt:variant>
        <vt:lpwstr/>
      </vt:variant>
      <vt:variant>
        <vt:i4>3735654</vt:i4>
      </vt:variant>
      <vt:variant>
        <vt:i4>135</vt:i4>
      </vt:variant>
      <vt:variant>
        <vt:i4>0</vt:i4>
      </vt:variant>
      <vt:variant>
        <vt:i4>5</vt:i4>
      </vt:variant>
      <vt:variant>
        <vt:lpwstr>http://ccdhrn.org/wp-content/uploads/OVERVIEW-MAYO-2015.pdf</vt:lpwstr>
      </vt:variant>
      <vt:variant>
        <vt:lpwstr/>
      </vt:variant>
      <vt:variant>
        <vt:i4>3735654</vt:i4>
      </vt:variant>
      <vt:variant>
        <vt:i4>132</vt:i4>
      </vt:variant>
      <vt:variant>
        <vt:i4>0</vt:i4>
      </vt:variant>
      <vt:variant>
        <vt:i4>5</vt:i4>
      </vt:variant>
      <vt:variant>
        <vt:lpwstr>http://ccdhrn.org/wp-content/uploads/OVERVIEW-MAYO-2015.pdf</vt:lpwstr>
      </vt:variant>
      <vt:variant>
        <vt:lpwstr/>
      </vt:variant>
      <vt:variant>
        <vt:i4>3342460</vt:i4>
      </vt:variant>
      <vt:variant>
        <vt:i4>129</vt:i4>
      </vt:variant>
      <vt:variant>
        <vt:i4>0</vt:i4>
      </vt:variant>
      <vt:variant>
        <vt:i4>5</vt:i4>
      </vt:variant>
      <vt:variant>
        <vt:lpwstr>http://observacuba.org/observatorio-cubano-de-derechos-humanos-denuncia-740-detenciones-arbitrarias-en-septiembre/</vt:lpwstr>
      </vt:variant>
      <vt:variant>
        <vt:lpwstr/>
      </vt:variant>
      <vt:variant>
        <vt:i4>8060986</vt:i4>
      </vt:variant>
      <vt:variant>
        <vt:i4>126</vt:i4>
      </vt:variant>
      <vt:variant>
        <vt:i4>0</vt:i4>
      </vt:variant>
      <vt:variant>
        <vt:i4>5</vt:i4>
      </vt:variant>
      <vt:variant>
        <vt:lpwstr>http://observacuba.org/informe-de-violaciones-de-derechos-humanos-agosto-2015/</vt:lpwstr>
      </vt:variant>
      <vt:variant>
        <vt:lpwstr/>
      </vt:variant>
      <vt:variant>
        <vt:i4>3276896</vt:i4>
      </vt:variant>
      <vt:variant>
        <vt:i4>123</vt:i4>
      </vt:variant>
      <vt:variant>
        <vt:i4>0</vt:i4>
      </vt:variant>
      <vt:variant>
        <vt:i4>5</vt:i4>
      </vt:variant>
      <vt:variant>
        <vt:lpwstr>https://www.amnesty.org/es/countries/americas/cuba/report-cuba/</vt:lpwstr>
      </vt:variant>
      <vt:variant>
        <vt:lpwstr/>
      </vt:variant>
      <vt:variant>
        <vt:i4>1966161</vt:i4>
      </vt:variant>
      <vt:variant>
        <vt:i4>120</vt:i4>
      </vt:variant>
      <vt:variant>
        <vt:i4>0</vt:i4>
      </vt:variant>
      <vt:variant>
        <vt:i4>5</vt:i4>
      </vt:variant>
      <vt:variant>
        <vt:lpwstr>https://www.washingtonblade.com/2015/05/27/amid-change-lgbt-cubans-face-lingering-challenges/</vt:lpwstr>
      </vt:variant>
      <vt:variant>
        <vt:lpwstr/>
      </vt:variant>
      <vt:variant>
        <vt:i4>7405678</vt:i4>
      </vt:variant>
      <vt:variant>
        <vt:i4>117</vt:i4>
      </vt:variant>
      <vt:variant>
        <vt:i4>0</vt:i4>
      </vt:variant>
      <vt:variant>
        <vt:i4>5</vt:i4>
      </vt:variant>
      <vt:variant>
        <vt:lpwstr>http://www.ecured.cu/index.php/Sistema_electoral_cubano</vt:lpwstr>
      </vt:variant>
      <vt:variant>
        <vt:lpwstr/>
      </vt:variant>
      <vt:variant>
        <vt:i4>2752636</vt:i4>
      </vt:variant>
      <vt:variant>
        <vt:i4>114</vt:i4>
      </vt:variant>
      <vt:variant>
        <vt:i4>0</vt:i4>
      </vt:variant>
      <vt:variant>
        <vt:i4>5</vt:i4>
      </vt:variant>
      <vt:variant>
        <vt:lpwstr>http://www.granma.cu/elecciones-en-cuba-2015/2015-04-27/mas-de-1-100-circunscripciones-fueron-a-segunda-vuelta</vt:lpwstr>
      </vt:variant>
      <vt:variant>
        <vt:lpwstr/>
      </vt:variant>
      <vt:variant>
        <vt:i4>8192058</vt:i4>
      </vt:variant>
      <vt:variant>
        <vt:i4>111</vt:i4>
      </vt:variant>
      <vt:variant>
        <vt:i4>0</vt:i4>
      </vt:variant>
      <vt:variant>
        <vt:i4>5</vt:i4>
      </vt:variant>
      <vt:variant>
        <vt:lpwstr>http://www.granma.cu/elecciones-en-cuba-2015/2015-04-20/mas-de-siete-millones-de-cubanos-ejercieron-su-derecho-al-voto</vt:lpwstr>
      </vt:variant>
      <vt:variant>
        <vt:lpwstr/>
      </vt:variant>
      <vt:variant>
        <vt:i4>3801320</vt:i4>
      </vt:variant>
      <vt:variant>
        <vt:i4>108</vt:i4>
      </vt:variant>
      <vt:variant>
        <vt:i4>0</vt:i4>
      </vt:variant>
      <vt:variant>
        <vt:i4>5</vt:i4>
      </vt:variant>
      <vt:variant>
        <vt:lpwstr>http://elecciones.discovercubaus.com/wp-content/uploads/2015/04/LEY-NO.-72-LEY-ELECTORAL-TÍTULO-PRELIMINAR.pdf</vt:lpwstr>
      </vt:variant>
      <vt:variant>
        <vt:lpwstr/>
      </vt:variant>
      <vt:variant>
        <vt:i4>3801320</vt:i4>
      </vt:variant>
      <vt:variant>
        <vt:i4>105</vt:i4>
      </vt:variant>
      <vt:variant>
        <vt:i4>0</vt:i4>
      </vt:variant>
      <vt:variant>
        <vt:i4>5</vt:i4>
      </vt:variant>
      <vt:variant>
        <vt:lpwstr>http://elecciones.discovercubaus.com/wp-content/uploads/2015/04/LEY-NO.-72-LEY-ELECTORAL-TÍTULO-PRELIMINAR.pdf</vt:lpwstr>
      </vt:variant>
      <vt:variant>
        <vt:lpwstr/>
      </vt:variant>
      <vt:variant>
        <vt:i4>4259912</vt:i4>
      </vt:variant>
      <vt:variant>
        <vt:i4>102</vt:i4>
      </vt:variant>
      <vt:variant>
        <vt:i4>0</vt:i4>
      </vt:variant>
      <vt:variant>
        <vt:i4>5</vt:i4>
      </vt:variant>
      <vt:variant>
        <vt:lpwstr>http://www.cuba.cu/gobierno/cuba.htm</vt:lpwstr>
      </vt:variant>
      <vt:variant>
        <vt:lpwstr/>
      </vt:variant>
      <vt:variant>
        <vt:i4>4259912</vt:i4>
      </vt:variant>
      <vt:variant>
        <vt:i4>99</vt:i4>
      </vt:variant>
      <vt:variant>
        <vt:i4>0</vt:i4>
      </vt:variant>
      <vt:variant>
        <vt:i4>5</vt:i4>
      </vt:variant>
      <vt:variant>
        <vt:lpwstr>http://www.cuba.cu/gobierno/cuba.htm</vt:lpwstr>
      </vt:variant>
      <vt:variant>
        <vt:lpwstr/>
      </vt:variant>
      <vt:variant>
        <vt:i4>8323192</vt:i4>
      </vt:variant>
      <vt:variant>
        <vt:i4>96</vt:i4>
      </vt:variant>
      <vt:variant>
        <vt:i4>0</vt:i4>
      </vt:variant>
      <vt:variant>
        <vt:i4>5</vt:i4>
      </vt:variant>
      <vt:variant>
        <vt:lpwstr>http://www.oas.org/charter/docs_es/resolucion1_es.htm</vt:lpwstr>
      </vt:variant>
      <vt:variant>
        <vt:lpwstr/>
      </vt:variant>
      <vt:variant>
        <vt:i4>8323192</vt:i4>
      </vt:variant>
      <vt:variant>
        <vt:i4>93</vt:i4>
      </vt:variant>
      <vt:variant>
        <vt:i4>0</vt:i4>
      </vt:variant>
      <vt:variant>
        <vt:i4>5</vt:i4>
      </vt:variant>
      <vt:variant>
        <vt:lpwstr>http://www.oas.org/charter/docs_es/resolucion1_es.htm</vt:lpwstr>
      </vt:variant>
      <vt:variant>
        <vt:lpwstr/>
      </vt:variant>
      <vt:variant>
        <vt:i4>3866679</vt:i4>
      </vt:variant>
      <vt:variant>
        <vt:i4>90</vt:i4>
      </vt:variant>
      <vt:variant>
        <vt:i4>0</vt:i4>
      </vt:variant>
      <vt:variant>
        <vt:i4>5</vt:i4>
      </vt:variant>
      <vt:variant>
        <vt:lpwstr>http://papafranciscoencuba.cubaminrex.cu/articulos/acordo-consejo-de-estado-indultar-sancionados-en-ocasion-de-la-visita-de-su-santidad</vt:lpwstr>
      </vt:variant>
      <vt:variant>
        <vt:lpwstr/>
      </vt:variant>
      <vt:variant>
        <vt:i4>3997724</vt:i4>
      </vt:variant>
      <vt:variant>
        <vt:i4>87</vt:i4>
      </vt:variant>
      <vt:variant>
        <vt:i4>0</vt:i4>
      </vt:variant>
      <vt:variant>
        <vt:i4>5</vt:i4>
      </vt:variant>
      <vt:variant>
        <vt:lpwstr>http://internacional.elpais.com/internacional/2015/09/11/actualidad/1441971003_108303.html</vt:lpwstr>
      </vt:variant>
      <vt:variant>
        <vt:lpwstr/>
      </vt:variant>
      <vt:variant>
        <vt:i4>5963781</vt:i4>
      </vt:variant>
      <vt:variant>
        <vt:i4>84</vt:i4>
      </vt:variant>
      <vt:variant>
        <vt:i4>0</vt:i4>
      </vt:variant>
      <vt:variant>
        <vt:i4>5</vt:i4>
      </vt:variant>
      <vt:variant>
        <vt:lpwstr>http://www.damasdeblanco.org/index.php/derechos-humanos/2125-informe-de-represion-del-movimiento-damas-de-blanco-laura-pollan-septiembre-de-2015</vt:lpwstr>
      </vt:variant>
      <vt:variant>
        <vt:lpwstr/>
      </vt:variant>
      <vt:variant>
        <vt:i4>2949154</vt:i4>
      </vt:variant>
      <vt:variant>
        <vt:i4>81</vt:i4>
      </vt:variant>
      <vt:variant>
        <vt:i4>0</vt:i4>
      </vt:variant>
      <vt:variant>
        <vt:i4>5</vt:i4>
      </vt:variant>
      <vt:variant>
        <vt:lpwstr>http://www.cihpress.com/2015/10/informe-sobre-detenciones-arbitrarias.html</vt:lpwstr>
      </vt:variant>
      <vt:variant>
        <vt:lpwstr/>
      </vt:variant>
      <vt:variant>
        <vt:i4>3342460</vt:i4>
      </vt:variant>
      <vt:variant>
        <vt:i4>78</vt:i4>
      </vt:variant>
      <vt:variant>
        <vt:i4>0</vt:i4>
      </vt:variant>
      <vt:variant>
        <vt:i4>5</vt:i4>
      </vt:variant>
      <vt:variant>
        <vt:lpwstr>http://observacuba.org/observatorio-cubano-de-derechos-humanos-denuncia-740-detenciones-arbitrarias-en-septiembre/</vt:lpwstr>
      </vt:variant>
      <vt:variant>
        <vt:lpwstr/>
      </vt:variant>
      <vt:variant>
        <vt:i4>3735674</vt:i4>
      </vt:variant>
      <vt:variant>
        <vt:i4>75</vt:i4>
      </vt:variant>
      <vt:variant>
        <vt:i4>0</vt:i4>
      </vt:variant>
      <vt:variant>
        <vt:i4>5</vt:i4>
      </vt:variant>
      <vt:variant>
        <vt:lpwstr>http://www.oas.org/es/cidh/multimedia/sesiones/154/default.asp</vt:lpwstr>
      </vt:variant>
      <vt:variant>
        <vt:lpwstr/>
      </vt:variant>
      <vt:variant>
        <vt:i4>3735676</vt:i4>
      </vt:variant>
      <vt:variant>
        <vt:i4>72</vt:i4>
      </vt:variant>
      <vt:variant>
        <vt:i4>0</vt:i4>
      </vt:variant>
      <vt:variant>
        <vt:i4>5</vt:i4>
      </vt:variant>
      <vt:variant>
        <vt:lpwstr>http://www.amnestyusa.org/pdfs/amr250072009eng.pdf</vt:lpwstr>
      </vt:variant>
      <vt:variant>
        <vt:lpwstr/>
      </vt:variant>
      <vt:variant>
        <vt:i4>4980773</vt:i4>
      </vt:variant>
      <vt:variant>
        <vt:i4>69</vt:i4>
      </vt:variant>
      <vt:variant>
        <vt:i4>0</vt:i4>
      </vt:variant>
      <vt:variant>
        <vt:i4>5</vt:i4>
      </vt:variant>
      <vt:variant>
        <vt:lpwstr>http://www.un.org/en/ga/search/view_doc.asp?symbol=A/61/132&amp;Lang=E</vt:lpwstr>
      </vt:variant>
      <vt:variant>
        <vt:lpwstr/>
      </vt:variant>
      <vt:variant>
        <vt:i4>6094863</vt:i4>
      </vt:variant>
      <vt:variant>
        <vt:i4>66</vt:i4>
      </vt:variant>
      <vt:variant>
        <vt:i4>0</vt:i4>
      </vt:variant>
      <vt:variant>
        <vt:i4>5</vt:i4>
      </vt:variant>
      <vt:variant>
        <vt:lpwstr>http://www.miamiherald.com/news/nation-world/world/americas/cuba/article41538987.html</vt:lpwstr>
      </vt:variant>
      <vt:variant>
        <vt:lpwstr/>
      </vt:variant>
      <vt:variant>
        <vt:i4>3080192</vt:i4>
      </vt:variant>
      <vt:variant>
        <vt:i4>63</vt:i4>
      </vt:variant>
      <vt:variant>
        <vt:i4>0</vt:i4>
      </vt:variant>
      <vt:variant>
        <vt:i4>5</vt:i4>
      </vt:variant>
      <vt:variant>
        <vt:lpwstr>http://www.nytimes.com/aponline/2015/10/27/world/americas/ap-un-united-nations-cuba-embargo.html?_r=0</vt:lpwstr>
      </vt:variant>
      <vt:variant>
        <vt:lpwstr/>
      </vt:variant>
      <vt:variant>
        <vt:i4>262157</vt:i4>
      </vt:variant>
      <vt:variant>
        <vt:i4>60</vt:i4>
      </vt:variant>
      <vt:variant>
        <vt:i4>0</vt:i4>
      </vt:variant>
      <vt:variant>
        <vt:i4>5</vt:i4>
      </vt:variant>
      <vt:variant>
        <vt:lpwstr>http://cubaeeuu.cubaminrex.cu/article/sesionara-la-primera-reunion-de-la-comision-bilateral-cuba-eeuu</vt:lpwstr>
      </vt:variant>
      <vt:variant>
        <vt:lpwstr/>
      </vt:variant>
      <vt:variant>
        <vt:i4>2621558</vt:i4>
      </vt:variant>
      <vt:variant>
        <vt:i4>57</vt:i4>
      </vt:variant>
      <vt:variant>
        <vt:i4>0</vt:i4>
      </vt:variant>
      <vt:variant>
        <vt:i4>5</vt:i4>
      </vt:variant>
      <vt:variant>
        <vt:lpwstr>http://cubaeeuu.cubaminrex.cu/article/recibe-canciller-cubano-al-secretario-de-estado-de-los-estados-unidos</vt:lpwstr>
      </vt:variant>
      <vt:variant>
        <vt:lpwstr/>
      </vt:variant>
      <vt:variant>
        <vt:i4>2490371</vt:i4>
      </vt:variant>
      <vt:variant>
        <vt:i4>54</vt:i4>
      </vt:variant>
      <vt:variant>
        <vt:i4>0</vt:i4>
      </vt:variant>
      <vt:variant>
        <vt:i4>5</vt:i4>
      </vt:variant>
      <vt:variant>
        <vt:lpwstr>http://cubaeeuu.cubaminrex.cu/sites/default/files/info_cuba_eeuu2_0.jpg</vt:lpwstr>
      </vt:variant>
      <vt:variant>
        <vt:lpwstr/>
      </vt:variant>
      <vt:variant>
        <vt:i4>4128768</vt:i4>
      </vt:variant>
      <vt:variant>
        <vt:i4>51</vt:i4>
      </vt:variant>
      <vt:variant>
        <vt:i4>0</vt:i4>
      </vt:variant>
      <vt:variant>
        <vt:i4>5</vt:i4>
      </vt:variant>
      <vt:variant>
        <vt:lpwstr>http://photos.state.gov/libraries/havana/231771/PDFs_001/Embajada-EEUU-en-La-Habana-Nota-de-Prensa-20-de-julio.pdf</vt:lpwstr>
      </vt:variant>
      <vt:variant>
        <vt:lpwstr/>
      </vt:variant>
      <vt:variant>
        <vt:i4>3473509</vt:i4>
      </vt:variant>
      <vt:variant>
        <vt:i4>48</vt:i4>
      </vt:variant>
      <vt:variant>
        <vt:i4>0</vt:i4>
      </vt:variant>
      <vt:variant>
        <vt:i4>5</vt:i4>
      </vt:variant>
      <vt:variant>
        <vt:lpwstr>http://www.state.gov/r/pa/prs/ps/2015/05/242986.htm</vt:lpwstr>
      </vt:variant>
      <vt:variant>
        <vt:lpwstr/>
      </vt:variant>
      <vt:variant>
        <vt:i4>2293799</vt:i4>
      </vt:variant>
      <vt:variant>
        <vt:i4>45</vt:i4>
      </vt:variant>
      <vt:variant>
        <vt:i4>0</vt:i4>
      </vt:variant>
      <vt:variant>
        <vt:i4>5</vt:i4>
      </vt:variant>
      <vt:variant>
        <vt:lpwstr>https://www.youtube.com/watch?v=MWNoxCRnAIA</vt:lpwstr>
      </vt:variant>
      <vt:variant>
        <vt:lpwstr/>
      </vt:variant>
      <vt:variant>
        <vt:i4>8192052</vt:i4>
      </vt:variant>
      <vt:variant>
        <vt:i4>42</vt:i4>
      </vt:variant>
      <vt:variant>
        <vt:i4>0</vt:i4>
      </vt:variant>
      <vt:variant>
        <vt:i4>5</vt:i4>
      </vt:variant>
      <vt:variant>
        <vt:lpwstr>http://www.oas.org/es/cidh/prensa/comunicados/2014/156.asp</vt:lpwstr>
      </vt:variant>
      <vt:variant>
        <vt:lpwstr/>
      </vt:variant>
      <vt:variant>
        <vt:i4>8192052</vt:i4>
      </vt:variant>
      <vt:variant>
        <vt:i4>39</vt:i4>
      </vt:variant>
      <vt:variant>
        <vt:i4>0</vt:i4>
      </vt:variant>
      <vt:variant>
        <vt:i4>5</vt:i4>
      </vt:variant>
      <vt:variant>
        <vt:lpwstr>http://www.oas.org/es/cidh/prensa/comunicados/2014/156.asp</vt:lpwstr>
      </vt:variant>
      <vt:variant>
        <vt:lpwstr/>
      </vt:variant>
      <vt:variant>
        <vt:i4>1179651</vt:i4>
      </vt:variant>
      <vt:variant>
        <vt:i4>36</vt:i4>
      </vt:variant>
      <vt:variant>
        <vt:i4>0</vt:i4>
      </vt:variant>
      <vt:variant>
        <vt:i4>5</vt:i4>
      </vt:variant>
      <vt:variant>
        <vt:lpwstr>http://cubaeeuu.cubaminrex.cu/article/declaracion-del-gobierno-revolucionario</vt:lpwstr>
      </vt:variant>
      <vt:variant>
        <vt:lpwstr/>
      </vt:variant>
      <vt:variant>
        <vt:i4>8060985</vt:i4>
      </vt:variant>
      <vt:variant>
        <vt:i4>33</vt:i4>
      </vt:variant>
      <vt:variant>
        <vt:i4>0</vt:i4>
      </vt:variant>
      <vt:variant>
        <vt:i4>5</vt:i4>
      </vt:variant>
      <vt:variant>
        <vt:lpwstr>https://www.whitehouse.gov/the-press-office/2014/12/17/fact-sheet-charting-new-course-cuba</vt:lpwstr>
      </vt:variant>
      <vt:variant>
        <vt:lpwstr/>
      </vt:variant>
      <vt:variant>
        <vt:i4>3932207</vt:i4>
      </vt:variant>
      <vt:variant>
        <vt:i4>30</vt:i4>
      </vt:variant>
      <vt:variant>
        <vt:i4>0</vt:i4>
      </vt:variant>
      <vt:variant>
        <vt:i4>5</vt:i4>
      </vt:variant>
      <vt:variant>
        <vt:lpwstr>https://www.youtube.com/watch?v=rSBVTvoEKuM</vt:lpwstr>
      </vt:variant>
      <vt:variant>
        <vt:lpwstr/>
      </vt:variant>
      <vt:variant>
        <vt:i4>6226009</vt:i4>
      </vt:variant>
      <vt:variant>
        <vt:i4>27</vt:i4>
      </vt:variant>
      <vt:variant>
        <vt:i4>0</vt:i4>
      </vt:variant>
      <vt:variant>
        <vt:i4>5</vt:i4>
      </vt:variant>
      <vt:variant>
        <vt:lpwstr>http://www.cidh.org/</vt:lpwstr>
      </vt:variant>
      <vt:variant>
        <vt:lpwstr/>
      </vt:variant>
      <vt:variant>
        <vt:i4>5374035</vt:i4>
      </vt:variant>
      <vt:variant>
        <vt:i4>24</vt:i4>
      </vt:variant>
      <vt:variant>
        <vt:i4>0</vt:i4>
      </vt:variant>
      <vt:variant>
        <vt:i4>5</vt:i4>
      </vt:variant>
      <vt:variant>
        <vt:lpwstr>http://www.cidh.org/annualrep/2006sp/Cuba12477sp.htm</vt:lpwstr>
      </vt:variant>
      <vt:variant>
        <vt:lpwstr/>
      </vt:variant>
      <vt:variant>
        <vt:i4>1376281</vt:i4>
      </vt:variant>
      <vt:variant>
        <vt:i4>21</vt:i4>
      </vt:variant>
      <vt:variant>
        <vt:i4>0</vt:i4>
      </vt:variant>
      <vt:variant>
        <vt:i4>5</vt:i4>
      </vt:variant>
      <vt:variant>
        <vt:lpwstr>http://www.cidh.org/annualrep/2004sp/Cuba.844.03.htm</vt:lpwstr>
      </vt:variant>
      <vt:variant>
        <vt:lpwstr/>
      </vt:variant>
      <vt:variant>
        <vt:i4>5439571</vt:i4>
      </vt:variant>
      <vt:variant>
        <vt:i4>18</vt:i4>
      </vt:variant>
      <vt:variant>
        <vt:i4>0</vt:i4>
      </vt:variant>
      <vt:variant>
        <vt:i4>5</vt:i4>
      </vt:variant>
      <vt:variant>
        <vt:lpwstr>http://www.cidh.org/annualrep/2006sp/Cuba12476sp.htm</vt:lpwstr>
      </vt:variant>
      <vt:variant>
        <vt:lpwstr/>
      </vt:variant>
      <vt:variant>
        <vt:i4>1441811</vt:i4>
      </vt:variant>
      <vt:variant>
        <vt:i4>15</vt:i4>
      </vt:variant>
      <vt:variant>
        <vt:i4>0</vt:i4>
      </vt:variant>
      <vt:variant>
        <vt:i4>5</vt:i4>
      </vt:variant>
      <vt:variant>
        <vt:lpwstr>http://www.cidh.org/annualrep/2004sp/Cuba.771.03.htm</vt:lpwstr>
      </vt:variant>
      <vt:variant>
        <vt:lpwstr/>
      </vt:variant>
      <vt:variant>
        <vt:i4>6488096</vt:i4>
      </vt:variant>
      <vt:variant>
        <vt:i4>12</vt:i4>
      </vt:variant>
      <vt:variant>
        <vt:i4>0</vt:i4>
      </vt:variant>
      <vt:variant>
        <vt:i4>5</vt:i4>
      </vt:variant>
      <vt:variant>
        <vt:lpwstr>http://www.cidh.org/annualrep/2004sp/Cuba.12127.htm</vt:lpwstr>
      </vt:variant>
      <vt:variant>
        <vt:lpwstr/>
      </vt:variant>
      <vt:variant>
        <vt:i4>6226009</vt:i4>
      </vt:variant>
      <vt:variant>
        <vt:i4>9</vt:i4>
      </vt:variant>
      <vt:variant>
        <vt:i4>0</vt:i4>
      </vt:variant>
      <vt:variant>
        <vt:i4>5</vt:i4>
      </vt:variant>
      <vt:variant>
        <vt:lpwstr>http://www.cidh.org/</vt:lpwstr>
      </vt:variant>
      <vt:variant>
        <vt:lpwstr/>
      </vt:variant>
      <vt:variant>
        <vt:i4>6226009</vt:i4>
      </vt:variant>
      <vt:variant>
        <vt:i4>6</vt:i4>
      </vt:variant>
      <vt:variant>
        <vt:i4>0</vt:i4>
      </vt:variant>
      <vt:variant>
        <vt:i4>5</vt:i4>
      </vt:variant>
      <vt:variant>
        <vt:lpwstr>http://www.cidh.org/</vt:lpwstr>
      </vt:variant>
      <vt:variant>
        <vt:lpwstr/>
      </vt:variant>
      <vt:variant>
        <vt:i4>7077954</vt:i4>
      </vt:variant>
      <vt:variant>
        <vt:i4>3</vt:i4>
      </vt:variant>
      <vt:variant>
        <vt:i4>0</vt:i4>
      </vt:variant>
      <vt:variant>
        <vt:i4>5</vt:i4>
      </vt:variant>
      <vt:variant>
        <vt:lpwstr>http://www.summit-americas.org/vii/docs/mandates_es.pdf</vt:lpwstr>
      </vt:variant>
      <vt:variant>
        <vt:lpwstr/>
      </vt:variant>
      <vt:variant>
        <vt:i4>5898278</vt:i4>
      </vt:variant>
      <vt:variant>
        <vt:i4>0</vt:i4>
      </vt:variant>
      <vt:variant>
        <vt:i4>0</vt:i4>
      </vt:variant>
      <vt:variant>
        <vt:i4>5</vt:i4>
      </vt:variant>
      <vt:variant>
        <vt:lpwstr>http://www.summit-americas.org/vii/docs_en.htm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Anual 2015 - Capítulo IV.B Cuba</dc:title>
  <dc:creator>%username%</dc:creator>
  <cp:lastModifiedBy>%OAS%</cp:lastModifiedBy>
  <cp:revision>4</cp:revision>
  <cp:lastPrinted>2014-04-10T17:21:00Z</cp:lastPrinted>
  <dcterms:created xsi:type="dcterms:W3CDTF">2016-03-10T19:42:00Z</dcterms:created>
  <dcterms:modified xsi:type="dcterms:W3CDTF">2016-03-10T19:45:00Z</dcterms:modified>
</cp:coreProperties>
</file>