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79C0" w14:textId="6EFCB64B" w:rsidR="006E7970" w:rsidRPr="00F93C22" w:rsidRDefault="006E7970" w:rsidP="00C11A2F">
      <w:pPr>
        <w:pStyle w:val="NoSpacing"/>
        <w:jc w:val="center"/>
        <w:rPr>
          <w:rFonts w:ascii="Cambria" w:hAnsi="Cambria"/>
          <w:b/>
          <w:color w:val="000000"/>
          <w:lang w:val="es-ES"/>
        </w:rPr>
      </w:pPr>
      <w:r w:rsidRPr="00F93C22">
        <w:rPr>
          <w:rFonts w:ascii="Cambria" w:hAnsi="Cambria"/>
          <w:b/>
          <w:color w:val="000000"/>
          <w:lang w:val="es-ES"/>
        </w:rPr>
        <w:t>FICHA DE SEGUIMIENTO DEL CASO 12.001</w:t>
      </w:r>
    </w:p>
    <w:p w14:paraId="4E445CD8" w14:textId="77777777" w:rsidR="006E7970" w:rsidRPr="00F93C22" w:rsidRDefault="006E7970" w:rsidP="00C11A2F">
      <w:pPr>
        <w:pStyle w:val="NoSpacing"/>
        <w:jc w:val="center"/>
        <w:rPr>
          <w:rFonts w:ascii="Cambria" w:hAnsi="Cambria"/>
          <w:b/>
          <w:color w:val="000000"/>
          <w:lang w:val="es-ES"/>
        </w:rPr>
      </w:pPr>
      <w:r w:rsidRPr="00F93C22">
        <w:rPr>
          <w:rFonts w:ascii="Cambria" w:hAnsi="Cambria"/>
          <w:b/>
          <w:color w:val="000000"/>
          <w:lang w:val="es-ES"/>
        </w:rPr>
        <w:t>SIMONE ANDRÉ DINIZ</w:t>
      </w:r>
    </w:p>
    <w:p w14:paraId="2FAA96C0" w14:textId="77777777" w:rsidR="006E7970" w:rsidRPr="00F93C22" w:rsidRDefault="006E7970" w:rsidP="00C11A2F">
      <w:pPr>
        <w:pStyle w:val="NoSpacing"/>
        <w:jc w:val="center"/>
        <w:rPr>
          <w:rFonts w:ascii="Cambria" w:hAnsi="Cambria"/>
          <w:b/>
          <w:color w:val="000000"/>
          <w:lang w:val="es-ES"/>
        </w:rPr>
      </w:pPr>
      <w:r w:rsidRPr="00F93C22">
        <w:rPr>
          <w:rFonts w:ascii="Cambria" w:hAnsi="Cambria"/>
          <w:b/>
          <w:color w:val="000000"/>
          <w:lang w:val="es-ES"/>
        </w:rPr>
        <w:t>(Brasil)</w:t>
      </w:r>
    </w:p>
    <w:p w14:paraId="672A6659" w14:textId="77777777" w:rsidR="009C28DC" w:rsidRPr="00F93C22" w:rsidRDefault="009C28DC" w:rsidP="00C11A2F">
      <w:pPr>
        <w:pStyle w:val="NoSpacing"/>
        <w:ind w:right="-604"/>
        <w:rPr>
          <w:rFonts w:ascii="Cambria" w:hAnsi="Cambria"/>
          <w:b/>
          <w:color w:val="000000" w:themeColor="text1"/>
          <w:lang w:val="es-ES"/>
        </w:rPr>
      </w:pPr>
    </w:p>
    <w:tbl>
      <w:tblPr>
        <w:tblStyle w:val="TableGrid"/>
        <w:tblW w:w="982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5059"/>
        <w:gridCol w:w="4770"/>
      </w:tblGrid>
      <w:tr w:rsidR="009C28DC" w:rsidRPr="00F93C22" w14:paraId="05D68805" w14:textId="77777777" w:rsidTr="00236880">
        <w:tc>
          <w:tcPr>
            <w:tcW w:w="5059" w:type="dxa"/>
            <w:shd w:val="clear" w:color="auto" w:fill="F2F2F2" w:themeFill="background1" w:themeFillShade="F2"/>
          </w:tcPr>
          <w:p w14:paraId="0A37501D" w14:textId="77777777" w:rsidR="009C28DC" w:rsidRPr="00F93C22" w:rsidRDefault="009C28DC" w:rsidP="00C11A2F">
            <w:pPr>
              <w:pStyle w:val="ListParagraph"/>
              <w:ind w:left="0"/>
              <w:jc w:val="both"/>
              <w:rPr>
                <w:rFonts w:ascii="Cambria" w:hAnsi="Cambria"/>
                <w:b/>
                <w:bCs/>
                <w:sz w:val="20"/>
                <w:lang w:val="es-ES"/>
              </w:rPr>
            </w:pPr>
          </w:p>
          <w:p w14:paraId="3C29B4AB" w14:textId="77777777" w:rsidR="009C28DC" w:rsidRPr="00F93C22" w:rsidRDefault="009C28DC" w:rsidP="00C11A2F">
            <w:pPr>
              <w:pStyle w:val="ListParagraph"/>
              <w:ind w:left="0"/>
              <w:jc w:val="both"/>
              <w:rPr>
                <w:rFonts w:ascii="Cambria" w:hAnsi="Cambria"/>
                <w:b/>
                <w:bCs/>
                <w:sz w:val="20"/>
                <w:lang w:val="es-ES"/>
              </w:rPr>
            </w:pPr>
            <w:r w:rsidRPr="00F93C22">
              <w:rPr>
                <w:rFonts w:ascii="Cambria" w:hAnsi="Cambria"/>
                <w:b/>
                <w:bCs/>
                <w:sz w:val="20"/>
                <w:lang w:val="es-ES"/>
              </w:rPr>
              <w:t>Estado de cumplimiento del caso en 2023</w:t>
            </w:r>
          </w:p>
        </w:tc>
        <w:tc>
          <w:tcPr>
            <w:tcW w:w="4770" w:type="dxa"/>
            <w:shd w:val="clear" w:color="auto" w:fill="F2F2F2" w:themeFill="background1" w:themeFillShade="F2"/>
          </w:tcPr>
          <w:p w14:paraId="5DAB6C7B" w14:textId="77777777" w:rsidR="009C28DC" w:rsidRPr="00F93C22" w:rsidRDefault="009C28DC" w:rsidP="00C11A2F">
            <w:pPr>
              <w:jc w:val="both"/>
              <w:rPr>
                <w:rFonts w:ascii="Cambria" w:hAnsi="Cambria" w:cs="Calibri Light"/>
                <w:color w:val="000000" w:themeColor="text1"/>
                <w:sz w:val="20"/>
                <w:szCs w:val="20"/>
                <w:lang w:val="es-ES"/>
              </w:rPr>
            </w:pPr>
          </w:p>
          <w:p w14:paraId="000419F8" w14:textId="56B1C7C3" w:rsidR="00264A4D" w:rsidRPr="00613B10" w:rsidRDefault="00584CBD" w:rsidP="00584CBD">
            <w:pPr>
              <w:tabs>
                <w:tab w:val="center" w:pos="2277"/>
                <w:tab w:val="left" w:pos="3240"/>
              </w:tabs>
              <w:rPr>
                <w:rFonts w:ascii="Cambria" w:hAnsi="Cambria" w:cs="Calibri Light"/>
                <w:color w:val="000000" w:themeColor="text1"/>
                <w:sz w:val="20"/>
                <w:szCs w:val="20"/>
                <w:lang w:val="es-ES"/>
              </w:rPr>
            </w:pPr>
            <w:r>
              <w:rPr>
                <w:rFonts w:ascii="Cambria" w:hAnsi="Cambria" w:cs="Calibri Light"/>
                <w:color w:val="000000" w:themeColor="text1"/>
                <w:sz w:val="20"/>
                <w:szCs w:val="20"/>
                <w:lang w:val="es-ES"/>
              </w:rPr>
              <w:tab/>
            </w:r>
            <w:r w:rsidR="00BC7A66" w:rsidRPr="00613B10">
              <w:rPr>
                <w:rFonts w:ascii="Cambria" w:hAnsi="Cambria" w:cs="Calibri Light"/>
                <w:color w:val="000000" w:themeColor="text1"/>
                <w:sz w:val="20"/>
                <w:szCs w:val="20"/>
                <w:lang w:val="es-ES"/>
              </w:rPr>
              <w:t>Parcial</w:t>
            </w:r>
            <w:r>
              <w:rPr>
                <w:rFonts w:ascii="Cambria" w:hAnsi="Cambria" w:cs="Calibri Light"/>
                <w:color w:val="000000" w:themeColor="text1"/>
                <w:sz w:val="20"/>
                <w:szCs w:val="20"/>
                <w:lang w:val="es-ES"/>
              </w:rPr>
              <w:tab/>
            </w:r>
          </w:p>
          <w:p w14:paraId="02EB378F" w14:textId="77777777" w:rsidR="009C28DC" w:rsidRPr="00F93C22" w:rsidRDefault="009C28DC" w:rsidP="00C11A2F">
            <w:pPr>
              <w:jc w:val="both"/>
              <w:rPr>
                <w:rFonts w:ascii="Cambria" w:hAnsi="Cambria" w:cs="Calibri Light"/>
                <w:color w:val="000000" w:themeColor="text1"/>
                <w:sz w:val="20"/>
                <w:szCs w:val="20"/>
                <w:lang w:val="es-ES"/>
              </w:rPr>
            </w:pPr>
          </w:p>
        </w:tc>
      </w:tr>
    </w:tbl>
    <w:p w14:paraId="6A05A809" w14:textId="77777777" w:rsidR="009C28DC" w:rsidRPr="00F93C22" w:rsidRDefault="009C28DC" w:rsidP="00C11A2F">
      <w:pPr>
        <w:pStyle w:val="NoSpacing"/>
        <w:ind w:right="-604"/>
        <w:rPr>
          <w:rFonts w:ascii="Cambria" w:hAnsi="Cambria"/>
          <w:b/>
          <w:color w:val="000000" w:themeColor="text1"/>
          <w:lang w:val="es-ES"/>
        </w:rPr>
      </w:pPr>
    </w:p>
    <w:p w14:paraId="08EFC47B" w14:textId="77777777" w:rsidR="009C28DC" w:rsidRPr="00F93C22" w:rsidRDefault="009C28DC" w:rsidP="00C11A2F">
      <w:pPr>
        <w:pStyle w:val="ListParagraph"/>
        <w:numPr>
          <w:ilvl w:val="0"/>
          <w:numId w:val="1"/>
        </w:numPr>
        <w:spacing w:after="0" w:line="240" w:lineRule="auto"/>
        <w:jc w:val="both"/>
        <w:rPr>
          <w:rFonts w:ascii="Cambria" w:hAnsi="Cambria"/>
          <w:sz w:val="20"/>
          <w:szCs w:val="20"/>
          <w:lang w:val="es-ES"/>
        </w:rPr>
      </w:pPr>
      <w:r w:rsidRPr="00F93C22">
        <w:rPr>
          <w:rFonts w:ascii="Cambria" w:hAnsi="Cambria" w:cs="Calibri Light"/>
          <w:b/>
          <w:color w:val="000000" w:themeColor="text1"/>
          <w:sz w:val="20"/>
          <w:szCs w:val="20"/>
          <w:lang w:val="es-ES"/>
        </w:rPr>
        <w:t>Resumen del caso</w:t>
      </w:r>
    </w:p>
    <w:p w14:paraId="5A39BBE3" w14:textId="77777777" w:rsidR="009C28DC" w:rsidRPr="00F93C22" w:rsidRDefault="009C28DC" w:rsidP="00C11A2F">
      <w:pPr>
        <w:pStyle w:val="ListParagraph"/>
        <w:spacing w:after="0" w:line="240" w:lineRule="auto"/>
        <w:ind w:left="360"/>
        <w:jc w:val="both"/>
        <w:rPr>
          <w:rFonts w:ascii="Cambria" w:hAnsi="Cambria"/>
          <w:sz w:val="20"/>
          <w:szCs w:val="20"/>
          <w:lang w:val="es-ES"/>
        </w:rPr>
      </w:pPr>
    </w:p>
    <w:tbl>
      <w:tblPr>
        <w:tblStyle w:val="TableGrid"/>
        <w:tblW w:w="96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9"/>
      </w:tblGrid>
      <w:tr w:rsidR="009C28DC" w:rsidRPr="00F93C22" w14:paraId="0D29A8A5" w14:textId="77777777" w:rsidTr="0099550C">
        <w:tc>
          <w:tcPr>
            <w:tcW w:w="9649" w:type="dxa"/>
            <w:shd w:val="clear" w:color="auto" w:fill="F2F2F2" w:themeFill="background1" w:themeFillShade="F2"/>
          </w:tcPr>
          <w:p w14:paraId="2CF0A6A9" w14:textId="77777777" w:rsidR="00C11A2F" w:rsidRDefault="00C11A2F" w:rsidP="00C11A2F">
            <w:pPr>
              <w:pStyle w:val="NoSpacing"/>
              <w:shd w:val="clear" w:color="auto" w:fill="F2F2F2" w:themeFill="background1" w:themeFillShade="F2"/>
              <w:jc w:val="both"/>
              <w:rPr>
                <w:rFonts w:ascii="Cambria" w:hAnsi="Cambria"/>
                <w:b/>
                <w:bCs/>
                <w:color w:val="000000" w:themeColor="text1"/>
                <w:lang w:val="es-ES"/>
              </w:rPr>
            </w:pPr>
          </w:p>
          <w:p w14:paraId="70BB41EC" w14:textId="6A2BC9FC" w:rsidR="009C28DC" w:rsidRPr="003A44E2" w:rsidRDefault="009C28DC" w:rsidP="00C11A2F">
            <w:pPr>
              <w:pStyle w:val="NoSpacing"/>
              <w:shd w:val="clear" w:color="auto" w:fill="F2F2F2" w:themeFill="background1" w:themeFillShade="F2"/>
              <w:jc w:val="both"/>
              <w:rPr>
                <w:rFonts w:ascii="Cambria" w:hAnsi="Cambria"/>
                <w:b/>
                <w:color w:val="000000" w:themeColor="text1"/>
                <w:lang w:val="es-ES"/>
              </w:rPr>
            </w:pPr>
            <w:r w:rsidRPr="003A44E2">
              <w:rPr>
                <w:rFonts w:ascii="Cambria" w:hAnsi="Cambria"/>
                <w:b/>
                <w:bCs/>
                <w:color w:val="000000" w:themeColor="text1"/>
                <w:lang w:val="es-ES"/>
              </w:rPr>
              <w:t xml:space="preserve">Víctimas: </w:t>
            </w:r>
            <w:r w:rsidR="003A29D8" w:rsidRPr="003A44E2">
              <w:rPr>
                <w:rFonts w:ascii="Cambria" w:hAnsi="Cambria"/>
                <w:color w:val="000000" w:themeColor="text1"/>
                <w:lang w:val="es-ES"/>
              </w:rPr>
              <w:t>Simone André Diniz</w:t>
            </w:r>
          </w:p>
          <w:p w14:paraId="7C6C32DA" w14:textId="77777777" w:rsidR="009C28DC" w:rsidRPr="003A44E2" w:rsidRDefault="009C28DC" w:rsidP="00C11A2F">
            <w:pPr>
              <w:pStyle w:val="NoSpacing"/>
              <w:shd w:val="clear" w:color="auto" w:fill="F2F2F2" w:themeFill="background1" w:themeFillShade="F2"/>
              <w:jc w:val="both"/>
              <w:rPr>
                <w:rFonts w:ascii="Cambria" w:hAnsi="Cambria"/>
                <w:color w:val="000000" w:themeColor="text1"/>
                <w:lang w:val="es-ES"/>
              </w:rPr>
            </w:pPr>
            <w:r w:rsidRPr="003A44E2">
              <w:rPr>
                <w:rFonts w:ascii="Cambria" w:hAnsi="Cambria"/>
                <w:b/>
                <w:color w:val="000000" w:themeColor="text1"/>
                <w:lang w:val="es-ES"/>
              </w:rPr>
              <w:t>Representante (s):</w:t>
            </w:r>
            <w:r w:rsidRPr="003A44E2">
              <w:rPr>
                <w:rFonts w:ascii="Cambria" w:hAnsi="Cambria"/>
                <w:color w:val="000000" w:themeColor="text1"/>
                <w:lang w:val="es-ES"/>
              </w:rPr>
              <w:t xml:space="preserve"> </w:t>
            </w:r>
            <w:r w:rsidR="003A29D8" w:rsidRPr="003A44E2">
              <w:rPr>
                <w:rFonts w:ascii="Cambria" w:hAnsi="Cambria"/>
                <w:color w:val="000000" w:themeColor="text1"/>
                <w:lang w:val="es-ES"/>
              </w:rPr>
              <w:t>Centro por la Justicia y el Derecho Internacional (CEJIL)</w:t>
            </w:r>
          </w:p>
          <w:p w14:paraId="270F5417" w14:textId="77777777" w:rsidR="009C28DC" w:rsidRPr="003A44E2" w:rsidRDefault="009C28DC" w:rsidP="00C11A2F">
            <w:pPr>
              <w:pStyle w:val="NoSpacing"/>
              <w:shd w:val="clear" w:color="auto" w:fill="F2F2F2" w:themeFill="background1" w:themeFillShade="F2"/>
              <w:jc w:val="both"/>
              <w:rPr>
                <w:rFonts w:ascii="Cambria" w:hAnsi="Cambria"/>
                <w:color w:val="000000" w:themeColor="text1"/>
                <w:lang w:val="es-ES"/>
              </w:rPr>
            </w:pPr>
            <w:r w:rsidRPr="003A44E2">
              <w:rPr>
                <w:rFonts w:ascii="Cambria" w:hAnsi="Cambria"/>
                <w:b/>
                <w:color w:val="000000" w:themeColor="text1"/>
                <w:lang w:val="es-ES"/>
              </w:rPr>
              <w:t xml:space="preserve">Informe de Fondo Nº: </w:t>
            </w:r>
            <w:hyperlink r:id="rId11">
              <w:r w:rsidR="003A29D8" w:rsidRPr="003A44E2">
                <w:rPr>
                  <w:rStyle w:val="Hyperlink"/>
                  <w:rFonts w:ascii="Cambria" w:hAnsi="Cambria"/>
                  <w:color w:val="000000" w:themeColor="text1"/>
                  <w:lang w:val="es-ES"/>
                </w:rPr>
                <w:t>66/06</w:t>
              </w:r>
            </w:hyperlink>
            <w:r w:rsidR="003A29D8" w:rsidRPr="003A44E2">
              <w:rPr>
                <w:rFonts w:ascii="Cambria" w:hAnsi="Cambria"/>
                <w:color w:val="000000" w:themeColor="text1"/>
                <w:lang w:val="es-ES"/>
              </w:rPr>
              <w:t>, publicado el 21 de octubre de 2006</w:t>
            </w:r>
          </w:p>
          <w:p w14:paraId="6880B63D" w14:textId="77777777" w:rsidR="003A29D8" w:rsidRPr="003A44E2" w:rsidRDefault="009C28DC" w:rsidP="00C11A2F">
            <w:pPr>
              <w:pStyle w:val="ListParagraph"/>
              <w:ind w:left="0"/>
              <w:rPr>
                <w:rFonts w:ascii="Cambria" w:hAnsi="Cambria"/>
                <w:color w:val="000000" w:themeColor="text1"/>
                <w:sz w:val="20"/>
                <w:szCs w:val="20"/>
                <w:lang w:val="es-ES"/>
              </w:rPr>
            </w:pPr>
            <w:r w:rsidRPr="003A44E2">
              <w:rPr>
                <w:rFonts w:ascii="Cambria" w:hAnsi="Cambria"/>
                <w:b/>
                <w:color w:val="000000" w:themeColor="text1"/>
                <w:sz w:val="20"/>
                <w:szCs w:val="20"/>
                <w:lang w:val="es-ES"/>
              </w:rPr>
              <w:t xml:space="preserve">Informe de Admisibilidad Nº: </w:t>
            </w:r>
            <w:hyperlink r:id="rId12">
              <w:r w:rsidR="003A29D8" w:rsidRPr="003A44E2">
                <w:rPr>
                  <w:rStyle w:val="Hyperlink"/>
                  <w:rFonts w:ascii="Cambria" w:hAnsi="Cambria"/>
                  <w:color w:val="000000" w:themeColor="text1"/>
                  <w:sz w:val="20"/>
                  <w:szCs w:val="20"/>
                  <w:lang w:val="es-ES"/>
                </w:rPr>
                <w:t>37/02</w:t>
              </w:r>
            </w:hyperlink>
            <w:r w:rsidR="003A29D8" w:rsidRPr="003A44E2">
              <w:rPr>
                <w:rFonts w:ascii="Cambria" w:hAnsi="Cambria"/>
                <w:color w:val="000000" w:themeColor="text1"/>
                <w:sz w:val="20"/>
                <w:szCs w:val="20"/>
                <w:lang w:val="es-ES"/>
              </w:rPr>
              <w:t>, emitido el</w:t>
            </w:r>
            <w:r w:rsidR="003A29D8" w:rsidRPr="003A44E2">
              <w:rPr>
                <w:rFonts w:ascii="Cambria" w:hAnsi="Cambria"/>
                <w:b/>
                <w:bCs/>
                <w:color w:val="000000" w:themeColor="text1"/>
                <w:sz w:val="20"/>
                <w:szCs w:val="20"/>
                <w:lang w:val="es-ES"/>
              </w:rPr>
              <w:t xml:space="preserve"> </w:t>
            </w:r>
            <w:r w:rsidR="003A29D8" w:rsidRPr="003A44E2">
              <w:rPr>
                <w:rFonts w:ascii="Cambria" w:hAnsi="Cambria"/>
                <w:color w:val="000000" w:themeColor="text1"/>
                <w:sz w:val="20"/>
                <w:szCs w:val="20"/>
                <w:lang w:val="es-ES"/>
              </w:rPr>
              <w:t>09 de octubre de 2002</w:t>
            </w:r>
          </w:p>
          <w:p w14:paraId="5D2D943E" w14:textId="02948A00" w:rsidR="009C28DC" w:rsidRDefault="009C28DC" w:rsidP="00C11A2F">
            <w:pPr>
              <w:jc w:val="both"/>
              <w:rPr>
                <w:rFonts w:ascii="Cambria" w:hAnsi="Cambria"/>
                <w:color w:val="000000" w:themeColor="text1"/>
                <w:sz w:val="20"/>
                <w:szCs w:val="20"/>
                <w:lang w:val="es-ES"/>
              </w:rPr>
            </w:pPr>
            <w:r w:rsidRPr="003A44E2">
              <w:rPr>
                <w:rFonts w:ascii="Cambria" w:hAnsi="Cambria"/>
                <w:b/>
                <w:color w:val="000000" w:themeColor="text1"/>
                <w:sz w:val="20"/>
                <w:szCs w:val="20"/>
                <w:lang w:val="es-ES"/>
              </w:rPr>
              <w:t>Hechos:</w:t>
            </w:r>
            <w:r w:rsidRPr="003A44E2">
              <w:rPr>
                <w:rFonts w:ascii="Cambria" w:hAnsi="Cambria"/>
                <w:color w:val="000000" w:themeColor="text1"/>
                <w:sz w:val="20"/>
                <w:szCs w:val="20"/>
                <w:lang w:val="es-ES"/>
              </w:rPr>
              <w:t xml:space="preserve"> </w:t>
            </w:r>
            <w:r w:rsidR="003A29D8" w:rsidRPr="003A44E2">
              <w:rPr>
                <w:rFonts w:ascii="Cambria" w:hAnsi="Cambria"/>
                <w:color w:val="000000" w:themeColor="text1"/>
                <w:sz w:val="20"/>
                <w:szCs w:val="20"/>
                <w:lang w:val="es-ES"/>
              </w:rPr>
              <w:t xml:space="preserve">El </w:t>
            </w:r>
            <w:r w:rsidR="003A29D8" w:rsidRPr="003A44E2">
              <w:rPr>
                <w:rFonts w:ascii="Cambria" w:eastAsia="Times New Roman" w:hAnsi="Cambria"/>
                <w:color w:val="000000" w:themeColor="text1"/>
                <w:sz w:val="20"/>
                <w:szCs w:val="20"/>
                <w:lang w:val="es-ES" w:eastAsia="pt-BR"/>
              </w:rPr>
              <w:t>2</w:t>
            </w:r>
            <w:r w:rsidR="003A29D8" w:rsidRPr="003A44E2">
              <w:rPr>
                <w:rFonts w:ascii="Cambria" w:hAnsi="Cambria"/>
                <w:color w:val="000000" w:themeColor="text1"/>
                <w:sz w:val="20"/>
                <w:szCs w:val="20"/>
                <w:lang w:val="es-ES"/>
              </w:rPr>
              <w:t xml:space="preserve"> de marzo de 1997, la Sra. Aparecida Gisele Mota da Silva, publicó en </w:t>
            </w:r>
            <w:r w:rsidR="00CC1CD2" w:rsidRPr="003A44E2">
              <w:rPr>
                <w:rFonts w:ascii="Cambria" w:hAnsi="Cambria"/>
                <w:color w:val="000000" w:themeColor="text1"/>
                <w:sz w:val="20"/>
                <w:szCs w:val="20"/>
                <w:lang w:val="es-ES"/>
              </w:rPr>
              <w:t xml:space="preserve">la parte de Avisos Clasificados </w:t>
            </w:r>
            <w:r w:rsidR="00CC1CD2">
              <w:rPr>
                <w:rFonts w:ascii="Cambria" w:hAnsi="Cambria"/>
                <w:color w:val="000000" w:themeColor="text1"/>
                <w:sz w:val="20"/>
                <w:szCs w:val="20"/>
                <w:lang w:val="es-ES"/>
              </w:rPr>
              <w:t>d</w:t>
            </w:r>
            <w:r w:rsidR="003A29D8" w:rsidRPr="003A44E2">
              <w:rPr>
                <w:rFonts w:ascii="Cambria" w:hAnsi="Cambria"/>
                <w:color w:val="000000" w:themeColor="text1"/>
                <w:sz w:val="20"/>
                <w:szCs w:val="20"/>
                <w:lang w:val="es-ES"/>
              </w:rPr>
              <w:t xml:space="preserve">el periódico “A Folha de São Paulo”, medio de gran circulación en el </w:t>
            </w:r>
            <w:r w:rsidR="00787D42">
              <w:rPr>
                <w:rFonts w:ascii="Cambria" w:hAnsi="Cambria"/>
                <w:color w:val="000000" w:themeColor="text1"/>
                <w:sz w:val="20"/>
                <w:szCs w:val="20"/>
                <w:lang w:val="es-ES"/>
              </w:rPr>
              <w:t>e</w:t>
            </w:r>
            <w:r w:rsidR="003A29D8" w:rsidRPr="003A44E2">
              <w:rPr>
                <w:rFonts w:ascii="Cambria" w:hAnsi="Cambria"/>
                <w:color w:val="000000" w:themeColor="text1"/>
                <w:sz w:val="20"/>
                <w:szCs w:val="20"/>
                <w:lang w:val="es-ES"/>
              </w:rPr>
              <w:t>stado de São Paulo, una nota por la cual comunicaba su interés en contratar una empleada doméstica</w:t>
            </w:r>
            <w:r w:rsidR="008C72A5">
              <w:rPr>
                <w:rFonts w:ascii="Cambria" w:hAnsi="Cambria"/>
                <w:color w:val="000000" w:themeColor="text1"/>
                <w:sz w:val="20"/>
                <w:szCs w:val="20"/>
                <w:lang w:val="es-ES"/>
              </w:rPr>
              <w:t xml:space="preserve"> </w:t>
            </w:r>
            <w:r w:rsidR="003A29D8" w:rsidRPr="003A44E2">
              <w:rPr>
                <w:rFonts w:ascii="Cambria" w:hAnsi="Cambria"/>
                <w:color w:val="000000" w:themeColor="text1"/>
                <w:sz w:val="20"/>
                <w:szCs w:val="20"/>
                <w:lang w:val="es-ES"/>
              </w:rPr>
              <w:t>de tez blanca. Al tomar conocimiento del anuncio, la estudiante y empleada doméstica Simone André Diniz llamó al número indicado, presentándose como candidata al empleo. Al ser atendida, fue indagada por el color de su piel</w:t>
            </w:r>
            <w:r w:rsidR="00121354">
              <w:rPr>
                <w:rFonts w:ascii="Cambria" w:hAnsi="Cambria"/>
                <w:color w:val="000000" w:themeColor="text1"/>
                <w:sz w:val="20"/>
                <w:szCs w:val="20"/>
                <w:lang w:val="es-ES"/>
              </w:rPr>
              <w:t xml:space="preserve"> y </w:t>
            </w:r>
            <w:r w:rsidR="006D5218">
              <w:rPr>
                <w:rFonts w:ascii="Cambria" w:hAnsi="Cambria"/>
                <w:color w:val="000000" w:themeColor="text1"/>
                <w:sz w:val="20"/>
                <w:szCs w:val="20"/>
                <w:lang w:val="es-ES"/>
              </w:rPr>
              <w:t>cuando respondió ser negra</w:t>
            </w:r>
            <w:r w:rsidR="003A29D8" w:rsidRPr="003A44E2">
              <w:rPr>
                <w:rFonts w:ascii="Cambria" w:hAnsi="Cambria"/>
                <w:color w:val="000000" w:themeColor="text1"/>
                <w:sz w:val="20"/>
                <w:szCs w:val="20"/>
                <w:lang w:val="es-ES"/>
              </w:rPr>
              <w:t xml:space="preserve">, se le informó que no llenaba los requisitos para el empleo. </w:t>
            </w:r>
            <w:r w:rsidR="00121354">
              <w:rPr>
                <w:rFonts w:ascii="Cambria" w:hAnsi="Cambria"/>
                <w:color w:val="000000" w:themeColor="text1"/>
                <w:sz w:val="20"/>
                <w:szCs w:val="20"/>
                <w:lang w:val="es-ES"/>
              </w:rPr>
              <w:t>La CIDH consideró que e</w:t>
            </w:r>
            <w:r w:rsidR="003A29D8" w:rsidRPr="003A44E2">
              <w:rPr>
                <w:rFonts w:ascii="Cambria" w:hAnsi="Cambria"/>
                <w:color w:val="000000" w:themeColor="text1"/>
                <w:sz w:val="20"/>
                <w:szCs w:val="20"/>
                <w:lang w:val="es-ES"/>
              </w:rPr>
              <w:t xml:space="preserve">l Estado brasileño no condujo debidamente los recursos internos para determinar la discriminación racial sufrida por la Sra. Simone André Diniz y, con ello, incumplió la obligación de garantizar el ejercicio de los derechos previstos en la Convención Americana. </w:t>
            </w:r>
          </w:p>
          <w:p w14:paraId="64F21C41" w14:textId="77777777" w:rsidR="00464E73" w:rsidRPr="003A44E2" w:rsidRDefault="00464E73" w:rsidP="00C11A2F">
            <w:pPr>
              <w:jc w:val="both"/>
              <w:rPr>
                <w:rFonts w:ascii="Cambria" w:hAnsi="Cambria"/>
                <w:b/>
                <w:bCs/>
                <w:color w:val="000000"/>
                <w:sz w:val="20"/>
                <w:szCs w:val="20"/>
                <w:lang w:val="es-ES"/>
              </w:rPr>
            </w:pPr>
          </w:p>
          <w:p w14:paraId="67CA0A64" w14:textId="290C3E76" w:rsidR="009C28DC" w:rsidRDefault="009C28DC" w:rsidP="00C11A2F">
            <w:pPr>
              <w:pStyle w:val="ListParagraph"/>
              <w:ind w:left="0"/>
              <w:rPr>
                <w:rFonts w:ascii="Cambria" w:hAnsi="Cambria"/>
                <w:color w:val="000000" w:themeColor="text1"/>
                <w:sz w:val="20"/>
                <w:szCs w:val="20"/>
                <w:lang w:val="es-ES"/>
              </w:rPr>
            </w:pPr>
            <w:r w:rsidRPr="003A44E2">
              <w:rPr>
                <w:rFonts w:ascii="Cambria" w:hAnsi="Cambria"/>
                <w:b/>
                <w:color w:val="000000" w:themeColor="text1"/>
                <w:sz w:val="20"/>
                <w:szCs w:val="20"/>
                <w:lang w:val="es-ES"/>
              </w:rPr>
              <w:t>Derechos v</w:t>
            </w:r>
            <w:r w:rsidR="00464E73">
              <w:rPr>
                <w:rFonts w:ascii="Cambria" w:hAnsi="Cambria"/>
                <w:b/>
                <w:color w:val="000000" w:themeColor="text1"/>
                <w:sz w:val="20"/>
                <w:szCs w:val="20"/>
                <w:lang w:val="es-ES"/>
              </w:rPr>
              <w:t>ulnerados</w:t>
            </w:r>
            <w:r w:rsidRPr="003A44E2">
              <w:rPr>
                <w:rFonts w:ascii="Cambria" w:hAnsi="Cambria"/>
                <w:b/>
                <w:color w:val="000000" w:themeColor="text1"/>
                <w:sz w:val="20"/>
                <w:szCs w:val="20"/>
                <w:lang w:val="es-ES"/>
              </w:rPr>
              <w:t>:</w:t>
            </w:r>
            <w:r w:rsidRPr="003A44E2">
              <w:rPr>
                <w:rFonts w:ascii="Cambria" w:hAnsi="Cambria"/>
                <w:color w:val="000000" w:themeColor="text1"/>
                <w:sz w:val="20"/>
                <w:szCs w:val="20"/>
                <w:lang w:val="es-ES"/>
              </w:rPr>
              <w:t xml:space="preserve"> </w:t>
            </w:r>
          </w:p>
          <w:p w14:paraId="0073AE3A" w14:textId="77777777" w:rsidR="00464E73" w:rsidRPr="003A44E2" w:rsidRDefault="00464E73" w:rsidP="00C11A2F">
            <w:pPr>
              <w:pStyle w:val="ListParagraph"/>
              <w:ind w:left="0"/>
              <w:rPr>
                <w:rFonts w:ascii="Cambria" w:hAnsi="Cambria"/>
                <w:color w:val="000000" w:themeColor="text1"/>
                <w:sz w:val="20"/>
                <w:szCs w:val="20"/>
                <w:lang w:val="es-ES"/>
              </w:rPr>
            </w:pPr>
          </w:p>
          <w:p w14:paraId="6B31B75F" w14:textId="42406BEA" w:rsidR="009C28DC" w:rsidRPr="003A44E2" w:rsidRDefault="003A29D8" w:rsidP="00C11A2F">
            <w:pPr>
              <w:pStyle w:val="ListParagraph"/>
              <w:numPr>
                <w:ilvl w:val="0"/>
                <w:numId w:val="4"/>
              </w:numPr>
              <w:rPr>
                <w:rFonts w:ascii="Cambria" w:hAnsi="Cambria"/>
                <w:color w:val="000000" w:themeColor="text1"/>
                <w:sz w:val="20"/>
                <w:szCs w:val="20"/>
                <w:lang w:val="es-ES"/>
              </w:rPr>
            </w:pPr>
            <w:r w:rsidRPr="003A44E2">
              <w:rPr>
                <w:rFonts w:ascii="Cambria" w:hAnsi="Cambria"/>
                <w:color w:val="000000" w:themeColor="text1"/>
                <w:sz w:val="20"/>
                <w:szCs w:val="20"/>
                <w:lang w:val="es-ES"/>
              </w:rPr>
              <w:t>Simone André Diniz</w:t>
            </w:r>
            <w:r w:rsidR="009C28DC" w:rsidRPr="003A44E2">
              <w:rPr>
                <w:rFonts w:ascii="Cambria" w:hAnsi="Cambria"/>
                <w:color w:val="000000" w:themeColor="text1"/>
                <w:sz w:val="20"/>
                <w:szCs w:val="20"/>
                <w:lang w:val="es-ES"/>
              </w:rPr>
              <w:t>: arts. 1.1, 2</w:t>
            </w:r>
            <w:r w:rsidRPr="003A44E2">
              <w:rPr>
                <w:rFonts w:ascii="Cambria" w:hAnsi="Cambria"/>
                <w:color w:val="000000" w:themeColor="text1"/>
                <w:sz w:val="20"/>
                <w:szCs w:val="20"/>
                <w:lang w:val="es-ES"/>
              </w:rPr>
              <w:t xml:space="preserve">, 24, </w:t>
            </w:r>
            <w:r w:rsidR="009C28DC" w:rsidRPr="003A44E2">
              <w:rPr>
                <w:rFonts w:ascii="Cambria" w:hAnsi="Cambria"/>
                <w:color w:val="000000" w:themeColor="text1"/>
                <w:sz w:val="20"/>
                <w:szCs w:val="20"/>
                <w:lang w:val="es-ES"/>
              </w:rPr>
              <w:t xml:space="preserve">25 </w:t>
            </w:r>
            <w:r w:rsidRPr="003A44E2">
              <w:rPr>
                <w:rFonts w:ascii="Cambria" w:hAnsi="Cambria"/>
                <w:color w:val="000000" w:themeColor="text1"/>
                <w:sz w:val="20"/>
                <w:szCs w:val="20"/>
                <w:lang w:val="es-ES"/>
              </w:rPr>
              <w:t>y 8 de la C</w:t>
            </w:r>
            <w:r w:rsidR="006D5218">
              <w:rPr>
                <w:rFonts w:ascii="Cambria" w:hAnsi="Cambria"/>
                <w:color w:val="000000" w:themeColor="text1"/>
                <w:sz w:val="20"/>
                <w:szCs w:val="20"/>
                <w:lang w:val="es-ES"/>
              </w:rPr>
              <w:t>onvención Americana sobre Derechos Humanos (C</w:t>
            </w:r>
            <w:r w:rsidRPr="003A44E2">
              <w:rPr>
                <w:rFonts w:ascii="Cambria" w:hAnsi="Cambria"/>
                <w:color w:val="000000" w:themeColor="text1"/>
                <w:sz w:val="20"/>
                <w:szCs w:val="20"/>
                <w:lang w:val="es-ES"/>
              </w:rPr>
              <w:t>ADH</w:t>
            </w:r>
            <w:r w:rsidR="006D5218">
              <w:rPr>
                <w:rFonts w:ascii="Cambria" w:hAnsi="Cambria"/>
                <w:color w:val="000000" w:themeColor="text1"/>
                <w:sz w:val="20"/>
                <w:szCs w:val="20"/>
                <w:lang w:val="es-ES"/>
              </w:rPr>
              <w:t>)</w:t>
            </w:r>
            <w:r w:rsidR="00065A46" w:rsidRPr="003A44E2">
              <w:rPr>
                <w:rFonts w:ascii="Cambria" w:hAnsi="Cambria"/>
                <w:color w:val="000000" w:themeColor="text1"/>
                <w:sz w:val="20"/>
                <w:szCs w:val="20"/>
                <w:lang w:val="es-ES"/>
              </w:rPr>
              <w:t xml:space="preserve"> </w:t>
            </w:r>
          </w:p>
          <w:p w14:paraId="25858298" w14:textId="77777777" w:rsidR="00C11A2F" w:rsidRPr="00F93C22" w:rsidRDefault="00C11A2F" w:rsidP="00C11A2F">
            <w:pPr>
              <w:pStyle w:val="ListParagraph"/>
              <w:rPr>
                <w:rFonts w:ascii="Cambria" w:hAnsi="Cambria"/>
                <w:color w:val="000000" w:themeColor="text1"/>
                <w:sz w:val="20"/>
                <w:szCs w:val="20"/>
                <w:lang w:val="es-ES"/>
              </w:rPr>
            </w:pPr>
          </w:p>
        </w:tc>
      </w:tr>
    </w:tbl>
    <w:p w14:paraId="41C8F396" w14:textId="77777777" w:rsidR="009C28DC" w:rsidRPr="00F93C22" w:rsidRDefault="009C28DC" w:rsidP="00C11A2F">
      <w:pPr>
        <w:spacing w:after="0" w:line="240" w:lineRule="auto"/>
        <w:jc w:val="both"/>
        <w:rPr>
          <w:rFonts w:ascii="Cambria" w:hAnsi="Cambria"/>
          <w:b/>
          <w:sz w:val="20"/>
          <w:lang w:val="es-ES"/>
        </w:rPr>
      </w:pPr>
    </w:p>
    <w:p w14:paraId="162E22ED" w14:textId="77777777" w:rsidR="009C28DC" w:rsidRPr="00F93C22" w:rsidRDefault="009C28DC" w:rsidP="00C11A2F">
      <w:pPr>
        <w:pStyle w:val="ListParagraph"/>
        <w:numPr>
          <w:ilvl w:val="0"/>
          <w:numId w:val="1"/>
        </w:numPr>
        <w:spacing w:after="0" w:line="240" w:lineRule="auto"/>
        <w:jc w:val="both"/>
        <w:rPr>
          <w:rFonts w:ascii="Cambria" w:hAnsi="Cambria"/>
          <w:b/>
          <w:sz w:val="20"/>
          <w:lang w:val="es-ES"/>
        </w:rPr>
      </w:pPr>
      <w:r w:rsidRPr="00F93C22">
        <w:rPr>
          <w:rFonts w:ascii="Cambria" w:hAnsi="Cambria"/>
          <w:b/>
          <w:sz w:val="20"/>
          <w:lang w:val="es-ES"/>
        </w:rPr>
        <w:t xml:space="preserve">Datos generales del seguimiento </w:t>
      </w:r>
    </w:p>
    <w:p w14:paraId="72A3D3EC" w14:textId="77777777" w:rsidR="009C28DC" w:rsidRPr="00F93C22" w:rsidRDefault="009C28DC" w:rsidP="00C11A2F">
      <w:pPr>
        <w:pStyle w:val="ListParagraph"/>
        <w:spacing w:after="0" w:line="240" w:lineRule="auto"/>
        <w:ind w:left="360"/>
        <w:jc w:val="both"/>
        <w:rPr>
          <w:rFonts w:ascii="Cambria" w:hAnsi="Cambria"/>
          <w:b/>
          <w:sz w:val="20"/>
          <w:lang w:val="es-ES"/>
        </w:rPr>
      </w:pPr>
    </w:p>
    <w:tbl>
      <w:tblPr>
        <w:tblStyle w:val="TableGrid"/>
        <w:tblW w:w="96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5402"/>
      </w:tblGrid>
      <w:tr w:rsidR="009C28DC" w:rsidRPr="00F93C22" w14:paraId="535E4423" w14:textId="77777777" w:rsidTr="0099550C">
        <w:tc>
          <w:tcPr>
            <w:tcW w:w="4247" w:type="dxa"/>
            <w:shd w:val="clear" w:color="auto" w:fill="B4C6E7" w:themeFill="accent5" w:themeFillTint="66"/>
          </w:tcPr>
          <w:p w14:paraId="0D0B940D" w14:textId="77777777" w:rsidR="009C28DC" w:rsidRPr="00F93C22" w:rsidRDefault="009C28DC" w:rsidP="00C11A2F">
            <w:pPr>
              <w:pStyle w:val="ListParagraph"/>
              <w:ind w:left="0"/>
              <w:jc w:val="both"/>
              <w:rPr>
                <w:rFonts w:ascii="Cambria" w:hAnsi="Cambria"/>
                <w:b/>
                <w:bCs/>
                <w:sz w:val="20"/>
                <w:lang w:val="es-ES"/>
              </w:rPr>
            </w:pPr>
          </w:p>
          <w:p w14:paraId="7C0147CA" w14:textId="77777777" w:rsidR="009C28DC" w:rsidRPr="00F93C22" w:rsidRDefault="009C28DC" w:rsidP="00C11A2F">
            <w:pPr>
              <w:pStyle w:val="ListParagraph"/>
              <w:ind w:left="0"/>
              <w:jc w:val="both"/>
              <w:rPr>
                <w:rFonts w:ascii="Cambria" w:hAnsi="Cambria"/>
                <w:b/>
                <w:bCs/>
                <w:sz w:val="20"/>
                <w:lang w:val="es-ES"/>
              </w:rPr>
            </w:pPr>
            <w:r w:rsidRPr="00F93C22">
              <w:rPr>
                <w:rFonts w:ascii="Cambria" w:hAnsi="Cambria"/>
                <w:b/>
                <w:bCs/>
                <w:sz w:val="20"/>
                <w:lang w:val="es-ES"/>
              </w:rPr>
              <w:t xml:space="preserve">Reuniones de trabajo </w:t>
            </w:r>
          </w:p>
          <w:p w14:paraId="0E27B00A" w14:textId="77777777" w:rsidR="009C28DC" w:rsidRPr="00F93C22" w:rsidRDefault="009C28DC" w:rsidP="00C11A2F">
            <w:pPr>
              <w:pStyle w:val="ListParagraph"/>
              <w:ind w:left="0"/>
              <w:jc w:val="both"/>
              <w:rPr>
                <w:rFonts w:ascii="Cambria" w:hAnsi="Cambria"/>
                <w:b/>
                <w:bCs/>
                <w:sz w:val="20"/>
                <w:lang w:val="es-ES"/>
              </w:rPr>
            </w:pPr>
          </w:p>
        </w:tc>
        <w:tc>
          <w:tcPr>
            <w:tcW w:w="5402" w:type="dxa"/>
            <w:shd w:val="clear" w:color="auto" w:fill="D9E2F3" w:themeFill="accent5" w:themeFillTint="33"/>
          </w:tcPr>
          <w:p w14:paraId="60061E4C" w14:textId="77777777" w:rsidR="009C28DC" w:rsidRPr="00F93C22" w:rsidRDefault="009C28DC" w:rsidP="00C11A2F">
            <w:pPr>
              <w:jc w:val="both"/>
              <w:rPr>
                <w:rFonts w:ascii="Cambria" w:hAnsi="Cambria" w:cs="Calibri Light"/>
                <w:color w:val="000000" w:themeColor="text1"/>
                <w:sz w:val="20"/>
                <w:szCs w:val="20"/>
                <w:lang w:val="es-ES"/>
              </w:rPr>
            </w:pPr>
          </w:p>
          <w:p w14:paraId="1FC0B1B5" w14:textId="69DCC25C" w:rsidR="009C28DC" w:rsidRPr="00F93C22" w:rsidRDefault="00233B16" w:rsidP="00C11A2F">
            <w:pPr>
              <w:rPr>
                <w:rFonts w:ascii="Cambria" w:hAnsi="Cambria" w:cs="Calibri Light"/>
                <w:color w:val="000000" w:themeColor="text1"/>
                <w:sz w:val="20"/>
                <w:szCs w:val="20"/>
                <w:lang w:val="es-ES"/>
              </w:rPr>
            </w:pPr>
            <w:r w:rsidRPr="00F93C22">
              <w:rPr>
                <w:rFonts w:ascii="Cambria" w:hAnsi="Cambria" w:cs="Calibri Light"/>
                <w:color w:val="000000" w:themeColor="text1"/>
                <w:sz w:val="20"/>
                <w:szCs w:val="20"/>
                <w:lang w:val="es-ES"/>
              </w:rPr>
              <w:t>173</w:t>
            </w:r>
            <w:r w:rsidR="009A7E71" w:rsidRPr="00F93C22">
              <w:rPr>
                <w:rFonts w:ascii="Cambria" w:hAnsi="Cambria" w:cs="Calibri Light"/>
                <w:color w:val="000000" w:themeColor="text1"/>
                <w:sz w:val="20"/>
                <w:szCs w:val="20"/>
                <w:lang w:val="es-ES"/>
              </w:rPr>
              <w:t>º</w:t>
            </w:r>
            <w:r w:rsidR="009C28DC" w:rsidRPr="00F93C22">
              <w:rPr>
                <w:rFonts w:ascii="Cambria" w:hAnsi="Cambria" w:cs="Calibri Light"/>
                <w:color w:val="000000" w:themeColor="text1"/>
                <w:sz w:val="20"/>
                <w:szCs w:val="20"/>
                <w:lang w:val="es-ES"/>
              </w:rPr>
              <w:t xml:space="preserve"> Periodo de Sesiones </w:t>
            </w:r>
            <w:r w:rsidR="008A7EBB">
              <w:rPr>
                <w:rFonts w:ascii="Cambria" w:hAnsi="Cambria" w:cs="Calibri Light"/>
                <w:color w:val="000000" w:themeColor="text1"/>
                <w:sz w:val="20"/>
                <w:szCs w:val="20"/>
                <w:lang w:val="es-ES"/>
              </w:rPr>
              <w:t>(2019</w:t>
            </w:r>
            <w:r w:rsidR="009C28DC" w:rsidRPr="00F93C22">
              <w:rPr>
                <w:rFonts w:ascii="Cambria" w:hAnsi="Cambria" w:cs="Calibri Light"/>
                <w:color w:val="000000" w:themeColor="text1"/>
                <w:sz w:val="20"/>
                <w:szCs w:val="20"/>
                <w:lang w:val="es-ES"/>
              </w:rPr>
              <w:t xml:space="preserve">), </w:t>
            </w:r>
            <w:r w:rsidRPr="00F93C22">
              <w:rPr>
                <w:rFonts w:ascii="Cambria" w:hAnsi="Cambria" w:cs="Calibri Light"/>
                <w:color w:val="000000" w:themeColor="text1"/>
                <w:sz w:val="20"/>
                <w:szCs w:val="20"/>
                <w:lang w:val="es-ES"/>
              </w:rPr>
              <w:t>176</w:t>
            </w:r>
            <w:r w:rsidR="009C28DC" w:rsidRPr="00F93C22">
              <w:rPr>
                <w:rFonts w:ascii="Cambria" w:hAnsi="Cambria" w:cs="Calibri Light"/>
                <w:color w:val="000000" w:themeColor="text1"/>
                <w:sz w:val="20"/>
                <w:szCs w:val="20"/>
                <w:lang w:val="es-ES"/>
              </w:rPr>
              <w:t xml:space="preserve">º </w:t>
            </w:r>
            <w:r w:rsidRPr="00F93C22">
              <w:rPr>
                <w:rFonts w:ascii="Cambria" w:hAnsi="Cambria" w:cs="Calibri Light"/>
                <w:color w:val="000000" w:themeColor="text1"/>
                <w:sz w:val="20"/>
                <w:szCs w:val="20"/>
                <w:lang w:val="es-ES"/>
              </w:rPr>
              <w:t xml:space="preserve">Periodo de Sesiones </w:t>
            </w:r>
            <w:r w:rsidR="008A7EBB">
              <w:rPr>
                <w:rFonts w:ascii="Cambria" w:hAnsi="Cambria" w:cs="Calibri Light"/>
                <w:color w:val="000000" w:themeColor="text1"/>
                <w:sz w:val="20"/>
                <w:szCs w:val="20"/>
                <w:lang w:val="es-ES"/>
              </w:rPr>
              <w:t>(2020)</w:t>
            </w:r>
          </w:p>
          <w:p w14:paraId="44EAFD9C" w14:textId="77777777" w:rsidR="00233B16" w:rsidRPr="00F93C22" w:rsidRDefault="00233B16" w:rsidP="00C11A2F">
            <w:pPr>
              <w:rPr>
                <w:rFonts w:ascii="Cambria" w:hAnsi="Cambria"/>
                <w:sz w:val="20"/>
                <w:lang w:val="es-ES"/>
              </w:rPr>
            </w:pPr>
          </w:p>
        </w:tc>
      </w:tr>
      <w:tr w:rsidR="009C28DC" w:rsidRPr="00F93C22" w14:paraId="36B4BFC4" w14:textId="77777777" w:rsidTr="0099550C">
        <w:tc>
          <w:tcPr>
            <w:tcW w:w="4247" w:type="dxa"/>
            <w:shd w:val="clear" w:color="auto" w:fill="B4C6E7" w:themeFill="accent5" w:themeFillTint="66"/>
          </w:tcPr>
          <w:p w14:paraId="4B94D5A5" w14:textId="1DDFAD53" w:rsidR="009C28DC" w:rsidRPr="00C11A2F" w:rsidRDefault="009C28DC" w:rsidP="00C11A2F">
            <w:pPr>
              <w:pStyle w:val="ListParagraph"/>
              <w:ind w:left="0"/>
              <w:jc w:val="both"/>
              <w:rPr>
                <w:rFonts w:ascii="Cambria" w:hAnsi="Cambria"/>
                <w:b/>
                <w:bCs/>
                <w:sz w:val="20"/>
                <w:lang w:val="es-ES"/>
              </w:rPr>
            </w:pPr>
            <w:r w:rsidRPr="00F93C22">
              <w:rPr>
                <w:rFonts w:ascii="Cambria" w:hAnsi="Cambria"/>
                <w:b/>
                <w:bCs/>
                <w:sz w:val="20"/>
                <w:szCs w:val="20"/>
                <w:lang w:val="es-ES"/>
              </w:rPr>
              <w:t>Recomendaciones y cláusulas totalmente cumplidas</w:t>
            </w:r>
            <w:r w:rsidRPr="00F93C22">
              <w:rPr>
                <w:rFonts w:ascii="Cambria" w:hAnsi="Cambria"/>
                <w:b/>
                <w:bCs/>
                <w:sz w:val="20"/>
                <w:lang w:val="es-ES"/>
              </w:rPr>
              <w:t xml:space="preserve"> </w:t>
            </w:r>
          </w:p>
        </w:tc>
        <w:tc>
          <w:tcPr>
            <w:tcW w:w="5402" w:type="dxa"/>
            <w:shd w:val="clear" w:color="auto" w:fill="D9E2F3" w:themeFill="accent5" w:themeFillTint="33"/>
          </w:tcPr>
          <w:p w14:paraId="54FCC158" w14:textId="5728E9F2" w:rsidR="009C28DC" w:rsidRPr="00F93C22" w:rsidRDefault="009C28DC" w:rsidP="00C11A2F">
            <w:pPr>
              <w:jc w:val="both"/>
              <w:rPr>
                <w:rFonts w:ascii="Cambria" w:hAnsi="Cambria"/>
                <w:sz w:val="20"/>
                <w:lang w:val="es-ES"/>
              </w:rPr>
            </w:pPr>
            <w:r w:rsidRPr="00F93C22">
              <w:rPr>
                <w:rFonts w:ascii="Cambria" w:hAnsi="Cambria"/>
                <w:sz w:val="20"/>
                <w:lang w:val="es-ES"/>
              </w:rPr>
              <w:t xml:space="preserve">Recomendaciones </w:t>
            </w:r>
            <w:r w:rsidR="00065A46" w:rsidRPr="00F93C22">
              <w:rPr>
                <w:rFonts w:ascii="Cambria" w:hAnsi="Cambria"/>
                <w:sz w:val="20"/>
                <w:lang w:val="es-ES"/>
              </w:rPr>
              <w:t>1</w:t>
            </w:r>
            <w:r w:rsidRPr="00F93C22">
              <w:rPr>
                <w:rStyle w:val="FootnoteReference"/>
                <w:rFonts w:ascii="Cambria" w:hAnsi="Cambria"/>
                <w:lang w:val="es-ES"/>
              </w:rPr>
              <w:footnoteReference w:id="2"/>
            </w:r>
            <w:r w:rsidR="00065A46" w:rsidRPr="00F93C22">
              <w:rPr>
                <w:rFonts w:ascii="Cambria" w:hAnsi="Cambria"/>
                <w:sz w:val="20"/>
                <w:lang w:val="es-ES"/>
              </w:rPr>
              <w:t>, 2</w:t>
            </w:r>
            <w:r w:rsidRPr="00F93C22">
              <w:rPr>
                <w:rStyle w:val="FootnoteReference"/>
                <w:rFonts w:ascii="Cambria" w:hAnsi="Cambria"/>
                <w:lang w:val="es-ES"/>
              </w:rPr>
              <w:footnoteReference w:id="3"/>
            </w:r>
            <w:r w:rsidR="00065A46" w:rsidRPr="00F93C22">
              <w:rPr>
                <w:rFonts w:ascii="Cambria" w:hAnsi="Cambria"/>
                <w:sz w:val="20"/>
                <w:lang w:val="es-ES"/>
              </w:rPr>
              <w:t xml:space="preserve">, </w:t>
            </w:r>
            <w:r w:rsidR="006A2B37">
              <w:rPr>
                <w:rFonts w:ascii="Cambria" w:hAnsi="Cambria"/>
                <w:sz w:val="20"/>
                <w:lang w:val="es-ES"/>
              </w:rPr>
              <w:t>4</w:t>
            </w:r>
            <w:r w:rsidR="00233B16" w:rsidRPr="00F93C22">
              <w:rPr>
                <w:rStyle w:val="FootnoteReference"/>
                <w:rFonts w:ascii="Cambria" w:hAnsi="Cambria"/>
                <w:sz w:val="20"/>
                <w:lang w:val="es-ES"/>
              </w:rPr>
              <w:footnoteReference w:id="4"/>
            </w:r>
            <w:r w:rsidR="00065A46" w:rsidRPr="00F93C22">
              <w:rPr>
                <w:rFonts w:ascii="Cambria" w:hAnsi="Cambria"/>
                <w:sz w:val="20"/>
                <w:lang w:val="es-ES"/>
              </w:rPr>
              <w:t xml:space="preserve"> y 12</w:t>
            </w:r>
            <w:r w:rsidR="00233B16" w:rsidRPr="00F93C22">
              <w:rPr>
                <w:rStyle w:val="FootnoteReference"/>
                <w:rFonts w:ascii="Cambria" w:hAnsi="Cambria"/>
                <w:sz w:val="20"/>
                <w:lang w:val="es-ES"/>
              </w:rPr>
              <w:footnoteReference w:id="5"/>
            </w:r>
            <w:r w:rsidRPr="00F93C22">
              <w:rPr>
                <w:rFonts w:ascii="Cambria" w:hAnsi="Cambria"/>
                <w:sz w:val="20"/>
                <w:lang w:val="es-ES"/>
              </w:rPr>
              <w:t xml:space="preserve"> del Informe de Fondo </w:t>
            </w:r>
          </w:p>
        </w:tc>
      </w:tr>
      <w:tr w:rsidR="009C28DC" w:rsidRPr="00F93C22" w14:paraId="4435E263" w14:textId="77777777" w:rsidTr="0099550C">
        <w:trPr>
          <w:trHeight w:val="1042"/>
        </w:trPr>
        <w:tc>
          <w:tcPr>
            <w:tcW w:w="4247" w:type="dxa"/>
            <w:shd w:val="clear" w:color="auto" w:fill="B4C6E7" w:themeFill="accent5" w:themeFillTint="66"/>
          </w:tcPr>
          <w:p w14:paraId="3DEEC669" w14:textId="77777777" w:rsidR="009C28DC" w:rsidRPr="00F93C22" w:rsidRDefault="009C28DC" w:rsidP="00C11A2F">
            <w:pPr>
              <w:pStyle w:val="ListParagraph"/>
              <w:ind w:left="0"/>
              <w:jc w:val="both"/>
              <w:rPr>
                <w:rFonts w:ascii="Cambria" w:hAnsi="Cambria"/>
                <w:b/>
                <w:sz w:val="20"/>
                <w:lang w:val="es-ES"/>
              </w:rPr>
            </w:pPr>
          </w:p>
          <w:p w14:paraId="0FEBC470" w14:textId="77777777" w:rsidR="009C28DC" w:rsidRPr="00F93C22" w:rsidRDefault="009C28DC" w:rsidP="00C11A2F">
            <w:pPr>
              <w:pStyle w:val="ListParagraph"/>
              <w:ind w:left="0"/>
              <w:jc w:val="both"/>
              <w:rPr>
                <w:rFonts w:ascii="Cambria" w:hAnsi="Cambria"/>
                <w:b/>
                <w:sz w:val="20"/>
                <w:lang w:val="es-ES"/>
              </w:rPr>
            </w:pPr>
            <w:r w:rsidRPr="00F93C22">
              <w:rPr>
                <w:rFonts w:ascii="Cambria" w:hAnsi="Cambria"/>
                <w:b/>
                <w:sz w:val="20"/>
                <w:lang w:val="es-ES"/>
              </w:rPr>
              <w:t>Solicitud de información de la CIDH en 2023</w:t>
            </w:r>
          </w:p>
          <w:p w14:paraId="3656B9AB" w14:textId="77777777" w:rsidR="009C28DC" w:rsidRPr="00F93C22" w:rsidRDefault="009C28DC" w:rsidP="00C11A2F">
            <w:pPr>
              <w:pStyle w:val="ListParagraph"/>
              <w:ind w:left="0"/>
              <w:jc w:val="both"/>
              <w:rPr>
                <w:rFonts w:ascii="Cambria" w:hAnsi="Cambria"/>
                <w:b/>
                <w:sz w:val="20"/>
                <w:lang w:val="es-ES"/>
              </w:rPr>
            </w:pPr>
          </w:p>
          <w:p w14:paraId="4F975361" w14:textId="77777777" w:rsidR="009C28DC" w:rsidRPr="00F93C22" w:rsidRDefault="009C28DC" w:rsidP="00C11A2F">
            <w:pPr>
              <w:pStyle w:val="ListParagraph"/>
              <w:ind w:left="0"/>
              <w:jc w:val="both"/>
              <w:rPr>
                <w:rFonts w:ascii="Cambria" w:hAnsi="Cambria"/>
                <w:b/>
                <w:sz w:val="20"/>
                <w:lang w:val="es-ES"/>
              </w:rPr>
            </w:pPr>
            <w:r w:rsidRPr="00F93C22">
              <w:rPr>
                <w:rFonts w:ascii="Cambria" w:hAnsi="Cambria"/>
                <w:b/>
                <w:sz w:val="20"/>
                <w:lang w:val="es-ES"/>
              </w:rPr>
              <w:t>Información del Estado en 2023</w:t>
            </w:r>
          </w:p>
          <w:p w14:paraId="45FB0818" w14:textId="77777777" w:rsidR="009C28DC" w:rsidRPr="00F93C22" w:rsidRDefault="009C28DC" w:rsidP="00C11A2F">
            <w:pPr>
              <w:pStyle w:val="ListParagraph"/>
              <w:ind w:left="0"/>
              <w:jc w:val="both"/>
              <w:rPr>
                <w:rFonts w:ascii="Cambria" w:hAnsi="Cambria"/>
                <w:sz w:val="20"/>
                <w:lang w:val="es-ES"/>
              </w:rPr>
            </w:pPr>
          </w:p>
        </w:tc>
        <w:tc>
          <w:tcPr>
            <w:tcW w:w="5402" w:type="dxa"/>
            <w:shd w:val="clear" w:color="auto" w:fill="D9E2F3" w:themeFill="accent5" w:themeFillTint="33"/>
          </w:tcPr>
          <w:p w14:paraId="53128261" w14:textId="1583909D" w:rsidR="009C28DC" w:rsidRPr="00D76BED" w:rsidRDefault="009C28DC" w:rsidP="00C11A2F">
            <w:pPr>
              <w:jc w:val="both"/>
              <w:rPr>
                <w:rFonts w:ascii="Cambria" w:hAnsi="Cambria"/>
                <w:color w:val="000000" w:themeColor="text1"/>
                <w:sz w:val="20"/>
                <w:szCs w:val="20"/>
                <w:lang w:val="es-ES"/>
              </w:rPr>
            </w:pPr>
          </w:p>
          <w:p w14:paraId="0AE02191" w14:textId="4C7777D0" w:rsidR="43494C5A" w:rsidRPr="00D76BED" w:rsidRDefault="43494C5A" w:rsidP="00C11A2F">
            <w:pPr>
              <w:jc w:val="both"/>
              <w:rPr>
                <w:rFonts w:ascii="Cambria" w:hAnsi="Cambria"/>
                <w:color w:val="000000" w:themeColor="text1"/>
                <w:sz w:val="20"/>
                <w:szCs w:val="20"/>
                <w:lang w:val="es-ES"/>
              </w:rPr>
            </w:pPr>
            <w:r w:rsidRPr="00D76BED">
              <w:rPr>
                <w:rFonts w:ascii="Cambria" w:hAnsi="Cambria"/>
                <w:color w:val="000000" w:themeColor="text1"/>
                <w:sz w:val="20"/>
                <w:szCs w:val="20"/>
                <w:lang w:val="es-ES"/>
              </w:rPr>
              <w:t>1 de agosto de 2023</w:t>
            </w:r>
          </w:p>
          <w:p w14:paraId="0AC4FBFD" w14:textId="6DF99F68" w:rsidR="25505A76" w:rsidRPr="00D76BED" w:rsidRDefault="25505A76" w:rsidP="00C11A2F">
            <w:pPr>
              <w:jc w:val="both"/>
              <w:rPr>
                <w:rFonts w:ascii="Cambria" w:hAnsi="Cambria"/>
                <w:color w:val="000000" w:themeColor="text1"/>
                <w:sz w:val="20"/>
                <w:szCs w:val="20"/>
                <w:highlight w:val="yellow"/>
                <w:lang w:val="es-ES"/>
              </w:rPr>
            </w:pPr>
          </w:p>
          <w:p w14:paraId="62486C05" w14:textId="4082975C" w:rsidR="009C28DC" w:rsidRPr="00D76BED" w:rsidRDefault="00885686" w:rsidP="00C11A2F">
            <w:pPr>
              <w:jc w:val="both"/>
              <w:rPr>
                <w:rFonts w:ascii="Cambria" w:hAnsi="Cambria"/>
                <w:color w:val="000000" w:themeColor="text1"/>
                <w:sz w:val="20"/>
                <w:highlight w:val="yellow"/>
                <w:lang w:val="es-ES"/>
              </w:rPr>
            </w:pPr>
            <w:r w:rsidRPr="00D76BED">
              <w:rPr>
                <w:rFonts w:ascii="Cambria" w:hAnsi="Cambria"/>
                <w:color w:val="000000" w:themeColor="text1"/>
                <w:sz w:val="20"/>
                <w:lang w:val="es-ES"/>
              </w:rPr>
              <w:t>11 de septiembre</w:t>
            </w:r>
            <w:r w:rsidR="009C28DC" w:rsidRPr="00D76BED">
              <w:rPr>
                <w:rFonts w:ascii="Cambria" w:hAnsi="Cambria"/>
                <w:color w:val="000000" w:themeColor="text1"/>
                <w:sz w:val="20"/>
                <w:lang w:val="es-ES"/>
              </w:rPr>
              <w:t xml:space="preserve"> </w:t>
            </w:r>
            <w:r w:rsidR="00D76BED" w:rsidRPr="00D76BED">
              <w:rPr>
                <w:rFonts w:ascii="Cambria" w:hAnsi="Cambria"/>
                <w:color w:val="000000" w:themeColor="text1"/>
                <w:sz w:val="20"/>
                <w:lang w:val="es-ES"/>
              </w:rPr>
              <w:t>de 2023</w:t>
            </w:r>
          </w:p>
        </w:tc>
      </w:tr>
      <w:tr w:rsidR="009C28DC" w:rsidRPr="00F93C22" w14:paraId="26184870" w14:textId="77777777" w:rsidTr="0099550C">
        <w:tc>
          <w:tcPr>
            <w:tcW w:w="4247" w:type="dxa"/>
            <w:shd w:val="clear" w:color="auto" w:fill="B4C6E7" w:themeFill="accent5" w:themeFillTint="66"/>
          </w:tcPr>
          <w:p w14:paraId="444A3B38" w14:textId="77777777" w:rsidR="009C28DC" w:rsidRPr="00F93C22" w:rsidRDefault="009C28DC" w:rsidP="00C11A2F">
            <w:pPr>
              <w:pStyle w:val="ListParagraph"/>
              <w:ind w:left="0"/>
              <w:jc w:val="both"/>
              <w:rPr>
                <w:rFonts w:ascii="Cambria" w:hAnsi="Cambria"/>
                <w:b/>
                <w:sz w:val="20"/>
                <w:lang w:val="es-ES"/>
              </w:rPr>
            </w:pPr>
            <w:r w:rsidRPr="00F93C22">
              <w:rPr>
                <w:rFonts w:ascii="Cambria" w:hAnsi="Cambria"/>
                <w:b/>
                <w:sz w:val="20"/>
                <w:lang w:val="es-ES"/>
              </w:rPr>
              <w:t>Información de Parte Peticionaria en 2023</w:t>
            </w:r>
          </w:p>
        </w:tc>
        <w:tc>
          <w:tcPr>
            <w:tcW w:w="5402" w:type="dxa"/>
            <w:shd w:val="clear" w:color="auto" w:fill="D9E2F3" w:themeFill="accent5" w:themeFillTint="33"/>
          </w:tcPr>
          <w:p w14:paraId="63268F66" w14:textId="77777777" w:rsidR="009C28DC" w:rsidRDefault="00885686" w:rsidP="00C11A2F">
            <w:pPr>
              <w:jc w:val="both"/>
              <w:rPr>
                <w:rFonts w:ascii="Cambria" w:hAnsi="Cambria"/>
                <w:color w:val="000000" w:themeColor="text1"/>
                <w:sz w:val="20"/>
                <w:lang w:val="es-ES"/>
              </w:rPr>
            </w:pPr>
            <w:r w:rsidRPr="00D76BED">
              <w:rPr>
                <w:rFonts w:ascii="Cambria" w:hAnsi="Cambria"/>
                <w:color w:val="000000" w:themeColor="text1"/>
                <w:sz w:val="20"/>
                <w:lang w:val="es-ES"/>
              </w:rPr>
              <w:t>1 de octubre</w:t>
            </w:r>
            <w:r w:rsidR="00D76BED" w:rsidRPr="00D76BED">
              <w:rPr>
                <w:rFonts w:ascii="Cambria" w:hAnsi="Cambria"/>
                <w:color w:val="000000" w:themeColor="text1"/>
                <w:sz w:val="20"/>
                <w:lang w:val="es-ES"/>
              </w:rPr>
              <w:t xml:space="preserve"> de 2023</w:t>
            </w:r>
          </w:p>
          <w:p w14:paraId="289564E0" w14:textId="4305BBE4" w:rsidR="008A7EBB" w:rsidRPr="00D76BED" w:rsidRDefault="008A7EBB" w:rsidP="00C11A2F">
            <w:pPr>
              <w:jc w:val="both"/>
              <w:rPr>
                <w:rFonts w:ascii="Cambria" w:hAnsi="Cambria"/>
                <w:color w:val="000000" w:themeColor="text1"/>
                <w:sz w:val="20"/>
                <w:highlight w:val="yellow"/>
                <w:lang w:val="es-ES"/>
              </w:rPr>
            </w:pPr>
          </w:p>
        </w:tc>
      </w:tr>
    </w:tbl>
    <w:p w14:paraId="543D3F5A" w14:textId="77777777" w:rsidR="00464E73" w:rsidRDefault="00464E73" w:rsidP="00B30216">
      <w:pPr>
        <w:spacing w:after="0" w:line="240" w:lineRule="auto"/>
        <w:jc w:val="both"/>
        <w:rPr>
          <w:rFonts w:ascii="Cambria" w:hAnsi="Cambria"/>
          <w:color w:val="000000" w:themeColor="text1"/>
          <w:sz w:val="20"/>
          <w:lang w:val="es-ES"/>
        </w:rPr>
      </w:pPr>
    </w:p>
    <w:p w14:paraId="40C4481D" w14:textId="21D3C51A" w:rsidR="00557888" w:rsidRDefault="00BE206A" w:rsidP="00B30216">
      <w:pPr>
        <w:spacing w:after="0" w:line="240" w:lineRule="auto"/>
        <w:jc w:val="both"/>
        <w:rPr>
          <w:rFonts w:ascii="Cambria" w:hAnsi="Cambria"/>
          <w:color w:val="000000" w:themeColor="text1"/>
          <w:sz w:val="20"/>
          <w:lang w:val="es-ES"/>
        </w:rPr>
      </w:pPr>
      <w:r w:rsidRPr="00BE206A">
        <w:rPr>
          <w:rFonts w:ascii="Cambria" w:hAnsi="Cambria"/>
          <w:color w:val="000000" w:themeColor="text1"/>
          <w:sz w:val="20"/>
          <w:lang w:val="es-ES"/>
        </w:rPr>
        <w:t>En relación con las recomendaciones No. 1, 2</w:t>
      </w:r>
      <w:r>
        <w:rPr>
          <w:rFonts w:ascii="Cambria" w:hAnsi="Cambria"/>
          <w:color w:val="000000" w:themeColor="text1"/>
          <w:sz w:val="20"/>
          <w:lang w:val="es-ES"/>
        </w:rPr>
        <w:t>,</w:t>
      </w:r>
      <w:r w:rsidRPr="00BE206A">
        <w:rPr>
          <w:rFonts w:ascii="Cambria" w:hAnsi="Cambria"/>
          <w:color w:val="000000" w:themeColor="text1"/>
          <w:sz w:val="20"/>
          <w:lang w:val="es-ES"/>
        </w:rPr>
        <w:t xml:space="preserve"> 4</w:t>
      </w:r>
      <w:r>
        <w:rPr>
          <w:rFonts w:ascii="Cambria" w:hAnsi="Cambria"/>
          <w:color w:val="000000" w:themeColor="text1"/>
          <w:sz w:val="20"/>
          <w:lang w:val="es-ES"/>
        </w:rPr>
        <w:t xml:space="preserve"> y 12</w:t>
      </w:r>
      <w:r w:rsidR="00675833">
        <w:rPr>
          <w:rFonts w:ascii="Cambria" w:hAnsi="Cambria"/>
          <w:color w:val="000000" w:themeColor="text1"/>
          <w:sz w:val="20"/>
          <w:lang w:val="es-ES"/>
        </w:rPr>
        <w:t xml:space="preserve"> del Informe de Fondo del caso</w:t>
      </w:r>
      <w:r>
        <w:rPr>
          <w:rFonts w:ascii="Cambria" w:hAnsi="Cambria"/>
          <w:color w:val="000000" w:themeColor="text1"/>
          <w:sz w:val="20"/>
          <w:lang w:val="es-ES"/>
        </w:rPr>
        <w:t>,</w:t>
      </w:r>
      <w:r w:rsidRPr="00BE206A">
        <w:rPr>
          <w:rFonts w:ascii="Cambria" w:hAnsi="Cambria"/>
          <w:color w:val="000000" w:themeColor="text1"/>
          <w:sz w:val="20"/>
          <w:lang w:val="es-ES"/>
        </w:rPr>
        <w:t xml:space="preserve"> </w:t>
      </w:r>
      <w:r w:rsidR="00675833">
        <w:rPr>
          <w:rFonts w:ascii="Cambria" w:hAnsi="Cambria"/>
          <w:color w:val="000000" w:themeColor="text1"/>
          <w:sz w:val="20"/>
          <w:lang w:val="es-ES"/>
        </w:rPr>
        <w:t xml:space="preserve">desde 2008, </w:t>
      </w:r>
      <w:r w:rsidRPr="00BE206A">
        <w:rPr>
          <w:rFonts w:ascii="Cambria" w:hAnsi="Cambria"/>
          <w:color w:val="000000" w:themeColor="text1"/>
          <w:sz w:val="20"/>
          <w:lang w:val="es-ES"/>
        </w:rPr>
        <w:t>ambas partes coincidieron que la víctima recibió una indemnización por los daños morales y materiales sufridos</w:t>
      </w:r>
      <w:r w:rsidR="00426C11">
        <w:rPr>
          <w:rFonts w:ascii="Cambria" w:hAnsi="Cambria"/>
          <w:color w:val="000000" w:themeColor="text1"/>
          <w:sz w:val="20"/>
          <w:lang w:val="es-ES"/>
        </w:rPr>
        <w:t>,</w:t>
      </w:r>
      <w:r w:rsidRPr="00BE206A">
        <w:rPr>
          <w:rFonts w:ascii="Cambria" w:hAnsi="Cambria"/>
          <w:color w:val="000000" w:themeColor="text1"/>
          <w:sz w:val="20"/>
          <w:lang w:val="es-ES"/>
        </w:rPr>
        <w:t xml:space="preserve"> y que el Gobernador de São Paulo reconoció públicamente la responsabilidad por las violaciones de los derechos humanos de la víctima durante ceremonia realizada el 19 de diciembre de 2007. </w:t>
      </w:r>
      <w:r w:rsidR="00455113">
        <w:rPr>
          <w:rFonts w:ascii="Cambria" w:hAnsi="Cambria"/>
          <w:color w:val="000000" w:themeColor="text1"/>
          <w:sz w:val="20"/>
          <w:lang w:val="es-ES"/>
        </w:rPr>
        <w:t>Sin embargo, l</w:t>
      </w:r>
      <w:r w:rsidRPr="00BE206A">
        <w:rPr>
          <w:rFonts w:ascii="Cambria" w:hAnsi="Cambria"/>
          <w:color w:val="000000" w:themeColor="text1"/>
          <w:sz w:val="20"/>
          <w:lang w:val="es-ES"/>
        </w:rPr>
        <w:t xml:space="preserve">a CIDH </w:t>
      </w:r>
      <w:r w:rsidR="008D157B">
        <w:rPr>
          <w:rFonts w:ascii="Cambria" w:hAnsi="Cambria"/>
          <w:color w:val="000000" w:themeColor="text1"/>
          <w:sz w:val="20"/>
          <w:lang w:val="es-ES"/>
        </w:rPr>
        <w:t>observó en su Informe Anual 2009</w:t>
      </w:r>
      <w:r w:rsidRPr="00BE206A">
        <w:rPr>
          <w:rFonts w:ascii="Cambria" w:hAnsi="Cambria"/>
          <w:color w:val="000000" w:themeColor="text1"/>
          <w:sz w:val="20"/>
          <w:lang w:val="es-ES"/>
        </w:rPr>
        <w:t xml:space="preserve"> que </w:t>
      </w:r>
      <w:r w:rsidR="008D157B">
        <w:rPr>
          <w:rFonts w:ascii="Cambria" w:hAnsi="Cambria"/>
          <w:color w:val="000000" w:themeColor="text1"/>
          <w:sz w:val="20"/>
          <w:lang w:val="es-ES"/>
        </w:rPr>
        <w:t>la parte peticionaria</w:t>
      </w:r>
      <w:r w:rsidRPr="00BE206A">
        <w:rPr>
          <w:rFonts w:ascii="Cambria" w:hAnsi="Cambria"/>
          <w:color w:val="000000" w:themeColor="text1"/>
          <w:sz w:val="20"/>
          <w:lang w:val="es-ES"/>
        </w:rPr>
        <w:t xml:space="preserve"> resalt</w:t>
      </w:r>
      <w:r w:rsidR="008D157B">
        <w:rPr>
          <w:rFonts w:ascii="Cambria" w:hAnsi="Cambria"/>
          <w:color w:val="000000" w:themeColor="text1"/>
          <w:sz w:val="20"/>
          <w:lang w:val="es-ES"/>
        </w:rPr>
        <w:t>ó</w:t>
      </w:r>
      <w:r w:rsidRPr="00BE206A">
        <w:rPr>
          <w:rFonts w:ascii="Cambria" w:hAnsi="Cambria"/>
          <w:color w:val="000000" w:themeColor="text1"/>
          <w:sz w:val="20"/>
          <w:lang w:val="es-ES"/>
        </w:rPr>
        <w:t xml:space="preserve"> que ni la víctima ni </w:t>
      </w:r>
      <w:r w:rsidR="00426C11">
        <w:rPr>
          <w:rFonts w:ascii="Cambria" w:hAnsi="Cambria"/>
          <w:color w:val="000000" w:themeColor="text1"/>
          <w:sz w:val="20"/>
          <w:lang w:val="es-ES"/>
        </w:rPr>
        <w:t xml:space="preserve">esa representación habrían sido </w:t>
      </w:r>
      <w:r w:rsidRPr="00BE206A">
        <w:rPr>
          <w:rFonts w:ascii="Cambria" w:hAnsi="Cambria"/>
          <w:color w:val="000000" w:themeColor="text1"/>
          <w:sz w:val="20"/>
          <w:lang w:val="es-ES"/>
        </w:rPr>
        <w:t>invitados a</w:t>
      </w:r>
      <w:r w:rsidR="00426C11">
        <w:rPr>
          <w:rFonts w:ascii="Cambria" w:hAnsi="Cambria"/>
          <w:color w:val="000000" w:themeColor="text1"/>
          <w:sz w:val="20"/>
          <w:lang w:val="es-ES"/>
        </w:rPr>
        <w:t>l</w:t>
      </w:r>
      <w:r w:rsidRPr="00BE206A">
        <w:rPr>
          <w:rFonts w:ascii="Cambria" w:hAnsi="Cambria"/>
          <w:color w:val="000000" w:themeColor="text1"/>
          <w:sz w:val="20"/>
          <w:lang w:val="es-ES"/>
        </w:rPr>
        <w:t xml:space="preserve"> evento.</w:t>
      </w:r>
    </w:p>
    <w:p w14:paraId="270341B3" w14:textId="77777777" w:rsidR="00663CC8" w:rsidRPr="005B4793" w:rsidRDefault="00663CC8" w:rsidP="005B4793">
      <w:pPr>
        <w:spacing w:after="0" w:line="240" w:lineRule="auto"/>
        <w:ind w:left="-270"/>
        <w:jc w:val="both"/>
        <w:rPr>
          <w:rFonts w:ascii="Cambria" w:hAnsi="Cambria"/>
          <w:color w:val="000000" w:themeColor="text1"/>
          <w:sz w:val="20"/>
          <w:lang w:val="es-ES"/>
        </w:rPr>
      </w:pPr>
    </w:p>
    <w:p w14:paraId="40A84D44" w14:textId="5BFF0743" w:rsidR="009C28DC" w:rsidRPr="00F93C22" w:rsidRDefault="009C28DC" w:rsidP="00C11A2F">
      <w:pPr>
        <w:pStyle w:val="ListParagraph"/>
        <w:numPr>
          <w:ilvl w:val="0"/>
          <w:numId w:val="1"/>
        </w:numPr>
        <w:spacing w:after="0" w:line="240" w:lineRule="auto"/>
        <w:jc w:val="both"/>
        <w:rPr>
          <w:rFonts w:ascii="Cambria" w:hAnsi="Cambria"/>
          <w:b/>
          <w:sz w:val="20"/>
          <w:lang w:val="es-ES"/>
        </w:rPr>
      </w:pPr>
      <w:r w:rsidRPr="00F93C22">
        <w:rPr>
          <w:rFonts w:ascii="Cambria" w:hAnsi="Cambria"/>
          <w:b/>
          <w:sz w:val="20"/>
          <w:lang w:val="es-ES"/>
        </w:rPr>
        <w:t>Medidas que han impactado el cumplimiento del caso</w:t>
      </w:r>
      <w:r w:rsidR="00D76BED">
        <w:rPr>
          <w:rStyle w:val="FootnoteReference"/>
          <w:rFonts w:ascii="Cambria" w:hAnsi="Cambria"/>
          <w:b/>
          <w:sz w:val="20"/>
          <w:lang w:val="es-ES"/>
        </w:rPr>
        <w:footnoteReference w:id="6"/>
      </w:r>
    </w:p>
    <w:p w14:paraId="4B99056E" w14:textId="77777777" w:rsidR="009C28DC" w:rsidRPr="00F93C22" w:rsidRDefault="009C28DC" w:rsidP="00C11A2F">
      <w:pPr>
        <w:pStyle w:val="ListParagraph"/>
        <w:spacing w:after="0" w:line="240" w:lineRule="auto"/>
        <w:ind w:left="360"/>
        <w:jc w:val="both"/>
        <w:rPr>
          <w:rFonts w:ascii="Cambria" w:hAnsi="Cambria"/>
          <w:b/>
          <w:sz w:val="20"/>
          <w:lang w:val="es-ES"/>
        </w:rPr>
      </w:pPr>
    </w:p>
    <w:tbl>
      <w:tblPr>
        <w:tblStyle w:val="TableGrid"/>
        <w:tblW w:w="9644" w:type="dxa"/>
        <w:tblInd w:w="-284" w:type="dxa"/>
        <w:tblLook w:val="04A0" w:firstRow="1" w:lastRow="0" w:firstColumn="1" w:lastColumn="0" w:noHBand="0" w:noVBand="1"/>
      </w:tblPr>
      <w:tblGrid>
        <w:gridCol w:w="9644"/>
      </w:tblGrid>
      <w:tr w:rsidR="009C28DC" w:rsidRPr="006D195A" w14:paraId="29FBDDF4" w14:textId="77777777" w:rsidTr="0099550C">
        <w:tc>
          <w:tcPr>
            <w:tcW w:w="9644" w:type="dxa"/>
            <w:tcBorders>
              <w:top w:val="nil"/>
              <w:left w:val="nil"/>
              <w:bottom w:val="nil"/>
              <w:right w:val="nil"/>
            </w:tcBorders>
            <w:shd w:val="clear" w:color="auto" w:fill="F2F2F2" w:themeFill="background1" w:themeFillShade="F2"/>
          </w:tcPr>
          <w:p w14:paraId="67BCDB59" w14:textId="77777777" w:rsidR="008F016C" w:rsidRDefault="008F016C" w:rsidP="00C11A2F">
            <w:pPr>
              <w:pStyle w:val="ListParagraph"/>
              <w:ind w:left="0"/>
              <w:jc w:val="both"/>
              <w:rPr>
                <w:rFonts w:ascii="Cambria" w:hAnsi="Cambria" w:cs="Calibri Light"/>
                <w:i/>
                <w:iCs/>
                <w:color w:val="000000" w:themeColor="text1"/>
                <w:sz w:val="20"/>
                <w:szCs w:val="20"/>
                <w:lang w:val="es-ES"/>
              </w:rPr>
            </w:pPr>
          </w:p>
          <w:p w14:paraId="00915B56" w14:textId="04270379" w:rsidR="00EF2FA4" w:rsidRDefault="00D05ECE" w:rsidP="00C11A2F">
            <w:pPr>
              <w:pStyle w:val="ListParagraph"/>
              <w:ind w:left="0"/>
              <w:jc w:val="both"/>
              <w:rPr>
                <w:rFonts w:ascii="Cambria" w:hAnsi="Cambria" w:cs="Calibri Light"/>
                <w:i/>
                <w:iCs/>
                <w:color w:val="000000" w:themeColor="text1"/>
                <w:sz w:val="20"/>
                <w:szCs w:val="20"/>
                <w:lang w:val="es-ES"/>
              </w:rPr>
            </w:pPr>
            <w:r w:rsidRPr="00F93C22">
              <w:rPr>
                <w:rFonts w:ascii="Cambria" w:hAnsi="Cambria" w:cs="Calibri Light"/>
                <w:i/>
                <w:iCs/>
                <w:color w:val="000000" w:themeColor="text1"/>
                <w:sz w:val="20"/>
                <w:szCs w:val="20"/>
                <w:lang w:val="es-ES"/>
              </w:rPr>
              <w:t xml:space="preserve">Medidas de compensación pecuniaria </w:t>
            </w:r>
          </w:p>
          <w:p w14:paraId="378BFFE7" w14:textId="77777777" w:rsidR="00464E73" w:rsidRPr="003A44E2" w:rsidRDefault="00464E73" w:rsidP="00C11A2F">
            <w:pPr>
              <w:pStyle w:val="ListParagraph"/>
              <w:ind w:left="0"/>
              <w:jc w:val="both"/>
              <w:rPr>
                <w:rFonts w:ascii="Cambria" w:hAnsi="Cambria" w:cs="Calibri Light"/>
                <w:i/>
                <w:iCs/>
                <w:color w:val="000000" w:themeColor="text1"/>
                <w:sz w:val="20"/>
                <w:szCs w:val="20"/>
                <w:lang w:val="es-ES"/>
              </w:rPr>
            </w:pPr>
          </w:p>
          <w:p w14:paraId="6DF92C92" w14:textId="694998DE" w:rsidR="00D05ECE" w:rsidRPr="00F93C22" w:rsidRDefault="00EF2FA4" w:rsidP="00C11A2F">
            <w:pPr>
              <w:pStyle w:val="ListParagraph"/>
              <w:numPr>
                <w:ilvl w:val="0"/>
                <w:numId w:val="12"/>
              </w:numPr>
              <w:jc w:val="both"/>
              <w:rPr>
                <w:rFonts w:ascii="Cambria" w:eastAsia="Times New Roman" w:hAnsi="Cambria"/>
                <w:color w:val="000000"/>
                <w:sz w:val="20"/>
                <w:szCs w:val="20"/>
                <w:lang w:val="es-ES"/>
              </w:rPr>
            </w:pPr>
            <w:r>
              <w:rPr>
                <w:rFonts w:ascii="Cambria" w:eastAsia="Times New Roman" w:hAnsi="Cambria"/>
                <w:color w:val="000000" w:themeColor="text1"/>
                <w:sz w:val="20"/>
                <w:szCs w:val="20"/>
                <w:lang w:val="es-ES"/>
              </w:rPr>
              <w:t>I</w:t>
            </w:r>
            <w:r w:rsidR="00D05ECE" w:rsidRPr="00F93C22">
              <w:rPr>
                <w:rFonts w:ascii="Cambria" w:eastAsia="Times New Roman" w:hAnsi="Cambria"/>
                <w:color w:val="000000" w:themeColor="text1"/>
                <w:sz w:val="20"/>
                <w:szCs w:val="20"/>
                <w:lang w:val="es-ES"/>
              </w:rPr>
              <w:t xml:space="preserve">ndemnización por los daños morales y materiales sufridos </w:t>
            </w:r>
            <w:r w:rsidR="00EF6BA7">
              <w:rPr>
                <w:rFonts w:ascii="Cambria" w:eastAsia="Times New Roman" w:hAnsi="Cambria"/>
                <w:color w:val="000000" w:themeColor="text1"/>
                <w:sz w:val="20"/>
                <w:szCs w:val="20"/>
                <w:lang w:val="es-ES"/>
              </w:rPr>
              <w:t xml:space="preserve">por Simone André, garantizada </w:t>
            </w:r>
            <w:r w:rsidR="00D05ECE" w:rsidRPr="00F93C22">
              <w:rPr>
                <w:rFonts w:ascii="Cambria" w:eastAsia="Times New Roman" w:hAnsi="Cambria"/>
                <w:color w:val="000000" w:themeColor="text1"/>
                <w:sz w:val="20"/>
                <w:szCs w:val="20"/>
                <w:lang w:val="es-ES"/>
              </w:rPr>
              <w:t>el 18 de marzo de 2008.</w:t>
            </w:r>
          </w:p>
          <w:p w14:paraId="5C70F463" w14:textId="77777777" w:rsidR="00C11A2F" w:rsidRPr="00C11A2F" w:rsidRDefault="00C11A2F" w:rsidP="00C11A2F">
            <w:pPr>
              <w:jc w:val="both"/>
              <w:rPr>
                <w:rFonts w:ascii="Cambria" w:eastAsia="Times New Roman" w:hAnsi="Cambria"/>
                <w:color w:val="000000"/>
                <w:sz w:val="20"/>
                <w:szCs w:val="20"/>
                <w:lang w:val="es-ES"/>
              </w:rPr>
            </w:pPr>
          </w:p>
          <w:p w14:paraId="72102DCC" w14:textId="4D4D4005" w:rsidR="00EF2FA4" w:rsidRDefault="00D05ECE" w:rsidP="00C11A2F">
            <w:pPr>
              <w:jc w:val="both"/>
              <w:rPr>
                <w:rFonts w:ascii="Cambria" w:eastAsia="Times New Roman" w:hAnsi="Cambria"/>
                <w:i/>
                <w:iCs/>
                <w:color w:val="000000" w:themeColor="text1"/>
                <w:sz w:val="20"/>
                <w:szCs w:val="20"/>
                <w:lang w:val="es-ES"/>
              </w:rPr>
            </w:pPr>
            <w:r w:rsidRPr="00F93C22">
              <w:rPr>
                <w:rFonts w:ascii="Cambria" w:eastAsia="Times New Roman" w:hAnsi="Cambria"/>
                <w:i/>
                <w:iCs/>
                <w:color w:val="000000" w:themeColor="text1"/>
                <w:sz w:val="20"/>
                <w:szCs w:val="20"/>
                <w:lang w:val="es-ES"/>
              </w:rPr>
              <w:t>Medidas de satisfacción</w:t>
            </w:r>
          </w:p>
          <w:p w14:paraId="3D5217E7" w14:textId="77777777" w:rsidR="00464E73" w:rsidRPr="00C11A2F" w:rsidRDefault="00464E73" w:rsidP="00C11A2F">
            <w:pPr>
              <w:jc w:val="both"/>
              <w:rPr>
                <w:rFonts w:ascii="Cambria" w:eastAsia="Times New Roman" w:hAnsi="Cambria"/>
                <w:i/>
                <w:iCs/>
                <w:color w:val="000000" w:themeColor="text1"/>
                <w:sz w:val="20"/>
                <w:szCs w:val="20"/>
                <w:lang w:val="es-ES"/>
              </w:rPr>
            </w:pPr>
          </w:p>
          <w:p w14:paraId="2B62CFE9" w14:textId="57AE161F" w:rsidR="00D05ECE" w:rsidRPr="00F93C22" w:rsidRDefault="00EF2FA4" w:rsidP="00C11A2F">
            <w:pPr>
              <w:pStyle w:val="ListParagraph"/>
              <w:numPr>
                <w:ilvl w:val="0"/>
                <w:numId w:val="12"/>
              </w:numPr>
              <w:jc w:val="both"/>
              <w:rPr>
                <w:rFonts w:ascii="Cambria" w:eastAsia="Times New Roman" w:hAnsi="Cambria"/>
                <w:color w:val="000000"/>
                <w:sz w:val="20"/>
                <w:szCs w:val="20"/>
                <w:lang w:val="es-ES"/>
              </w:rPr>
            </w:pPr>
            <w:r>
              <w:rPr>
                <w:rFonts w:ascii="Cambria" w:eastAsia="Times New Roman" w:hAnsi="Cambria"/>
                <w:color w:val="000000" w:themeColor="text1"/>
                <w:sz w:val="20"/>
                <w:szCs w:val="20"/>
                <w:lang w:val="es-ES"/>
              </w:rPr>
              <w:t xml:space="preserve">Reconocimiento </w:t>
            </w:r>
            <w:r w:rsidR="00EF6BA7">
              <w:rPr>
                <w:rFonts w:ascii="Cambria" w:eastAsia="Times New Roman" w:hAnsi="Cambria"/>
                <w:color w:val="000000" w:themeColor="text1"/>
                <w:sz w:val="20"/>
                <w:szCs w:val="20"/>
                <w:lang w:val="es-ES"/>
              </w:rPr>
              <w:t>público</w:t>
            </w:r>
            <w:r>
              <w:rPr>
                <w:rFonts w:ascii="Cambria" w:eastAsia="Times New Roman" w:hAnsi="Cambria"/>
                <w:color w:val="000000" w:themeColor="text1"/>
                <w:sz w:val="20"/>
                <w:szCs w:val="20"/>
                <w:lang w:val="es-ES"/>
              </w:rPr>
              <w:t xml:space="preserve"> de</w:t>
            </w:r>
            <w:r w:rsidR="00D05ECE" w:rsidRPr="00F93C22">
              <w:rPr>
                <w:rFonts w:ascii="Cambria" w:eastAsia="Times New Roman" w:hAnsi="Cambria"/>
                <w:color w:val="000000" w:themeColor="text1"/>
                <w:sz w:val="20"/>
                <w:szCs w:val="20"/>
                <w:lang w:val="es-ES"/>
              </w:rPr>
              <w:t xml:space="preserve"> responsabilidad </w:t>
            </w:r>
            <w:r>
              <w:rPr>
                <w:rFonts w:ascii="Cambria" w:eastAsia="Times New Roman" w:hAnsi="Cambria"/>
                <w:color w:val="000000" w:themeColor="text1"/>
                <w:sz w:val="20"/>
                <w:szCs w:val="20"/>
                <w:lang w:val="es-ES"/>
              </w:rPr>
              <w:t xml:space="preserve">por </w:t>
            </w:r>
            <w:r w:rsidR="00741639">
              <w:rPr>
                <w:rFonts w:ascii="Cambria" w:eastAsia="Times New Roman" w:hAnsi="Cambria"/>
                <w:color w:val="000000" w:themeColor="text1"/>
                <w:sz w:val="20"/>
                <w:szCs w:val="20"/>
                <w:lang w:val="es-ES"/>
              </w:rPr>
              <w:t>parte d</w:t>
            </w:r>
            <w:r>
              <w:rPr>
                <w:rFonts w:ascii="Cambria" w:eastAsia="Times New Roman" w:hAnsi="Cambria"/>
                <w:color w:val="000000" w:themeColor="text1"/>
                <w:sz w:val="20"/>
                <w:szCs w:val="20"/>
                <w:lang w:val="es-ES"/>
              </w:rPr>
              <w:t>el g</w:t>
            </w:r>
            <w:r w:rsidRPr="00F93C22">
              <w:rPr>
                <w:rFonts w:ascii="Cambria" w:eastAsia="Times New Roman" w:hAnsi="Cambria"/>
                <w:color w:val="000000" w:themeColor="text1"/>
                <w:sz w:val="20"/>
                <w:szCs w:val="20"/>
                <w:lang w:val="es-ES"/>
              </w:rPr>
              <w:t xml:space="preserve">obernador de São Paulo </w:t>
            </w:r>
            <w:r>
              <w:rPr>
                <w:rFonts w:ascii="Cambria" w:eastAsia="Times New Roman" w:hAnsi="Cambria"/>
                <w:color w:val="000000" w:themeColor="text1"/>
                <w:sz w:val="20"/>
                <w:szCs w:val="20"/>
                <w:lang w:val="es-ES"/>
              </w:rPr>
              <w:t xml:space="preserve">en ceremonia </w:t>
            </w:r>
            <w:r w:rsidR="00EF6BA7">
              <w:rPr>
                <w:rFonts w:ascii="Cambria" w:eastAsia="Times New Roman" w:hAnsi="Cambria"/>
                <w:color w:val="000000" w:themeColor="text1"/>
                <w:sz w:val="20"/>
                <w:szCs w:val="20"/>
                <w:lang w:val="es-ES"/>
              </w:rPr>
              <w:t>d</w:t>
            </w:r>
            <w:r>
              <w:rPr>
                <w:rFonts w:ascii="Cambria" w:eastAsia="Times New Roman" w:hAnsi="Cambria"/>
                <w:color w:val="000000" w:themeColor="text1"/>
                <w:sz w:val="20"/>
                <w:szCs w:val="20"/>
                <w:lang w:val="es-ES"/>
              </w:rPr>
              <w:t>el</w:t>
            </w:r>
            <w:r w:rsidR="00D05ECE" w:rsidRPr="00F93C22">
              <w:rPr>
                <w:rFonts w:ascii="Cambria" w:eastAsia="Times New Roman" w:hAnsi="Cambria"/>
                <w:color w:val="000000" w:themeColor="text1"/>
                <w:sz w:val="20"/>
                <w:szCs w:val="20"/>
                <w:lang w:val="es-ES"/>
              </w:rPr>
              <w:t xml:space="preserve"> 19 de diciembre de 2007</w:t>
            </w:r>
            <w:r w:rsidR="00455113">
              <w:rPr>
                <w:rFonts w:ascii="Cambria" w:eastAsia="Times New Roman" w:hAnsi="Cambria"/>
                <w:color w:val="000000" w:themeColor="text1"/>
                <w:sz w:val="20"/>
                <w:szCs w:val="20"/>
                <w:lang w:val="es-ES"/>
              </w:rPr>
              <w:t>.</w:t>
            </w:r>
          </w:p>
          <w:p w14:paraId="4DDBEF00" w14:textId="77777777" w:rsidR="00D05ECE" w:rsidRPr="00F93C22" w:rsidRDefault="00D05ECE" w:rsidP="00C11A2F">
            <w:pPr>
              <w:pStyle w:val="ListParagraph"/>
              <w:ind w:left="360"/>
              <w:jc w:val="both"/>
              <w:rPr>
                <w:rFonts w:ascii="Cambria" w:eastAsia="Times New Roman" w:hAnsi="Cambria"/>
                <w:color w:val="000000"/>
                <w:sz w:val="20"/>
                <w:szCs w:val="20"/>
                <w:lang w:val="es-ES"/>
              </w:rPr>
            </w:pPr>
          </w:p>
          <w:p w14:paraId="528FD485" w14:textId="3C90EDCD" w:rsidR="009F3A4F" w:rsidRDefault="009F3A4F" w:rsidP="00C11A2F">
            <w:pPr>
              <w:pStyle w:val="ListParagraph"/>
              <w:ind w:left="0"/>
              <w:jc w:val="both"/>
              <w:rPr>
                <w:rFonts w:ascii="Cambria" w:hAnsi="Cambria" w:cs="Calibri Light"/>
                <w:i/>
                <w:iCs/>
                <w:color w:val="000000" w:themeColor="text1"/>
                <w:sz w:val="20"/>
                <w:szCs w:val="20"/>
                <w:lang w:val="es-ES"/>
              </w:rPr>
            </w:pPr>
            <w:r w:rsidRPr="00F93C22">
              <w:rPr>
                <w:rFonts w:ascii="Cambria" w:hAnsi="Cambria" w:cs="Calibri Light"/>
                <w:i/>
                <w:iCs/>
                <w:color w:val="000000" w:themeColor="text1"/>
                <w:sz w:val="20"/>
                <w:szCs w:val="20"/>
                <w:lang w:val="es-ES"/>
              </w:rPr>
              <w:t xml:space="preserve">Legislación/Normativa </w:t>
            </w:r>
          </w:p>
          <w:p w14:paraId="70A68C77" w14:textId="77777777" w:rsidR="00464E73" w:rsidRDefault="00464E73" w:rsidP="00C11A2F">
            <w:pPr>
              <w:pStyle w:val="ListParagraph"/>
              <w:ind w:left="0"/>
              <w:jc w:val="both"/>
              <w:rPr>
                <w:rFonts w:ascii="Cambria" w:hAnsi="Cambria" w:cs="Calibri Light"/>
                <w:i/>
                <w:iCs/>
                <w:color w:val="000000" w:themeColor="text1"/>
                <w:sz w:val="20"/>
                <w:szCs w:val="20"/>
                <w:lang w:val="es-ES"/>
              </w:rPr>
            </w:pPr>
          </w:p>
          <w:p w14:paraId="368754DC" w14:textId="61335F51" w:rsidR="009F3A4F" w:rsidRPr="00F93C22" w:rsidRDefault="009F3A4F" w:rsidP="00C11A2F">
            <w:pPr>
              <w:pStyle w:val="ListParagraph"/>
              <w:numPr>
                <w:ilvl w:val="0"/>
                <w:numId w:val="9"/>
              </w:numPr>
              <w:jc w:val="both"/>
              <w:rPr>
                <w:rFonts w:ascii="Cambria" w:hAnsi="Cambria" w:cs="Calibri Light"/>
                <w:b/>
                <w:bCs/>
                <w:color w:val="000000"/>
                <w:sz w:val="20"/>
                <w:szCs w:val="20"/>
                <w:lang w:val="es-ES"/>
              </w:rPr>
            </w:pPr>
            <w:r w:rsidRPr="00F93C22">
              <w:rPr>
                <w:rFonts w:ascii="Cambria" w:eastAsia="MS Mincho" w:hAnsi="Cambria"/>
                <w:color w:val="000000" w:themeColor="text1"/>
                <w:sz w:val="20"/>
                <w:szCs w:val="20"/>
                <w:lang w:val="es-ES" w:eastAsia="es-ES"/>
              </w:rPr>
              <w:t>Aprobación del Estatuto de la Igualdad Racial (Ley Nº 12.288</w:t>
            </w:r>
            <w:r w:rsidR="00515570">
              <w:rPr>
                <w:rFonts w:ascii="Cambria" w:eastAsia="MS Mincho" w:hAnsi="Cambria"/>
                <w:color w:val="000000" w:themeColor="text1"/>
                <w:sz w:val="20"/>
                <w:szCs w:val="20"/>
                <w:lang w:val="es-ES" w:eastAsia="es-ES"/>
              </w:rPr>
              <w:t xml:space="preserve"> de </w:t>
            </w:r>
            <w:r w:rsidRPr="00F93C22">
              <w:rPr>
                <w:rFonts w:ascii="Cambria" w:eastAsia="MS Mincho" w:hAnsi="Cambria"/>
                <w:color w:val="000000" w:themeColor="text1"/>
                <w:sz w:val="20"/>
                <w:szCs w:val="20"/>
                <w:lang w:val="es-ES" w:eastAsia="es-ES"/>
              </w:rPr>
              <w:t>2010)</w:t>
            </w:r>
            <w:r w:rsidR="00EF2FA4">
              <w:rPr>
                <w:rFonts w:ascii="Cambria" w:eastAsia="MS Mincho" w:hAnsi="Cambria"/>
                <w:color w:val="000000" w:themeColor="text1"/>
                <w:sz w:val="20"/>
                <w:szCs w:val="20"/>
                <w:lang w:val="es-ES" w:eastAsia="es-ES"/>
              </w:rPr>
              <w:t>.</w:t>
            </w:r>
          </w:p>
          <w:p w14:paraId="1E0233F1" w14:textId="090BE5B9" w:rsidR="009F3A4F" w:rsidRPr="00F93C22" w:rsidRDefault="009F3A4F" w:rsidP="0074265D">
            <w:pPr>
              <w:pStyle w:val="ListParagraph"/>
              <w:numPr>
                <w:ilvl w:val="0"/>
                <w:numId w:val="9"/>
              </w:numPr>
              <w:jc w:val="both"/>
              <w:rPr>
                <w:rFonts w:ascii="Cambria" w:eastAsia="MS Mincho" w:hAnsi="Cambria"/>
                <w:color w:val="000000"/>
                <w:sz w:val="20"/>
                <w:szCs w:val="20"/>
                <w:lang w:val="es-ES" w:eastAsia="es-ES"/>
              </w:rPr>
            </w:pPr>
            <w:r w:rsidRPr="00F93C22">
              <w:rPr>
                <w:rFonts w:ascii="Cambria" w:eastAsia="MS Mincho" w:hAnsi="Cambria"/>
                <w:color w:val="000000" w:themeColor="text1"/>
                <w:sz w:val="20"/>
                <w:szCs w:val="20"/>
                <w:lang w:val="es-ES" w:eastAsia="es-ES"/>
              </w:rPr>
              <w:t>Aprobación de la Ley Nº 14.187</w:t>
            </w:r>
            <w:r w:rsidR="00515570">
              <w:rPr>
                <w:rFonts w:ascii="Cambria" w:eastAsia="MS Mincho" w:hAnsi="Cambria"/>
                <w:color w:val="000000" w:themeColor="text1"/>
                <w:sz w:val="20"/>
                <w:szCs w:val="20"/>
                <w:lang w:val="es-ES" w:eastAsia="es-ES"/>
              </w:rPr>
              <w:t xml:space="preserve"> de </w:t>
            </w:r>
            <w:r w:rsidRPr="00F93C22">
              <w:rPr>
                <w:rFonts w:ascii="Cambria" w:eastAsia="MS Mincho" w:hAnsi="Cambria"/>
                <w:color w:val="000000" w:themeColor="text1"/>
                <w:sz w:val="20"/>
                <w:szCs w:val="20"/>
                <w:lang w:val="es-ES" w:eastAsia="es-ES"/>
              </w:rPr>
              <w:t>2010</w:t>
            </w:r>
            <w:r w:rsidR="00EF2FA4">
              <w:rPr>
                <w:rFonts w:ascii="Cambria" w:eastAsia="MS Mincho" w:hAnsi="Cambria"/>
                <w:color w:val="000000" w:themeColor="text1"/>
                <w:sz w:val="20"/>
                <w:szCs w:val="20"/>
                <w:lang w:val="es-ES" w:eastAsia="es-ES"/>
              </w:rPr>
              <w:t xml:space="preserve"> </w:t>
            </w:r>
            <w:r w:rsidR="00EF2FA4" w:rsidRPr="00F93C22">
              <w:rPr>
                <w:rFonts w:ascii="Cambria" w:eastAsia="MS Mincho" w:hAnsi="Cambria"/>
                <w:color w:val="000000" w:themeColor="text1"/>
                <w:sz w:val="20"/>
                <w:szCs w:val="20"/>
                <w:lang w:val="es-ES" w:eastAsia="es-ES"/>
              </w:rPr>
              <w:t xml:space="preserve">del </w:t>
            </w:r>
            <w:r w:rsidR="00CD3925">
              <w:rPr>
                <w:rFonts w:ascii="Cambria" w:eastAsia="MS Mincho" w:hAnsi="Cambria"/>
                <w:color w:val="000000" w:themeColor="text1"/>
                <w:sz w:val="20"/>
                <w:szCs w:val="20"/>
                <w:lang w:val="es-ES" w:eastAsia="es-ES"/>
              </w:rPr>
              <w:t>e</w:t>
            </w:r>
            <w:r w:rsidR="00EF2FA4" w:rsidRPr="00F93C22">
              <w:rPr>
                <w:rFonts w:ascii="Cambria" w:eastAsia="MS Mincho" w:hAnsi="Cambria"/>
                <w:color w:val="000000" w:themeColor="text1"/>
                <w:sz w:val="20"/>
                <w:szCs w:val="20"/>
                <w:lang w:val="es-ES" w:eastAsia="es-ES"/>
              </w:rPr>
              <w:t>stado de S</w:t>
            </w:r>
            <w:r w:rsidR="00EF2FA4">
              <w:rPr>
                <w:rFonts w:ascii="Cambria" w:eastAsia="MS Mincho" w:hAnsi="Cambria"/>
                <w:color w:val="000000" w:themeColor="text1"/>
                <w:sz w:val="20"/>
                <w:szCs w:val="20"/>
                <w:lang w:val="es-ES" w:eastAsia="es-ES"/>
              </w:rPr>
              <w:t>ã</w:t>
            </w:r>
            <w:r w:rsidR="00EF2FA4" w:rsidRPr="00F93C22">
              <w:rPr>
                <w:rFonts w:ascii="Cambria" w:eastAsia="MS Mincho" w:hAnsi="Cambria"/>
                <w:color w:val="000000" w:themeColor="text1"/>
                <w:sz w:val="20"/>
                <w:szCs w:val="20"/>
                <w:lang w:val="es-ES" w:eastAsia="es-ES"/>
              </w:rPr>
              <w:t>o Paulo</w:t>
            </w:r>
            <w:r w:rsidR="0074265D">
              <w:rPr>
                <w:rFonts w:ascii="Cambria" w:eastAsia="MS Mincho" w:hAnsi="Cambria"/>
                <w:color w:val="000000" w:themeColor="text1"/>
                <w:sz w:val="20"/>
                <w:szCs w:val="20"/>
                <w:lang w:val="es-ES" w:eastAsia="es-ES"/>
              </w:rPr>
              <w:t xml:space="preserve">, sobre las sanciones administrativas a aplicarse frente a actos de discriminación racial. </w:t>
            </w:r>
          </w:p>
          <w:p w14:paraId="7E67148E" w14:textId="326175C3" w:rsidR="009F3A4F" w:rsidRPr="00F93C22" w:rsidRDefault="00EF2FA4" w:rsidP="00C11A2F">
            <w:pPr>
              <w:numPr>
                <w:ilvl w:val="0"/>
                <w:numId w:val="9"/>
              </w:numPr>
              <w:jc w:val="both"/>
              <w:rPr>
                <w:rFonts w:ascii="Cambria" w:eastAsia="MS Mincho" w:hAnsi="Cambria"/>
                <w:color w:val="000000"/>
                <w:sz w:val="20"/>
                <w:szCs w:val="20"/>
                <w:lang w:val="es-ES" w:eastAsia="es-ES"/>
              </w:rPr>
            </w:pPr>
            <w:r>
              <w:rPr>
                <w:rFonts w:ascii="Cambria" w:eastAsia="MS Mincho" w:hAnsi="Cambria"/>
                <w:color w:val="000000" w:themeColor="text1"/>
                <w:sz w:val="20"/>
                <w:szCs w:val="20"/>
                <w:lang w:val="es-ES" w:eastAsia="es-ES"/>
              </w:rPr>
              <w:t>Aprobación de</w:t>
            </w:r>
            <w:r w:rsidR="009F3A4F" w:rsidRPr="00F93C22">
              <w:rPr>
                <w:rFonts w:ascii="Cambria" w:eastAsia="MS Mincho" w:hAnsi="Cambria"/>
                <w:color w:val="000000" w:themeColor="text1"/>
                <w:sz w:val="20"/>
                <w:szCs w:val="20"/>
                <w:lang w:val="es-ES" w:eastAsia="es-ES"/>
              </w:rPr>
              <w:t xml:space="preserve"> la Enmienda Constitucional </w:t>
            </w:r>
            <w:r w:rsidR="00962A1E" w:rsidRPr="00F93C22">
              <w:rPr>
                <w:rFonts w:ascii="Cambria" w:eastAsia="MS Mincho" w:hAnsi="Cambria"/>
                <w:color w:val="000000" w:themeColor="text1"/>
                <w:sz w:val="20"/>
                <w:szCs w:val="20"/>
                <w:lang w:val="es-ES" w:eastAsia="es-ES"/>
              </w:rPr>
              <w:t>Nº</w:t>
            </w:r>
            <w:r w:rsidR="009F3A4F" w:rsidRPr="00F93C22">
              <w:rPr>
                <w:rFonts w:ascii="Cambria" w:eastAsia="MS Mincho" w:hAnsi="Cambria"/>
                <w:color w:val="000000" w:themeColor="text1"/>
                <w:sz w:val="20"/>
                <w:szCs w:val="20"/>
                <w:lang w:val="es-ES" w:eastAsia="es-ES"/>
              </w:rPr>
              <w:t xml:space="preserve"> 66</w:t>
            </w:r>
            <w:r>
              <w:rPr>
                <w:rFonts w:ascii="Cambria" w:eastAsia="MS Mincho" w:hAnsi="Cambria"/>
                <w:color w:val="000000" w:themeColor="text1"/>
                <w:sz w:val="20"/>
                <w:szCs w:val="20"/>
                <w:lang w:val="es-ES" w:eastAsia="es-ES"/>
              </w:rPr>
              <w:t xml:space="preserve"> respecto</w:t>
            </w:r>
            <w:r w:rsidR="009F3A4F" w:rsidRPr="00F93C22">
              <w:rPr>
                <w:rFonts w:ascii="Cambria" w:eastAsia="MS Mincho" w:hAnsi="Cambria"/>
                <w:color w:val="000000" w:themeColor="text1"/>
                <w:sz w:val="20"/>
                <w:szCs w:val="20"/>
                <w:lang w:val="es-ES" w:eastAsia="es-ES"/>
              </w:rPr>
              <w:t xml:space="preserve"> </w:t>
            </w:r>
            <w:r w:rsidRPr="00F93C22">
              <w:rPr>
                <w:rFonts w:ascii="Cambria" w:eastAsia="MS Mincho" w:hAnsi="Cambria"/>
                <w:color w:val="000000" w:themeColor="text1"/>
                <w:sz w:val="20"/>
                <w:szCs w:val="20"/>
                <w:lang w:val="es-ES" w:eastAsia="es-ES"/>
              </w:rPr>
              <w:t>de</w:t>
            </w:r>
            <w:r w:rsidR="00515570">
              <w:rPr>
                <w:rFonts w:ascii="Cambria" w:eastAsia="MS Mincho" w:hAnsi="Cambria"/>
                <w:color w:val="000000" w:themeColor="text1"/>
                <w:sz w:val="20"/>
                <w:szCs w:val="20"/>
                <w:lang w:val="es-ES" w:eastAsia="es-ES"/>
              </w:rPr>
              <w:t>l</w:t>
            </w:r>
            <w:r w:rsidRPr="00F93C22">
              <w:rPr>
                <w:rFonts w:ascii="Cambria" w:eastAsia="MS Mincho" w:hAnsi="Cambria"/>
                <w:color w:val="000000" w:themeColor="text1"/>
                <w:sz w:val="20"/>
                <w:szCs w:val="20"/>
                <w:lang w:val="es-ES" w:eastAsia="es-ES"/>
              </w:rPr>
              <w:t xml:space="preserve"> trabajo doméstico</w:t>
            </w:r>
            <w:r>
              <w:rPr>
                <w:rFonts w:ascii="Cambria" w:eastAsia="MS Mincho" w:hAnsi="Cambria"/>
                <w:color w:val="000000" w:themeColor="text1"/>
                <w:sz w:val="20"/>
                <w:szCs w:val="20"/>
                <w:lang w:val="es-ES" w:eastAsia="es-ES"/>
              </w:rPr>
              <w:t>.</w:t>
            </w:r>
          </w:p>
          <w:p w14:paraId="66AB3A9D" w14:textId="0F02D132" w:rsidR="0071034E" w:rsidRPr="00515570" w:rsidRDefault="009F3A4F" w:rsidP="00515570">
            <w:pPr>
              <w:pStyle w:val="ListParagraph"/>
              <w:numPr>
                <w:ilvl w:val="0"/>
                <w:numId w:val="9"/>
              </w:numPr>
              <w:jc w:val="both"/>
              <w:rPr>
                <w:rFonts w:ascii="Cambria" w:eastAsia="MS Mincho" w:hAnsi="Cambria"/>
                <w:color w:val="000000" w:themeColor="text1"/>
                <w:sz w:val="20"/>
                <w:szCs w:val="20"/>
                <w:lang w:val="es-ES" w:eastAsia="es-ES"/>
              </w:rPr>
            </w:pPr>
            <w:r w:rsidRPr="00F93C22">
              <w:rPr>
                <w:rFonts w:ascii="Cambria" w:eastAsia="MS Mincho" w:hAnsi="Cambria"/>
                <w:color w:val="000000" w:themeColor="text1"/>
                <w:sz w:val="20"/>
                <w:szCs w:val="20"/>
                <w:lang w:val="es-ES" w:eastAsia="es-ES"/>
              </w:rPr>
              <w:t xml:space="preserve">Programa Nacional de Acciones Afirmativas y aprobación de la Ley de Cuotas en las Instituciones Federales de </w:t>
            </w:r>
            <w:r w:rsidRPr="00EF2FA4">
              <w:rPr>
                <w:rFonts w:ascii="Cambria" w:eastAsia="MS Mincho" w:hAnsi="Cambria"/>
                <w:color w:val="000000" w:themeColor="text1"/>
                <w:sz w:val="20"/>
                <w:szCs w:val="20"/>
                <w:lang w:val="es-ES" w:eastAsia="es-ES"/>
              </w:rPr>
              <w:t xml:space="preserve">Educación Superior (Ley Nº 12.711 de 2012) con Programa de beca de permanencia para los estudiantes. </w:t>
            </w:r>
          </w:p>
          <w:p w14:paraId="3461D779" w14:textId="77777777" w:rsidR="00F70C28" w:rsidRPr="00F93C22" w:rsidRDefault="00F70C28" w:rsidP="00C11A2F">
            <w:pPr>
              <w:jc w:val="both"/>
              <w:rPr>
                <w:rFonts w:ascii="Cambria" w:eastAsia="MS Mincho" w:hAnsi="Cambria"/>
                <w:color w:val="000000"/>
                <w:sz w:val="20"/>
                <w:szCs w:val="20"/>
                <w:lang w:val="es-ES" w:eastAsia="es-ES"/>
              </w:rPr>
            </w:pPr>
          </w:p>
          <w:p w14:paraId="1ED75CC4" w14:textId="103CC2B5" w:rsidR="00F70C28" w:rsidRDefault="00F70C28" w:rsidP="00C11A2F">
            <w:pPr>
              <w:jc w:val="both"/>
              <w:rPr>
                <w:rFonts w:ascii="Cambria" w:eastAsia="MS Mincho" w:hAnsi="Cambria"/>
                <w:i/>
                <w:color w:val="000000"/>
                <w:sz w:val="20"/>
                <w:szCs w:val="20"/>
                <w:lang w:val="es-ES" w:eastAsia="es-ES"/>
              </w:rPr>
            </w:pPr>
            <w:r w:rsidRPr="00F93C22">
              <w:rPr>
                <w:rFonts w:ascii="Cambria" w:eastAsia="MS Mincho" w:hAnsi="Cambria"/>
                <w:i/>
                <w:color w:val="000000"/>
                <w:sz w:val="20"/>
                <w:szCs w:val="20"/>
                <w:lang w:val="es-ES" w:eastAsia="es-ES"/>
              </w:rPr>
              <w:t>Políticas Públicas</w:t>
            </w:r>
          </w:p>
          <w:p w14:paraId="62B5FC06" w14:textId="77777777" w:rsidR="00464E73" w:rsidRDefault="00464E73" w:rsidP="00C11A2F">
            <w:pPr>
              <w:jc w:val="both"/>
              <w:rPr>
                <w:rFonts w:ascii="Cambria" w:eastAsia="MS Mincho" w:hAnsi="Cambria"/>
                <w:i/>
                <w:color w:val="000000"/>
                <w:sz w:val="20"/>
                <w:szCs w:val="20"/>
                <w:lang w:val="es-ES" w:eastAsia="es-ES"/>
              </w:rPr>
            </w:pPr>
          </w:p>
          <w:p w14:paraId="65C1AA3D" w14:textId="1EE16F65" w:rsidR="00EF2FA4" w:rsidRPr="00EF2FA4" w:rsidRDefault="00F70C28" w:rsidP="00C11A2F">
            <w:pPr>
              <w:pStyle w:val="ListParagraph"/>
              <w:numPr>
                <w:ilvl w:val="0"/>
                <w:numId w:val="9"/>
              </w:numPr>
              <w:jc w:val="both"/>
              <w:rPr>
                <w:rFonts w:ascii="Cambria" w:hAnsi="Cambria" w:cs="Calibri Light"/>
                <w:b/>
                <w:bCs/>
                <w:color w:val="000000"/>
                <w:sz w:val="20"/>
                <w:szCs w:val="20"/>
                <w:lang w:val="es-ES"/>
              </w:rPr>
            </w:pPr>
            <w:r w:rsidRPr="00F93C22">
              <w:rPr>
                <w:rFonts w:ascii="Cambria" w:hAnsi="Cambria"/>
                <w:color w:val="000000" w:themeColor="text1"/>
                <w:sz w:val="20"/>
                <w:szCs w:val="20"/>
                <w:lang w:val="es-ES"/>
              </w:rPr>
              <w:t>Lanzamiento de la campaña “Racismo: si usted no denuncia, qui</w:t>
            </w:r>
            <w:r w:rsidR="000D715D">
              <w:rPr>
                <w:rFonts w:ascii="Cambria" w:hAnsi="Cambria"/>
                <w:color w:val="000000" w:themeColor="text1"/>
                <w:sz w:val="20"/>
                <w:szCs w:val="20"/>
                <w:lang w:val="es-ES"/>
              </w:rPr>
              <w:t>é</w:t>
            </w:r>
            <w:r w:rsidRPr="00F93C22">
              <w:rPr>
                <w:rFonts w:ascii="Cambria" w:hAnsi="Cambria"/>
                <w:color w:val="000000" w:themeColor="text1"/>
                <w:sz w:val="20"/>
                <w:szCs w:val="20"/>
                <w:lang w:val="es-ES"/>
              </w:rPr>
              <w:t xml:space="preserve">n lo hará” por el Gobierno de São Paulo, </w:t>
            </w:r>
            <w:r w:rsidR="000D715D">
              <w:rPr>
                <w:rFonts w:ascii="Cambria" w:hAnsi="Cambria"/>
                <w:color w:val="000000" w:themeColor="text1"/>
                <w:sz w:val="20"/>
                <w:szCs w:val="20"/>
                <w:lang w:val="es-ES"/>
              </w:rPr>
              <w:t xml:space="preserve">llevado a cabo </w:t>
            </w:r>
            <w:r w:rsidRPr="00F93C22">
              <w:rPr>
                <w:rFonts w:ascii="Cambria" w:hAnsi="Cambria"/>
                <w:color w:val="000000" w:themeColor="text1"/>
                <w:sz w:val="20"/>
                <w:szCs w:val="20"/>
                <w:lang w:val="es-ES"/>
              </w:rPr>
              <w:t>el 13 de mayo de 2009</w:t>
            </w:r>
            <w:r w:rsidR="00EF2FA4">
              <w:rPr>
                <w:rFonts w:ascii="Cambria" w:hAnsi="Cambria"/>
                <w:color w:val="000000" w:themeColor="text1"/>
                <w:sz w:val="20"/>
                <w:szCs w:val="20"/>
                <w:lang w:val="es-ES"/>
              </w:rPr>
              <w:t>.</w:t>
            </w:r>
          </w:p>
          <w:p w14:paraId="4D722B39" w14:textId="541D0D62" w:rsidR="00F70C28" w:rsidRPr="00F55362" w:rsidRDefault="00EF2FA4" w:rsidP="00C11A2F">
            <w:pPr>
              <w:pStyle w:val="ListParagraph"/>
              <w:numPr>
                <w:ilvl w:val="0"/>
                <w:numId w:val="9"/>
              </w:numPr>
              <w:jc w:val="both"/>
              <w:rPr>
                <w:rFonts w:ascii="Cambria" w:hAnsi="Cambria" w:cs="Calibri Light"/>
                <w:b/>
                <w:bCs/>
                <w:color w:val="000000"/>
                <w:sz w:val="20"/>
                <w:szCs w:val="20"/>
                <w:lang w:val="es-ES"/>
              </w:rPr>
            </w:pPr>
            <w:r w:rsidRPr="00F55362">
              <w:rPr>
                <w:rFonts w:ascii="Cambria" w:hAnsi="Cambria"/>
                <w:color w:val="000000" w:themeColor="text1"/>
                <w:sz w:val="20"/>
                <w:szCs w:val="20"/>
                <w:lang w:val="es-ES"/>
              </w:rPr>
              <w:t>Lanzamiento de</w:t>
            </w:r>
            <w:r w:rsidR="00F70C28" w:rsidRPr="00F55362">
              <w:rPr>
                <w:rFonts w:ascii="Cambria" w:hAnsi="Cambria"/>
                <w:color w:val="000000" w:themeColor="text1"/>
                <w:sz w:val="20"/>
                <w:szCs w:val="20"/>
                <w:lang w:val="es-ES"/>
              </w:rPr>
              <w:t xml:space="preserve"> 3 campañas publicitarias nacionales promovidas por el Gobierno Federal en 2008. </w:t>
            </w:r>
          </w:p>
          <w:p w14:paraId="65FB6935" w14:textId="2FC310C5" w:rsidR="00F70C28" w:rsidRPr="00F55362" w:rsidRDefault="00F70C28" w:rsidP="00C11A2F">
            <w:pPr>
              <w:numPr>
                <w:ilvl w:val="0"/>
                <w:numId w:val="9"/>
              </w:numPr>
              <w:jc w:val="both"/>
              <w:rPr>
                <w:rFonts w:ascii="Cambria" w:eastAsia="MS Mincho" w:hAnsi="Cambria"/>
                <w:color w:val="000000"/>
                <w:sz w:val="20"/>
                <w:szCs w:val="20"/>
                <w:lang w:val="es-ES" w:eastAsia="es-ES"/>
              </w:rPr>
            </w:pPr>
            <w:r w:rsidRPr="00F55362">
              <w:rPr>
                <w:rFonts w:ascii="Cambria" w:eastAsia="MS Mincho" w:hAnsi="Cambria"/>
                <w:color w:val="000000" w:themeColor="text1"/>
                <w:sz w:val="20"/>
                <w:szCs w:val="20"/>
                <w:lang w:val="es-ES" w:eastAsia="es-ES"/>
              </w:rPr>
              <w:t>Plan de Juventud</w:t>
            </w:r>
            <w:r w:rsidR="00EF2FA4" w:rsidRPr="00F55362">
              <w:rPr>
                <w:rFonts w:ascii="Cambria" w:eastAsia="MS Mincho" w:hAnsi="Cambria"/>
                <w:color w:val="000000" w:themeColor="text1"/>
                <w:sz w:val="20"/>
                <w:szCs w:val="20"/>
                <w:lang w:val="es-ES" w:eastAsia="es-ES"/>
              </w:rPr>
              <w:t xml:space="preserve"> Viva</w:t>
            </w:r>
            <w:r w:rsidR="0004734D">
              <w:rPr>
                <w:rFonts w:ascii="Cambria" w:eastAsia="MS Mincho" w:hAnsi="Cambria"/>
                <w:color w:val="000000" w:themeColor="text1"/>
                <w:sz w:val="20"/>
                <w:szCs w:val="20"/>
                <w:lang w:val="es-ES" w:eastAsia="es-ES"/>
              </w:rPr>
              <w:t xml:space="preserve"> </w:t>
            </w:r>
            <w:r w:rsidR="001A4E90">
              <w:rPr>
                <w:rFonts w:ascii="Cambria" w:eastAsia="MS Mincho" w:hAnsi="Cambria"/>
                <w:color w:val="000000" w:themeColor="text1"/>
                <w:sz w:val="20"/>
                <w:szCs w:val="20"/>
                <w:lang w:val="es-ES" w:eastAsia="es-ES"/>
              </w:rPr>
              <w:t>creado en</w:t>
            </w:r>
            <w:r w:rsidR="00EF2FA4" w:rsidRPr="00F55362">
              <w:rPr>
                <w:rFonts w:ascii="Cambria" w:eastAsia="MS Mincho" w:hAnsi="Cambria"/>
                <w:color w:val="000000" w:themeColor="text1"/>
                <w:sz w:val="20"/>
                <w:szCs w:val="20"/>
                <w:lang w:val="es-ES" w:eastAsia="es-ES"/>
              </w:rPr>
              <w:t xml:space="preserve"> septiembre de 2012.</w:t>
            </w:r>
          </w:p>
          <w:p w14:paraId="1827F07E" w14:textId="05E461AB" w:rsidR="00427193" w:rsidRPr="00F55362" w:rsidRDefault="00427193" w:rsidP="00C11A2F">
            <w:pPr>
              <w:numPr>
                <w:ilvl w:val="0"/>
                <w:numId w:val="9"/>
              </w:numPr>
              <w:jc w:val="both"/>
              <w:rPr>
                <w:rFonts w:ascii="Cambria" w:eastAsia="MS Mincho" w:hAnsi="Cambria"/>
                <w:color w:val="000000"/>
                <w:sz w:val="20"/>
                <w:szCs w:val="20"/>
                <w:lang w:val="es-ES" w:eastAsia="es-ES"/>
              </w:rPr>
            </w:pPr>
            <w:r w:rsidRPr="00F55362">
              <w:rPr>
                <w:rFonts w:ascii="Cambria" w:eastAsia="MS Mincho" w:hAnsi="Cambria"/>
                <w:color w:val="000000"/>
                <w:sz w:val="20"/>
                <w:szCs w:val="20"/>
                <w:lang w:val="es-ES" w:eastAsia="es-ES"/>
              </w:rPr>
              <w:t>Reformulación del P</w:t>
            </w:r>
            <w:r w:rsidR="00F55362" w:rsidRPr="00F55362">
              <w:rPr>
                <w:rFonts w:ascii="Cambria" w:eastAsia="MS Mincho" w:hAnsi="Cambria"/>
                <w:color w:val="000000"/>
                <w:sz w:val="20"/>
                <w:szCs w:val="20"/>
                <w:lang w:val="es-ES" w:eastAsia="es-ES"/>
              </w:rPr>
              <w:t>lan Juventud Negra Viva, en 2023.</w:t>
            </w:r>
          </w:p>
          <w:p w14:paraId="6D0BCBA1" w14:textId="06E709CD" w:rsidR="00F55362" w:rsidRPr="00F55362" w:rsidRDefault="00F55362" w:rsidP="00C11A2F">
            <w:pPr>
              <w:numPr>
                <w:ilvl w:val="0"/>
                <w:numId w:val="9"/>
              </w:numPr>
              <w:jc w:val="both"/>
              <w:rPr>
                <w:rFonts w:ascii="Cambria" w:eastAsia="MS Mincho" w:hAnsi="Cambria"/>
                <w:color w:val="000000"/>
                <w:sz w:val="20"/>
                <w:szCs w:val="20"/>
                <w:lang w:val="es-ES" w:eastAsia="es-ES"/>
              </w:rPr>
            </w:pPr>
            <w:r w:rsidRPr="00F55362">
              <w:rPr>
                <w:rFonts w:ascii="Cambria" w:hAnsi="Cambria"/>
                <w:color w:val="000000" w:themeColor="text1"/>
                <w:sz w:val="20"/>
                <w:szCs w:val="20"/>
                <w:lang w:val="es-ES"/>
              </w:rPr>
              <w:t>Reformulación de la Ley de Cuotas para ingreso en las instituciones federales de educación, en 2023.</w:t>
            </w:r>
          </w:p>
          <w:p w14:paraId="3CF2D8B6" w14:textId="77777777" w:rsidR="00E13C91" w:rsidRPr="00F93C22" w:rsidRDefault="00E13C91" w:rsidP="00C11A2F">
            <w:pPr>
              <w:jc w:val="both"/>
              <w:rPr>
                <w:rFonts w:ascii="Cambria" w:eastAsia="MS Mincho" w:hAnsi="Cambria"/>
                <w:color w:val="000000"/>
                <w:sz w:val="20"/>
                <w:szCs w:val="20"/>
                <w:lang w:val="es-ES" w:eastAsia="es-ES"/>
              </w:rPr>
            </w:pPr>
          </w:p>
          <w:p w14:paraId="2B0AAC75" w14:textId="77777777" w:rsidR="00F70C28" w:rsidRDefault="00E13C91" w:rsidP="00C11A2F">
            <w:pPr>
              <w:jc w:val="both"/>
              <w:rPr>
                <w:rFonts w:ascii="Cambria" w:eastAsia="MS Mincho" w:hAnsi="Cambria"/>
                <w:i/>
                <w:color w:val="000000"/>
                <w:sz w:val="20"/>
                <w:szCs w:val="20"/>
                <w:lang w:val="es-ES" w:eastAsia="es-ES"/>
              </w:rPr>
            </w:pPr>
            <w:r w:rsidRPr="00F93C22">
              <w:rPr>
                <w:rFonts w:ascii="Cambria" w:eastAsia="MS Mincho" w:hAnsi="Cambria"/>
                <w:i/>
                <w:color w:val="000000"/>
                <w:sz w:val="20"/>
                <w:szCs w:val="20"/>
                <w:lang w:val="es-ES" w:eastAsia="es-ES"/>
              </w:rPr>
              <w:t>Fortalecimiento Institucional</w:t>
            </w:r>
          </w:p>
          <w:p w14:paraId="5C01F063" w14:textId="77777777" w:rsidR="00464E73" w:rsidRPr="00F93C22" w:rsidRDefault="00464E73" w:rsidP="00C11A2F">
            <w:pPr>
              <w:jc w:val="both"/>
              <w:rPr>
                <w:rFonts w:ascii="Cambria" w:eastAsia="MS Mincho" w:hAnsi="Cambria"/>
                <w:i/>
                <w:color w:val="000000"/>
                <w:sz w:val="20"/>
                <w:szCs w:val="20"/>
                <w:lang w:val="es-ES" w:eastAsia="es-ES"/>
              </w:rPr>
            </w:pPr>
          </w:p>
          <w:p w14:paraId="07E9CFE3" w14:textId="6EB282C8" w:rsidR="00DD07E8" w:rsidRPr="00F93C22" w:rsidRDefault="00DD07E8" w:rsidP="00C11A2F">
            <w:pPr>
              <w:pStyle w:val="ListParagraph"/>
              <w:numPr>
                <w:ilvl w:val="0"/>
                <w:numId w:val="9"/>
              </w:numPr>
              <w:jc w:val="both"/>
              <w:rPr>
                <w:rFonts w:ascii="Cambria" w:hAnsi="Cambria"/>
                <w:sz w:val="20"/>
                <w:lang w:val="es-ES"/>
              </w:rPr>
            </w:pPr>
            <w:r w:rsidRPr="00F93C22">
              <w:rPr>
                <w:rFonts w:ascii="Cambria" w:hAnsi="Cambria"/>
                <w:sz w:val="20"/>
                <w:lang w:val="es-ES"/>
              </w:rPr>
              <w:t>Creación de la Secretaría de Políticas de Promoción de la Igualdad Racial de la Presidencia de la República en 2003</w:t>
            </w:r>
            <w:r w:rsidR="00EF2FA4">
              <w:rPr>
                <w:rFonts w:ascii="Cambria" w:hAnsi="Cambria"/>
                <w:sz w:val="20"/>
                <w:lang w:val="es-ES"/>
              </w:rPr>
              <w:t>.</w:t>
            </w:r>
          </w:p>
          <w:p w14:paraId="391D8AA4" w14:textId="6A2E7AAA" w:rsidR="00DD07E8" w:rsidRPr="00F93C22" w:rsidRDefault="00DD07E8" w:rsidP="00C11A2F">
            <w:pPr>
              <w:pStyle w:val="ListParagraph"/>
              <w:numPr>
                <w:ilvl w:val="0"/>
                <w:numId w:val="9"/>
              </w:numPr>
              <w:rPr>
                <w:rFonts w:ascii="Cambria" w:hAnsi="Cambria"/>
                <w:sz w:val="20"/>
                <w:lang w:val="es-ES"/>
              </w:rPr>
            </w:pPr>
            <w:r w:rsidRPr="00F93C22">
              <w:rPr>
                <w:rFonts w:ascii="Cambria" w:hAnsi="Cambria"/>
                <w:sz w:val="20"/>
                <w:lang w:val="es-ES"/>
              </w:rPr>
              <w:lastRenderedPageBreak/>
              <w:t>Creación del Consejo Nacional de Promoción de la Igualdad Racial (CNPIR) en el Ejecutivo Federal, por el Decreto Nº 6.509</w:t>
            </w:r>
            <w:r w:rsidR="003952C2">
              <w:rPr>
                <w:rFonts w:ascii="Cambria" w:hAnsi="Cambria"/>
                <w:sz w:val="20"/>
                <w:lang w:val="es-ES"/>
              </w:rPr>
              <w:t xml:space="preserve"> de </w:t>
            </w:r>
            <w:r w:rsidRPr="00F93C22">
              <w:rPr>
                <w:rFonts w:ascii="Cambria" w:hAnsi="Cambria"/>
                <w:sz w:val="20"/>
                <w:lang w:val="es-ES"/>
              </w:rPr>
              <w:t xml:space="preserve">2008. </w:t>
            </w:r>
          </w:p>
          <w:p w14:paraId="75D7F1FC" w14:textId="1C8D005C" w:rsidR="00DD07E8" w:rsidRPr="00F93C22" w:rsidRDefault="00DD07E8" w:rsidP="00C11A2F">
            <w:pPr>
              <w:pStyle w:val="ListParagraph"/>
              <w:numPr>
                <w:ilvl w:val="0"/>
                <w:numId w:val="9"/>
              </w:numPr>
              <w:jc w:val="both"/>
              <w:rPr>
                <w:rFonts w:ascii="Cambria" w:hAnsi="Cambria"/>
                <w:sz w:val="20"/>
                <w:lang w:val="es-ES"/>
              </w:rPr>
            </w:pPr>
            <w:r w:rsidRPr="00F93C22">
              <w:rPr>
                <w:rFonts w:ascii="Cambria" w:hAnsi="Cambria"/>
                <w:sz w:val="20"/>
                <w:lang w:val="es-ES"/>
              </w:rPr>
              <w:t>Grupo Especial de Combate contra los Delitos Raciales y la Intolerancia (GECRADI)</w:t>
            </w:r>
            <w:r w:rsidR="00991CF2">
              <w:rPr>
                <w:rFonts w:ascii="Cambria" w:hAnsi="Cambria"/>
                <w:sz w:val="20"/>
                <w:lang w:val="es-ES"/>
              </w:rPr>
              <w:t>.</w:t>
            </w:r>
          </w:p>
          <w:p w14:paraId="022EB747" w14:textId="5C046331" w:rsidR="009C28DC" w:rsidRPr="00991CF2" w:rsidRDefault="00991CF2" w:rsidP="00C11A2F">
            <w:pPr>
              <w:pStyle w:val="ListParagraph"/>
              <w:numPr>
                <w:ilvl w:val="0"/>
                <w:numId w:val="9"/>
              </w:numPr>
              <w:jc w:val="both"/>
              <w:rPr>
                <w:rFonts w:ascii="Cambria" w:hAnsi="Cambria"/>
                <w:color w:val="000000" w:themeColor="text1"/>
                <w:sz w:val="20"/>
                <w:lang w:val="es-ES"/>
              </w:rPr>
            </w:pPr>
            <w:r>
              <w:rPr>
                <w:rFonts w:ascii="Cambria" w:hAnsi="Cambria"/>
                <w:sz w:val="20"/>
                <w:lang w:val="es-ES"/>
              </w:rPr>
              <w:t>S</w:t>
            </w:r>
            <w:r w:rsidR="00DD07E8" w:rsidRPr="00F93C22">
              <w:rPr>
                <w:rFonts w:ascii="Cambria" w:hAnsi="Cambria"/>
                <w:sz w:val="20"/>
                <w:lang w:val="es-ES"/>
              </w:rPr>
              <w:t xml:space="preserve">eminarios nacionales con representantes de otros poderes, ramas del Ministerio Público brasileño, Seguridad Pública, Universidades, Movimientos Sociales: i) </w:t>
            </w:r>
            <w:r w:rsidR="003952C2">
              <w:rPr>
                <w:rFonts w:ascii="Cambria" w:hAnsi="Cambria"/>
                <w:sz w:val="20"/>
                <w:lang w:val="es-ES"/>
              </w:rPr>
              <w:t>“</w:t>
            </w:r>
            <w:r w:rsidR="00DD07E8" w:rsidRPr="00F93C22">
              <w:rPr>
                <w:rFonts w:ascii="Cambria" w:hAnsi="Cambria"/>
                <w:sz w:val="20"/>
                <w:lang w:val="es-ES"/>
              </w:rPr>
              <w:t xml:space="preserve">Políticas de acción afirmativa étnico-racial en los concursos para miembros y servidores del Ministerio Público Brasileño: el papel de la CNMP”, el 16 de septiembre de 2014 en Brasilia; ii) “Reducir las barreras de acceso a la justicia para los jóvenes negros en una situación de violencia”, el 17 de septiembre de 2014 en Brasilia; iii) Audiencia pública sobre las medidas aplicables relacionadas con las muertes de jóvenes afrodescendientes, en mayo 2006, en el </w:t>
            </w:r>
            <w:r w:rsidR="00D85FA5">
              <w:rPr>
                <w:rFonts w:ascii="Cambria" w:hAnsi="Cambria"/>
                <w:sz w:val="20"/>
                <w:lang w:val="es-ES"/>
              </w:rPr>
              <w:t>E</w:t>
            </w:r>
            <w:r w:rsidR="00DD07E8" w:rsidRPr="00F93C22">
              <w:rPr>
                <w:rFonts w:ascii="Cambria" w:hAnsi="Cambria"/>
                <w:sz w:val="20"/>
                <w:lang w:val="es-ES"/>
              </w:rPr>
              <w:t>stado de São Paulo, un hecho conocido como la "Masacre de mayo de 2006”</w:t>
            </w:r>
            <w:r w:rsidR="00D85FA5">
              <w:rPr>
                <w:rFonts w:ascii="Cambria" w:hAnsi="Cambria"/>
                <w:sz w:val="20"/>
                <w:lang w:val="es-ES"/>
              </w:rPr>
              <w:t>;</w:t>
            </w:r>
            <w:r w:rsidR="00DD07E8" w:rsidRPr="00F93C22">
              <w:rPr>
                <w:rFonts w:ascii="Cambria" w:hAnsi="Cambria"/>
                <w:sz w:val="20"/>
                <w:lang w:val="es-ES"/>
              </w:rPr>
              <w:t xml:space="preserve"> iv) “El papel de la CNMP y el MP de Brasil en la defensa de los derechos de los pueblos gitanos”, el 30 de julio de 2015 en Brasilia; v) “Fraudes en los sistemas de cuotas y en los mecanismos de </w:t>
            </w:r>
            <w:r w:rsidR="00DD07E8" w:rsidRPr="00991CF2">
              <w:rPr>
                <w:rFonts w:ascii="Cambria" w:hAnsi="Cambria"/>
                <w:color w:val="000000" w:themeColor="text1"/>
                <w:sz w:val="20"/>
                <w:lang w:val="es-ES"/>
              </w:rPr>
              <w:t>inspección”, el 3 de noviembre de 2015 en Brasilia.</w:t>
            </w:r>
          </w:p>
          <w:p w14:paraId="57F176F0" w14:textId="68AB6304" w:rsidR="009C1695" w:rsidRPr="00557888" w:rsidRDefault="009C1695" w:rsidP="00C11A2F">
            <w:pPr>
              <w:pStyle w:val="ListParagraph"/>
              <w:numPr>
                <w:ilvl w:val="0"/>
                <w:numId w:val="9"/>
              </w:numPr>
              <w:jc w:val="both"/>
              <w:rPr>
                <w:rFonts w:ascii="Cambria" w:eastAsia="MS Mincho" w:hAnsi="Cambria"/>
                <w:color w:val="000000" w:themeColor="text1"/>
                <w:sz w:val="20"/>
                <w:szCs w:val="20"/>
                <w:lang w:val="pt-BR" w:eastAsia="es-ES"/>
              </w:rPr>
            </w:pPr>
            <w:r w:rsidRPr="00557888">
              <w:rPr>
                <w:rFonts w:ascii="Cambria" w:hAnsi="Cambria" w:cs="Calibri Light"/>
                <w:color w:val="000000" w:themeColor="text1"/>
                <w:sz w:val="20"/>
                <w:szCs w:val="20"/>
                <w:lang w:val="pt-BR"/>
              </w:rPr>
              <w:t xml:space="preserve">13 </w:t>
            </w:r>
            <w:r w:rsidR="00D85FA5">
              <w:rPr>
                <w:rFonts w:ascii="Cambria" w:hAnsi="Cambria" w:cs="Calibri Light"/>
                <w:color w:val="000000" w:themeColor="text1"/>
                <w:sz w:val="20"/>
                <w:szCs w:val="20"/>
                <w:lang w:val="pt-BR"/>
              </w:rPr>
              <w:t>C</w:t>
            </w:r>
            <w:r w:rsidRPr="00557888">
              <w:rPr>
                <w:rFonts w:ascii="Cambria" w:hAnsi="Cambria" w:cs="Calibri Light"/>
                <w:color w:val="000000" w:themeColor="text1"/>
                <w:sz w:val="20"/>
                <w:szCs w:val="20"/>
                <w:lang w:val="pt-BR"/>
              </w:rPr>
              <w:t xml:space="preserve">omisarías de </w:t>
            </w:r>
            <w:r w:rsidR="00D85FA5">
              <w:rPr>
                <w:rFonts w:ascii="Cambria" w:hAnsi="Cambria" w:cs="Calibri Light"/>
                <w:color w:val="000000" w:themeColor="text1"/>
                <w:sz w:val="20"/>
                <w:szCs w:val="20"/>
                <w:lang w:val="pt-BR"/>
              </w:rPr>
              <w:t>P</w:t>
            </w:r>
            <w:r w:rsidRPr="00557888">
              <w:rPr>
                <w:rFonts w:ascii="Cambria" w:hAnsi="Cambria" w:cs="Calibri Light"/>
                <w:color w:val="000000" w:themeColor="text1"/>
                <w:sz w:val="20"/>
                <w:szCs w:val="20"/>
                <w:lang w:val="pt-BR"/>
              </w:rPr>
              <w:t xml:space="preserve">olicía </w:t>
            </w:r>
            <w:r w:rsidR="00D85FA5">
              <w:rPr>
                <w:rFonts w:ascii="Cambria" w:hAnsi="Cambria" w:cs="Calibri Light"/>
                <w:color w:val="000000" w:themeColor="text1"/>
                <w:sz w:val="20"/>
                <w:szCs w:val="20"/>
                <w:lang w:val="pt-BR"/>
              </w:rPr>
              <w:t>E</w:t>
            </w:r>
            <w:r w:rsidRPr="00557888">
              <w:rPr>
                <w:rFonts w:ascii="Cambria" w:hAnsi="Cambria" w:cs="Calibri Light"/>
                <w:color w:val="000000" w:themeColor="text1"/>
                <w:sz w:val="20"/>
                <w:szCs w:val="20"/>
                <w:lang w:val="pt-BR"/>
              </w:rPr>
              <w:t xml:space="preserve">specializadas: 12 para los estados de Alagoas, </w:t>
            </w:r>
            <w:r w:rsidRPr="00557888">
              <w:rPr>
                <w:rFonts w:ascii="Cambria" w:hAnsi="Cambria"/>
                <w:color w:val="000000" w:themeColor="text1"/>
                <w:sz w:val="20"/>
                <w:szCs w:val="20"/>
                <w:lang w:val="pt-BR"/>
              </w:rPr>
              <w:t>Maranhão</w:t>
            </w:r>
            <w:r w:rsidRPr="00557888">
              <w:rPr>
                <w:rFonts w:ascii="Cambria" w:hAnsi="Cambria" w:cs="Calibri Light"/>
                <w:color w:val="000000" w:themeColor="text1"/>
                <w:sz w:val="20"/>
                <w:szCs w:val="20"/>
                <w:lang w:val="pt-BR"/>
              </w:rPr>
              <w:t xml:space="preserve">, </w:t>
            </w:r>
            <w:r w:rsidRPr="00557888">
              <w:rPr>
                <w:rFonts w:ascii="Cambria" w:hAnsi="Cambria"/>
                <w:color w:val="000000" w:themeColor="text1"/>
                <w:sz w:val="20"/>
                <w:szCs w:val="20"/>
                <w:lang w:val="pt-BR"/>
              </w:rPr>
              <w:t>Minas Gerais</w:t>
            </w:r>
            <w:r w:rsidRPr="00557888">
              <w:rPr>
                <w:rFonts w:ascii="Cambria" w:hAnsi="Cambria" w:cs="Calibri Light"/>
                <w:color w:val="000000" w:themeColor="text1"/>
                <w:sz w:val="20"/>
                <w:szCs w:val="20"/>
                <w:lang w:val="pt-BR"/>
              </w:rPr>
              <w:t xml:space="preserve">, Pará, Paraíba, Paraná, Piauí, Rio de Janeiro, Rio Grande do Sul, Sergipe y </w:t>
            </w:r>
            <w:r w:rsidRPr="00557888">
              <w:rPr>
                <w:rFonts w:ascii="Cambria" w:hAnsi="Cambria"/>
                <w:color w:val="000000" w:themeColor="text1"/>
                <w:sz w:val="20"/>
                <w:szCs w:val="20"/>
                <w:lang w:val="pt-BR"/>
              </w:rPr>
              <w:t>São Paulo</w:t>
            </w:r>
            <w:r w:rsidRPr="00557888">
              <w:rPr>
                <w:rFonts w:ascii="Cambria" w:hAnsi="Cambria" w:cs="Calibri Light"/>
                <w:color w:val="000000" w:themeColor="text1"/>
                <w:sz w:val="20"/>
                <w:szCs w:val="20"/>
                <w:lang w:val="pt-BR"/>
              </w:rPr>
              <w:t xml:space="preserve"> (1 por estado) y 1 para el Distrito Federal.</w:t>
            </w:r>
          </w:p>
          <w:p w14:paraId="03C4A5E1" w14:textId="000D2639" w:rsidR="009C1695" w:rsidRPr="00991CF2" w:rsidRDefault="009C1695" w:rsidP="00C11A2F">
            <w:pPr>
              <w:pStyle w:val="ListParagraph"/>
              <w:numPr>
                <w:ilvl w:val="0"/>
                <w:numId w:val="9"/>
              </w:numPr>
              <w:jc w:val="both"/>
              <w:rPr>
                <w:rFonts w:ascii="Cambria" w:eastAsia="MS Mincho" w:hAnsi="Cambria"/>
                <w:color w:val="000000" w:themeColor="text1"/>
                <w:sz w:val="20"/>
                <w:szCs w:val="20"/>
                <w:lang w:val="es-ES" w:eastAsia="es-ES"/>
              </w:rPr>
            </w:pPr>
            <w:r w:rsidRPr="00991CF2">
              <w:rPr>
                <w:rFonts w:ascii="Cambria" w:hAnsi="Cambria"/>
                <w:color w:val="000000" w:themeColor="text1"/>
                <w:sz w:val="20"/>
                <w:szCs w:val="20"/>
                <w:lang w:val="es-ES"/>
              </w:rPr>
              <w:t xml:space="preserve">23 Procuradurías de Justicia Especializadas en distintos municipios de </w:t>
            </w:r>
            <w:r w:rsidRPr="00D85FA5">
              <w:rPr>
                <w:rFonts w:ascii="Cambria" w:hAnsi="Cambria"/>
                <w:color w:val="000000" w:themeColor="text1"/>
                <w:sz w:val="20"/>
                <w:szCs w:val="20"/>
                <w:shd w:val="clear" w:color="auto" w:fill="F2F2F2" w:themeFill="background1" w:themeFillShade="F2"/>
                <w:lang w:val="es-ES"/>
              </w:rPr>
              <w:t xml:space="preserve">Rondônia </w:t>
            </w:r>
            <w:r w:rsidRPr="00991CF2">
              <w:rPr>
                <w:rFonts w:ascii="Cambria" w:hAnsi="Cambria"/>
                <w:color w:val="000000" w:themeColor="text1"/>
                <w:sz w:val="20"/>
                <w:szCs w:val="20"/>
                <w:lang w:val="es-ES"/>
              </w:rPr>
              <w:t>y Procuradurías Especializadas en la lucha contra el delito de racismo e intolerancia religiosa en Santa Catarina.</w:t>
            </w:r>
          </w:p>
          <w:p w14:paraId="7A395B56" w14:textId="7BE722D3" w:rsidR="00CA0909" w:rsidRPr="00991CF2" w:rsidRDefault="00123621" w:rsidP="00C11A2F">
            <w:pPr>
              <w:pStyle w:val="ListParagraph"/>
              <w:numPr>
                <w:ilvl w:val="0"/>
                <w:numId w:val="9"/>
              </w:numPr>
              <w:jc w:val="both"/>
              <w:rPr>
                <w:rFonts w:ascii="Cambria" w:eastAsia="MS Mincho" w:hAnsi="Cambria"/>
                <w:color w:val="000000" w:themeColor="text1"/>
                <w:sz w:val="20"/>
                <w:szCs w:val="20"/>
                <w:lang w:val="es-ES" w:eastAsia="es-ES"/>
              </w:rPr>
            </w:pPr>
            <w:r w:rsidRPr="00991CF2">
              <w:rPr>
                <w:rFonts w:ascii="Cambria" w:eastAsia="MS Mincho" w:hAnsi="Cambria"/>
                <w:color w:val="000000" w:themeColor="text1"/>
                <w:sz w:val="20"/>
                <w:szCs w:val="20"/>
                <w:lang w:val="es-ES" w:eastAsia="es-ES"/>
              </w:rPr>
              <w:t xml:space="preserve">Restablecimiento del Ministerio de Igualdad Racial (MIR) mediante el Decreto </w:t>
            </w:r>
            <w:r w:rsidR="005D535E">
              <w:rPr>
                <w:rFonts w:ascii="Cambria" w:eastAsia="MS Mincho" w:hAnsi="Cambria"/>
                <w:color w:val="000000" w:themeColor="text1"/>
                <w:sz w:val="20"/>
                <w:szCs w:val="20"/>
                <w:lang w:val="es-ES" w:eastAsia="es-ES"/>
              </w:rPr>
              <w:t>N</w:t>
            </w:r>
            <w:r w:rsidRPr="00991CF2">
              <w:rPr>
                <w:rFonts w:ascii="Cambria" w:eastAsia="MS Mincho" w:hAnsi="Cambria"/>
                <w:color w:val="000000" w:themeColor="text1"/>
                <w:sz w:val="20"/>
                <w:szCs w:val="20"/>
                <w:lang w:val="es-ES" w:eastAsia="es-ES"/>
              </w:rPr>
              <w:t>º 11.346</w:t>
            </w:r>
            <w:r w:rsidR="005D535E">
              <w:rPr>
                <w:rFonts w:ascii="Cambria" w:eastAsia="MS Mincho" w:hAnsi="Cambria"/>
                <w:color w:val="000000" w:themeColor="text1"/>
                <w:sz w:val="20"/>
                <w:szCs w:val="20"/>
                <w:lang w:val="es-ES" w:eastAsia="es-ES"/>
              </w:rPr>
              <w:t xml:space="preserve"> de </w:t>
            </w:r>
            <w:r w:rsidRPr="00991CF2">
              <w:rPr>
                <w:rFonts w:ascii="Cambria" w:eastAsia="MS Mincho" w:hAnsi="Cambria"/>
                <w:color w:val="000000" w:themeColor="text1"/>
                <w:sz w:val="20"/>
                <w:szCs w:val="20"/>
                <w:lang w:val="es-ES" w:eastAsia="es-ES"/>
              </w:rPr>
              <w:t>enero de 2023.</w:t>
            </w:r>
            <w:r w:rsidR="00CA0909" w:rsidRPr="00991CF2">
              <w:rPr>
                <w:rFonts w:ascii="Cambria" w:eastAsia="MS Mincho" w:hAnsi="Cambria"/>
                <w:color w:val="000000" w:themeColor="text1"/>
                <w:sz w:val="20"/>
                <w:szCs w:val="20"/>
                <w:lang w:val="es-ES" w:eastAsia="es-ES"/>
              </w:rPr>
              <w:t>Investigación sobre Hombres y Mujeres Negros en la Judicatura realizada por el CNJ (2021), y del Informe de Actividades sobre Igualdad Racial en la Judicatura en el CNJ (2020).</w:t>
            </w:r>
          </w:p>
          <w:p w14:paraId="0796343F" w14:textId="26C8C1F2" w:rsidR="00CA0909" w:rsidRPr="00991CF2" w:rsidRDefault="00991CF2" w:rsidP="00C11A2F">
            <w:pPr>
              <w:pStyle w:val="ListParagraph"/>
              <w:numPr>
                <w:ilvl w:val="0"/>
                <w:numId w:val="9"/>
              </w:numPr>
              <w:jc w:val="both"/>
              <w:rPr>
                <w:rFonts w:ascii="Cambria" w:eastAsia="MS Mincho" w:hAnsi="Cambria"/>
                <w:color w:val="000000" w:themeColor="text1"/>
                <w:sz w:val="20"/>
                <w:szCs w:val="20"/>
                <w:lang w:val="es-ES" w:eastAsia="es-ES"/>
              </w:rPr>
            </w:pPr>
            <w:r w:rsidRPr="00991CF2">
              <w:rPr>
                <w:rFonts w:ascii="Cambria" w:eastAsia="MS Mincho" w:hAnsi="Cambria"/>
                <w:color w:val="000000" w:themeColor="text1"/>
                <w:sz w:val="20"/>
                <w:szCs w:val="20"/>
                <w:lang w:val="es-ES" w:eastAsia="es-ES"/>
              </w:rPr>
              <w:t>C</w:t>
            </w:r>
            <w:r w:rsidR="00CA0909" w:rsidRPr="00991CF2">
              <w:rPr>
                <w:rFonts w:ascii="Cambria" w:eastAsia="MS Mincho" w:hAnsi="Cambria"/>
                <w:color w:val="000000" w:themeColor="text1"/>
                <w:sz w:val="20"/>
                <w:szCs w:val="20"/>
                <w:lang w:val="es-ES" w:eastAsia="es-ES"/>
              </w:rPr>
              <w:t xml:space="preserve">olección </w:t>
            </w:r>
            <w:r w:rsidR="00CA0909" w:rsidRPr="005D535E">
              <w:rPr>
                <w:rFonts w:ascii="Cambria" w:eastAsia="MS Mincho" w:hAnsi="Cambria"/>
                <w:i/>
                <w:iCs/>
                <w:color w:val="000000" w:themeColor="text1"/>
                <w:sz w:val="20"/>
                <w:szCs w:val="20"/>
                <w:lang w:val="es-ES" w:eastAsia="es-ES"/>
              </w:rPr>
              <w:t>Pensando o Direito</w:t>
            </w:r>
            <w:r w:rsidR="00CA0909" w:rsidRPr="00991CF2">
              <w:rPr>
                <w:rFonts w:ascii="Cambria" w:eastAsia="MS Mincho" w:hAnsi="Cambria"/>
                <w:color w:val="000000" w:themeColor="text1"/>
                <w:sz w:val="20"/>
                <w:szCs w:val="20"/>
                <w:lang w:val="es-ES" w:eastAsia="es-ES"/>
              </w:rPr>
              <w:t xml:space="preserve"> (Pensando el Derecho) en el sitio web pensando.mj.gov.br </w:t>
            </w:r>
            <w:r w:rsidR="005D535E">
              <w:rPr>
                <w:rFonts w:ascii="Cambria" w:eastAsia="MS Mincho" w:hAnsi="Cambria"/>
                <w:color w:val="000000" w:themeColor="text1"/>
                <w:sz w:val="20"/>
                <w:szCs w:val="20"/>
                <w:lang w:val="es-ES" w:eastAsia="es-ES"/>
              </w:rPr>
              <w:t xml:space="preserve">de la </w:t>
            </w:r>
            <w:r w:rsidR="00CA0909" w:rsidRPr="00991CF2">
              <w:rPr>
                <w:rFonts w:ascii="Cambria" w:eastAsia="MS Mincho" w:hAnsi="Cambria"/>
                <w:color w:val="000000" w:themeColor="text1"/>
                <w:sz w:val="20"/>
                <w:szCs w:val="20"/>
                <w:lang w:val="es-ES" w:eastAsia="es-ES"/>
              </w:rPr>
              <w:t xml:space="preserve">Secretaría Nacional de Justicia </w:t>
            </w:r>
            <w:r w:rsidRPr="00991CF2">
              <w:rPr>
                <w:rFonts w:ascii="Cambria" w:eastAsia="MS Mincho" w:hAnsi="Cambria"/>
                <w:color w:val="000000" w:themeColor="text1"/>
                <w:sz w:val="20"/>
                <w:szCs w:val="20"/>
                <w:lang w:val="es-ES" w:eastAsia="es-ES"/>
              </w:rPr>
              <w:t>–</w:t>
            </w:r>
            <w:r w:rsidR="00CA0909" w:rsidRPr="00991CF2">
              <w:rPr>
                <w:rFonts w:ascii="Cambria" w:eastAsia="MS Mincho" w:hAnsi="Cambria"/>
                <w:color w:val="000000" w:themeColor="text1"/>
                <w:sz w:val="20"/>
                <w:szCs w:val="20"/>
                <w:lang w:val="es-ES" w:eastAsia="es-ES"/>
              </w:rPr>
              <w:t xml:space="preserve"> SENAJUS</w:t>
            </w:r>
            <w:r w:rsidRPr="00991CF2">
              <w:rPr>
                <w:rFonts w:ascii="Cambria" w:eastAsia="MS Mincho" w:hAnsi="Cambria"/>
                <w:color w:val="000000" w:themeColor="text1"/>
                <w:sz w:val="20"/>
                <w:szCs w:val="20"/>
                <w:lang w:val="es-ES" w:eastAsia="es-ES"/>
              </w:rPr>
              <w:t>.</w:t>
            </w:r>
          </w:p>
          <w:p w14:paraId="7BA0F990" w14:textId="496BCE9E" w:rsidR="00F93C22" w:rsidRPr="00991CF2" w:rsidRDefault="00CA0909" w:rsidP="00C11A2F">
            <w:pPr>
              <w:pStyle w:val="ListParagraph"/>
              <w:numPr>
                <w:ilvl w:val="0"/>
                <w:numId w:val="9"/>
              </w:numPr>
              <w:jc w:val="both"/>
              <w:rPr>
                <w:rFonts w:ascii="Cambria" w:eastAsia="Times New Roman" w:hAnsi="Cambria"/>
                <w:color w:val="000000" w:themeColor="text1"/>
                <w:sz w:val="20"/>
                <w:szCs w:val="20"/>
                <w:lang w:val="es-ES" w:eastAsia="pt-BR"/>
              </w:rPr>
            </w:pPr>
            <w:r w:rsidRPr="00991CF2">
              <w:rPr>
                <w:rFonts w:ascii="Cambria" w:eastAsia="MS Mincho" w:hAnsi="Cambria"/>
                <w:color w:val="000000" w:themeColor="text1"/>
                <w:sz w:val="20"/>
                <w:szCs w:val="20"/>
                <w:lang w:val="es-ES" w:eastAsia="es-ES"/>
              </w:rPr>
              <w:t>Término de Ejecución Descentralizada (TED) 01/2022 con el Instituto de Investigación Económica Aplicada (IPEA)</w:t>
            </w:r>
            <w:r w:rsidR="00991CF2" w:rsidRPr="00991CF2">
              <w:rPr>
                <w:rFonts w:ascii="Cambria" w:eastAsia="MS Mincho" w:hAnsi="Cambria"/>
                <w:color w:val="000000" w:themeColor="text1"/>
                <w:sz w:val="20"/>
                <w:szCs w:val="20"/>
                <w:lang w:val="es-ES" w:eastAsia="es-ES"/>
              </w:rPr>
              <w:t>.</w:t>
            </w:r>
          </w:p>
          <w:p w14:paraId="1ED2D3F5" w14:textId="02421D63" w:rsidR="00427193" w:rsidRDefault="00F93C22" w:rsidP="00427193">
            <w:pPr>
              <w:pStyle w:val="ListParagraph"/>
              <w:numPr>
                <w:ilvl w:val="0"/>
                <w:numId w:val="9"/>
              </w:numPr>
              <w:jc w:val="both"/>
              <w:rPr>
                <w:rFonts w:ascii="Cambria" w:eastAsia="MS Mincho" w:hAnsi="Cambria"/>
                <w:color w:val="000000" w:themeColor="text1"/>
                <w:sz w:val="20"/>
                <w:szCs w:val="20"/>
                <w:lang w:val="es-ES" w:eastAsia="es-ES"/>
              </w:rPr>
            </w:pPr>
            <w:r w:rsidRPr="00991CF2">
              <w:rPr>
                <w:rFonts w:ascii="Cambria" w:eastAsia="MS Mincho" w:hAnsi="Cambria"/>
                <w:color w:val="000000" w:themeColor="text1"/>
                <w:sz w:val="20"/>
                <w:szCs w:val="20"/>
                <w:lang w:val="es-ES" w:eastAsia="es-ES"/>
              </w:rPr>
              <w:t>Seminario Nacional Simone André Diniz: Justicia, Seguridad Pública y Antirracismo</w:t>
            </w:r>
            <w:r w:rsidR="008D7C45">
              <w:rPr>
                <w:rFonts w:ascii="Cambria" w:eastAsia="MS Mincho" w:hAnsi="Cambria"/>
                <w:color w:val="000000" w:themeColor="text1"/>
                <w:sz w:val="20"/>
                <w:szCs w:val="20"/>
                <w:lang w:val="es-ES" w:eastAsia="es-ES"/>
              </w:rPr>
              <w:t xml:space="preserve"> llevado a cabo</w:t>
            </w:r>
            <w:r w:rsidRPr="00991CF2">
              <w:rPr>
                <w:rFonts w:ascii="Cambria" w:eastAsia="MS Mincho" w:hAnsi="Cambria"/>
                <w:color w:val="000000" w:themeColor="text1"/>
                <w:sz w:val="20"/>
                <w:szCs w:val="20"/>
                <w:lang w:val="es-ES" w:eastAsia="es-ES"/>
              </w:rPr>
              <w:t xml:space="preserve"> los días 17 y 18 de noviembre de 2022 en Brasilia.</w:t>
            </w:r>
          </w:p>
          <w:p w14:paraId="1FC39945" w14:textId="5337CD7B" w:rsidR="008F016C" w:rsidRPr="00427193" w:rsidRDefault="008F016C" w:rsidP="008F016C">
            <w:pPr>
              <w:pStyle w:val="ListParagraph"/>
              <w:ind w:left="360"/>
              <w:jc w:val="both"/>
              <w:rPr>
                <w:rFonts w:ascii="Cambria" w:eastAsia="MS Mincho" w:hAnsi="Cambria"/>
                <w:color w:val="000000" w:themeColor="text1"/>
                <w:sz w:val="20"/>
                <w:szCs w:val="20"/>
                <w:lang w:val="es-ES" w:eastAsia="es-ES"/>
              </w:rPr>
            </w:pPr>
          </w:p>
        </w:tc>
      </w:tr>
    </w:tbl>
    <w:p w14:paraId="0562CB0E" w14:textId="77777777" w:rsidR="009C28DC" w:rsidRPr="006D195A" w:rsidRDefault="009C28DC" w:rsidP="00C11A2F">
      <w:pPr>
        <w:spacing w:after="0" w:line="240" w:lineRule="auto"/>
        <w:jc w:val="both"/>
        <w:rPr>
          <w:rFonts w:ascii="Cambria" w:hAnsi="Cambria"/>
          <w:b/>
          <w:sz w:val="20"/>
          <w:lang w:val="es-US"/>
        </w:rPr>
      </w:pPr>
    </w:p>
    <w:p w14:paraId="34CE0A41" w14:textId="7BB310E0" w:rsidR="00D2337E" w:rsidRPr="004C458A" w:rsidRDefault="009C28DC" w:rsidP="00C11A2F">
      <w:pPr>
        <w:pStyle w:val="ListParagraph"/>
        <w:numPr>
          <w:ilvl w:val="0"/>
          <w:numId w:val="1"/>
        </w:numPr>
        <w:spacing w:after="0" w:line="240" w:lineRule="auto"/>
        <w:jc w:val="both"/>
        <w:rPr>
          <w:rFonts w:ascii="Cambria" w:hAnsi="Cambria"/>
          <w:sz w:val="20"/>
          <w:lang w:val="es-ES"/>
        </w:rPr>
      </w:pPr>
      <w:r w:rsidRPr="004C458A">
        <w:rPr>
          <w:noProof/>
          <w:lang w:val="es-ES" w:eastAsia="es-CO"/>
        </w:rPr>
        <w:drawing>
          <wp:anchor distT="0" distB="0" distL="114300" distR="114300" simplePos="0" relativeHeight="251658240" behindDoc="1" locked="0" layoutInCell="1" allowOverlap="1" wp14:anchorId="1F201FE2" wp14:editId="24A24465">
            <wp:simplePos x="0" y="0"/>
            <wp:positionH relativeFrom="margin">
              <wp:align>right</wp:align>
            </wp:positionH>
            <wp:positionV relativeFrom="paragraph">
              <wp:posOffset>295910</wp:posOffset>
            </wp:positionV>
            <wp:extent cx="6108700" cy="1836420"/>
            <wp:effectExtent l="0" t="0" r="6350" b="11430"/>
            <wp:wrapTopAndBottom/>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4C458A">
        <w:rPr>
          <w:rFonts w:ascii="Cambria" w:hAnsi="Cambria"/>
          <w:b/>
          <w:sz w:val="20"/>
          <w:lang w:val="es-ES"/>
        </w:rPr>
        <w:t>Estado general de cumplimiento de las recomendacione</w:t>
      </w:r>
      <w:r w:rsidR="004C458A" w:rsidRPr="004C458A">
        <w:rPr>
          <w:rFonts w:ascii="Cambria" w:hAnsi="Cambria"/>
          <w:b/>
          <w:sz w:val="20"/>
          <w:lang w:val="es-ES"/>
        </w:rPr>
        <w:t>s</w:t>
      </w:r>
    </w:p>
    <w:p w14:paraId="57A81422" w14:textId="77777777" w:rsidR="00310516" w:rsidRPr="00310516" w:rsidRDefault="00310516" w:rsidP="00310516">
      <w:pPr>
        <w:pStyle w:val="ListParagraph"/>
        <w:spacing w:after="0" w:line="240" w:lineRule="auto"/>
        <w:ind w:left="360"/>
        <w:jc w:val="both"/>
        <w:rPr>
          <w:rFonts w:ascii="Cambria" w:hAnsi="Cambria"/>
          <w:sz w:val="20"/>
          <w:lang w:val="es-ES"/>
        </w:rPr>
      </w:pPr>
    </w:p>
    <w:p w14:paraId="61B3F5E1" w14:textId="5FE10C77" w:rsidR="009C28DC" w:rsidRPr="00F93C22" w:rsidRDefault="009C28DC" w:rsidP="00C11A2F">
      <w:pPr>
        <w:pStyle w:val="ListParagraph"/>
        <w:numPr>
          <w:ilvl w:val="0"/>
          <w:numId w:val="1"/>
        </w:numPr>
        <w:spacing w:after="0" w:line="240" w:lineRule="auto"/>
        <w:jc w:val="both"/>
        <w:rPr>
          <w:rFonts w:ascii="Cambria" w:hAnsi="Cambria"/>
          <w:sz w:val="20"/>
          <w:lang w:val="es-ES"/>
        </w:rPr>
      </w:pPr>
      <w:r w:rsidRPr="00F93C22">
        <w:rPr>
          <w:rFonts w:ascii="Cambria" w:hAnsi="Cambria"/>
          <w:b/>
          <w:sz w:val="20"/>
          <w:lang w:val="es-ES"/>
        </w:rPr>
        <w:t>Recomendaciones y cláusulas de acuerdos de cumplimiento bajo seguimiento de la CIDH</w:t>
      </w:r>
    </w:p>
    <w:p w14:paraId="62EBF3C5" w14:textId="77777777" w:rsidR="009C28DC" w:rsidRPr="00F93C22" w:rsidRDefault="009C28DC" w:rsidP="00C11A2F">
      <w:pPr>
        <w:pStyle w:val="ListParagraph"/>
        <w:spacing w:after="0" w:line="240" w:lineRule="auto"/>
        <w:ind w:left="360"/>
        <w:jc w:val="both"/>
        <w:rPr>
          <w:rFonts w:ascii="Cambria" w:hAnsi="Cambria"/>
          <w:b/>
          <w:sz w:val="20"/>
          <w:lang w:val="es-ES"/>
        </w:rPr>
      </w:pPr>
    </w:p>
    <w:p w14:paraId="69E4AA44" w14:textId="77777777" w:rsidR="009C28DC" w:rsidRPr="00F93C22" w:rsidRDefault="00D2337E" w:rsidP="00C11A2F">
      <w:pPr>
        <w:pStyle w:val="ListParagraph"/>
        <w:numPr>
          <w:ilvl w:val="0"/>
          <w:numId w:val="3"/>
        </w:numPr>
        <w:spacing w:after="0" w:line="240" w:lineRule="auto"/>
        <w:jc w:val="both"/>
        <w:rPr>
          <w:rFonts w:ascii="Cambria" w:hAnsi="Cambria"/>
          <w:b/>
          <w:sz w:val="20"/>
          <w:lang w:val="es-ES"/>
        </w:rPr>
      </w:pPr>
      <w:r w:rsidRPr="00F93C22">
        <w:rPr>
          <w:rFonts w:ascii="Cambria" w:hAnsi="Cambria"/>
          <w:b/>
          <w:sz w:val="20"/>
          <w:lang w:val="es-ES"/>
        </w:rPr>
        <w:t>Tercera</w:t>
      </w:r>
      <w:r w:rsidR="009C28DC" w:rsidRPr="00F93C22">
        <w:rPr>
          <w:rFonts w:ascii="Cambria" w:hAnsi="Cambria"/>
          <w:b/>
          <w:sz w:val="20"/>
          <w:lang w:val="es-ES"/>
        </w:rPr>
        <w:t xml:space="preserve"> recomendación</w:t>
      </w:r>
    </w:p>
    <w:p w14:paraId="6D98A12B" w14:textId="77777777" w:rsidR="009C28DC" w:rsidRPr="00F93C22" w:rsidRDefault="009C28DC" w:rsidP="00C11A2F">
      <w:pPr>
        <w:pStyle w:val="ListParagraph"/>
        <w:spacing w:after="0" w:line="240" w:lineRule="auto"/>
        <w:ind w:left="360"/>
        <w:jc w:val="both"/>
        <w:rPr>
          <w:rFonts w:ascii="Cambria" w:hAnsi="Cambria"/>
          <w:b/>
          <w:sz w:val="20"/>
          <w:lang w:val="es-ES"/>
        </w:rPr>
      </w:pPr>
    </w:p>
    <w:tbl>
      <w:tblPr>
        <w:tblStyle w:val="TableGrid"/>
        <w:tblW w:w="96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2250"/>
        <w:gridCol w:w="2340"/>
      </w:tblGrid>
      <w:tr w:rsidR="009C28DC" w:rsidRPr="00F93C22" w14:paraId="24AF63F9" w14:textId="77777777" w:rsidTr="0099550C">
        <w:tc>
          <w:tcPr>
            <w:tcW w:w="7309" w:type="dxa"/>
            <w:gridSpan w:val="2"/>
            <w:shd w:val="clear" w:color="auto" w:fill="B4C6E7" w:themeFill="accent5" w:themeFillTint="66"/>
          </w:tcPr>
          <w:p w14:paraId="774E76D8" w14:textId="77777777" w:rsidR="00C11A2F" w:rsidRDefault="00C11A2F" w:rsidP="00C11A2F">
            <w:pPr>
              <w:pStyle w:val="ListParagraph"/>
              <w:ind w:left="0"/>
              <w:jc w:val="both"/>
              <w:rPr>
                <w:rFonts w:ascii="Cambria" w:hAnsi="Cambria"/>
                <w:b/>
                <w:bCs/>
                <w:sz w:val="18"/>
                <w:szCs w:val="18"/>
                <w:lang w:val="es-ES"/>
              </w:rPr>
            </w:pPr>
          </w:p>
          <w:p w14:paraId="5682CFF1" w14:textId="77777777" w:rsidR="009C28DC" w:rsidRDefault="009C28DC" w:rsidP="00C11A2F">
            <w:pPr>
              <w:pStyle w:val="ListParagraph"/>
              <w:ind w:left="0"/>
              <w:jc w:val="both"/>
              <w:rPr>
                <w:rFonts w:ascii="Cambria" w:hAnsi="Cambria"/>
                <w:b/>
                <w:sz w:val="18"/>
                <w:szCs w:val="18"/>
                <w:lang w:val="es-ES" w:eastAsia="pt-BR"/>
              </w:rPr>
            </w:pPr>
            <w:r w:rsidRPr="00557888">
              <w:rPr>
                <w:rFonts w:ascii="Cambria" w:hAnsi="Cambria"/>
                <w:b/>
                <w:bCs/>
                <w:sz w:val="18"/>
                <w:szCs w:val="18"/>
                <w:lang w:val="es-ES"/>
              </w:rPr>
              <w:t xml:space="preserve">Recomendación </w:t>
            </w:r>
            <w:r w:rsidR="00D2337E" w:rsidRPr="00557888">
              <w:rPr>
                <w:rFonts w:ascii="Cambria" w:hAnsi="Cambria"/>
                <w:b/>
                <w:bCs/>
                <w:sz w:val="18"/>
                <w:szCs w:val="18"/>
                <w:lang w:val="es-ES"/>
              </w:rPr>
              <w:t>3</w:t>
            </w:r>
            <w:r w:rsidRPr="00557888">
              <w:rPr>
                <w:rFonts w:ascii="Cambria" w:hAnsi="Cambria"/>
                <w:b/>
                <w:bCs/>
                <w:sz w:val="18"/>
                <w:szCs w:val="18"/>
                <w:lang w:val="es-ES"/>
              </w:rPr>
              <w:t xml:space="preserve">. </w:t>
            </w:r>
            <w:r w:rsidR="00D2337E" w:rsidRPr="00557888">
              <w:rPr>
                <w:rFonts w:ascii="Cambria" w:hAnsi="Cambria"/>
                <w:b/>
                <w:sz w:val="18"/>
                <w:szCs w:val="18"/>
                <w:lang w:val="es-ES" w:eastAsia="pt-BR"/>
              </w:rPr>
              <w:t>Conceder el apoyo financiero a la víctima para que ésta pueda iniciar y concluir sus estudios superiores.</w:t>
            </w:r>
          </w:p>
          <w:p w14:paraId="57232E81" w14:textId="1F937725" w:rsidR="00C11A2F" w:rsidRPr="00557888" w:rsidRDefault="00C11A2F" w:rsidP="00C11A2F">
            <w:pPr>
              <w:pStyle w:val="ListParagraph"/>
              <w:ind w:left="0"/>
              <w:jc w:val="both"/>
              <w:rPr>
                <w:rFonts w:ascii="Cambria" w:hAnsi="Cambria"/>
                <w:b/>
                <w:bCs/>
                <w:sz w:val="18"/>
                <w:szCs w:val="18"/>
                <w:lang w:val="es-ES"/>
              </w:rPr>
            </w:pPr>
          </w:p>
        </w:tc>
        <w:tc>
          <w:tcPr>
            <w:tcW w:w="2340" w:type="dxa"/>
            <w:shd w:val="clear" w:color="auto" w:fill="B4C6E7" w:themeFill="accent5" w:themeFillTint="66"/>
          </w:tcPr>
          <w:p w14:paraId="6B3EFD03" w14:textId="77777777" w:rsidR="000401AD" w:rsidRDefault="000401AD" w:rsidP="00C11A2F">
            <w:pPr>
              <w:pStyle w:val="ListParagraph"/>
              <w:ind w:left="0"/>
              <w:jc w:val="center"/>
              <w:rPr>
                <w:rFonts w:ascii="Cambria" w:hAnsi="Cambria"/>
                <w:b/>
                <w:bCs/>
                <w:sz w:val="18"/>
                <w:szCs w:val="18"/>
                <w:lang w:val="es-ES"/>
              </w:rPr>
            </w:pPr>
          </w:p>
          <w:p w14:paraId="2946DB82" w14:textId="6AF36335" w:rsidR="009C28DC" w:rsidRPr="00557888" w:rsidRDefault="00746757" w:rsidP="00C11A2F">
            <w:pPr>
              <w:pStyle w:val="ListParagraph"/>
              <w:ind w:left="0"/>
              <w:jc w:val="center"/>
              <w:rPr>
                <w:rFonts w:ascii="Cambria" w:hAnsi="Cambria"/>
                <w:b/>
                <w:bCs/>
                <w:sz w:val="18"/>
                <w:szCs w:val="18"/>
                <w:lang w:val="es-ES"/>
              </w:rPr>
            </w:pPr>
            <w:r w:rsidRPr="00557888">
              <w:rPr>
                <w:rFonts w:ascii="Cambria" w:hAnsi="Cambria"/>
                <w:b/>
                <w:bCs/>
                <w:sz w:val="18"/>
                <w:szCs w:val="18"/>
                <w:lang w:val="es-ES"/>
              </w:rPr>
              <w:t xml:space="preserve">Cumplimiento </w:t>
            </w:r>
            <w:r w:rsidR="006E3F1C">
              <w:rPr>
                <w:rFonts w:ascii="Cambria" w:hAnsi="Cambria"/>
                <w:b/>
                <w:bCs/>
                <w:sz w:val="18"/>
                <w:szCs w:val="18"/>
                <w:lang w:val="es-ES"/>
              </w:rPr>
              <w:t>P</w:t>
            </w:r>
            <w:r w:rsidRPr="00557888">
              <w:rPr>
                <w:rFonts w:ascii="Cambria" w:hAnsi="Cambria"/>
                <w:b/>
                <w:bCs/>
                <w:sz w:val="18"/>
                <w:szCs w:val="18"/>
                <w:lang w:val="es-ES"/>
              </w:rPr>
              <w:t>arcial</w:t>
            </w:r>
            <w:r w:rsidR="00A606A4">
              <w:rPr>
                <w:rFonts w:ascii="Cambria" w:hAnsi="Cambria"/>
                <w:b/>
                <w:bCs/>
                <w:sz w:val="18"/>
                <w:szCs w:val="18"/>
                <w:lang w:val="es-ES"/>
              </w:rPr>
              <w:t xml:space="preserve"> Sustancial</w:t>
            </w:r>
          </w:p>
        </w:tc>
      </w:tr>
      <w:tr w:rsidR="009C28DC" w:rsidRPr="00095B69" w14:paraId="58F38387" w14:textId="77777777" w:rsidTr="0099550C">
        <w:tc>
          <w:tcPr>
            <w:tcW w:w="5059" w:type="dxa"/>
            <w:shd w:val="clear" w:color="auto" w:fill="F2F2F2" w:themeFill="background1" w:themeFillShade="F2"/>
          </w:tcPr>
          <w:p w14:paraId="5997CC1D" w14:textId="77777777" w:rsidR="009C28DC" w:rsidRPr="00557888" w:rsidRDefault="009C28DC" w:rsidP="00C11A2F">
            <w:pPr>
              <w:jc w:val="both"/>
              <w:rPr>
                <w:rFonts w:ascii="Cambria" w:hAnsi="Cambria"/>
                <w:b/>
                <w:bCs/>
                <w:sz w:val="18"/>
                <w:szCs w:val="18"/>
                <w:lang w:val="es-ES"/>
              </w:rPr>
            </w:pPr>
          </w:p>
          <w:p w14:paraId="43862039" w14:textId="5AF4BD7C" w:rsidR="002F29E9" w:rsidRDefault="009C28DC" w:rsidP="00C11A2F">
            <w:pPr>
              <w:jc w:val="both"/>
              <w:rPr>
                <w:rFonts w:ascii="Cambria" w:hAnsi="Cambria"/>
                <w:sz w:val="18"/>
                <w:szCs w:val="18"/>
                <w:lang w:val="es-ES"/>
              </w:rPr>
            </w:pPr>
            <w:r w:rsidRPr="00557888">
              <w:rPr>
                <w:rFonts w:ascii="Cambria" w:hAnsi="Cambria"/>
                <w:b/>
                <w:bCs/>
                <w:sz w:val="18"/>
                <w:szCs w:val="18"/>
                <w:lang w:val="es-ES"/>
              </w:rPr>
              <w:t>Información del Estado en 2023:</w:t>
            </w:r>
            <w:r w:rsidR="00123621" w:rsidRPr="00557888">
              <w:rPr>
                <w:rFonts w:ascii="Cambria" w:hAnsi="Cambria"/>
                <w:b/>
                <w:bCs/>
                <w:sz w:val="18"/>
                <w:szCs w:val="18"/>
                <w:lang w:val="es-ES"/>
              </w:rPr>
              <w:t xml:space="preserve"> </w:t>
            </w:r>
            <w:r w:rsidR="00223F85">
              <w:rPr>
                <w:rFonts w:ascii="Cambria" w:hAnsi="Cambria"/>
                <w:sz w:val="18"/>
                <w:szCs w:val="18"/>
                <w:lang w:val="es-ES"/>
              </w:rPr>
              <w:t>El Estado informó</w:t>
            </w:r>
            <w:r w:rsidR="002F29E9">
              <w:rPr>
                <w:rFonts w:ascii="Cambria" w:hAnsi="Cambria"/>
                <w:sz w:val="18"/>
                <w:szCs w:val="18"/>
                <w:lang w:val="es-ES"/>
              </w:rPr>
              <w:t xml:space="preserve"> </w:t>
            </w:r>
            <w:r w:rsidR="00310516">
              <w:rPr>
                <w:rFonts w:ascii="Cambria" w:hAnsi="Cambria"/>
                <w:sz w:val="18"/>
                <w:szCs w:val="18"/>
                <w:lang w:val="es-ES"/>
              </w:rPr>
              <w:t xml:space="preserve">que </w:t>
            </w:r>
            <w:r w:rsidR="00123621" w:rsidRPr="00557888">
              <w:rPr>
                <w:rFonts w:ascii="Cambria" w:hAnsi="Cambria"/>
                <w:sz w:val="18"/>
                <w:szCs w:val="18"/>
                <w:lang w:val="es-ES"/>
              </w:rPr>
              <w:t xml:space="preserve">el Ministerio de Igualdad Racial (MIR) y el Ministerio de Derechos </w:t>
            </w:r>
            <w:r w:rsidR="00123621" w:rsidRPr="00557888">
              <w:rPr>
                <w:rFonts w:ascii="Cambria" w:hAnsi="Cambria"/>
                <w:sz w:val="18"/>
                <w:szCs w:val="18"/>
                <w:lang w:val="es-ES"/>
              </w:rPr>
              <w:lastRenderedPageBreak/>
              <w:t xml:space="preserve">Humanos y Ciudadanía (MDHC) </w:t>
            </w:r>
            <w:r w:rsidR="00D75CD9">
              <w:rPr>
                <w:rFonts w:ascii="Cambria" w:hAnsi="Cambria"/>
                <w:sz w:val="18"/>
                <w:szCs w:val="18"/>
                <w:lang w:val="es-ES"/>
              </w:rPr>
              <w:t>gestionaron una beca integral</w:t>
            </w:r>
            <w:r w:rsidR="00123621" w:rsidRPr="00557888">
              <w:rPr>
                <w:rFonts w:ascii="Cambria" w:hAnsi="Cambria"/>
                <w:sz w:val="18"/>
                <w:szCs w:val="18"/>
                <w:lang w:val="es-ES"/>
              </w:rPr>
              <w:t xml:space="preserve"> del </w:t>
            </w:r>
            <w:r w:rsidR="00123621" w:rsidRPr="00820188">
              <w:rPr>
                <w:rFonts w:ascii="Cambria" w:hAnsi="Cambria"/>
                <w:i/>
                <w:iCs/>
                <w:sz w:val="18"/>
                <w:szCs w:val="18"/>
                <w:lang w:val="es-ES"/>
              </w:rPr>
              <w:t>Centro Universitario de Faculdades Metropolitanas Unidas</w:t>
            </w:r>
            <w:r w:rsidR="00123621" w:rsidRPr="00557888">
              <w:rPr>
                <w:rFonts w:ascii="Cambria" w:hAnsi="Cambria"/>
                <w:sz w:val="18"/>
                <w:szCs w:val="18"/>
                <w:lang w:val="es-ES"/>
              </w:rPr>
              <w:t xml:space="preserve"> (FMU)</w:t>
            </w:r>
            <w:r w:rsidR="00DF419E">
              <w:rPr>
                <w:rFonts w:ascii="Cambria" w:hAnsi="Cambria"/>
                <w:sz w:val="18"/>
                <w:szCs w:val="18"/>
                <w:lang w:val="es-ES"/>
              </w:rPr>
              <w:t xml:space="preserve"> a</w:t>
            </w:r>
            <w:r w:rsidR="00D75CD9">
              <w:rPr>
                <w:rFonts w:ascii="Cambria" w:hAnsi="Cambria"/>
                <w:sz w:val="18"/>
                <w:szCs w:val="18"/>
                <w:lang w:val="es-ES"/>
              </w:rPr>
              <w:t xml:space="preserve"> favor de</w:t>
            </w:r>
            <w:r w:rsidR="00DF419E">
              <w:rPr>
                <w:rFonts w:ascii="Cambria" w:hAnsi="Cambria"/>
                <w:sz w:val="18"/>
                <w:szCs w:val="18"/>
                <w:lang w:val="es-ES"/>
              </w:rPr>
              <w:t xml:space="preserve"> Simone André Diniz en el Curso Superior de Tecnolog</w:t>
            </w:r>
            <w:r w:rsidR="00E8098B">
              <w:rPr>
                <w:rFonts w:ascii="Cambria" w:hAnsi="Cambria"/>
                <w:sz w:val="18"/>
                <w:szCs w:val="18"/>
                <w:lang w:val="es-ES"/>
              </w:rPr>
              <w:t>í</w:t>
            </w:r>
            <w:r w:rsidR="00DF419E">
              <w:rPr>
                <w:rFonts w:ascii="Cambria" w:hAnsi="Cambria"/>
                <w:sz w:val="18"/>
                <w:szCs w:val="18"/>
                <w:lang w:val="es-ES"/>
              </w:rPr>
              <w:t>a e</w:t>
            </w:r>
            <w:r w:rsidR="00E8098B">
              <w:rPr>
                <w:rFonts w:ascii="Cambria" w:hAnsi="Cambria"/>
                <w:sz w:val="18"/>
                <w:szCs w:val="18"/>
                <w:lang w:val="es-ES"/>
              </w:rPr>
              <w:t>n</w:t>
            </w:r>
            <w:r w:rsidR="00DF419E">
              <w:rPr>
                <w:rFonts w:ascii="Cambria" w:hAnsi="Cambria"/>
                <w:sz w:val="18"/>
                <w:szCs w:val="18"/>
                <w:lang w:val="es-ES"/>
              </w:rPr>
              <w:t xml:space="preserve"> </w:t>
            </w:r>
            <w:r w:rsidR="00820188">
              <w:rPr>
                <w:rFonts w:ascii="Cambria" w:hAnsi="Cambria"/>
                <w:sz w:val="18"/>
                <w:szCs w:val="18"/>
                <w:lang w:val="es-ES"/>
              </w:rPr>
              <w:t xml:space="preserve">Gastronomía. </w:t>
            </w:r>
          </w:p>
          <w:p w14:paraId="110FFD37" w14:textId="77777777" w:rsidR="009C28DC" w:rsidRPr="00557888" w:rsidRDefault="009C28DC" w:rsidP="00C11A2F">
            <w:pPr>
              <w:jc w:val="both"/>
              <w:rPr>
                <w:rFonts w:ascii="Cambria" w:hAnsi="Cambria"/>
                <w:sz w:val="18"/>
                <w:szCs w:val="18"/>
                <w:lang w:val="es-ES"/>
              </w:rPr>
            </w:pPr>
          </w:p>
          <w:p w14:paraId="3AC57CAB" w14:textId="290E1137" w:rsidR="009C28DC" w:rsidRPr="00557888" w:rsidRDefault="009C28DC" w:rsidP="00C11A2F">
            <w:pPr>
              <w:jc w:val="both"/>
              <w:rPr>
                <w:rFonts w:ascii="Cambria" w:hAnsi="Cambria"/>
                <w:sz w:val="18"/>
                <w:szCs w:val="18"/>
                <w:lang w:val="es-ES"/>
              </w:rPr>
            </w:pPr>
            <w:r w:rsidRPr="00557888">
              <w:rPr>
                <w:rFonts w:ascii="Cambria" w:hAnsi="Cambria"/>
                <w:b/>
                <w:bCs/>
                <w:sz w:val="18"/>
                <w:szCs w:val="18"/>
                <w:lang w:val="es-ES"/>
              </w:rPr>
              <w:t>Información de la parte peticionaria en 2023:</w:t>
            </w:r>
            <w:r w:rsidRPr="00557888">
              <w:rPr>
                <w:rFonts w:ascii="Cambria" w:hAnsi="Cambria"/>
                <w:sz w:val="18"/>
                <w:szCs w:val="18"/>
                <w:lang w:val="es-ES"/>
              </w:rPr>
              <w:t xml:space="preserve"> </w:t>
            </w:r>
            <w:r w:rsidR="00123621" w:rsidRPr="000401AD">
              <w:rPr>
                <w:rFonts w:ascii="Cambria" w:hAnsi="Cambria"/>
                <w:sz w:val="18"/>
                <w:szCs w:val="18"/>
                <w:lang w:val="es-ES"/>
              </w:rPr>
              <w:t>La parte peticionaria informó que Simone</w:t>
            </w:r>
            <w:r w:rsidR="00C04BCA" w:rsidRPr="000401AD">
              <w:rPr>
                <w:rFonts w:ascii="Cambria" w:hAnsi="Cambria"/>
                <w:sz w:val="18"/>
                <w:szCs w:val="18"/>
                <w:lang w:val="es-ES"/>
              </w:rPr>
              <w:t xml:space="preserve"> André Diniz</w:t>
            </w:r>
            <w:r w:rsidR="00123621" w:rsidRPr="000401AD">
              <w:rPr>
                <w:rFonts w:ascii="Cambria" w:hAnsi="Cambria"/>
                <w:sz w:val="18"/>
                <w:szCs w:val="18"/>
                <w:lang w:val="es-ES"/>
              </w:rPr>
              <w:t xml:space="preserve"> se ha integrado </w:t>
            </w:r>
            <w:r w:rsidR="001C18A0">
              <w:rPr>
                <w:rFonts w:ascii="Cambria" w:hAnsi="Cambria"/>
                <w:sz w:val="18"/>
                <w:szCs w:val="18"/>
                <w:lang w:val="es-ES"/>
              </w:rPr>
              <w:t>a</w:t>
            </w:r>
            <w:r w:rsidR="00123621" w:rsidRPr="000401AD">
              <w:rPr>
                <w:rFonts w:ascii="Cambria" w:hAnsi="Cambria"/>
                <w:sz w:val="18"/>
                <w:szCs w:val="18"/>
                <w:lang w:val="es-ES"/>
              </w:rPr>
              <w:t>l curso de gastronomía y est</w:t>
            </w:r>
            <w:r w:rsidR="001C18A0">
              <w:rPr>
                <w:rFonts w:ascii="Cambria" w:hAnsi="Cambria"/>
                <w:sz w:val="18"/>
                <w:szCs w:val="18"/>
                <w:lang w:val="es-ES"/>
              </w:rPr>
              <w:t>aría</w:t>
            </w:r>
            <w:r w:rsidR="00123621" w:rsidRPr="000401AD">
              <w:rPr>
                <w:rFonts w:ascii="Cambria" w:hAnsi="Cambria"/>
                <w:sz w:val="18"/>
                <w:szCs w:val="18"/>
                <w:lang w:val="es-ES"/>
              </w:rPr>
              <w:t xml:space="preserve"> estudiando la carrera. No obstante, </w:t>
            </w:r>
            <w:r w:rsidR="00095B69">
              <w:rPr>
                <w:rFonts w:ascii="Cambria" w:hAnsi="Cambria"/>
                <w:sz w:val="18"/>
                <w:szCs w:val="18"/>
                <w:lang w:val="es-ES"/>
              </w:rPr>
              <w:t>señalan</w:t>
            </w:r>
            <w:r w:rsidR="00123621" w:rsidRPr="000401AD">
              <w:rPr>
                <w:rFonts w:ascii="Cambria" w:hAnsi="Cambria"/>
                <w:sz w:val="18"/>
                <w:szCs w:val="18"/>
                <w:lang w:val="es-ES"/>
              </w:rPr>
              <w:t xml:space="preserve"> que esta recomendación sólo se considerará plenamente cumplida cuando el Estado garantice la permanencia de Simone en el curso hasta su finalización.</w:t>
            </w:r>
          </w:p>
          <w:p w14:paraId="7D4205B3" w14:textId="2F326124" w:rsidR="00123621" w:rsidRPr="00557888" w:rsidRDefault="00123621" w:rsidP="00C11A2F">
            <w:pPr>
              <w:jc w:val="both"/>
              <w:rPr>
                <w:rFonts w:ascii="Cambria" w:hAnsi="Cambria"/>
                <w:sz w:val="18"/>
                <w:szCs w:val="18"/>
                <w:lang w:val="es-ES"/>
              </w:rPr>
            </w:pPr>
          </w:p>
        </w:tc>
        <w:tc>
          <w:tcPr>
            <w:tcW w:w="4590" w:type="dxa"/>
            <w:gridSpan w:val="2"/>
            <w:shd w:val="clear" w:color="auto" w:fill="F2F2F2" w:themeFill="background1" w:themeFillShade="F2"/>
          </w:tcPr>
          <w:p w14:paraId="6B699379" w14:textId="77777777" w:rsidR="009C28DC" w:rsidRPr="00557888" w:rsidRDefault="009C28DC" w:rsidP="00C11A2F">
            <w:pPr>
              <w:pStyle w:val="ListParagraph"/>
              <w:ind w:left="0"/>
              <w:jc w:val="both"/>
              <w:rPr>
                <w:rFonts w:ascii="Cambria" w:hAnsi="Cambria"/>
                <w:b/>
                <w:sz w:val="18"/>
                <w:szCs w:val="18"/>
                <w:lang w:val="es-ES"/>
              </w:rPr>
            </w:pPr>
          </w:p>
          <w:p w14:paraId="3FE9F23F" w14:textId="19985B87" w:rsidR="00FE5D49" w:rsidRPr="00557888" w:rsidRDefault="009C28DC" w:rsidP="001C039B">
            <w:pPr>
              <w:pStyle w:val="ListParagraph"/>
              <w:ind w:left="0"/>
              <w:jc w:val="both"/>
              <w:rPr>
                <w:rFonts w:ascii="Cambria" w:hAnsi="Cambria"/>
                <w:sz w:val="18"/>
                <w:szCs w:val="18"/>
                <w:lang w:val="es-ES"/>
              </w:rPr>
            </w:pPr>
            <w:r w:rsidRPr="002D6DF1">
              <w:rPr>
                <w:rFonts w:ascii="Cambria" w:hAnsi="Cambria"/>
                <w:b/>
                <w:sz w:val="18"/>
                <w:szCs w:val="18"/>
                <w:lang w:val="es-ES"/>
              </w:rPr>
              <w:t>Análisis de cumplimiento:</w:t>
            </w:r>
            <w:r w:rsidRPr="002D6DF1">
              <w:rPr>
                <w:rFonts w:ascii="Cambria" w:hAnsi="Cambria"/>
                <w:sz w:val="18"/>
                <w:szCs w:val="18"/>
                <w:lang w:val="es-ES"/>
              </w:rPr>
              <w:t xml:space="preserve"> </w:t>
            </w:r>
            <w:r w:rsidR="00746757" w:rsidRPr="002D6DF1">
              <w:rPr>
                <w:rFonts w:ascii="Cambria" w:hAnsi="Cambria"/>
                <w:sz w:val="18"/>
                <w:szCs w:val="18"/>
                <w:lang w:val="es-ES"/>
              </w:rPr>
              <w:t xml:space="preserve">La Comisión </w:t>
            </w:r>
            <w:r w:rsidR="002C4C87" w:rsidRPr="002D6DF1">
              <w:rPr>
                <w:rFonts w:ascii="Cambria" w:hAnsi="Cambria"/>
                <w:sz w:val="18"/>
                <w:szCs w:val="18"/>
                <w:lang w:val="es-ES"/>
              </w:rPr>
              <w:t xml:space="preserve">recibe positivamente la información del ingreso de Simone </w:t>
            </w:r>
            <w:r w:rsidR="002C4C87" w:rsidRPr="002D6DF1">
              <w:rPr>
                <w:rFonts w:ascii="Cambria" w:hAnsi="Cambria"/>
                <w:sz w:val="18"/>
                <w:szCs w:val="18"/>
                <w:lang w:val="es-ES"/>
              </w:rPr>
              <w:lastRenderedPageBreak/>
              <w:t>André Diniz en el curso de gastronomía de la FMU</w:t>
            </w:r>
            <w:r w:rsidR="001C039B">
              <w:rPr>
                <w:rFonts w:ascii="Cambria" w:hAnsi="Cambria"/>
                <w:b/>
                <w:bCs/>
                <w:sz w:val="18"/>
                <w:szCs w:val="18"/>
                <w:lang w:val="es-ES"/>
              </w:rPr>
              <w:t>.</w:t>
            </w:r>
            <w:r w:rsidR="001C039B">
              <w:rPr>
                <w:rFonts w:ascii="Cambria" w:hAnsi="Cambria"/>
                <w:sz w:val="18"/>
                <w:szCs w:val="18"/>
                <w:lang w:val="es-ES"/>
              </w:rPr>
              <w:t xml:space="preserve"> </w:t>
            </w:r>
            <w:r w:rsidR="00B30246">
              <w:rPr>
                <w:rFonts w:ascii="Cambria" w:hAnsi="Cambria"/>
                <w:sz w:val="18"/>
                <w:szCs w:val="18"/>
                <w:lang w:val="es-ES"/>
              </w:rPr>
              <w:t>Considerando el texto de la recomendación, p</w:t>
            </w:r>
            <w:r w:rsidR="00095B69">
              <w:rPr>
                <w:rFonts w:ascii="Cambria" w:hAnsi="Cambria"/>
                <w:sz w:val="18"/>
                <w:szCs w:val="18"/>
                <w:lang w:val="es-ES"/>
              </w:rPr>
              <w:t xml:space="preserve">ara que esta recomendación avance a un nivel de cumplimiento total, la CIDH quedará a la espera de </w:t>
            </w:r>
            <w:r w:rsidR="00746757" w:rsidRPr="002D6DF1">
              <w:rPr>
                <w:rFonts w:ascii="Cambria" w:hAnsi="Cambria"/>
                <w:sz w:val="18"/>
                <w:szCs w:val="18"/>
                <w:lang w:val="es-ES"/>
              </w:rPr>
              <w:t xml:space="preserve">que el apoyo financiero </w:t>
            </w:r>
            <w:r w:rsidR="00D14395" w:rsidRPr="002D6DF1">
              <w:rPr>
                <w:rFonts w:ascii="Cambria" w:hAnsi="Cambria"/>
                <w:sz w:val="18"/>
                <w:szCs w:val="18"/>
                <w:lang w:val="es-ES"/>
              </w:rPr>
              <w:t xml:space="preserve">a Simone </w:t>
            </w:r>
            <w:r w:rsidR="00746757" w:rsidRPr="002D6DF1">
              <w:rPr>
                <w:rFonts w:ascii="Cambria" w:hAnsi="Cambria"/>
                <w:sz w:val="18"/>
                <w:szCs w:val="18"/>
                <w:lang w:val="es-ES"/>
              </w:rPr>
              <w:t xml:space="preserve">se consolide hasta la finalización de </w:t>
            </w:r>
            <w:r w:rsidR="00D14395" w:rsidRPr="002D6DF1">
              <w:rPr>
                <w:rFonts w:ascii="Cambria" w:hAnsi="Cambria"/>
                <w:sz w:val="18"/>
                <w:szCs w:val="18"/>
                <w:lang w:val="es-ES"/>
              </w:rPr>
              <w:t>sus</w:t>
            </w:r>
            <w:r w:rsidR="00746757" w:rsidRPr="002D6DF1">
              <w:rPr>
                <w:rFonts w:ascii="Cambria" w:hAnsi="Cambria"/>
                <w:sz w:val="18"/>
                <w:szCs w:val="18"/>
                <w:lang w:val="es-ES"/>
              </w:rPr>
              <w:t xml:space="preserve"> estudios</w:t>
            </w:r>
            <w:r w:rsidR="00095B69">
              <w:rPr>
                <w:rFonts w:ascii="Cambria" w:hAnsi="Cambria"/>
                <w:sz w:val="18"/>
                <w:szCs w:val="18"/>
                <w:lang w:val="es-ES"/>
              </w:rPr>
              <w:t xml:space="preserve"> o que de manera anticipada </w:t>
            </w:r>
            <w:r w:rsidR="00B30246">
              <w:rPr>
                <w:rFonts w:ascii="Cambria" w:hAnsi="Cambria"/>
                <w:sz w:val="18"/>
                <w:szCs w:val="18"/>
                <w:lang w:val="es-ES"/>
              </w:rPr>
              <w:t>el Estado</w:t>
            </w:r>
            <w:r w:rsidR="00095B69">
              <w:rPr>
                <w:rFonts w:ascii="Cambria" w:hAnsi="Cambria"/>
                <w:sz w:val="18"/>
                <w:szCs w:val="18"/>
                <w:lang w:val="es-ES"/>
              </w:rPr>
              <w:t xml:space="preserve"> otorgue todo el apoyo financiero con ese propósito</w:t>
            </w:r>
            <w:r w:rsidR="00746757" w:rsidRPr="002D6DF1">
              <w:rPr>
                <w:rFonts w:ascii="Cambria" w:hAnsi="Cambria"/>
                <w:sz w:val="18"/>
                <w:szCs w:val="18"/>
                <w:lang w:val="es-ES"/>
              </w:rPr>
              <w:t>.</w:t>
            </w:r>
            <w:r w:rsidR="00095B69">
              <w:rPr>
                <w:rFonts w:ascii="Cambria" w:hAnsi="Cambria"/>
                <w:sz w:val="18"/>
                <w:szCs w:val="18"/>
                <w:lang w:val="es-ES"/>
              </w:rPr>
              <w:t xml:space="preserve"> A la espera de información en este sentido, la Comisión considera que esta recomendación ha avanzado a cumplimiento </w:t>
            </w:r>
            <w:r w:rsidR="00095B69">
              <w:rPr>
                <w:rFonts w:ascii="Cambria" w:hAnsi="Cambria"/>
                <w:b/>
                <w:bCs/>
                <w:sz w:val="18"/>
                <w:szCs w:val="18"/>
                <w:lang w:val="es-ES"/>
              </w:rPr>
              <w:t>parcial sustancial</w:t>
            </w:r>
          </w:p>
        </w:tc>
      </w:tr>
      <w:tr w:rsidR="009C28DC" w:rsidRPr="00F93C22" w14:paraId="37441B5E" w14:textId="77777777" w:rsidTr="0099550C">
        <w:tc>
          <w:tcPr>
            <w:tcW w:w="9649" w:type="dxa"/>
            <w:gridSpan w:val="3"/>
            <w:shd w:val="clear" w:color="auto" w:fill="D9D9D9" w:themeFill="background1" w:themeFillShade="D9"/>
          </w:tcPr>
          <w:p w14:paraId="1AD22E31" w14:textId="77777777" w:rsidR="008F016C" w:rsidRDefault="008F016C" w:rsidP="00C11A2F">
            <w:pPr>
              <w:jc w:val="both"/>
              <w:rPr>
                <w:rFonts w:ascii="Cambria" w:hAnsi="Cambria"/>
                <w:b/>
                <w:sz w:val="18"/>
                <w:szCs w:val="18"/>
                <w:lang w:val="es-ES"/>
              </w:rPr>
            </w:pPr>
          </w:p>
          <w:p w14:paraId="09E16363" w14:textId="191A238A" w:rsidR="009C28DC" w:rsidRDefault="009C28DC" w:rsidP="00C11A2F">
            <w:pPr>
              <w:jc w:val="both"/>
              <w:rPr>
                <w:rFonts w:ascii="Cambria" w:hAnsi="Cambria"/>
                <w:b/>
                <w:color w:val="000000" w:themeColor="text1"/>
                <w:sz w:val="18"/>
                <w:szCs w:val="18"/>
                <w:lang w:val="es-ES"/>
              </w:rPr>
            </w:pPr>
            <w:r w:rsidRPr="00F93C22">
              <w:rPr>
                <w:rFonts w:ascii="Cambria" w:hAnsi="Cambria"/>
                <w:b/>
                <w:sz w:val="18"/>
                <w:szCs w:val="18"/>
                <w:lang w:val="es-ES"/>
              </w:rPr>
              <w:t>Medidas rel</w:t>
            </w:r>
            <w:r w:rsidRPr="004C458A">
              <w:rPr>
                <w:rFonts w:ascii="Cambria" w:hAnsi="Cambria"/>
                <w:b/>
                <w:color w:val="000000" w:themeColor="text1"/>
                <w:sz w:val="18"/>
                <w:szCs w:val="18"/>
                <w:lang w:val="es-ES"/>
              </w:rPr>
              <w:t xml:space="preserve">evantes de cumplimiento </w:t>
            </w:r>
            <w:r w:rsidR="00D76BED" w:rsidRPr="004C458A">
              <w:rPr>
                <w:rFonts w:ascii="Cambria" w:hAnsi="Cambria" w:cs="Cambria"/>
                <w:b/>
                <w:bCs/>
                <w:color w:val="000000" w:themeColor="text1"/>
                <w:sz w:val="18"/>
                <w:szCs w:val="18"/>
                <w:lang w:val="pt-BR"/>
              </w:rPr>
              <w:t>informadas</w:t>
            </w:r>
            <w:r w:rsidRPr="004C458A">
              <w:rPr>
                <w:rFonts w:ascii="Cambria" w:hAnsi="Cambria"/>
                <w:b/>
                <w:color w:val="000000" w:themeColor="text1"/>
                <w:sz w:val="18"/>
                <w:szCs w:val="18"/>
                <w:lang w:val="es-ES"/>
              </w:rPr>
              <w:t xml:space="preserve"> en 2023:</w:t>
            </w:r>
          </w:p>
          <w:p w14:paraId="50A0FD31" w14:textId="77777777" w:rsidR="00464E73" w:rsidRPr="004C458A" w:rsidRDefault="00464E73" w:rsidP="00C11A2F">
            <w:pPr>
              <w:jc w:val="both"/>
              <w:rPr>
                <w:rFonts w:ascii="Cambria" w:hAnsi="Cambria"/>
                <w:b/>
                <w:color w:val="000000" w:themeColor="text1"/>
                <w:sz w:val="18"/>
                <w:szCs w:val="18"/>
                <w:lang w:val="es-ES"/>
              </w:rPr>
            </w:pPr>
          </w:p>
          <w:p w14:paraId="78902BDE" w14:textId="77777777" w:rsidR="00746757" w:rsidRPr="008F016C" w:rsidRDefault="0081148B" w:rsidP="00C11A2F">
            <w:pPr>
              <w:pStyle w:val="ListParagraph"/>
              <w:numPr>
                <w:ilvl w:val="0"/>
                <w:numId w:val="2"/>
              </w:numPr>
              <w:jc w:val="both"/>
              <w:rPr>
                <w:rFonts w:ascii="Cambria" w:hAnsi="Cambria"/>
                <w:b/>
                <w:sz w:val="18"/>
                <w:szCs w:val="18"/>
                <w:lang w:val="es-ES"/>
              </w:rPr>
            </w:pPr>
            <w:r>
              <w:rPr>
                <w:rFonts w:ascii="Cambria" w:hAnsi="Cambria"/>
                <w:color w:val="000000" w:themeColor="text1"/>
                <w:sz w:val="18"/>
                <w:szCs w:val="18"/>
                <w:lang w:val="es-ES"/>
              </w:rPr>
              <w:t>Beca integral a Simone André Diniz en el curso de Gastronomía de la FMU.</w:t>
            </w:r>
          </w:p>
          <w:p w14:paraId="3F09C082" w14:textId="0C42C51A" w:rsidR="008F016C" w:rsidRPr="00F93C22" w:rsidRDefault="008F016C" w:rsidP="008F016C">
            <w:pPr>
              <w:pStyle w:val="ListParagraph"/>
              <w:ind w:left="360"/>
              <w:jc w:val="both"/>
              <w:rPr>
                <w:rFonts w:ascii="Cambria" w:hAnsi="Cambria"/>
                <w:b/>
                <w:sz w:val="18"/>
                <w:szCs w:val="18"/>
                <w:lang w:val="es-ES"/>
              </w:rPr>
            </w:pPr>
          </w:p>
        </w:tc>
      </w:tr>
    </w:tbl>
    <w:p w14:paraId="1F72F646" w14:textId="77777777" w:rsidR="009C28DC" w:rsidRPr="00F93C22" w:rsidRDefault="009C28DC" w:rsidP="00C11A2F">
      <w:pPr>
        <w:pStyle w:val="ListParagraph"/>
        <w:spacing w:after="0" w:line="240" w:lineRule="auto"/>
        <w:ind w:left="360"/>
        <w:jc w:val="both"/>
        <w:rPr>
          <w:rFonts w:ascii="Cambria" w:hAnsi="Cambria"/>
          <w:b/>
          <w:sz w:val="20"/>
          <w:lang w:val="es-ES"/>
        </w:rPr>
      </w:pPr>
    </w:p>
    <w:p w14:paraId="18D55042" w14:textId="77777777" w:rsidR="00D2337E" w:rsidRPr="00F93C22" w:rsidRDefault="00D2337E" w:rsidP="00C11A2F">
      <w:pPr>
        <w:pStyle w:val="ListParagraph"/>
        <w:numPr>
          <w:ilvl w:val="0"/>
          <w:numId w:val="3"/>
        </w:numPr>
        <w:spacing w:after="0" w:line="240" w:lineRule="auto"/>
        <w:jc w:val="both"/>
        <w:rPr>
          <w:rFonts w:ascii="Cambria" w:hAnsi="Cambria"/>
          <w:b/>
          <w:sz w:val="20"/>
          <w:lang w:val="es-ES"/>
        </w:rPr>
      </w:pPr>
      <w:r w:rsidRPr="00F93C22">
        <w:rPr>
          <w:rFonts w:ascii="Cambria" w:hAnsi="Cambria"/>
          <w:b/>
          <w:sz w:val="20"/>
          <w:lang w:val="es-ES"/>
        </w:rPr>
        <w:t xml:space="preserve">Quinta </w:t>
      </w:r>
      <w:r w:rsidR="00D33AAC" w:rsidRPr="00F93C22">
        <w:rPr>
          <w:rFonts w:ascii="Cambria" w:hAnsi="Cambria"/>
          <w:b/>
          <w:sz w:val="20"/>
          <w:lang w:val="es-ES"/>
        </w:rPr>
        <w:t>r</w:t>
      </w:r>
      <w:r w:rsidRPr="00F93C22">
        <w:rPr>
          <w:rFonts w:ascii="Cambria" w:hAnsi="Cambria"/>
          <w:b/>
          <w:sz w:val="20"/>
          <w:lang w:val="es-ES"/>
        </w:rPr>
        <w:t>ecomendación</w:t>
      </w:r>
    </w:p>
    <w:p w14:paraId="08CE6F91" w14:textId="77777777" w:rsidR="005011D2" w:rsidRPr="00F93C22" w:rsidRDefault="005011D2" w:rsidP="00C11A2F">
      <w:pPr>
        <w:pStyle w:val="ListParagraph"/>
        <w:spacing w:after="0" w:line="240" w:lineRule="auto"/>
        <w:ind w:left="360"/>
        <w:jc w:val="both"/>
        <w:rPr>
          <w:rFonts w:ascii="Cambria" w:hAnsi="Cambria"/>
          <w:b/>
          <w:sz w:val="20"/>
          <w:lang w:val="es-ES"/>
        </w:rPr>
      </w:pPr>
    </w:p>
    <w:tbl>
      <w:tblPr>
        <w:tblStyle w:val="TableGrid"/>
        <w:tblW w:w="96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2250"/>
        <w:gridCol w:w="2340"/>
      </w:tblGrid>
      <w:tr w:rsidR="00D2337E" w:rsidRPr="00F93C22" w14:paraId="7218BB62" w14:textId="77777777" w:rsidTr="0099550C">
        <w:tc>
          <w:tcPr>
            <w:tcW w:w="7309" w:type="dxa"/>
            <w:gridSpan w:val="2"/>
            <w:shd w:val="clear" w:color="auto" w:fill="B4C6E7" w:themeFill="accent5" w:themeFillTint="66"/>
          </w:tcPr>
          <w:p w14:paraId="33D75051" w14:textId="77777777" w:rsidR="00C11A2F" w:rsidRDefault="00C11A2F" w:rsidP="00C11A2F">
            <w:pPr>
              <w:pStyle w:val="ListParagraph"/>
              <w:ind w:left="0"/>
              <w:jc w:val="both"/>
              <w:rPr>
                <w:rFonts w:ascii="Cambria" w:hAnsi="Cambria"/>
                <w:b/>
                <w:bCs/>
                <w:sz w:val="18"/>
                <w:szCs w:val="18"/>
                <w:lang w:val="es-ES"/>
              </w:rPr>
            </w:pPr>
          </w:p>
          <w:p w14:paraId="00F3D11B" w14:textId="7D6A96C9" w:rsidR="00D2337E" w:rsidRDefault="00D2337E" w:rsidP="00C11A2F">
            <w:pPr>
              <w:pStyle w:val="ListParagraph"/>
              <w:ind w:left="0"/>
              <w:jc w:val="both"/>
              <w:rPr>
                <w:rFonts w:ascii="Cambria" w:hAnsi="Cambria"/>
                <w:b/>
                <w:color w:val="000000" w:themeColor="text1"/>
                <w:sz w:val="18"/>
                <w:szCs w:val="18"/>
                <w:lang w:val="es-ES" w:eastAsia="pt-BR"/>
              </w:rPr>
            </w:pPr>
            <w:r w:rsidRPr="00F93C22">
              <w:rPr>
                <w:rFonts w:ascii="Cambria" w:hAnsi="Cambria"/>
                <w:b/>
                <w:bCs/>
                <w:sz w:val="18"/>
                <w:szCs w:val="18"/>
                <w:lang w:val="es-ES"/>
              </w:rPr>
              <w:t xml:space="preserve">Recomendación 5. </w:t>
            </w:r>
            <w:r w:rsidR="00B80E4A" w:rsidRPr="00F93C22">
              <w:rPr>
                <w:rFonts w:ascii="Cambria" w:hAnsi="Cambria"/>
                <w:b/>
                <w:color w:val="000000" w:themeColor="text1"/>
                <w:sz w:val="18"/>
                <w:szCs w:val="18"/>
                <w:lang w:val="es-ES" w:eastAsia="pt-BR"/>
              </w:rPr>
              <w:t xml:space="preserve">Realizar las modificaciones legislativas y administrativas necesarias para que la legislación </w:t>
            </w:r>
            <w:r w:rsidR="00A606AC" w:rsidRPr="00F93C22">
              <w:rPr>
                <w:rFonts w:ascii="Cambria" w:hAnsi="Cambria"/>
                <w:b/>
                <w:color w:val="000000" w:themeColor="text1"/>
                <w:sz w:val="18"/>
                <w:szCs w:val="18"/>
                <w:lang w:val="es-ES" w:eastAsia="pt-BR"/>
              </w:rPr>
              <w:t>anti</w:t>
            </w:r>
            <w:r w:rsidR="00B245C4">
              <w:rPr>
                <w:rFonts w:ascii="Cambria" w:hAnsi="Cambria"/>
                <w:b/>
                <w:color w:val="000000" w:themeColor="text1"/>
                <w:sz w:val="18"/>
                <w:szCs w:val="18"/>
                <w:lang w:val="es-ES" w:eastAsia="pt-BR"/>
              </w:rPr>
              <w:t>r</w:t>
            </w:r>
            <w:r w:rsidR="00A606AC">
              <w:rPr>
                <w:rFonts w:ascii="Cambria" w:hAnsi="Cambria"/>
                <w:b/>
                <w:color w:val="000000" w:themeColor="text1"/>
                <w:sz w:val="18"/>
                <w:szCs w:val="18"/>
                <w:lang w:val="es-ES" w:eastAsia="pt-BR"/>
              </w:rPr>
              <w:t>racismo</w:t>
            </w:r>
            <w:r w:rsidR="00B80E4A" w:rsidRPr="00F93C22">
              <w:rPr>
                <w:rFonts w:ascii="Cambria" w:hAnsi="Cambria"/>
                <w:b/>
                <w:color w:val="000000" w:themeColor="text1"/>
                <w:sz w:val="18"/>
                <w:szCs w:val="18"/>
                <w:lang w:val="es-ES" w:eastAsia="pt-BR"/>
              </w:rPr>
              <w:t xml:space="preserve"> sea efectiva, con el fin de sanear los obstáculos demostrados en los párrafos 78 y 94 del informe de fondo.</w:t>
            </w:r>
          </w:p>
          <w:p w14:paraId="6A31B162" w14:textId="73703CBF" w:rsidR="00C11A2F" w:rsidRPr="00F93C22" w:rsidRDefault="00C11A2F" w:rsidP="00C11A2F">
            <w:pPr>
              <w:pStyle w:val="ListParagraph"/>
              <w:ind w:left="0"/>
              <w:jc w:val="both"/>
              <w:rPr>
                <w:rFonts w:ascii="Cambria" w:hAnsi="Cambria"/>
                <w:b/>
                <w:bCs/>
                <w:sz w:val="18"/>
                <w:szCs w:val="18"/>
                <w:lang w:val="es-ES"/>
              </w:rPr>
            </w:pPr>
          </w:p>
        </w:tc>
        <w:tc>
          <w:tcPr>
            <w:tcW w:w="2340" w:type="dxa"/>
            <w:shd w:val="clear" w:color="auto" w:fill="B4C6E7" w:themeFill="accent5" w:themeFillTint="66"/>
          </w:tcPr>
          <w:p w14:paraId="167D8877" w14:textId="77777777" w:rsidR="00537CA6" w:rsidRDefault="00537CA6" w:rsidP="00C11A2F">
            <w:pPr>
              <w:jc w:val="center"/>
              <w:rPr>
                <w:rFonts w:ascii="Cambria" w:hAnsi="Cambria"/>
                <w:b/>
                <w:bCs/>
                <w:sz w:val="18"/>
                <w:szCs w:val="18"/>
                <w:lang w:val="es-ES"/>
              </w:rPr>
            </w:pPr>
          </w:p>
          <w:p w14:paraId="2ECC7816" w14:textId="59D333F8" w:rsidR="00D2337E" w:rsidRPr="00F93C22" w:rsidRDefault="00D2337E" w:rsidP="00C11A2F">
            <w:pPr>
              <w:jc w:val="center"/>
              <w:rPr>
                <w:rFonts w:ascii="Cambria" w:hAnsi="Cambria"/>
                <w:b/>
                <w:bCs/>
                <w:sz w:val="18"/>
                <w:szCs w:val="18"/>
                <w:lang w:val="es-ES"/>
              </w:rPr>
            </w:pPr>
            <w:r w:rsidRPr="00F93C22">
              <w:rPr>
                <w:rFonts w:ascii="Cambria" w:hAnsi="Cambria"/>
                <w:b/>
                <w:bCs/>
                <w:sz w:val="18"/>
                <w:szCs w:val="18"/>
                <w:lang w:val="es-ES"/>
              </w:rPr>
              <w:t>Cumplimiento</w:t>
            </w:r>
            <w:r w:rsidR="00B80E4A" w:rsidRPr="00F93C22">
              <w:rPr>
                <w:rFonts w:ascii="Cambria" w:hAnsi="Cambria"/>
                <w:b/>
                <w:bCs/>
                <w:sz w:val="18"/>
                <w:szCs w:val="18"/>
                <w:lang w:val="es-ES"/>
              </w:rPr>
              <w:t xml:space="preserve"> Parcial</w:t>
            </w:r>
          </w:p>
          <w:p w14:paraId="61CDCEAD" w14:textId="77777777" w:rsidR="00D2337E" w:rsidRPr="00F93C22" w:rsidRDefault="00D2337E" w:rsidP="00C11A2F">
            <w:pPr>
              <w:pStyle w:val="ListParagraph"/>
              <w:ind w:left="0"/>
              <w:jc w:val="center"/>
              <w:rPr>
                <w:rFonts w:ascii="Cambria" w:hAnsi="Cambria"/>
                <w:b/>
                <w:bCs/>
                <w:sz w:val="18"/>
                <w:szCs w:val="18"/>
                <w:lang w:val="es-ES"/>
              </w:rPr>
            </w:pPr>
          </w:p>
        </w:tc>
      </w:tr>
      <w:tr w:rsidR="00D2337E" w:rsidRPr="00F93C22" w14:paraId="14A87DA7" w14:textId="77777777" w:rsidTr="0099550C">
        <w:tc>
          <w:tcPr>
            <w:tcW w:w="5059" w:type="dxa"/>
            <w:shd w:val="clear" w:color="auto" w:fill="F2F2F2" w:themeFill="background1" w:themeFillShade="F2"/>
          </w:tcPr>
          <w:p w14:paraId="1C76FBDE" w14:textId="77777777" w:rsidR="00C11A2F" w:rsidRDefault="00C11A2F" w:rsidP="00C11A2F">
            <w:pPr>
              <w:pStyle w:val="NormalWeb"/>
              <w:spacing w:before="0" w:beforeAutospacing="0" w:after="0" w:afterAutospacing="0"/>
              <w:jc w:val="both"/>
              <w:rPr>
                <w:rFonts w:ascii="Cambria" w:hAnsi="Cambria"/>
                <w:b/>
                <w:bCs/>
                <w:sz w:val="18"/>
                <w:szCs w:val="18"/>
                <w:lang w:val="es-ES"/>
              </w:rPr>
            </w:pPr>
          </w:p>
          <w:p w14:paraId="726D5D4D" w14:textId="6340F88B" w:rsidR="003C39F7" w:rsidRDefault="00D2337E" w:rsidP="00C11A2F">
            <w:pPr>
              <w:pStyle w:val="NormalWeb"/>
              <w:spacing w:before="0" w:beforeAutospacing="0" w:after="0" w:afterAutospacing="0"/>
              <w:jc w:val="both"/>
              <w:rPr>
                <w:rFonts w:ascii="Cambria" w:hAnsi="Cambria"/>
                <w:color w:val="000000" w:themeColor="text1"/>
                <w:sz w:val="18"/>
                <w:szCs w:val="18"/>
                <w:lang w:val="es-ES_tradnl"/>
              </w:rPr>
            </w:pPr>
            <w:r w:rsidRPr="00F93C22">
              <w:rPr>
                <w:rFonts w:ascii="Cambria" w:hAnsi="Cambria"/>
                <w:b/>
                <w:bCs/>
                <w:sz w:val="18"/>
                <w:szCs w:val="18"/>
                <w:lang w:val="es-ES"/>
              </w:rPr>
              <w:t>Información del Estado en 2023</w:t>
            </w:r>
            <w:r w:rsidR="0041073B">
              <w:rPr>
                <w:rFonts w:ascii="Cambria" w:hAnsi="Cambria"/>
                <w:b/>
                <w:bCs/>
                <w:sz w:val="18"/>
                <w:szCs w:val="18"/>
                <w:lang w:val="es-ES"/>
              </w:rPr>
              <w:t xml:space="preserve">: </w:t>
            </w:r>
            <w:r w:rsidR="0071034E" w:rsidRPr="004C458A">
              <w:rPr>
                <w:rFonts w:ascii="Cambria" w:hAnsi="Cambria"/>
                <w:color w:val="000000" w:themeColor="text1"/>
                <w:sz w:val="18"/>
                <w:szCs w:val="18"/>
                <w:lang w:val="es-ES"/>
              </w:rPr>
              <w:t>El Estado</w:t>
            </w:r>
            <w:r w:rsidR="0071034E" w:rsidRPr="004C458A">
              <w:rPr>
                <w:rFonts w:ascii="Cambria" w:hAnsi="Cambria"/>
                <w:b/>
                <w:bCs/>
                <w:color w:val="000000" w:themeColor="text1"/>
                <w:sz w:val="18"/>
                <w:szCs w:val="18"/>
                <w:lang w:val="es-ES"/>
              </w:rPr>
              <w:t xml:space="preserve"> </w:t>
            </w:r>
            <w:r w:rsidR="0071034E" w:rsidRPr="004C458A">
              <w:rPr>
                <w:rFonts w:ascii="Cambria" w:hAnsi="Cambria"/>
                <w:color w:val="000000" w:themeColor="text1"/>
                <w:sz w:val="18"/>
                <w:szCs w:val="18"/>
                <w:lang w:val="es-ES"/>
              </w:rPr>
              <w:t>inform</w:t>
            </w:r>
            <w:r w:rsidR="004C458A" w:rsidRPr="004C458A">
              <w:rPr>
                <w:rFonts w:ascii="Cambria" w:hAnsi="Cambria"/>
                <w:color w:val="000000" w:themeColor="text1"/>
                <w:sz w:val="18"/>
                <w:szCs w:val="18"/>
                <w:lang w:val="es-ES"/>
              </w:rPr>
              <w:t>ó</w:t>
            </w:r>
            <w:r w:rsidR="0071034E" w:rsidRPr="004C458A">
              <w:rPr>
                <w:rFonts w:ascii="Cambria" w:hAnsi="Cambria"/>
                <w:color w:val="000000" w:themeColor="text1"/>
                <w:sz w:val="18"/>
                <w:szCs w:val="18"/>
                <w:lang w:val="es-ES"/>
              </w:rPr>
              <w:t xml:space="preserve"> </w:t>
            </w:r>
            <w:r w:rsidR="0041073B" w:rsidRPr="00557888">
              <w:rPr>
                <w:rFonts w:ascii="Cambria" w:hAnsi="Cambria"/>
                <w:color w:val="000000" w:themeColor="text1"/>
                <w:sz w:val="18"/>
                <w:szCs w:val="18"/>
                <w:lang w:val="es-ES_tradnl"/>
              </w:rPr>
              <w:t>sobre</w:t>
            </w:r>
            <w:r w:rsidR="0071034E" w:rsidRPr="00557888">
              <w:rPr>
                <w:rFonts w:ascii="Cambria" w:hAnsi="Cambria"/>
                <w:color w:val="000000" w:themeColor="text1"/>
                <w:sz w:val="18"/>
                <w:szCs w:val="18"/>
                <w:lang w:val="es-ES_tradnl"/>
              </w:rPr>
              <w:t xml:space="preserve"> los cambios para hacer efectiva la legislación contra el racismo</w:t>
            </w:r>
            <w:r w:rsidR="007418C9">
              <w:rPr>
                <w:rFonts w:ascii="Cambria" w:hAnsi="Cambria"/>
                <w:color w:val="000000" w:themeColor="text1"/>
                <w:sz w:val="18"/>
                <w:szCs w:val="18"/>
                <w:lang w:val="es-ES_tradnl"/>
              </w:rPr>
              <w:t xml:space="preserve"> y destacó</w:t>
            </w:r>
            <w:r w:rsidR="0041073B" w:rsidRPr="00557888">
              <w:rPr>
                <w:rFonts w:ascii="Cambria" w:hAnsi="Cambria"/>
                <w:color w:val="000000" w:themeColor="text1"/>
                <w:sz w:val="18"/>
                <w:szCs w:val="18"/>
                <w:lang w:val="es-ES_tradnl"/>
              </w:rPr>
              <w:t xml:space="preserve"> un total de 21 proyect</w:t>
            </w:r>
            <w:r w:rsidR="007418C9">
              <w:rPr>
                <w:rFonts w:ascii="Cambria" w:hAnsi="Cambria"/>
                <w:color w:val="000000" w:themeColor="text1"/>
                <w:sz w:val="18"/>
                <w:szCs w:val="18"/>
                <w:lang w:val="es-ES_tradnl"/>
              </w:rPr>
              <w:t>o</w:t>
            </w:r>
            <w:r w:rsidR="00152754">
              <w:rPr>
                <w:rFonts w:ascii="Cambria" w:hAnsi="Cambria"/>
                <w:color w:val="000000" w:themeColor="text1"/>
                <w:sz w:val="18"/>
                <w:szCs w:val="18"/>
                <w:lang w:val="es-ES_tradnl"/>
              </w:rPr>
              <w:t>s</w:t>
            </w:r>
            <w:r w:rsidR="007418C9">
              <w:rPr>
                <w:rFonts w:ascii="Cambria" w:hAnsi="Cambria"/>
                <w:color w:val="000000" w:themeColor="text1"/>
                <w:sz w:val="18"/>
                <w:szCs w:val="18"/>
                <w:lang w:val="es-ES_tradnl"/>
              </w:rPr>
              <w:t xml:space="preserve"> de </w:t>
            </w:r>
            <w:r w:rsidR="007418C9" w:rsidRPr="00557888">
              <w:rPr>
                <w:rFonts w:ascii="Cambria" w:hAnsi="Cambria"/>
                <w:color w:val="000000" w:themeColor="text1"/>
                <w:sz w:val="18"/>
                <w:szCs w:val="18"/>
                <w:lang w:val="es-ES_tradnl"/>
              </w:rPr>
              <w:t>ley que</w:t>
            </w:r>
            <w:r w:rsidR="0041073B" w:rsidRPr="00557888">
              <w:rPr>
                <w:rFonts w:ascii="Cambria" w:hAnsi="Cambria"/>
                <w:color w:val="000000" w:themeColor="text1"/>
                <w:sz w:val="18"/>
                <w:szCs w:val="18"/>
                <w:lang w:val="es-ES_tradnl"/>
              </w:rPr>
              <w:t xml:space="preserve"> están en trámite en el Congreso Nacional dirigidos a modificar y estandarizar la criminalización del racismo</w:t>
            </w:r>
            <w:r w:rsidR="00152754">
              <w:rPr>
                <w:rFonts w:ascii="Cambria" w:hAnsi="Cambria"/>
                <w:color w:val="000000" w:themeColor="text1"/>
                <w:sz w:val="18"/>
                <w:szCs w:val="18"/>
                <w:lang w:val="es-ES_tradnl"/>
              </w:rPr>
              <w:t xml:space="preserve"> en Brasil. </w:t>
            </w:r>
          </w:p>
          <w:p w14:paraId="3BFA5E4F" w14:textId="77777777" w:rsidR="003C39F7" w:rsidRDefault="003C39F7" w:rsidP="00C11A2F">
            <w:pPr>
              <w:pStyle w:val="NormalWeb"/>
              <w:spacing w:before="0" w:beforeAutospacing="0" w:after="0" w:afterAutospacing="0"/>
              <w:jc w:val="both"/>
              <w:rPr>
                <w:rFonts w:ascii="Cambria" w:hAnsi="Cambria"/>
                <w:color w:val="000000" w:themeColor="text1"/>
                <w:sz w:val="18"/>
                <w:szCs w:val="18"/>
                <w:lang w:val="es-ES_tradnl"/>
              </w:rPr>
            </w:pPr>
          </w:p>
          <w:p w14:paraId="2D7188B7" w14:textId="4FFF7772" w:rsidR="00313CFA" w:rsidRDefault="00CE3B68" w:rsidP="00C11A2F">
            <w:pPr>
              <w:pStyle w:val="NormalWeb"/>
              <w:spacing w:before="0" w:beforeAutospacing="0" w:after="0" w:afterAutospacing="0"/>
              <w:jc w:val="both"/>
              <w:rPr>
                <w:rFonts w:ascii="Cambria" w:hAnsi="Cambria"/>
                <w:color w:val="000000" w:themeColor="text1"/>
                <w:sz w:val="18"/>
                <w:szCs w:val="18"/>
                <w:lang w:val="es-ES_tradnl"/>
              </w:rPr>
            </w:pPr>
            <w:r>
              <w:rPr>
                <w:rFonts w:ascii="Cambria" w:hAnsi="Cambria"/>
                <w:color w:val="000000" w:themeColor="text1"/>
                <w:sz w:val="18"/>
                <w:szCs w:val="18"/>
                <w:lang w:val="es-ES_tradnl"/>
              </w:rPr>
              <w:t>Sobre la decisión de archivo de la investigación, el Estado informó que e</w:t>
            </w:r>
            <w:r w:rsidRPr="00CE3B68">
              <w:rPr>
                <w:rFonts w:ascii="Cambria" w:hAnsi="Cambria"/>
                <w:color w:val="000000" w:themeColor="text1"/>
                <w:sz w:val="18"/>
                <w:szCs w:val="18"/>
                <w:lang w:val="es-ES_tradnl"/>
              </w:rPr>
              <w:t xml:space="preserve">l Consejo Nacional del Ministerio Público (CNMP) explica en el Memorando </w:t>
            </w:r>
            <w:r w:rsidR="00DD4C39">
              <w:rPr>
                <w:rFonts w:ascii="Cambria" w:eastAsia="MS Mincho" w:hAnsi="Cambria"/>
                <w:color w:val="000000" w:themeColor="text1"/>
                <w:sz w:val="20"/>
                <w:szCs w:val="20"/>
                <w:lang w:val="es-ES" w:eastAsia="es-ES"/>
              </w:rPr>
              <w:t>N</w:t>
            </w:r>
            <w:r w:rsidR="00DD4C39" w:rsidRPr="00991CF2">
              <w:rPr>
                <w:rFonts w:ascii="Cambria" w:eastAsia="MS Mincho" w:hAnsi="Cambria"/>
                <w:color w:val="000000" w:themeColor="text1"/>
                <w:sz w:val="20"/>
                <w:szCs w:val="20"/>
                <w:lang w:val="es-ES" w:eastAsia="es-ES"/>
              </w:rPr>
              <w:t>º</w:t>
            </w:r>
            <w:r>
              <w:rPr>
                <w:rFonts w:ascii="Cambria" w:hAnsi="Cambria"/>
                <w:color w:val="000000" w:themeColor="text1"/>
                <w:sz w:val="18"/>
                <w:szCs w:val="18"/>
                <w:lang w:val="es-ES_tradnl"/>
              </w:rPr>
              <w:t xml:space="preserve"> </w:t>
            </w:r>
            <w:r w:rsidRPr="00CE3B68">
              <w:rPr>
                <w:rFonts w:ascii="Cambria" w:hAnsi="Cambria"/>
                <w:color w:val="000000" w:themeColor="text1"/>
                <w:sz w:val="18"/>
                <w:szCs w:val="18"/>
                <w:lang w:val="es-ES_tradnl"/>
              </w:rPr>
              <w:t xml:space="preserve">79/2022/CDDF que la Ley </w:t>
            </w:r>
            <w:r w:rsidR="00DD4C39">
              <w:rPr>
                <w:rFonts w:ascii="Cambria" w:eastAsia="MS Mincho" w:hAnsi="Cambria"/>
                <w:color w:val="000000" w:themeColor="text1"/>
                <w:sz w:val="20"/>
                <w:szCs w:val="20"/>
                <w:lang w:val="es-ES" w:eastAsia="es-ES"/>
              </w:rPr>
              <w:t>N</w:t>
            </w:r>
            <w:r w:rsidR="00DD4C39" w:rsidRPr="00991CF2">
              <w:rPr>
                <w:rFonts w:ascii="Cambria" w:eastAsia="MS Mincho" w:hAnsi="Cambria"/>
                <w:color w:val="000000" w:themeColor="text1"/>
                <w:sz w:val="20"/>
                <w:szCs w:val="20"/>
                <w:lang w:val="es-ES" w:eastAsia="es-ES"/>
              </w:rPr>
              <w:t>º</w:t>
            </w:r>
            <w:r w:rsidRPr="00CE3B68">
              <w:rPr>
                <w:rFonts w:ascii="Cambria" w:hAnsi="Cambria"/>
                <w:color w:val="000000" w:themeColor="text1"/>
                <w:sz w:val="18"/>
                <w:szCs w:val="18"/>
                <w:lang w:val="es-ES_tradnl"/>
              </w:rPr>
              <w:t xml:space="preserve"> 13.964 de diciembre de 2019 modificó ciertos aspectos del Código de Proceso Penal, incluido el artículo 28 sobre el archivo de investigaciones policiales. </w:t>
            </w:r>
          </w:p>
          <w:p w14:paraId="0735B2DF" w14:textId="77777777" w:rsidR="00313CFA" w:rsidRDefault="00313CFA" w:rsidP="00C11A2F">
            <w:pPr>
              <w:pStyle w:val="NormalWeb"/>
              <w:spacing w:before="0" w:beforeAutospacing="0" w:after="0" w:afterAutospacing="0"/>
              <w:jc w:val="both"/>
              <w:rPr>
                <w:rFonts w:ascii="Cambria" w:hAnsi="Cambria"/>
                <w:color w:val="000000" w:themeColor="text1"/>
                <w:sz w:val="18"/>
                <w:szCs w:val="18"/>
                <w:lang w:val="es-ES_tradnl"/>
              </w:rPr>
            </w:pPr>
          </w:p>
          <w:p w14:paraId="01C2DF0B" w14:textId="3E14DD31" w:rsidR="00A606AC" w:rsidRDefault="00CE3B68" w:rsidP="00C11A2F">
            <w:pPr>
              <w:pStyle w:val="NormalWeb"/>
              <w:spacing w:before="0" w:beforeAutospacing="0" w:after="0" w:afterAutospacing="0"/>
              <w:jc w:val="both"/>
              <w:rPr>
                <w:rFonts w:ascii="Cambria" w:hAnsi="Cambria"/>
                <w:color w:val="000000" w:themeColor="text1"/>
                <w:sz w:val="18"/>
                <w:szCs w:val="18"/>
                <w:lang w:val="es-ES_tradnl"/>
              </w:rPr>
            </w:pPr>
            <w:r w:rsidRPr="00CE3B68">
              <w:rPr>
                <w:rFonts w:ascii="Cambria" w:hAnsi="Cambria"/>
                <w:color w:val="000000" w:themeColor="text1"/>
                <w:sz w:val="18"/>
                <w:szCs w:val="18"/>
                <w:lang w:val="es-ES_tradnl"/>
              </w:rPr>
              <w:t xml:space="preserve">Con la nueva redacción, si la víctima no está de acuerdo con el archivo, puede solicitar una revisión en un plazo de 30 días. Sin embargo, el CNMP señala que esta modificación está suspendida debido a una medida cautelar </w:t>
            </w:r>
            <w:r w:rsidR="00313CFA">
              <w:rPr>
                <w:rFonts w:ascii="Cambria" w:hAnsi="Cambria"/>
                <w:color w:val="000000" w:themeColor="text1"/>
                <w:sz w:val="18"/>
                <w:szCs w:val="18"/>
                <w:lang w:val="es-ES_tradnl"/>
              </w:rPr>
              <w:t>vigentes desde</w:t>
            </w:r>
            <w:r w:rsidRPr="00CE3B68">
              <w:rPr>
                <w:rFonts w:ascii="Cambria" w:hAnsi="Cambria"/>
                <w:color w:val="000000" w:themeColor="text1"/>
                <w:sz w:val="18"/>
                <w:szCs w:val="18"/>
                <w:lang w:val="es-ES_tradnl"/>
              </w:rPr>
              <w:t xml:space="preserve"> enero de 2020, y</w:t>
            </w:r>
            <w:r w:rsidR="00313CFA">
              <w:rPr>
                <w:rFonts w:ascii="Cambria" w:hAnsi="Cambria"/>
                <w:color w:val="000000" w:themeColor="text1"/>
                <w:sz w:val="18"/>
                <w:szCs w:val="18"/>
                <w:lang w:val="es-ES_tradnl"/>
              </w:rPr>
              <w:t xml:space="preserve"> que,</w:t>
            </w:r>
            <w:r w:rsidRPr="00CE3B68">
              <w:rPr>
                <w:rFonts w:ascii="Cambria" w:hAnsi="Cambria"/>
                <w:color w:val="000000" w:themeColor="text1"/>
                <w:sz w:val="18"/>
                <w:szCs w:val="18"/>
                <w:lang w:val="es-ES_tradnl"/>
              </w:rPr>
              <w:t xml:space="preserve"> mientras esté suspendida, las decisiones judiciales de archivo del Ministerio Público </w:t>
            </w:r>
            <w:r>
              <w:rPr>
                <w:rFonts w:ascii="Cambria" w:hAnsi="Cambria"/>
                <w:color w:val="000000" w:themeColor="text1"/>
                <w:sz w:val="18"/>
                <w:szCs w:val="18"/>
                <w:lang w:val="es-ES_tradnl"/>
              </w:rPr>
              <w:t>son irrecurribles.</w:t>
            </w:r>
            <w:r w:rsidR="007D1E93">
              <w:rPr>
                <w:rFonts w:ascii="Cambria" w:hAnsi="Cambria"/>
                <w:color w:val="000000" w:themeColor="text1"/>
                <w:sz w:val="18"/>
                <w:szCs w:val="18"/>
                <w:lang w:val="es-ES_tradnl"/>
              </w:rPr>
              <w:t xml:space="preserve"> </w:t>
            </w:r>
            <w:r w:rsidR="007D38A7">
              <w:rPr>
                <w:rFonts w:ascii="Cambria" w:hAnsi="Cambria"/>
                <w:color w:val="000000" w:themeColor="text1"/>
                <w:sz w:val="18"/>
                <w:szCs w:val="18"/>
                <w:lang w:val="es-ES_tradnl"/>
              </w:rPr>
              <w:t xml:space="preserve">El Estado informó que no hubo cambios en el proceso legislativo </w:t>
            </w:r>
            <w:r w:rsidR="0091268F">
              <w:rPr>
                <w:rFonts w:ascii="Cambria" w:hAnsi="Cambria"/>
                <w:color w:val="000000" w:themeColor="text1"/>
                <w:sz w:val="18"/>
                <w:szCs w:val="18"/>
                <w:lang w:val="es-ES_tradnl"/>
              </w:rPr>
              <w:t>del proyecto de ley que tipifica el crimen de injuria racial colectiva</w:t>
            </w:r>
            <w:r w:rsidR="009D5EC8">
              <w:rPr>
                <w:rFonts w:ascii="Cambria" w:hAnsi="Cambria"/>
                <w:color w:val="000000" w:themeColor="text1"/>
                <w:sz w:val="18"/>
                <w:szCs w:val="18"/>
                <w:lang w:val="es-ES_tradnl"/>
              </w:rPr>
              <w:t xml:space="preserve"> que torna incondicional la acción penal pública en estos casos.</w:t>
            </w:r>
            <w:r w:rsidR="006F41C7">
              <w:rPr>
                <w:rFonts w:ascii="Cambria" w:hAnsi="Cambria"/>
                <w:color w:val="000000" w:themeColor="text1"/>
                <w:sz w:val="18"/>
                <w:szCs w:val="18"/>
                <w:lang w:val="es-ES_tradnl"/>
              </w:rPr>
              <w:t xml:space="preserve"> Sin embargo, el Estado mencion</w:t>
            </w:r>
            <w:r w:rsidR="007B126B">
              <w:rPr>
                <w:rFonts w:ascii="Cambria" w:hAnsi="Cambria"/>
                <w:color w:val="000000" w:themeColor="text1"/>
                <w:sz w:val="18"/>
                <w:szCs w:val="18"/>
                <w:lang w:val="es-ES_tradnl"/>
              </w:rPr>
              <w:t>ó</w:t>
            </w:r>
            <w:r w:rsidR="006F41C7">
              <w:rPr>
                <w:rFonts w:ascii="Cambria" w:hAnsi="Cambria"/>
                <w:color w:val="000000" w:themeColor="text1"/>
                <w:sz w:val="18"/>
                <w:szCs w:val="18"/>
                <w:lang w:val="es-ES_tradnl"/>
              </w:rPr>
              <w:t xml:space="preserve"> la reformulación de la Ley de Cuotas en la enseñanza pública federal</w:t>
            </w:r>
            <w:r w:rsidR="00D34A53">
              <w:rPr>
                <w:rFonts w:ascii="Cambria" w:hAnsi="Cambria"/>
                <w:color w:val="000000" w:themeColor="text1"/>
                <w:sz w:val="18"/>
                <w:szCs w:val="18"/>
                <w:lang w:val="es-ES_tradnl"/>
              </w:rPr>
              <w:t xml:space="preserve">, </w:t>
            </w:r>
            <w:r w:rsidR="007B126B">
              <w:rPr>
                <w:rFonts w:ascii="Cambria" w:hAnsi="Cambria"/>
                <w:color w:val="000000" w:themeColor="text1"/>
                <w:sz w:val="18"/>
                <w:szCs w:val="18"/>
                <w:lang w:val="es-ES_tradnl"/>
              </w:rPr>
              <w:t>dejándola</w:t>
            </w:r>
            <w:r w:rsidR="001D2612">
              <w:rPr>
                <w:rFonts w:ascii="Cambria" w:hAnsi="Cambria"/>
                <w:color w:val="000000" w:themeColor="text1"/>
                <w:sz w:val="18"/>
                <w:szCs w:val="18"/>
                <w:lang w:val="es-ES_tradnl"/>
              </w:rPr>
              <w:t xml:space="preserve"> vigente por tiempo indeterminado y </w:t>
            </w:r>
            <w:r w:rsidR="007B126B">
              <w:rPr>
                <w:rFonts w:ascii="Cambria" w:hAnsi="Cambria"/>
                <w:color w:val="000000" w:themeColor="text1"/>
                <w:sz w:val="18"/>
                <w:szCs w:val="18"/>
                <w:lang w:val="es-ES_tradnl"/>
              </w:rPr>
              <w:t>ampliándola</w:t>
            </w:r>
            <w:r w:rsidR="001D2612">
              <w:rPr>
                <w:rFonts w:ascii="Cambria" w:hAnsi="Cambria"/>
                <w:color w:val="000000" w:themeColor="text1"/>
                <w:sz w:val="18"/>
                <w:szCs w:val="18"/>
                <w:lang w:val="es-ES_tradnl"/>
              </w:rPr>
              <w:t xml:space="preserve"> para personas de comunidades quilombolas.</w:t>
            </w:r>
          </w:p>
          <w:p w14:paraId="5D06DC10" w14:textId="77777777" w:rsidR="00C11A2F" w:rsidRDefault="00C11A2F" w:rsidP="00C11A2F">
            <w:pPr>
              <w:jc w:val="both"/>
              <w:rPr>
                <w:rFonts w:ascii="Cambria" w:hAnsi="Cambria"/>
                <w:b/>
                <w:bCs/>
                <w:sz w:val="18"/>
                <w:szCs w:val="18"/>
                <w:lang w:val="es-ES"/>
              </w:rPr>
            </w:pPr>
          </w:p>
          <w:p w14:paraId="5C8226E0" w14:textId="77F2A10A" w:rsidR="00D2337E" w:rsidRPr="00F93C22" w:rsidRDefault="00D2337E" w:rsidP="00C11A2F">
            <w:pPr>
              <w:jc w:val="both"/>
              <w:rPr>
                <w:rFonts w:ascii="Cambria" w:hAnsi="Cambria"/>
                <w:sz w:val="18"/>
                <w:szCs w:val="18"/>
                <w:lang w:val="es-ES"/>
              </w:rPr>
            </w:pPr>
            <w:r w:rsidRPr="00F93C22">
              <w:rPr>
                <w:rFonts w:ascii="Cambria" w:hAnsi="Cambria"/>
                <w:b/>
                <w:bCs/>
                <w:sz w:val="18"/>
                <w:szCs w:val="18"/>
                <w:lang w:val="es-ES"/>
              </w:rPr>
              <w:t>Información de la parte peticionaria en 2023:</w:t>
            </w:r>
            <w:r w:rsidRPr="00F93C22">
              <w:rPr>
                <w:rFonts w:ascii="Cambria" w:hAnsi="Cambria"/>
                <w:color w:val="FF0000"/>
                <w:sz w:val="18"/>
                <w:szCs w:val="18"/>
                <w:lang w:val="es-ES"/>
              </w:rPr>
              <w:t xml:space="preserve"> </w:t>
            </w:r>
            <w:r w:rsidR="004C458A" w:rsidRPr="00477713">
              <w:rPr>
                <w:rFonts w:ascii="Cambria" w:hAnsi="Cambria" w:cs="Cambria"/>
                <w:sz w:val="18"/>
                <w:szCs w:val="18"/>
                <w:lang w:val="es-ES_tradnl"/>
              </w:rPr>
              <w:t xml:space="preserve">La parte peticionaria informó que el Estado no habría implementado medidas de cumplimiento de </w:t>
            </w:r>
            <w:r w:rsidR="007B126B">
              <w:rPr>
                <w:rFonts w:ascii="Cambria" w:hAnsi="Cambria" w:cs="Cambria"/>
                <w:sz w:val="18"/>
                <w:szCs w:val="18"/>
                <w:lang w:val="es-ES_tradnl"/>
              </w:rPr>
              <w:t>esta recomendación</w:t>
            </w:r>
            <w:r w:rsidR="004C458A" w:rsidRPr="00477713">
              <w:rPr>
                <w:rFonts w:ascii="Cambria" w:hAnsi="Cambria" w:cs="Cambria"/>
                <w:sz w:val="18"/>
                <w:szCs w:val="18"/>
                <w:lang w:val="es-ES_tradnl"/>
              </w:rPr>
              <w:t>.</w:t>
            </w:r>
          </w:p>
          <w:p w14:paraId="0B97630A" w14:textId="439C414E" w:rsidR="00B206E4" w:rsidRPr="00F93C22" w:rsidRDefault="00B206E4" w:rsidP="00C11A2F">
            <w:pPr>
              <w:jc w:val="both"/>
              <w:rPr>
                <w:rFonts w:ascii="Cambria" w:hAnsi="Cambria"/>
                <w:sz w:val="18"/>
                <w:szCs w:val="18"/>
                <w:lang w:val="es-ES"/>
              </w:rPr>
            </w:pPr>
          </w:p>
        </w:tc>
        <w:tc>
          <w:tcPr>
            <w:tcW w:w="4590" w:type="dxa"/>
            <w:gridSpan w:val="2"/>
            <w:shd w:val="clear" w:color="auto" w:fill="F2F2F2" w:themeFill="background1" w:themeFillShade="F2"/>
          </w:tcPr>
          <w:p w14:paraId="455880D3" w14:textId="77777777" w:rsidR="00C11A2F" w:rsidRDefault="00C11A2F" w:rsidP="00C11A2F">
            <w:pPr>
              <w:pStyle w:val="ListParagraph"/>
              <w:ind w:left="0"/>
              <w:jc w:val="both"/>
              <w:rPr>
                <w:rFonts w:ascii="Cambria" w:hAnsi="Cambria"/>
                <w:b/>
                <w:sz w:val="18"/>
                <w:szCs w:val="18"/>
                <w:lang w:val="es-ES"/>
              </w:rPr>
            </w:pPr>
          </w:p>
          <w:p w14:paraId="63910B8D" w14:textId="09AC2392" w:rsidR="005C454D" w:rsidRDefault="00D2337E" w:rsidP="00537CA6">
            <w:pPr>
              <w:pStyle w:val="ListParagraph"/>
              <w:ind w:left="0"/>
              <w:jc w:val="both"/>
              <w:rPr>
                <w:rFonts w:ascii="Cambria" w:hAnsi="Cambria"/>
                <w:sz w:val="18"/>
                <w:szCs w:val="18"/>
                <w:lang w:val="es-ES"/>
              </w:rPr>
            </w:pPr>
            <w:r w:rsidRPr="00F93C22">
              <w:rPr>
                <w:rFonts w:ascii="Cambria" w:hAnsi="Cambria"/>
                <w:b/>
                <w:sz w:val="18"/>
                <w:szCs w:val="18"/>
                <w:lang w:val="es-ES"/>
              </w:rPr>
              <w:t>Análisis de cumplimiento</w:t>
            </w:r>
            <w:r w:rsidRPr="00537CA6">
              <w:rPr>
                <w:rFonts w:ascii="Cambria" w:hAnsi="Cambria"/>
                <w:b/>
                <w:sz w:val="18"/>
                <w:szCs w:val="18"/>
                <w:lang w:val="es-ES"/>
              </w:rPr>
              <w:t>:</w:t>
            </w:r>
            <w:r w:rsidRPr="00537CA6">
              <w:rPr>
                <w:rFonts w:ascii="Cambria" w:hAnsi="Cambria"/>
                <w:sz w:val="18"/>
                <w:szCs w:val="18"/>
                <w:lang w:val="es-ES"/>
              </w:rPr>
              <w:t xml:space="preserve"> </w:t>
            </w:r>
            <w:r w:rsidR="007267BD" w:rsidRPr="00537CA6">
              <w:rPr>
                <w:rFonts w:ascii="Cambria" w:hAnsi="Cambria"/>
                <w:sz w:val="18"/>
                <w:szCs w:val="18"/>
                <w:lang w:val="es-ES"/>
              </w:rPr>
              <w:t xml:space="preserve">La CIDH valora los esfuerzos legislativos adoptados por el Estado para modificar y homologar la tipificación de los crímenes de racismo y su voluntad para implementar medidas dirigidas a combatir los actos de discriminación racial. </w:t>
            </w:r>
          </w:p>
          <w:p w14:paraId="54F72E80" w14:textId="77777777" w:rsidR="005C454D" w:rsidRDefault="005C454D" w:rsidP="00537CA6">
            <w:pPr>
              <w:pStyle w:val="ListParagraph"/>
              <w:ind w:left="0"/>
              <w:jc w:val="both"/>
              <w:rPr>
                <w:rFonts w:ascii="Cambria" w:hAnsi="Cambria"/>
                <w:sz w:val="18"/>
                <w:szCs w:val="18"/>
                <w:lang w:val="es-ES"/>
              </w:rPr>
            </w:pPr>
          </w:p>
          <w:p w14:paraId="07547A01" w14:textId="32C7CAF4" w:rsidR="00FE5D49" w:rsidRPr="00D76BED" w:rsidRDefault="004A312A" w:rsidP="00537CA6">
            <w:pPr>
              <w:pStyle w:val="ListParagraph"/>
              <w:ind w:left="0"/>
              <w:jc w:val="both"/>
              <w:rPr>
                <w:rFonts w:ascii="Cambria" w:hAnsi="Cambria"/>
                <w:sz w:val="18"/>
                <w:szCs w:val="18"/>
                <w:lang w:val="es-ES"/>
              </w:rPr>
            </w:pPr>
            <w:r>
              <w:rPr>
                <w:rFonts w:ascii="Cambria" w:hAnsi="Cambria"/>
                <w:sz w:val="18"/>
                <w:szCs w:val="18"/>
                <w:lang w:val="es-ES"/>
              </w:rPr>
              <w:t>Al</w:t>
            </w:r>
            <w:r w:rsidR="007267BD" w:rsidRPr="00537CA6">
              <w:rPr>
                <w:rFonts w:ascii="Cambria" w:hAnsi="Cambria"/>
                <w:sz w:val="18"/>
                <w:szCs w:val="18"/>
                <w:lang w:val="es-ES"/>
              </w:rPr>
              <w:t xml:space="preserve"> observa</w:t>
            </w:r>
            <w:r>
              <w:rPr>
                <w:rFonts w:ascii="Cambria" w:hAnsi="Cambria"/>
                <w:sz w:val="18"/>
                <w:szCs w:val="18"/>
                <w:lang w:val="es-ES"/>
              </w:rPr>
              <w:t>r</w:t>
            </w:r>
            <w:r w:rsidR="007267BD" w:rsidRPr="00537CA6">
              <w:rPr>
                <w:rFonts w:ascii="Cambria" w:hAnsi="Cambria"/>
                <w:sz w:val="18"/>
                <w:szCs w:val="18"/>
                <w:lang w:val="es-ES"/>
              </w:rPr>
              <w:t xml:space="preserve"> que dichas iniciativas aún se encuentran pendientes de aprobación ante las autoridades legislativas</w:t>
            </w:r>
            <w:r w:rsidR="001D1BA1">
              <w:rPr>
                <w:rFonts w:ascii="Cambria" w:hAnsi="Cambria"/>
                <w:sz w:val="18"/>
                <w:szCs w:val="18"/>
                <w:lang w:val="es-ES"/>
              </w:rPr>
              <w:t>,</w:t>
            </w:r>
            <w:r w:rsidR="007267BD" w:rsidRPr="00537CA6">
              <w:rPr>
                <w:rFonts w:ascii="Cambria" w:hAnsi="Cambria"/>
                <w:sz w:val="18"/>
                <w:szCs w:val="18"/>
                <w:lang w:val="es-ES"/>
              </w:rPr>
              <w:t xml:space="preserve"> invita al Estado a </w:t>
            </w:r>
            <w:r w:rsidR="001D1BA1">
              <w:rPr>
                <w:rFonts w:ascii="Cambria" w:hAnsi="Cambria"/>
                <w:sz w:val="18"/>
                <w:szCs w:val="18"/>
                <w:lang w:val="es-ES"/>
              </w:rPr>
              <w:t>actualizar cualquier avance en su</w:t>
            </w:r>
            <w:r w:rsidR="007267BD" w:rsidRPr="00537CA6">
              <w:rPr>
                <w:rFonts w:ascii="Cambria" w:hAnsi="Cambria"/>
                <w:sz w:val="18"/>
                <w:szCs w:val="18"/>
                <w:lang w:val="es-ES"/>
              </w:rPr>
              <w:t xml:space="preserve"> aprobación e implementación. </w:t>
            </w:r>
            <w:r w:rsidR="007267BD" w:rsidRPr="00537CA6">
              <w:rPr>
                <w:rFonts w:ascii="Cambria" w:hAnsi="Cambria" w:cs="Cambria"/>
                <w:sz w:val="18"/>
                <w:szCs w:val="18"/>
                <w:lang w:val="es-ES_tradnl"/>
              </w:rPr>
              <w:t>En razón de lo anterior, la CIDH concluye que la recomendación contin</w:t>
            </w:r>
            <w:r w:rsidR="009161EE">
              <w:rPr>
                <w:rFonts w:ascii="Cambria" w:hAnsi="Cambria" w:cs="Cambria"/>
                <w:sz w:val="18"/>
                <w:szCs w:val="18"/>
                <w:lang w:val="es-ES_tradnl"/>
              </w:rPr>
              <w:t>ú</w:t>
            </w:r>
            <w:r w:rsidR="007267BD" w:rsidRPr="00537CA6">
              <w:rPr>
                <w:rFonts w:ascii="Cambria" w:hAnsi="Cambria" w:cs="Cambria"/>
                <w:sz w:val="18"/>
                <w:szCs w:val="18"/>
                <w:lang w:val="es-ES_tradnl"/>
              </w:rPr>
              <w:t xml:space="preserve">a </w:t>
            </w:r>
            <w:r w:rsidR="007267BD" w:rsidRPr="00537CA6">
              <w:rPr>
                <w:rFonts w:ascii="Cambria" w:hAnsi="Cambria" w:cs="Cambria"/>
                <w:b/>
                <w:bCs/>
                <w:sz w:val="18"/>
                <w:szCs w:val="18"/>
                <w:lang w:val="es-ES_tradnl"/>
              </w:rPr>
              <w:t>parcialmente cumplida</w:t>
            </w:r>
            <w:r w:rsidR="007267BD" w:rsidRPr="00537CA6">
              <w:rPr>
                <w:rFonts w:ascii="Cambria" w:hAnsi="Cambria" w:cs="Cambria"/>
                <w:sz w:val="18"/>
                <w:szCs w:val="18"/>
                <w:lang w:val="es-ES_tradnl"/>
              </w:rPr>
              <w:t>.</w:t>
            </w:r>
          </w:p>
        </w:tc>
      </w:tr>
      <w:tr w:rsidR="00D2337E" w:rsidRPr="00F93C22" w14:paraId="4387F216" w14:textId="77777777" w:rsidTr="0099550C">
        <w:tc>
          <w:tcPr>
            <w:tcW w:w="9649" w:type="dxa"/>
            <w:gridSpan w:val="3"/>
            <w:shd w:val="clear" w:color="auto" w:fill="D9D9D9" w:themeFill="background1" w:themeFillShade="D9"/>
          </w:tcPr>
          <w:p w14:paraId="04337455" w14:textId="77777777" w:rsidR="008F016C" w:rsidRDefault="008F016C" w:rsidP="00C11A2F">
            <w:pPr>
              <w:jc w:val="both"/>
              <w:rPr>
                <w:rFonts w:ascii="Cambria" w:hAnsi="Cambria"/>
                <w:b/>
                <w:sz w:val="18"/>
                <w:szCs w:val="18"/>
                <w:lang w:val="es-ES"/>
              </w:rPr>
            </w:pPr>
          </w:p>
          <w:p w14:paraId="531221C8" w14:textId="4DEFD10B" w:rsidR="00D2337E" w:rsidRDefault="00D2337E" w:rsidP="00C11A2F">
            <w:pPr>
              <w:jc w:val="both"/>
              <w:rPr>
                <w:rFonts w:ascii="Cambria" w:hAnsi="Cambria"/>
                <w:b/>
                <w:sz w:val="18"/>
                <w:szCs w:val="18"/>
                <w:lang w:val="es-ES"/>
              </w:rPr>
            </w:pPr>
            <w:r w:rsidRPr="00F93C22">
              <w:rPr>
                <w:rFonts w:ascii="Cambria" w:hAnsi="Cambria"/>
                <w:b/>
                <w:sz w:val="18"/>
                <w:szCs w:val="18"/>
                <w:lang w:val="es-ES"/>
              </w:rPr>
              <w:t xml:space="preserve">Medidas relevantes de cumplimiento </w:t>
            </w:r>
            <w:r w:rsidR="00D76BED">
              <w:rPr>
                <w:rFonts w:ascii="Cambria" w:hAnsi="Cambria" w:cs="Cambria"/>
                <w:b/>
                <w:bCs/>
                <w:sz w:val="18"/>
                <w:szCs w:val="18"/>
                <w:lang w:val="pt-BR"/>
              </w:rPr>
              <w:t>informadas</w:t>
            </w:r>
            <w:r w:rsidRPr="00F93C22">
              <w:rPr>
                <w:rFonts w:ascii="Cambria" w:hAnsi="Cambria"/>
                <w:b/>
                <w:sz w:val="18"/>
                <w:szCs w:val="18"/>
                <w:lang w:val="es-ES"/>
              </w:rPr>
              <w:t xml:space="preserve"> en 2023:</w:t>
            </w:r>
          </w:p>
          <w:p w14:paraId="5C331FC9" w14:textId="77777777" w:rsidR="00464E73" w:rsidRPr="00F93C22" w:rsidRDefault="00464E73" w:rsidP="00C11A2F">
            <w:pPr>
              <w:jc w:val="both"/>
              <w:rPr>
                <w:rFonts w:ascii="Cambria" w:hAnsi="Cambria"/>
                <w:b/>
                <w:sz w:val="18"/>
                <w:szCs w:val="18"/>
                <w:lang w:val="es-ES"/>
              </w:rPr>
            </w:pPr>
          </w:p>
          <w:p w14:paraId="0EBA5BF8" w14:textId="77777777" w:rsidR="00D2337E" w:rsidRPr="008F016C" w:rsidRDefault="00A72D31" w:rsidP="00C11A2F">
            <w:pPr>
              <w:pStyle w:val="ListParagraph"/>
              <w:numPr>
                <w:ilvl w:val="0"/>
                <w:numId w:val="2"/>
              </w:numPr>
              <w:jc w:val="both"/>
              <w:rPr>
                <w:rFonts w:ascii="Cambria" w:hAnsi="Cambria"/>
                <w:b/>
                <w:sz w:val="18"/>
                <w:szCs w:val="18"/>
                <w:lang w:val="es-ES"/>
              </w:rPr>
            </w:pPr>
            <w:r>
              <w:rPr>
                <w:rFonts w:ascii="Cambria" w:hAnsi="Cambria"/>
                <w:color w:val="000000" w:themeColor="text1"/>
                <w:sz w:val="18"/>
                <w:szCs w:val="18"/>
                <w:lang w:val="es-ES"/>
              </w:rPr>
              <w:t>Reformulación de la Ley de Cuotas para ingreso en las instituciones federales de educación.</w:t>
            </w:r>
          </w:p>
          <w:p w14:paraId="03EEC1FB" w14:textId="4502927B" w:rsidR="008F016C" w:rsidRPr="00F93C22" w:rsidRDefault="008F016C" w:rsidP="008F016C">
            <w:pPr>
              <w:pStyle w:val="ListParagraph"/>
              <w:ind w:left="360"/>
              <w:jc w:val="both"/>
              <w:rPr>
                <w:rFonts w:ascii="Cambria" w:hAnsi="Cambria"/>
                <w:b/>
                <w:sz w:val="18"/>
                <w:szCs w:val="18"/>
                <w:lang w:val="es-ES"/>
              </w:rPr>
            </w:pPr>
          </w:p>
        </w:tc>
      </w:tr>
    </w:tbl>
    <w:p w14:paraId="364909E1" w14:textId="77777777" w:rsidR="001D1BA1" w:rsidRDefault="001D1BA1" w:rsidP="00C11A2F">
      <w:pPr>
        <w:pStyle w:val="ListParagraph"/>
        <w:spacing w:after="0" w:line="240" w:lineRule="auto"/>
        <w:ind w:left="360"/>
        <w:jc w:val="both"/>
        <w:rPr>
          <w:rFonts w:ascii="Cambria" w:hAnsi="Cambria"/>
          <w:b/>
          <w:sz w:val="20"/>
          <w:lang w:val="es-ES"/>
        </w:rPr>
      </w:pPr>
    </w:p>
    <w:p w14:paraId="661CB5FD" w14:textId="77777777" w:rsidR="00762D01" w:rsidRDefault="00762D01" w:rsidP="00C11A2F">
      <w:pPr>
        <w:pStyle w:val="ListParagraph"/>
        <w:spacing w:after="0" w:line="240" w:lineRule="auto"/>
        <w:ind w:left="360"/>
        <w:jc w:val="both"/>
        <w:rPr>
          <w:rFonts w:ascii="Cambria" w:hAnsi="Cambria"/>
          <w:b/>
          <w:sz w:val="20"/>
          <w:lang w:val="es-ES"/>
        </w:rPr>
      </w:pPr>
    </w:p>
    <w:p w14:paraId="42E7285E" w14:textId="77777777" w:rsidR="00762D01" w:rsidRDefault="00762D01" w:rsidP="00C11A2F">
      <w:pPr>
        <w:pStyle w:val="ListParagraph"/>
        <w:spacing w:after="0" w:line="240" w:lineRule="auto"/>
        <w:ind w:left="360"/>
        <w:jc w:val="both"/>
        <w:rPr>
          <w:rFonts w:ascii="Cambria" w:hAnsi="Cambria"/>
          <w:b/>
          <w:sz w:val="20"/>
          <w:lang w:val="es-ES"/>
        </w:rPr>
      </w:pPr>
    </w:p>
    <w:p w14:paraId="06DCB86A" w14:textId="77777777" w:rsidR="00762D01" w:rsidRPr="00F93C22" w:rsidRDefault="00762D01" w:rsidP="00C11A2F">
      <w:pPr>
        <w:pStyle w:val="ListParagraph"/>
        <w:spacing w:after="0" w:line="240" w:lineRule="auto"/>
        <w:ind w:left="360"/>
        <w:jc w:val="both"/>
        <w:rPr>
          <w:rFonts w:ascii="Cambria" w:hAnsi="Cambria"/>
          <w:b/>
          <w:sz w:val="20"/>
          <w:lang w:val="es-ES"/>
        </w:rPr>
      </w:pPr>
    </w:p>
    <w:p w14:paraId="2927D745" w14:textId="77777777" w:rsidR="00D2337E" w:rsidRPr="00F93C22" w:rsidRDefault="00005413" w:rsidP="00C11A2F">
      <w:pPr>
        <w:pStyle w:val="ListParagraph"/>
        <w:numPr>
          <w:ilvl w:val="0"/>
          <w:numId w:val="3"/>
        </w:numPr>
        <w:spacing w:after="0" w:line="240" w:lineRule="auto"/>
        <w:jc w:val="both"/>
        <w:rPr>
          <w:rFonts w:ascii="Cambria" w:hAnsi="Cambria"/>
          <w:b/>
          <w:sz w:val="20"/>
          <w:lang w:val="es-ES"/>
        </w:rPr>
      </w:pPr>
      <w:r w:rsidRPr="00F93C22">
        <w:rPr>
          <w:rFonts w:ascii="Cambria" w:hAnsi="Cambria"/>
          <w:b/>
          <w:sz w:val="20"/>
          <w:lang w:val="es-ES"/>
        </w:rPr>
        <w:t>Sexta recomendación</w:t>
      </w:r>
    </w:p>
    <w:p w14:paraId="07459315" w14:textId="77777777" w:rsidR="00005413" w:rsidRPr="00F93C22" w:rsidRDefault="00005413" w:rsidP="00C11A2F">
      <w:pPr>
        <w:pStyle w:val="ListParagraph"/>
        <w:spacing w:after="0" w:line="240" w:lineRule="auto"/>
        <w:ind w:left="360"/>
        <w:jc w:val="both"/>
        <w:rPr>
          <w:rFonts w:ascii="Cambria" w:hAnsi="Cambria"/>
          <w:b/>
          <w:sz w:val="20"/>
          <w:lang w:val="es-ES"/>
        </w:rPr>
      </w:pPr>
    </w:p>
    <w:tbl>
      <w:tblPr>
        <w:tblStyle w:val="TableGrid"/>
        <w:tblW w:w="96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2250"/>
        <w:gridCol w:w="2340"/>
      </w:tblGrid>
      <w:tr w:rsidR="00005413" w:rsidRPr="00F93C22" w14:paraId="798CA129" w14:textId="77777777" w:rsidTr="0099550C">
        <w:tc>
          <w:tcPr>
            <w:tcW w:w="7309" w:type="dxa"/>
            <w:gridSpan w:val="2"/>
            <w:shd w:val="clear" w:color="auto" w:fill="B4C6E7" w:themeFill="accent5" w:themeFillTint="66"/>
          </w:tcPr>
          <w:p w14:paraId="75145217" w14:textId="77777777" w:rsidR="00C11A2F" w:rsidRDefault="00C11A2F" w:rsidP="00C11A2F">
            <w:pPr>
              <w:pStyle w:val="ListParagraph"/>
              <w:ind w:left="0"/>
              <w:jc w:val="both"/>
              <w:rPr>
                <w:rFonts w:ascii="Cambria" w:hAnsi="Cambria"/>
                <w:b/>
                <w:bCs/>
                <w:sz w:val="18"/>
                <w:szCs w:val="18"/>
                <w:lang w:val="es-ES"/>
              </w:rPr>
            </w:pPr>
          </w:p>
          <w:p w14:paraId="7CD68812" w14:textId="77777777" w:rsidR="00005413" w:rsidRDefault="00005413" w:rsidP="00C11A2F">
            <w:pPr>
              <w:pStyle w:val="ListParagraph"/>
              <w:ind w:left="0"/>
              <w:jc w:val="both"/>
              <w:rPr>
                <w:rFonts w:ascii="Cambria" w:hAnsi="Cambria"/>
                <w:b/>
                <w:color w:val="000000" w:themeColor="text1"/>
                <w:sz w:val="18"/>
                <w:szCs w:val="18"/>
                <w:lang w:val="es-ES" w:eastAsia="pt-BR"/>
              </w:rPr>
            </w:pPr>
            <w:r w:rsidRPr="00F93C22">
              <w:rPr>
                <w:rFonts w:ascii="Cambria" w:hAnsi="Cambria"/>
                <w:b/>
                <w:bCs/>
                <w:sz w:val="18"/>
                <w:szCs w:val="18"/>
                <w:lang w:val="es-ES"/>
              </w:rPr>
              <w:t xml:space="preserve">Recomendación </w:t>
            </w:r>
            <w:r w:rsidR="00D33AAC" w:rsidRPr="00F93C22">
              <w:rPr>
                <w:rFonts w:ascii="Cambria" w:hAnsi="Cambria"/>
                <w:b/>
                <w:bCs/>
                <w:sz w:val="18"/>
                <w:szCs w:val="18"/>
                <w:lang w:val="es-ES"/>
              </w:rPr>
              <w:t>6</w:t>
            </w:r>
            <w:r w:rsidRPr="00F93C22">
              <w:rPr>
                <w:rFonts w:ascii="Cambria" w:hAnsi="Cambria"/>
                <w:b/>
                <w:bCs/>
                <w:sz w:val="18"/>
                <w:szCs w:val="18"/>
                <w:lang w:val="es-ES"/>
              </w:rPr>
              <w:t xml:space="preserve">. </w:t>
            </w:r>
            <w:r w:rsidRPr="00F93C22">
              <w:rPr>
                <w:rFonts w:ascii="Cambria" w:hAnsi="Cambria"/>
                <w:b/>
                <w:color w:val="000000" w:themeColor="text1"/>
                <w:sz w:val="18"/>
                <w:szCs w:val="18"/>
                <w:lang w:val="es-ES" w:eastAsia="pt-BR"/>
              </w:rPr>
              <w:t>Realizar una investigación completa, imparcial y efectiva de los hechos, con el objetivo de establecer y sancionar la responsabilidad respecto de los hechos relacionados con la discriminación racial sufrida por Simone André Diniz.</w:t>
            </w:r>
          </w:p>
          <w:p w14:paraId="130909C6" w14:textId="6B35413B" w:rsidR="00C11A2F" w:rsidRPr="00F93C22" w:rsidRDefault="00C11A2F" w:rsidP="00C11A2F">
            <w:pPr>
              <w:pStyle w:val="ListParagraph"/>
              <w:ind w:left="0"/>
              <w:jc w:val="both"/>
              <w:rPr>
                <w:rFonts w:ascii="Cambria" w:hAnsi="Cambria"/>
                <w:b/>
                <w:bCs/>
                <w:sz w:val="18"/>
                <w:szCs w:val="18"/>
                <w:lang w:val="es-ES"/>
              </w:rPr>
            </w:pPr>
          </w:p>
        </w:tc>
        <w:tc>
          <w:tcPr>
            <w:tcW w:w="2340" w:type="dxa"/>
            <w:shd w:val="clear" w:color="auto" w:fill="B4C6E7" w:themeFill="accent5" w:themeFillTint="66"/>
          </w:tcPr>
          <w:p w14:paraId="711B8942" w14:textId="77777777" w:rsidR="006C02F4" w:rsidRDefault="006C02F4" w:rsidP="00C11A2F">
            <w:pPr>
              <w:jc w:val="center"/>
              <w:rPr>
                <w:rFonts w:ascii="Cambria" w:hAnsi="Cambria"/>
                <w:b/>
                <w:bCs/>
                <w:sz w:val="18"/>
                <w:szCs w:val="18"/>
                <w:lang w:val="es-ES"/>
              </w:rPr>
            </w:pPr>
          </w:p>
          <w:p w14:paraId="2A1B527C" w14:textId="0B0AF51B" w:rsidR="00005413" w:rsidRPr="00F93C22" w:rsidRDefault="00F32F57" w:rsidP="00C11A2F">
            <w:pPr>
              <w:jc w:val="center"/>
              <w:rPr>
                <w:rFonts w:ascii="Cambria" w:hAnsi="Cambria"/>
                <w:b/>
                <w:bCs/>
                <w:sz w:val="18"/>
                <w:szCs w:val="18"/>
                <w:lang w:val="es-ES"/>
              </w:rPr>
            </w:pPr>
            <w:r>
              <w:rPr>
                <w:rFonts w:ascii="Cambria" w:hAnsi="Cambria"/>
                <w:b/>
                <w:bCs/>
                <w:sz w:val="18"/>
                <w:szCs w:val="18"/>
                <w:lang w:val="es-ES"/>
              </w:rPr>
              <w:t>Incumplimiento</w:t>
            </w:r>
          </w:p>
          <w:p w14:paraId="6537F28F" w14:textId="77777777" w:rsidR="00005413" w:rsidRPr="00F93C22" w:rsidRDefault="00005413" w:rsidP="00C11A2F">
            <w:pPr>
              <w:pStyle w:val="ListParagraph"/>
              <w:ind w:left="0"/>
              <w:jc w:val="center"/>
              <w:rPr>
                <w:rFonts w:ascii="Cambria" w:hAnsi="Cambria"/>
                <w:b/>
                <w:bCs/>
                <w:sz w:val="18"/>
                <w:szCs w:val="18"/>
                <w:lang w:val="es-ES"/>
              </w:rPr>
            </w:pPr>
          </w:p>
        </w:tc>
      </w:tr>
      <w:tr w:rsidR="00005413" w:rsidRPr="00F93C22" w14:paraId="4A0447D5" w14:textId="77777777" w:rsidTr="0099550C">
        <w:tc>
          <w:tcPr>
            <w:tcW w:w="5059" w:type="dxa"/>
            <w:shd w:val="clear" w:color="auto" w:fill="F2F2F2" w:themeFill="background1" w:themeFillShade="F2"/>
          </w:tcPr>
          <w:p w14:paraId="6DFB9E20" w14:textId="77777777" w:rsidR="00005413" w:rsidRPr="00F93C22" w:rsidRDefault="00005413" w:rsidP="00C11A2F">
            <w:pPr>
              <w:jc w:val="both"/>
              <w:rPr>
                <w:rFonts w:ascii="Cambria" w:hAnsi="Cambria"/>
                <w:b/>
                <w:bCs/>
                <w:sz w:val="18"/>
                <w:szCs w:val="18"/>
                <w:lang w:val="es-ES"/>
              </w:rPr>
            </w:pPr>
          </w:p>
          <w:p w14:paraId="1DDD74B4" w14:textId="5268ACF3" w:rsidR="00005413" w:rsidRPr="00F93C22" w:rsidRDefault="00005413" w:rsidP="00C11A2F">
            <w:pPr>
              <w:jc w:val="both"/>
              <w:rPr>
                <w:rFonts w:ascii="Cambria" w:hAnsi="Cambria"/>
                <w:color w:val="FF0000"/>
                <w:sz w:val="18"/>
                <w:szCs w:val="18"/>
                <w:lang w:val="es-ES"/>
              </w:rPr>
            </w:pPr>
            <w:r w:rsidRPr="00F93C22">
              <w:rPr>
                <w:rFonts w:ascii="Cambria" w:hAnsi="Cambria"/>
                <w:b/>
                <w:bCs/>
                <w:sz w:val="18"/>
                <w:szCs w:val="18"/>
                <w:lang w:val="es-ES"/>
              </w:rPr>
              <w:t>Información del Estado en 2023:</w:t>
            </w:r>
            <w:r w:rsidRPr="00F93C22">
              <w:rPr>
                <w:rFonts w:ascii="Cambria" w:hAnsi="Cambria"/>
                <w:sz w:val="18"/>
                <w:szCs w:val="18"/>
                <w:lang w:val="es-ES"/>
              </w:rPr>
              <w:t xml:space="preserve"> </w:t>
            </w:r>
            <w:r w:rsidR="00F93C22" w:rsidRPr="004C458A">
              <w:rPr>
                <w:rFonts w:ascii="Cambria" w:hAnsi="Cambria"/>
                <w:color w:val="000000" w:themeColor="text1"/>
                <w:sz w:val="18"/>
                <w:szCs w:val="18"/>
                <w:lang w:val="es-ES"/>
              </w:rPr>
              <w:t xml:space="preserve">El estado reiteró que la Procuraduría General de la República (PGR) rechazó la solicitud de presentar un </w:t>
            </w:r>
            <w:r w:rsidR="00947B2E">
              <w:rPr>
                <w:rFonts w:ascii="Cambria" w:hAnsi="Cambria"/>
                <w:color w:val="000000" w:themeColor="text1"/>
                <w:sz w:val="18"/>
                <w:szCs w:val="18"/>
                <w:lang w:val="es-ES"/>
              </w:rPr>
              <w:t>i</w:t>
            </w:r>
            <w:r w:rsidR="00F93C22" w:rsidRPr="004C458A">
              <w:rPr>
                <w:rFonts w:ascii="Cambria" w:hAnsi="Cambria"/>
                <w:color w:val="000000" w:themeColor="text1"/>
                <w:sz w:val="18"/>
                <w:szCs w:val="18"/>
                <w:lang w:val="es-ES"/>
              </w:rPr>
              <w:t>ncidente de desplazamiento de jurisdicción (IDC) para el caso porque consideró que no estaban presentes los requisitos mínimos para la federalización del caso a la luz de la jurisprudencia del</w:t>
            </w:r>
            <w:r w:rsidR="00947B2E">
              <w:rPr>
                <w:rFonts w:ascii="Cambria" w:hAnsi="Cambria"/>
                <w:color w:val="000000" w:themeColor="text1"/>
                <w:sz w:val="18"/>
                <w:szCs w:val="18"/>
                <w:lang w:val="es-ES"/>
              </w:rPr>
              <w:t xml:space="preserve"> Superior Tribunal de Justicia (STJ)</w:t>
            </w:r>
            <w:r w:rsidR="00F93C22" w:rsidRPr="004C458A">
              <w:rPr>
                <w:rFonts w:ascii="Cambria" w:hAnsi="Cambria"/>
                <w:color w:val="000000" w:themeColor="text1"/>
                <w:sz w:val="18"/>
                <w:szCs w:val="18"/>
                <w:lang w:val="es-ES"/>
              </w:rPr>
              <w:t xml:space="preserve">. </w:t>
            </w:r>
            <w:r w:rsidR="00756EB3">
              <w:rPr>
                <w:rFonts w:ascii="Cambria" w:hAnsi="Cambria"/>
                <w:color w:val="000000" w:themeColor="text1"/>
                <w:sz w:val="18"/>
                <w:szCs w:val="18"/>
                <w:lang w:val="es-ES"/>
              </w:rPr>
              <w:t>Al respecto, el Estado informa que</w:t>
            </w:r>
            <w:r w:rsidR="006573B1">
              <w:rPr>
                <w:rFonts w:ascii="Cambria" w:hAnsi="Cambria"/>
                <w:color w:val="000000" w:themeColor="text1"/>
                <w:sz w:val="18"/>
                <w:szCs w:val="18"/>
                <w:lang w:val="es-ES"/>
              </w:rPr>
              <w:t xml:space="preserve"> fueron agotados los canales disponibles para solicitar la federalización de las investigaciones en el caso, dada la decisión final del órgano competente.</w:t>
            </w:r>
          </w:p>
          <w:p w14:paraId="70DF9E56" w14:textId="77777777" w:rsidR="00005413" w:rsidRPr="00F93C22" w:rsidRDefault="00005413" w:rsidP="00C11A2F">
            <w:pPr>
              <w:jc w:val="both"/>
              <w:rPr>
                <w:rFonts w:ascii="Cambria" w:hAnsi="Cambria"/>
                <w:sz w:val="18"/>
                <w:szCs w:val="18"/>
                <w:lang w:val="es-ES"/>
              </w:rPr>
            </w:pPr>
          </w:p>
          <w:p w14:paraId="5FD6676B" w14:textId="77777777" w:rsidR="00005413" w:rsidRDefault="00005413" w:rsidP="00C11A2F">
            <w:pPr>
              <w:jc w:val="both"/>
              <w:rPr>
                <w:rFonts w:ascii="Cambria" w:hAnsi="Cambria" w:cs="Cambria"/>
                <w:sz w:val="18"/>
                <w:szCs w:val="18"/>
                <w:lang w:val="es-ES_tradnl"/>
              </w:rPr>
            </w:pPr>
            <w:r w:rsidRPr="00F93C22">
              <w:rPr>
                <w:rFonts w:ascii="Cambria" w:hAnsi="Cambria"/>
                <w:b/>
                <w:bCs/>
                <w:sz w:val="18"/>
                <w:szCs w:val="18"/>
                <w:lang w:val="es-ES"/>
              </w:rPr>
              <w:t>Información de la parte peticionaria en 2023:</w:t>
            </w:r>
            <w:r w:rsidRPr="00F93C22">
              <w:rPr>
                <w:rFonts w:ascii="Cambria" w:hAnsi="Cambria"/>
                <w:sz w:val="18"/>
                <w:szCs w:val="18"/>
                <w:lang w:val="es-ES"/>
              </w:rPr>
              <w:t xml:space="preserve"> </w:t>
            </w:r>
            <w:r w:rsidR="004C458A" w:rsidRPr="00477713">
              <w:rPr>
                <w:rFonts w:ascii="Cambria" w:hAnsi="Cambria" w:cs="Cambria"/>
                <w:sz w:val="18"/>
                <w:szCs w:val="18"/>
                <w:lang w:val="es-ES_tradnl"/>
              </w:rPr>
              <w:t>La parte peticionaria informó que el Estado no habría implementado medidas de cumplimiento de las recomendaciones.</w:t>
            </w:r>
          </w:p>
          <w:p w14:paraId="663E65E3" w14:textId="42FC3051" w:rsidR="00663CC8" w:rsidRPr="00F93C22" w:rsidRDefault="00663CC8" w:rsidP="00C11A2F">
            <w:pPr>
              <w:jc w:val="both"/>
              <w:rPr>
                <w:rFonts w:ascii="Cambria" w:hAnsi="Cambria"/>
                <w:sz w:val="18"/>
                <w:szCs w:val="18"/>
                <w:lang w:val="es-ES"/>
              </w:rPr>
            </w:pPr>
          </w:p>
        </w:tc>
        <w:tc>
          <w:tcPr>
            <w:tcW w:w="4590" w:type="dxa"/>
            <w:gridSpan w:val="2"/>
            <w:shd w:val="clear" w:color="auto" w:fill="F2F2F2" w:themeFill="background1" w:themeFillShade="F2"/>
          </w:tcPr>
          <w:p w14:paraId="44E871BC" w14:textId="77777777" w:rsidR="00005413" w:rsidRPr="00F93C22" w:rsidRDefault="00005413" w:rsidP="00C11A2F">
            <w:pPr>
              <w:pStyle w:val="ListParagraph"/>
              <w:ind w:left="0"/>
              <w:jc w:val="both"/>
              <w:rPr>
                <w:rFonts w:ascii="Cambria" w:hAnsi="Cambria"/>
                <w:b/>
                <w:sz w:val="18"/>
                <w:szCs w:val="18"/>
                <w:lang w:val="es-ES"/>
              </w:rPr>
            </w:pPr>
          </w:p>
          <w:p w14:paraId="24680EAC" w14:textId="3A47EC18" w:rsidR="00FE5D49" w:rsidRPr="006573B1" w:rsidRDefault="00005413" w:rsidP="00C11A2F">
            <w:pPr>
              <w:pStyle w:val="NormalWeb"/>
              <w:spacing w:before="0" w:beforeAutospacing="0" w:after="0" w:afterAutospacing="0"/>
              <w:jc w:val="both"/>
              <w:rPr>
                <w:rFonts w:ascii="Cambria" w:hAnsi="Cambria"/>
                <w:color w:val="FF0000"/>
                <w:sz w:val="18"/>
                <w:szCs w:val="18"/>
                <w:lang w:val="es-ES"/>
              </w:rPr>
            </w:pPr>
            <w:r w:rsidRPr="00F93C22">
              <w:rPr>
                <w:rFonts w:ascii="Cambria" w:hAnsi="Cambria"/>
                <w:b/>
                <w:sz w:val="18"/>
                <w:szCs w:val="18"/>
                <w:lang w:val="es-ES"/>
              </w:rPr>
              <w:t>Análisis de cumplimient</w:t>
            </w:r>
            <w:r w:rsidRPr="006D195A">
              <w:rPr>
                <w:rFonts w:ascii="Cambria" w:hAnsi="Cambria"/>
                <w:b/>
                <w:sz w:val="18"/>
                <w:szCs w:val="18"/>
                <w:lang w:val="es-ES"/>
              </w:rPr>
              <w:t>o:</w:t>
            </w:r>
            <w:r w:rsidRPr="006D195A">
              <w:rPr>
                <w:rFonts w:ascii="Cambria" w:hAnsi="Cambria"/>
                <w:sz w:val="18"/>
                <w:szCs w:val="18"/>
                <w:lang w:val="es-ES"/>
              </w:rPr>
              <w:t xml:space="preserve"> </w:t>
            </w:r>
            <w:r w:rsidR="006C02F4" w:rsidRPr="006D195A">
              <w:rPr>
                <w:rFonts w:ascii="Cambria" w:hAnsi="Cambria"/>
                <w:sz w:val="18"/>
                <w:szCs w:val="18"/>
                <w:lang w:val="es-ES"/>
              </w:rPr>
              <w:t>La</w:t>
            </w:r>
            <w:r w:rsidR="00F93C22" w:rsidRPr="006D195A">
              <w:rPr>
                <w:rFonts w:ascii="Cambria" w:hAnsi="Cambria"/>
                <w:sz w:val="18"/>
                <w:szCs w:val="18"/>
                <w:lang w:val="es-ES"/>
              </w:rPr>
              <w:t xml:space="preserve"> Comisión ha tomado nota de la respuesta del Estado en cuanto a la imposibilidad del desplazamiento de competencia para transferir la competencia de procesamiento y juzgamiento de este caso </w:t>
            </w:r>
            <w:r w:rsidR="00F32F57" w:rsidRPr="006D195A">
              <w:rPr>
                <w:rFonts w:ascii="Cambria" w:hAnsi="Cambria"/>
                <w:sz w:val="18"/>
                <w:szCs w:val="18"/>
                <w:lang w:val="es-ES"/>
              </w:rPr>
              <w:t xml:space="preserve">en la esfera federal. Ante la imposibilidad </w:t>
            </w:r>
            <w:r w:rsidR="006D195A" w:rsidRPr="006D195A">
              <w:rPr>
                <w:rFonts w:ascii="Cambria" w:hAnsi="Cambria"/>
                <w:sz w:val="18"/>
                <w:szCs w:val="18"/>
                <w:lang w:val="es-ES"/>
              </w:rPr>
              <w:t>afirmada</w:t>
            </w:r>
            <w:r w:rsidR="00F32F57" w:rsidRPr="006D195A">
              <w:rPr>
                <w:rFonts w:ascii="Cambria" w:hAnsi="Cambria"/>
                <w:sz w:val="18"/>
                <w:szCs w:val="18"/>
                <w:lang w:val="es-ES"/>
              </w:rPr>
              <w:t xml:space="preserve"> por el Estado en la reapertura de las investigaciones, la Comisión determina que esta recomendación se encuentra </w:t>
            </w:r>
            <w:r w:rsidR="00F32F57" w:rsidRPr="006D195A">
              <w:rPr>
                <w:rFonts w:ascii="Cambria" w:hAnsi="Cambria"/>
                <w:b/>
                <w:bCs/>
                <w:sz w:val="18"/>
                <w:szCs w:val="18"/>
                <w:lang w:val="es-ES"/>
              </w:rPr>
              <w:t>incumplida</w:t>
            </w:r>
            <w:r w:rsidR="00F32F57" w:rsidRPr="006D195A">
              <w:rPr>
                <w:rFonts w:ascii="Cambria" w:hAnsi="Cambria"/>
                <w:sz w:val="18"/>
                <w:szCs w:val="18"/>
                <w:lang w:val="es-ES"/>
              </w:rPr>
              <w:t>.</w:t>
            </w:r>
          </w:p>
          <w:p w14:paraId="144A5D23" w14:textId="5F9CD18E" w:rsidR="00005413" w:rsidRPr="00F93C22" w:rsidRDefault="00005413" w:rsidP="00C11A2F">
            <w:pPr>
              <w:pStyle w:val="ListParagraph"/>
              <w:ind w:left="0"/>
              <w:jc w:val="both"/>
              <w:rPr>
                <w:rFonts w:ascii="Cambria" w:hAnsi="Cambria"/>
                <w:sz w:val="18"/>
                <w:szCs w:val="18"/>
                <w:lang w:val="es-ES"/>
              </w:rPr>
            </w:pPr>
          </w:p>
        </w:tc>
      </w:tr>
      <w:tr w:rsidR="00005413" w:rsidRPr="00F93C22" w14:paraId="1958F885" w14:textId="77777777" w:rsidTr="0099550C">
        <w:tc>
          <w:tcPr>
            <w:tcW w:w="9649" w:type="dxa"/>
            <w:gridSpan w:val="3"/>
            <w:shd w:val="clear" w:color="auto" w:fill="D9D9D9" w:themeFill="background1" w:themeFillShade="D9"/>
          </w:tcPr>
          <w:p w14:paraId="6BAE644E" w14:textId="77777777" w:rsidR="008F016C" w:rsidRDefault="008F016C" w:rsidP="00C11A2F">
            <w:pPr>
              <w:jc w:val="both"/>
              <w:rPr>
                <w:rFonts w:ascii="Cambria" w:hAnsi="Cambria"/>
                <w:b/>
                <w:sz w:val="18"/>
                <w:szCs w:val="18"/>
                <w:lang w:val="es-ES"/>
              </w:rPr>
            </w:pPr>
          </w:p>
          <w:p w14:paraId="3210AB5A" w14:textId="1E66E00F" w:rsidR="00005413" w:rsidRDefault="00005413" w:rsidP="00C11A2F">
            <w:pPr>
              <w:jc w:val="both"/>
              <w:rPr>
                <w:rFonts w:ascii="Cambria" w:hAnsi="Cambria"/>
                <w:b/>
                <w:sz w:val="18"/>
                <w:szCs w:val="18"/>
                <w:lang w:val="es-ES"/>
              </w:rPr>
            </w:pPr>
            <w:r w:rsidRPr="00F93C22">
              <w:rPr>
                <w:rFonts w:ascii="Cambria" w:hAnsi="Cambria"/>
                <w:b/>
                <w:sz w:val="18"/>
                <w:szCs w:val="18"/>
                <w:lang w:val="es-ES"/>
              </w:rPr>
              <w:t xml:space="preserve">Medidas relevantes de cumplimiento </w:t>
            </w:r>
            <w:r w:rsidR="00D76BED">
              <w:rPr>
                <w:rFonts w:ascii="Cambria" w:hAnsi="Cambria" w:cs="Cambria"/>
                <w:b/>
                <w:bCs/>
                <w:sz w:val="18"/>
                <w:szCs w:val="18"/>
                <w:lang w:val="pt-BR"/>
              </w:rPr>
              <w:t>informadas</w:t>
            </w:r>
            <w:r w:rsidRPr="00F93C22">
              <w:rPr>
                <w:rFonts w:ascii="Cambria" w:hAnsi="Cambria"/>
                <w:b/>
                <w:sz w:val="18"/>
                <w:szCs w:val="18"/>
                <w:lang w:val="es-ES"/>
              </w:rPr>
              <w:t xml:space="preserve"> en 2023:</w:t>
            </w:r>
          </w:p>
          <w:p w14:paraId="1E13336C" w14:textId="77777777" w:rsidR="00464E73" w:rsidRPr="00F93C22" w:rsidRDefault="00464E73" w:rsidP="00C11A2F">
            <w:pPr>
              <w:jc w:val="both"/>
              <w:rPr>
                <w:rFonts w:ascii="Cambria" w:hAnsi="Cambria"/>
                <w:b/>
                <w:sz w:val="18"/>
                <w:szCs w:val="18"/>
                <w:lang w:val="es-ES"/>
              </w:rPr>
            </w:pPr>
          </w:p>
          <w:p w14:paraId="048F98BE" w14:textId="77777777" w:rsidR="00005413" w:rsidRPr="008F016C" w:rsidRDefault="00F55362" w:rsidP="00C11A2F">
            <w:pPr>
              <w:pStyle w:val="ListParagraph"/>
              <w:numPr>
                <w:ilvl w:val="0"/>
                <w:numId w:val="2"/>
              </w:numPr>
              <w:jc w:val="both"/>
              <w:rPr>
                <w:rFonts w:ascii="Cambria" w:hAnsi="Cambria"/>
                <w:b/>
                <w:sz w:val="18"/>
                <w:szCs w:val="18"/>
                <w:lang w:val="es-ES"/>
              </w:rPr>
            </w:pPr>
            <w:r w:rsidRPr="00557888">
              <w:rPr>
                <w:rFonts w:ascii="Cambria" w:hAnsi="Cambria" w:cs="Cambria"/>
                <w:sz w:val="18"/>
                <w:szCs w:val="18"/>
                <w:lang w:val="es-ES_tradnl"/>
              </w:rPr>
              <w:t>Las partes no proporcionaron información sobre medidas de cumplimiento.</w:t>
            </w:r>
          </w:p>
          <w:p w14:paraId="127BDA8C" w14:textId="1C4B01C5" w:rsidR="008F016C" w:rsidRPr="00F93C22" w:rsidRDefault="008F016C" w:rsidP="008F016C">
            <w:pPr>
              <w:pStyle w:val="ListParagraph"/>
              <w:ind w:left="360"/>
              <w:jc w:val="both"/>
              <w:rPr>
                <w:rFonts w:ascii="Cambria" w:hAnsi="Cambria"/>
                <w:b/>
                <w:sz w:val="18"/>
                <w:szCs w:val="18"/>
                <w:lang w:val="es-ES"/>
              </w:rPr>
            </w:pPr>
          </w:p>
        </w:tc>
      </w:tr>
    </w:tbl>
    <w:p w14:paraId="738610EB" w14:textId="77777777" w:rsidR="00005413" w:rsidRPr="00F93C22" w:rsidRDefault="00005413" w:rsidP="00C11A2F">
      <w:pPr>
        <w:spacing w:after="0" w:line="240" w:lineRule="auto"/>
        <w:jc w:val="both"/>
        <w:rPr>
          <w:rFonts w:ascii="Cambria" w:hAnsi="Cambria"/>
          <w:b/>
          <w:sz w:val="20"/>
          <w:lang w:val="es-ES"/>
        </w:rPr>
      </w:pPr>
    </w:p>
    <w:p w14:paraId="739ED95E" w14:textId="77777777" w:rsidR="00D33AAC" w:rsidRPr="00F93C22" w:rsidRDefault="00D33AAC" w:rsidP="00C11A2F">
      <w:pPr>
        <w:pStyle w:val="ListParagraph"/>
        <w:numPr>
          <w:ilvl w:val="0"/>
          <w:numId w:val="3"/>
        </w:numPr>
        <w:spacing w:after="0" w:line="240" w:lineRule="auto"/>
        <w:jc w:val="both"/>
        <w:rPr>
          <w:rFonts w:ascii="Cambria" w:hAnsi="Cambria"/>
          <w:b/>
          <w:sz w:val="20"/>
          <w:lang w:val="es-ES"/>
        </w:rPr>
      </w:pPr>
      <w:r w:rsidRPr="00F93C22">
        <w:rPr>
          <w:rFonts w:ascii="Cambria" w:hAnsi="Cambria"/>
          <w:b/>
          <w:sz w:val="20"/>
          <w:lang w:val="es-ES"/>
        </w:rPr>
        <w:t>Séptima recomendación</w:t>
      </w:r>
    </w:p>
    <w:p w14:paraId="637805D2" w14:textId="77777777" w:rsidR="00005413" w:rsidRPr="00F93C22" w:rsidRDefault="00005413" w:rsidP="00C11A2F">
      <w:pPr>
        <w:spacing w:after="0" w:line="240" w:lineRule="auto"/>
        <w:jc w:val="both"/>
        <w:rPr>
          <w:rFonts w:ascii="Cambria" w:hAnsi="Cambria"/>
          <w:b/>
          <w:sz w:val="20"/>
          <w:lang w:val="es-ES"/>
        </w:rPr>
      </w:pPr>
    </w:p>
    <w:tbl>
      <w:tblPr>
        <w:tblStyle w:val="TableGrid"/>
        <w:tblW w:w="96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2250"/>
        <w:gridCol w:w="2340"/>
      </w:tblGrid>
      <w:tr w:rsidR="00D33AAC" w:rsidRPr="00F93C22" w14:paraId="1915AFE4" w14:textId="77777777" w:rsidTr="0099550C">
        <w:tc>
          <w:tcPr>
            <w:tcW w:w="7309" w:type="dxa"/>
            <w:gridSpan w:val="2"/>
            <w:shd w:val="clear" w:color="auto" w:fill="B4C6E7" w:themeFill="accent5" w:themeFillTint="66"/>
          </w:tcPr>
          <w:p w14:paraId="2410521D" w14:textId="77777777" w:rsidR="00C11A2F" w:rsidRDefault="00C11A2F" w:rsidP="00C11A2F">
            <w:pPr>
              <w:pStyle w:val="ListParagraph"/>
              <w:ind w:left="0"/>
              <w:jc w:val="both"/>
              <w:rPr>
                <w:rFonts w:ascii="Cambria" w:hAnsi="Cambria"/>
                <w:b/>
                <w:bCs/>
                <w:sz w:val="18"/>
                <w:szCs w:val="18"/>
                <w:lang w:val="es-ES"/>
              </w:rPr>
            </w:pPr>
          </w:p>
          <w:p w14:paraId="05E205ED" w14:textId="77777777" w:rsidR="00D33AAC" w:rsidRDefault="00D33AAC" w:rsidP="00C11A2F">
            <w:pPr>
              <w:pStyle w:val="ListParagraph"/>
              <w:ind w:left="0"/>
              <w:jc w:val="both"/>
              <w:rPr>
                <w:rFonts w:ascii="Cambria" w:hAnsi="Cambria"/>
                <w:b/>
                <w:color w:val="000000" w:themeColor="text1"/>
                <w:sz w:val="18"/>
                <w:szCs w:val="18"/>
                <w:lang w:val="es-ES" w:eastAsia="pt-BR"/>
              </w:rPr>
            </w:pPr>
            <w:r w:rsidRPr="00F93C22">
              <w:rPr>
                <w:rFonts w:ascii="Cambria" w:hAnsi="Cambria"/>
                <w:b/>
                <w:bCs/>
                <w:sz w:val="18"/>
                <w:szCs w:val="18"/>
                <w:lang w:val="es-ES"/>
              </w:rPr>
              <w:t xml:space="preserve">Recomendación 7. </w:t>
            </w:r>
            <w:r w:rsidRPr="00F93C22">
              <w:rPr>
                <w:rFonts w:ascii="Cambria" w:hAnsi="Cambria"/>
                <w:b/>
                <w:color w:val="000000" w:themeColor="text1"/>
                <w:sz w:val="18"/>
                <w:szCs w:val="18"/>
                <w:lang w:val="es-ES" w:eastAsia="pt-BR"/>
              </w:rPr>
              <w:t>Adoptar e instrumentar medidas de educación de los funcionarios de justicia y de la policía a fin de evitar acciones que impliquen discriminación en las investigaciones, en el proceso o en la condena civil o penal de las denuncias de discriminación racial y racismo.</w:t>
            </w:r>
          </w:p>
          <w:p w14:paraId="33719E49" w14:textId="4D2F20F6" w:rsidR="00C11A2F" w:rsidRPr="00F93C22" w:rsidRDefault="00C11A2F" w:rsidP="00C11A2F">
            <w:pPr>
              <w:pStyle w:val="ListParagraph"/>
              <w:ind w:left="0"/>
              <w:jc w:val="both"/>
              <w:rPr>
                <w:rFonts w:ascii="Cambria" w:hAnsi="Cambria"/>
                <w:b/>
                <w:bCs/>
                <w:sz w:val="18"/>
                <w:szCs w:val="18"/>
                <w:lang w:val="es-ES"/>
              </w:rPr>
            </w:pPr>
          </w:p>
        </w:tc>
        <w:tc>
          <w:tcPr>
            <w:tcW w:w="2340" w:type="dxa"/>
            <w:shd w:val="clear" w:color="auto" w:fill="B4C6E7" w:themeFill="accent5" w:themeFillTint="66"/>
          </w:tcPr>
          <w:p w14:paraId="5FD7A9D8" w14:textId="77777777" w:rsidR="00EE24EA" w:rsidRDefault="00EE24EA" w:rsidP="00C11A2F">
            <w:pPr>
              <w:jc w:val="center"/>
              <w:rPr>
                <w:rFonts w:ascii="Cambria" w:hAnsi="Cambria"/>
                <w:b/>
                <w:bCs/>
                <w:sz w:val="18"/>
                <w:szCs w:val="18"/>
                <w:lang w:val="es-ES"/>
              </w:rPr>
            </w:pPr>
          </w:p>
          <w:p w14:paraId="22BE3AB3" w14:textId="59D87399" w:rsidR="00D33AAC" w:rsidRPr="00F93C22" w:rsidRDefault="00D33AAC" w:rsidP="00C11A2F">
            <w:pPr>
              <w:jc w:val="center"/>
              <w:rPr>
                <w:rFonts w:ascii="Cambria" w:hAnsi="Cambria"/>
                <w:b/>
                <w:bCs/>
                <w:sz w:val="18"/>
                <w:szCs w:val="18"/>
                <w:lang w:val="es-ES"/>
              </w:rPr>
            </w:pPr>
            <w:r w:rsidRPr="00F93C22">
              <w:rPr>
                <w:rFonts w:ascii="Cambria" w:hAnsi="Cambria"/>
                <w:b/>
                <w:bCs/>
                <w:sz w:val="18"/>
                <w:szCs w:val="18"/>
                <w:lang w:val="es-ES"/>
              </w:rPr>
              <w:t>Cumplimiento Parcial</w:t>
            </w:r>
          </w:p>
          <w:p w14:paraId="463F29E8" w14:textId="77777777" w:rsidR="00D33AAC" w:rsidRPr="00F93C22" w:rsidRDefault="00D33AAC" w:rsidP="00C11A2F">
            <w:pPr>
              <w:pStyle w:val="ListParagraph"/>
              <w:ind w:left="0"/>
              <w:jc w:val="center"/>
              <w:rPr>
                <w:rFonts w:ascii="Cambria" w:hAnsi="Cambria"/>
                <w:b/>
                <w:bCs/>
                <w:sz w:val="18"/>
                <w:szCs w:val="18"/>
                <w:lang w:val="es-ES"/>
              </w:rPr>
            </w:pPr>
          </w:p>
        </w:tc>
      </w:tr>
      <w:tr w:rsidR="00D33AAC" w:rsidRPr="00F93C22" w14:paraId="01A9B021" w14:textId="77777777" w:rsidTr="0099550C">
        <w:tc>
          <w:tcPr>
            <w:tcW w:w="5059" w:type="dxa"/>
            <w:shd w:val="clear" w:color="auto" w:fill="F2F2F2" w:themeFill="background1" w:themeFillShade="F2"/>
          </w:tcPr>
          <w:p w14:paraId="3B7B4B86" w14:textId="77777777" w:rsidR="00D33AAC" w:rsidRPr="00F93C22" w:rsidRDefault="00D33AAC" w:rsidP="00C11A2F">
            <w:pPr>
              <w:jc w:val="both"/>
              <w:rPr>
                <w:rFonts w:ascii="Cambria" w:hAnsi="Cambria"/>
                <w:b/>
                <w:bCs/>
                <w:sz w:val="18"/>
                <w:szCs w:val="18"/>
                <w:lang w:val="es-ES"/>
              </w:rPr>
            </w:pPr>
          </w:p>
          <w:p w14:paraId="29FA6BF3" w14:textId="6AC23CC9" w:rsidR="00777A82" w:rsidRDefault="00D33AAC" w:rsidP="00C11A2F">
            <w:pPr>
              <w:pStyle w:val="NormalWeb"/>
              <w:spacing w:before="0" w:beforeAutospacing="0" w:after="0" w:afterAutospacing="0"/>
              <w:jc w:val="both"/>
              <w:rPr>
                <w:rFonts w:ascii="Cambria" w:hAnsi="Cambria"/>
                <w:sz w:val="18"/>
                <w:szCs w:val="18"/>
                <w:lang w:val="es-ES"/>
              </w:rPr>
            </w:pPr>
            <w:r w:rsidRPr="00F93C22">
              <w:rPr>
                <w:rFonts w:ascii="Cambria" w:hAnsi="Cambria"/>
                <w:b/>
                <w:bCs/>
                <w:sz w:val="18"/>
                <w:szCs w:val="18"/>
                <w:lang w:val="es-ES"/>
              </w:rPr>
              <w:t>Información del Estado en 2023:</w:t>
            </w:r>
            <w:r w:rsidRPr="00F93C22">
              <w:rPr>
                <w:rFonts w:ascii="Cambria" w:hAnsi="Cambria"/>
                <w:sz w:val="18"/>
                <w:szCs w:val="18"/>
                <w:lang w:val="es-ES"/>
              </w:rPr>
              <w:t xml:space="preserve"> </w:t>
            </w:r>
            <w:r w:rsidR="00C91852">
              <w:rPr>
                <w:rFonts w:ascii="Cambria" w:hAnsi="Cambria"/>
                <w:sz w:val="18"/>
                <w:szCs w:val="18"/>
                <w:lang w:val="es-ES"/>
              </w:rPr>
              <w:t xml:space="preserve">El Estado mencionó la realización de reuniones intergubernamentales </w:t>
            </w:r>
            <w:r w:rsidR="00B570CF">
              <w:rPr>
                <w:rFonts w:ascii="Cambria" w:hAnsi="Cambria"/>
                <w:sz w:val="18"/>
                <w:szCs w:val="18"/>
                <w:lang w:val="es-ES"/>
              </w:rPr>
              <w:t xml:space="preserve">e interinstitucionales </w:t>
            </w:r>
            <w:r w:rsidR="00777A82">
              <w:rPr>
                <w:rFonts w:ascii="Cambria" w:hAnsi="Cambria"/>
                <w:sz w:val="18"/>
                <w:szCs w:val="18"/>
                <w:lang w:val="es-ES"/>
              </w:rPr>
              <w:t>en</w:t>
            </w:r>
            <w:r w:rsidR="00B570CF">
              <w:rPr>
                <w:rFonts w:ascii="Cambria" w:hAnsi="Cambria"/>
                <w:sz w:val="18"/>
                <w:szCs w:val="18"/>
                <w:lang w:val="es-ES"/>
              </w:rPr>
              <w:t xml:space="preserve"> 2021 y</w:t>
            </w:r>
            <w:r w:rsidR="00777A82">
              <w:rPr>
                <w:rFonts w:ascii="Cambria" w:hAnsi="Cambria"/>
                <w:sz w:val="18"/>
                <w:szCs w:val="18"/>
                <w:lang w:val="es-ES"/>
              </w:rPr>
              <w:t xml:space="preserve"> </w:t>
            </w:r>
            <w:r w:rsidR="00B570CF">
              <w:rPr>
                <w:rFonts w:ascii="Cambria" w:hAnsi="Cambria"/>
                <w:sz w:val="18"/>
                <w:szCs w:val="18"/>
                <w:lang w:val="es-ES"/>
              </w:rPr>
              <w:t xml:space="preserve">2022 para el caso, </w:t>
            </w:r>
            <w:r w:rsidR="00777A82">
              <w:rPr>
                <w:rFonts w:ascii="Cambria" w:hAnsi="Cambria"/>
                <w:sz w:val="18"/>
                <w:szCs w:val="18"/>
                <w:lang w:val="es-ES"/>
              </w:rPr>
              <w:t>sin</w:t>
            </w:r>
            <w:r w:rsidR="00B570CF">
              <w:rPr>
                <w:rFonts w:ascii="Cambria" w:hAnsi="Cambria"/>
                <w:sz w:val="18"/>
                <w:szCs w:val="18"/>
                <w:lang w:val="es-ES"/>
              </w:rPr>
              <w:t xml:space="preserve"> </w:t>
            </w:r>
            <w:r w:rsidR="00777A82">
              <w:rPr>
                <w:rFonts w:ascii="Cambria" w:hAnsi="Cambria"/>
                <w:sz w:val="18"/>
                <w:szCs w:val="18"/>
                <w:lang w:val="es-ES"/>
              </w:rPr>
              <w:t xml:space="preserve">mencionar las </w:t>
            </w:r>
            <w:r w:rsidR="00B570CF">
              <w:rPr>
                <w:rFonts w:ascii="Cambria" w:hAnsi="Cambria"/>
                <w:sz w:val="18"/>
                <w:szCs w:val="18"/>
                <w:lang w:val="es-ES"/>
              </w:rPr>
              <w:t>conclusiones</w:t>
            </w:r>
            <w:r w:rsidR="00777A82">
              <w:rPr>
                <w:rFonts w:ascii="Cambria" w:hAnsi="Cambria"/>
                <w:sz w:val="18"/>
                <w:szCs w:val="18"/>
                <w:lang w:val="es-ES"/>
              </w:rPr>
              <w:t xml:space="preserve"> de estos encuentros</w:t>
            </w:r>
            <w:r w:rsidR="00B570CF">
              <w:rPr>
                <w:rFonts w:ascii="Cambria" w:hAnsi="Cambria"/>
                <w:sz w:val="18"/>
                <w:szCs w:val="18"/>
                <w:lang w:val="es-ES"/>
              </w:rPr>
              <w:t xml:space="preserve">. </w:t>
            </w:r>
          </w:p>
          <w:p w14:paraId="2B77BE85" w14:textId="77777777" w:rsidR="00777A82" w:rsidRDefault="00777A82" w:rsidP="00C11A2F">
            <w:pPr>
              <w:pStyle w:val="NormalWeb"/>
              <w:spacing w:before="0" w:beforeAutospacing="0" w:after="0" w:afterAutospacing="0"/>
              <w:jc w:val="both"/>
              <w:rPr>
                <w:rFonts w:ascii="Cambria" w:hAnsi="Cambria"/>
                <w:sz w:val="18"/>
                <w:szCs w:val="18"/>
                <w:lang w:val="es-ES"/>
              </w:rPr>
            </w:pPr>
          </w:p>
          <w:p w14:paraId="3E4DA5A5" w14:textId="6255C29C" w:rsidR="006573B1" w:rsidRPr="00BE610B" w:rsidRDefault="00B570CF" w:rsidP="00C11A2F">
            <w:pPr>
              <w:pStyle w:val="NormalWeb"/>
              <w:spacing w:before="0" w:beforeAutospacing="0" w:after="0" w:afterAutospacing="0"/>
              <w:jc w:val="both"/>
              <w:rPr>
                <w:rFonts w:ascii="Cambria" w:hAnsi="Cambria"/>
                <w:sz w:val="18"/>
                <w:szCs w:val="18"/>
                <w:lang w:val="es-ES"/>
              </w:rPr>
            </w:pPr>
            <w:r>
              <w:rPr>
                <w:rFonts w:ascii="Cambria" w:hAnsi="Cambria"/>
                <w:sz w:val="18"/>
                <w:szCs w:val="18"/>
                <w:lang w:val="es-ES"/>
              </w:rPr>
              <w:t xml:space="preserve">Asimismo, indicó </w:t>
            </w:r>
            <w:r w:rsidR="00B245C4">
              <w:rPr>
                <w:rFonts w:ascii="Cambria" w:hAnsi="Cambria"/>
                <w:sz w:val="18"/>
                <w:szCs w:val="18"/>
                <w:lang w:val="es-ES"/>
              </w:rPr>
              <w:t xml:space="preserve">la realización </w:t>
            </w:r>
            <w:r w:rsidR="008D7BA8">
              <w:rPr>
                <w:rFonts w:ascii="Cambria" w:hAnsi="Cambria"/>
                <w:sz w:val="18"/>
                <w:szCs w:val="18"/>
                <w:lang w:val="es-ES"/>
              </w:rPr>
              <w:t xml:space="preserve">del </w:t>
            </w:r>
            <w:r w:rsidR="00B245C4">
              <w:rPr>
                <w:rFonts w:ascii="Cambria" w:hAnsi="Cambria"/>
                <w:sz w:val="18"/>
                <w:szCs w:val="18"/>
                <w:lang w:val="es-ES"/>
              </w:rPr>
              <w:t>Seminario Nacional Simone André Diniz: Justicia, Seguridad Pública y Antirracismo</w:t>
            </w:r>
            <w:r w:rsidR="008D7BA8">
              <w:rPr>
                <w:rFonts w:ascii="Cambria" w:hAnsi="Cambria"/>
                <w:sz w:val="18"/>
                <w:szCs w:val="18"/>
                <w:lang w:val="es-ES"/>
              </w:rPr>
              <w:t>, en noviembre de 2022</w:t>
            </w:r>
            <w:r w:rsidR="00696AE6">
              <w:rPr>
                <w:rFonts w:ascii="Cambria" w:hAnsi="Cambria"/>
                <w:sz w:val="18"/>
                <w:szCs w:val="18"/>
                <w:lang w:val="es-ES"/>
              </w:rPr>
              <w:t>, en el Tribunal Superior del Trabajo (TST) en Brasilia</w:t>
            </w:r>
            <w:r w:rsidR="00E57092">
              <w:rPr>
                <w:rFonts w:ascii="Cambria" w:hAnsi="Cambria"/>
                <w:sz w:val="18"/>
                <w:szCs w:val="18"/>
                <w:lang w:val="es-ES"/>
              </w:rPr>
              <w:t xml:space="preserve">. El evento </w:t>
            </w:r>
            <w:r w:rsidR="00E57092" w:rsidRPr="00E57092">
              <w:rPr>
                <w:rFonts w:ascii="Cambria" w:hAnsi="Cambria"/>
                <w:sz w:val="18"/>
                <w:szCs w:val="18"/>
                <w:lang w:val="es-ES"/>
              </w:rPr>
              <w:t>fue una iniciativa conjunta de varias instituciones, incluyendo el Ministerio de Derechos Humanos y Ciudadanía</w:t>
            </w:r>
            <w:r w:rsidR="00E57092">
              <w:rPr>
                <w:rFonts w:ascii="Cambria" w:hAnsi="Cambria"/>
                <w:sz w:val="18"/>
                <w:szCs w:val="18"/>
                <w:lang w:val="es-ES"/>
              </w:rPr>
              <w:t xml:space="preserve"> (MDHC)</w:t>
            </w:r>
            <w:r w:rsidR="00E57092" w:rsidRPr="00E57092">
              <w:rPr>
                <w:rFonts w:ascii="Cambria" w:hAnsi="Cambria"/>
                <w:sz w:val="18"/>
                <w:szCs w:val="18"/>
                <w:lang w:val="es-ES"/>
              </w:rPr>
              <w:t>, el Consejo Nacional del Ministerio Público</w:t>
            </w:r>
            <w:r w:rsidR="00E57092">
              <w:rPr>
                <w:rFonts w:ascii="Cambria" w:hAnsi="Cambria"/>
                <w:sz w:val="18"/>
                <w:szCs w:val="18"/>
                <w:lang w:val="es-ES"/>
              </w:rPr>
              <w:t xml:space="preserve"> (CNMP)</w:t>
            </w:r>
            <w:r w:rsidR="00E57092" w:rsidRPr="00E57092">
              <w:rPr>
                <w:rFonts w:ascii="Cambria" w:hAnsi="Cambria"/>
                <w:sz w:val="18"/>
                <w:szCs w:val="18"/>
                <w:lang w:val="es-ES"/>
              </w:rPr>
              <w:t>, el Consejo Nacional de Justicia</w:t>
            </w:r>
            <w:r w:rsidR="00E57092">
              <w:rPr>
                <w:rFonts w:ascii="Cambria" w:hAnsi="Cambria"/>
                <w:sz w:val="18"/>
                <w:szCs w:val="18"/>
                <w:lang w:val="es-ES"/>
              </w:rPr>
              <w:t xml:space="preserve"> (CNJ)</w:t>
            </w:r>
            <w:r w:rsidR="00E57092" w:rsidRPr="00E57092">
              <w:rPr>
                <w:rFonts w:ascii="Cambria" w:hAnsi="Cambria"/>
                <w:sz w:val="18"/>
                <w:szCs w:val="18"/>
                <w:lang w:val="es-ES"/>
              </w:rPr>
              <w:t xml:space="preserve"> y otras</w:t>
            </w:r>
            <w:r w:rsidR="00777A82">
              <w:rPr>
                <w:rFonts w:ascii="Cambria" w:hAnsi="Cambria"/>
                <w:sz w:val="18"/>
                <w:szCs w:val="18"/>
                <w:lang w:val="es-ES"/>
              </w:rPr>
              <w:t xml:space="preserve"> entidades y </w:t>
            </w:r>
            <w:r w:rsidR="008578F5">
              <w:rPr>
                <w:rFonts w:ascii="Cambria" w:hAnsi="Cambria"/>
                <w:sz w:val="18"/>
                <w:szCs w:val="18"/>
                <w:lang w:val="es-ES"/>
              </w:rPr>
              <w:t>participantes</w:t>
            </w:r>
            <w:r w:rsidR="00E57092" w:rsidRPr="00E57092">
              <w:rPr>
                <w:rFonts w:ascii="Cambria" w:hAnsi="Cambria"/>
                <w:sz w:val="18"/>
                <w:szCs w:val="18"/>
                <w:lang w:val="es-ES"/>
              </w:rPr>
              <w:t xml:space="preserve">. El evento se centró en abordar cuestiones relacionadas con la discriminación racial y los derechos </w:t>
            </w:r>
            <w:r w:rsidR="00E57092" w:rsidRPr="00E57092">
              <w:rPr>
                <w:rFonts w:ascii="Cambria" w:hAnsi="Cambria"/>
                <w:sz w:val="18"/>
                <w:szCs w:val="18"/>
                <w:lang w:val="es-ES"/>
              </w:rPr>
              <w:lastRenderedPageBreak/>
              <w:t>humanos, especialmente desde la perspectiva de las mujeres negras en el ámbito corporativo</w:t>
            </w:r>
            <w:r w:rsidR="00D94447">
              <w:rPr>
                <w:rFonts w:ascii="Cambria" w:hAnsi="Cambria"/>
                <w:sz w:val="18"/>
                <w:szCs w:val="18"/>
                <w:lang w:val="es-ES"/>
              </w:rPr>
              <w:t>. Además,</w:t>
            </w:r>
            <w:r w:rsidR="00E57092">
              <w:rPr>
                <w:rFonts w:ascii="Cambria" w:hAnsi="Cambria"/>
                <w:sz w:val="18"/>
                <w:szCs w:val="18"/>
                <w:lang w:val="es-ES"/>
              </w:rPr>
              <w:t xml:space="preserve"> contó </w:t>
            </w:r>
            <w:r w:rsidR="00E57092" w:rsidRPr="00E57092">
              <w:rPr>
                <w:rFonts w:ascii="Cambria" w:hAnsi="Cambria"/>
                <w:sz w:val="18"/>
                <w:szCs w:val="18"/>
                <w:lang w:val="es-ES"/>
              </w:rPr>
              <w:t xml:space="preserve">con la participación de Simone André Diniz y </w:t>
            </w:r>
            <w:r w:rsidR="00897391">
              <w:rPr>
                <w:rFonts w:ascii="Cambria" w:hAnsi="Cambria"/>
                <w:sz w:val="18"/>
                <w:szCs w:val="18"/>
                <w:lang w:val="es-ES"/>
              </w:rPr>
              <w:t>personas</w:t>
            </w:r>
            <w:r w:rsidR="00E57092" w:rsidRPr="00E57092">
              <w:rPr>
                <w:rFonts w:ascii="Cambria" w:hAnsi="Cambria"/>
                <w:sz w:val="18"/>
                <w:szCs w:val="18"/>
                <w:lang w:val="es-ES"/>
              </w:rPr>
              <w:t xml:space="preserve"> panelistas</w:t>
            </w:r>
            <w:r w:rsidR="008578F5">
              <w:rPr>
                <w:rFonts w:ascii="Cambria" w:hAnsi="Cambria"/>
                <w:sz w:val="18"/>
                <w:szCs w:val="18"/>
                <w:lang w:val="es-ES"/>
              </w:rPr>
              <w:t xml:space="preserve"> destacadas</w:t>
            </w:r>
            <w:r w:rsidR="00E57092" w:rsidRPr="00E57092">
              <w:rPr>
                <w:rFonts w:ascii="Cambria" w:hAnsi="Cambria"/>
                <w:sz w:val="18"/>
                <w:szCs w:val="18"/>
                <w:lang w:val="es-ES"/>
              </w:rPr>
              <w:t xml:space="preserve"> que discutieron el racismo en el lugar de trabajo, políticas públicas para promover la igualdad racial, formación antirracista continua, acceso a la justicia y estrategias para enfrentar el racismo estructural.</w:t>
            </w:r>
            <w:r w:rsidR="00897391">
              <w:rPr>
                <w:rFonts w:ascii="Cambria" w:hAnsi="Cambria"/>
                <w:sz w:val="18"/>
                <w:szCs w:val="18"/>
                <w:lang w:val="es-ES"/>
              </w:rPr>
              <w:t xml:space="preserve"> Según el Estado, e</w:t>
            </w:r>
            <w:r w:rsidR="00E57092" w:rsidRPr="00E57092">
              <w:rPr>
                <w:rFonts w:ascii="Cambria" w:hAnsi="Cambria"/>
                <w:sz w:val="18"/>
                <w:szCs w:val="18"/>
                <w:lang w:val="es-ES"/>
              </w:rPr>
              <w:t xml:space="preserve">l evento representó un esfuerzo colectivo para aumentar la conciencia sobre la discriminación racial y resaltar la importancia de las acciones afirmativas y las políticas públicas para combatir el racismo en Brasil. </w:t>
            </w:r>
            <w:r w:rsidR="003C1821">
              <w:rPr>
                <w:rFonts w:ascii="Cambria" w:hAnsi="Cambria"/>
                <w:sz w:val="18"/>
                <w:szCs w:val="18"/>
                <w:lang w:val="es-ES"/>
              </w:rPr>
              <w:t>En el mismo sentido, el Estado mencionó dos eventos</w:t>
            </w:r>
            <w:r w:rsidR="00CD3CB6">
              <w:rPr>
                <w:rFonts w:ascii="Cambria" w:hAnsi="Cambria"/>
                <w:sz w:val="18"/>
                <w:szCs w:val="18"/>
                <w:lang w:val="es-ES"/>
              </w:rPr>
              <w:t xml:space="preserve"> organizados por el CNMP</w:t>
            </w:r>
            <w:r w:rsidR="003C1821">
              <w:rPr>
                <w:rFonts w:ascii="Cambria" w:hAnsi="Cambria"/>
                <w:sz w:val="18"/>
                <w:szCs w:val="18"/>
                <w:lang w:val="es-ES"/>
              </w:rPr>
              <w:t xml:space="preserve"> realizados en 2021</w:t>
            </w:r>
            <w:r w:rsidR="00963EE4">
              <w:rPr>
                <w:rFonts w:ascii="Cambria" w:hAnsi="Cambria"/>
                <w:sz w:val="18"/>
                <w:szCs w:val="18"/>
                <w:lang w:val="es-ES"/>
              </w:rPr>
              <w:t xml:space="preserve">: i) Curso de Derecho Antidiscriminatorio y ii) </w:t>
            </w:r>
            <w:r w:rsidR="00CD3CB6">
              <w:rPr>
                <w:rFonts w:ascii="Cambria" w:hAnsi="Cambria"/>
                <w:sz w:val="18"/>
                <w:szCs w:val="18"/>
                <w:lang w:val="es-ES"/>
              </w:rPr>
              <w:t xml:space="preserve">Webinario Racismo Institucional y Sistema de Justicia. </w:t>
            </w:r>
          </w:p>
          <w:p w14:paraId="09473C00" w14:textId="68B5EFE4" w:rsidR="00D33AAC" w:rsidRPr="004C458A" w:rsidRDefault="00D33AAC" w:rsidP="00C11A2F">
            <w:pPr>
              <w:jc w:val="both"/>
              <w:rPr>
                <w:rFonts w:ascii="Cambria" w:hAnsi="Cambria"/>
                <w:color w:val="000000" w:themeColor="text1"/>
                <w:sz w:val="18"/>
                <w:szCs w:val="18"/>
                <w:lang w:val="es-ES"/>
              </w:rPr>
            </w:pPr>
          </w:p>
          <w:p w14:paraId="22E3C163" w14:textId="736BE099" w:rsidR="00D33AAC" w:rsidRPr="00F93C22" w:rsidRDefault="00D33AAC" w:rsidP="00C11A2F">
            <w:pPr>
              <w:jc w:val="both"/>
              <w:rPr>
                <w:rFonts w:ascii="Cambria" w:hAnsi="Cambria"/>
                <w:sz w:val="18"/>
                <w:szCs w:val="18"/>
                <w:lang w:val="es-ES"/>
              </w:rPr>
            </w:pPr>
            <w:r w:rsidRPr="00F93C22">
              <w:rPr>
                <w:rFonts w:ascii="Cambria" w:hAnsi="Cambria"/>
                <w:b/>
                <w:bCs/>
                <w:sz w:val="18"/>
                <w:szCs w:val="18"/>
                <w:lang w:val="es-ES"/>
              </w:rPr>
              <w:t>Información de la parte peticionaria en 202</w:t>
            </w:r>
            <w:r w:rsidRPr="00202306">
              <w:rPr>
                <w:rFonts w:ascii="Cambria" w:hAnsi="Cambria"/>
                <w:b/>
                <w:bCs/>
                <w:sz w:val="18"/>
                <w:szCs w:val="18"/>
                <w:lang w:val="es-ES"/>
              </w:rPr>
              <w:t>3:</w:t>
            </w:r>
            <w:r w:rsidRPr="00202306">
              <w:rPr>
                <w:rFonts w:ascii="Cambria" w:hAnsi="Cambria"/>
                <w:sz w:val="18"/>
                <w:szCs w:val="18"/>
                <w:lang w:val="es-ES"/>
              </w:rPr>
              <w:t xml:space="preserve"> </w:t>
            </w:r>
            <w:r w:rsidR="00447273" w:rsidRPr="00202306">
              <w:rPr>
                <w:rFonts w:ascii="Cambria" w:hAnsi="Cambria" w:cs="Cambria"/>
                <w:sz w:val="18"/>
                <w:szCs w:val="18"/>
                <w:lang w:val="es-ES_tradnl"/>
              </w:rPr>
              <w:t>La parte peticionaria informó sobre la realización del Seminario Nacional</w:t>
            </w:r>
            <w:r w:rsidR="00202306" w:rsidRPr="00202306">
              <w:rPr>
                <w:rFonts w:ascii="Cambria" w:hAnsi="Cambria" w:cs="Cambria"/>
                <w:sz w:val="18"/>
                <w:szCs w:val="18"/>
                <w:lang w:val="es-ES_tradnl"/>
              </w:rPr>
              <w:t>, pero destacó que la presente recomendación solo podría darse como cumplida cuando se realice un evento similar en todos los estados de Brasil.</w:t>
            </w:r>
          </w:p>
          <w:p w14:paraId="6953690F" w14:textId="641C0B20" w:rsidR="00B206E4" w:rsidRPr="00F93C22" w:rsidRDefault="00B206E4" w:rsidP="00C11A2F">
            <w:pPr>
              <w:jc w:val="both"/>
              <w:rPr>
                <w:rFonts w:ascii="Cambria" w:hAnsi="Cambria"/>
                <w:sz w:val="18"/>
                <w:szCs w:val="18"/>
                <w:lang w:val="es-ES"/>
              </w:rPr>
            </w:pPr>
          </w:p>
        </w:tc>
        <w:tc>
          <w:tcPr>
            <w:tcW w:w="4590" w:type="dxa"/>
            <w:gridSpan w:val="2"/>
            <w:shd w:val="clear" w:color="auto" w:fill="F2F2F2" w:themeFill="background1" w:themeFillShade="F2"/>
          </w:tcPr>
          <w:p w14:paraId="5630AD66" w14:textId="77777777" w:rsidR="00D33AAC" w:rsidRPr="00F93C22" w:rsidRDefault="00D33AAC" w:rsidP="00C11A2F">
            <w:pPr>
              <w:pStyle w:val="ListParagraph"/>
              <w:ind w:left="0"/>
              <w:jc w:val="both"/>
              <w:rPr>
                <w:rFonts w:ascii="Cambria" w:hAnsi="Cambria"/>
                <w:b/>
                <w:sz w:val="18"/>
                <w:szCs w:val="18"/>
                <w:lang w:val="es-ES"/>
              </w:rPr>
            </w:pPr>
          </w:p>
          <w:p w14:paraId="5E6D75EE" w14:textId="494A1275" w:rsidR="00D33AAC" w:rsidRPr="00F93C22" w:rsidRDefault="00D33AAC" w:rsidP="003522A2">
            <w:pPr>
              <w:jc w:val="both"/>
              <w:rPr>
                <w:rFonts w:ascii="Cambria" w:hAnsi="Cambria"/>
                <w:sz w:val="18"/>
                <w:szCs w:val="18"/>
                <w:lang w:val="es-ES"/>
              </w:rPr>
            </w:pPr>
            <w:r w:rsidRPr="00F93C22">
              <w:rPr>
                <w:rFonts w:ascii="Cambria" w:hAnsi="Cambria"/>
                <w:b/>
                <w:sz w:val="18"/>
                <w:szCs w:val="18"/>
                <w:lang w:val="es-ES"/>
              </w:rPr>
              <w:t>Análisis de cumplimiento:</w:t>
            </w:r>
            <w:r w:rsidRPr="00F93C22">
              <w:rPr>
                <w:rFonts w:ascii="Cambria" w:hAnsi="Cambria"/>
                <w:sz w:val="18"/>
                <w:szCs w:val="18"/>
                <w:lang w:val="es-ES"/>
              </w:rPr>
              <w:t xml:space="preserve"> </w:t>
            </w:r>
            <w:r w:rsidR="00F93C22" w:rsidRPr="003522A2">
              <w:rPr>
                <w:rFonts w:ascii="Cambria" w:hAnsi="Cambria"/>
                <w:sz w:val="18"/>
                <w:szCs w:val="18"/>
              </w:rPr>
              <w:t>La Comisión valora la información remitida por ambas partes en 202</w:t>
            </w:r>
            <w:r w:rsidR="00EF635D" w:rsidRPr="003522A2">
              <w:rPr>
                <w:rFonts w:ascii="Cambria" w:hAnsi="Cambria"/>
                <w:sz w:val="18"/>
                <w:szCs w:val="18"/>
              </w:rPr>
              <w:t>3 y recibe positivamente la información sobre la realización del Seminario Nacional</w:t>
            </w:r>
            <w:r w:rsidR="00FF2938" w:rsidRPr="003522A2">
              <w:rPr>
                <w:rFonts w:ascii="Cambria" w:hAnsi="Cambria"/>
                <w:sz w:val="18"/>
                <w:szCs w:val="18"/>
              </w:rPr>
              <w:t xml:space="preserve">. Considerando la solicitud de la parte peticionaria, la Comisión invita al Estado a remitir información sobre la </w:t>
            </w:r>
            <w:r w:rsidR="003D187A" w:rsidRPr="003522A2">
              <w:rPr>
                <w:rFonts w:ascii="Cambria" w:hAnsi="Cambria"/>
                <w:sz w:val="18"/>
                <w:szCs w:val="18"/>
              </w:rPr>
              <w:t>planificación de eventos similares en los demás estados del país como medidas de educación para personas funcionarias de justicia y de la policía.</w:t>
            </w:r>
            <w:r w:rsidR="003522A2" w:rsidRPr="003522A2">
              <w:rPr>
                <w:rFonts w:ascii="Cambria" w:hAnsi="Cambria"/>
                <w:sz w:val="18"/>
                <w:szCs w:val="18"/>
              </w:rPr>
              <w:t xml:space="preserve"> A</w:t>
            </w:r>
            <w:r w:rsidR="00146A4F">
              <w:rPr>
                <w:rFonts w:ascii="Cambria" w:hAnsi="Cambria"/>
                <w:sz w:val="18"/>
                <w:szCs w:val="18"/>
              </w:rPr>
              <w:t xml:space="preserve"> la espera de esta información adicional relacionada con medidas adoptadas en los distintos estados del país</w:t>
            </w:r>
            <w:r w:rsidR="003522A2" w:rsidRPr="003522A2">
              <w:rPr>
                <w:rFonts w:ascii="Cambria" w:hAnsi="Cambria"/>
                <w:sz w:val="18"/>
                <w:szCs w:val="18"/>
              </w:rPr>
              <w:t xml:space="preserve">, </w:t>
            </w:r>
            <w:r w:rsidR="00146A4F">
              <w:rPr>
                <w:rFonts w:ascii="Cambria" w:hAnsi="Cambria"/>
                <w:sz w:val="18"/>
                <w:szCs w:val="18"/>
              </w:rPr>
              <w:t xml:space="preserve">la Comisión </w:t>
            </w:r>
            <w:r w:rsidR="003522A2" w:rsidRPr="003522A2">
              <w:rPr>
                <w:rFonts w:ascii="Cambria" w:hAnsi="Cambria"/>
                <w:sz w:val="18"/>
                <w:szCs w:val="18"/>
              </w:rPr>
              <w:t xml:space="preserve">considera que la recomendación </w:t>
            </w:r>
            <w:r w:rsidR="003522A2" w:rsidRPr="00673141">
              <w:rPr>
                <w:rFonts w:ascii="Cambria" w:hAnsi="Cambria"/>
                <w:sz w:val="18"/>
                <w:szCs w:val="18"/>
              </w:rPr>
              <w:t>continúa</w:t>
            </w:r>
            <w:r w:rsidR="003522A2" w:rsidRPr="003522A2">
              <w:rPr>
                <w:rFonts w:ascii="Cambria" w:hAnsi="Cambria"/>
                <w:b/>
                <w:bCs/>
                <w:sz w:val="18"/>
                <w:szCs w:val="18"/>
              </w:rPr>
              <w:t xml:space="preserve"> parcialmente cumplida.</w:t>
            </w:r>
            <w:r w:rsidRPr="003522A2">
              <w:rPr>
                <w:rFonts w:ascii="Cambria" w:hAnsi="Cambria"/>
                <w:sz w:val="18"/>
                <w:szCs w:val="18"/>
                <w:lang w:val="es-ES"/>
              </w:rPr>
              <w:t xml:space="preserve"> </w:t>
            </w:r>
          </w:p>
        </w:tc>
      </w:tr>
      <w:tr w:rsidR="00D33AAC" w:rsidRPr="00F93C22" w14:paraId="5DE1201C" w14:textId="77777777" w:rsidTr="0099550C">
        <w:tc>
          <w:tcPr>
            <w:tcW w:w="9649" w:type="dxa"/>
            <w:gridSpan w:val="3"/>
            <w:shd w:val="clear" w:color="auto" w:fill="D9D9D9" w:themeFill="background1" w:themeFillShade="D9"/>
          </w:tcPr>
          <w:p w14:paraId="17735E94" w14:textId="77777777" w:rsidR="008F016C" w:rsidRDefault="008F016C" w:rsidP="00C11A2F">
            <w:pPr>
              <w:jc w:val="both"/>
              <w:rPr>
                <w:rFonts w:ascii="Cambria" w:hAnsi="Cambria"/>
                <w:b/>
                <w:sz w:val="18"/>
                <w:szCs w:val="18"/>
                <w:lang w:val="es-ES"/>
              </w:rPr>
            </w:pPr>
          </w:p>
          <w:p w14:paraId="23F589B7" w14:textId="13E37104" w:rsidR="00D33AAC" w:rsidRDefault="00D33AAC" w:rsidP="00C11A2F">
            <w:pPr>
              <w:jc w:val="both"/>
              <w:rPr>
                <w:rFonts w:ascii="Cambria" w:hAnsi="Cambria"/>
                <w:b/>
                <w:sz w:val="18"/>
                <w:szCs w:val="18"/>
                <w:lang w:val="es-ES"/>
              </w:rPr>
            </w:pPr>
            <w:r w:rsidRPr="00F93C22">
              <w:rPr>
                <w:rFonts w:ascii="Cambria" w:hAnsi="Cambria"/>
                <w:b/>
                <w:sz w:val="18"/>
                <w:szCs w:val="18"/>
                <w:lang w:val="es-ES"/>
              </w:rPr>
              <w:t xml:space="preserve">Medidas relevantes de cumplimiento </w:t>
            </w:r>
            <w:r w:rsidR="00D76BED">
              <w:rPr>
                <w:rFonts w:ascii="Cambria" w:hAnsi="Cambria" w:cs="Cambria"/>
                <w:b/>
                <w:bCs/>
                <w:sz w:val="18"/>
                <w:szCs w:val="18"/>
                <w:lang w:val="pt-BR"/>
              </w:rPr>
              <w:t xml:space="preserve">informadas </w:t>
            </w:r>
            <w:r w:rsidRPr="00F93C22">
              <w:rPr>
                <w:rFonts w:ascii="Cambria" w:hAnsi="Cambria"/>
                <w:b/>
                <w:sz w:val="18"/>
                <w:szCs w:val="18"/>
                <w:lang w:val="es-ES"/>
              </w:rPr>
              <w:t>en 2023:</w:t>
            </w:r>
          </w:p>
          <w:p w14:paraId="18E5CF03" w14:textId="77777777" w:rsidR="00464E73" w:rsidRPr="00F93C22" w:rsidRDefault="00464E73" w:rsidP="00C11A2F">
            <w:pPr>
              <w:jc w:val="both"/>
              <w:rPr>
                <w:rFonts w:ascii="Cambria" w:hAnsi="Cambria"/>
                <w:b/>
                <w:sz w:val="18"/>
                <w:szCs w:val="18"/>
                <w:lang w:val="es-ES"/>
              </w:rPr>
            </w:pPr>
          </w:p>
          <w:p w14:paraId="5C6A83F6" w14:textId="77777777" w:rsidR="00D33AAC" w:rsidRPr="008F016C" w:rsidRDefault="00F93C22" w:rsidP="00C11A2F">
            <w:pPr>
              <w:pStyle w:val="ListParagraph"/>
              <w:numPr>
                <w:ilvl w:val="0"/>
                <w:numId w:val="2"/>
              </w:numPr>
              <w:jc w:val="both"/>
              <w:rPr>
                <w:rFonts w:ascii="Cambria" w:hAnsi="Cambria"/>
                <w:b/>
                <w:sz w:val="18"/>
                <w:szCs w:val="18"/>
                <w:lang w:val="es-ES"/>
              </w:rPr>
            </w:pPr>
            <w:r w:rsidRPr="004C458A">
              <w:rPr>
                <w:rFonts w:ascii="Cambria" w:hAnsi="Cambria"/>
                <w:color w:val="000000" w:themeColor="text1"/>
                <w:sz w:val="18"/>
                <w:szCs w:val="18"/>
                <w:lang w:val="es-ES"/>
              </w:rPr>
              <w:t>Seminario Nacional Simone André Diniz: Justicia, Seguridad Pública y Antirracismo</w:t>
            </w:r>
            <w:r w:rsidR="00BE610B">
              <w:rPr>
                <w:rFonts w:ascii="Cambria" w:hAnsi="Cambria"/>
                <w:color w:val="000000" w:themeColor="text1"/>
                <w:sz w:val="18"/>
                <w:szCs w:val="18"/>
                <w:lang w:val="es-ES"/>
              </w:rPr>
              <w:t>,</w:t>
            </w:r>
            <w:r w:rsidRPr="004C458A">
              <w:rPr>
                <w:rFonts w:ascii="Cambria" w:hAnsi="Cambria"/>
                <w:color w:val="000000" w:themeColor="text1"/>
                <w:sz w:val="18"/>
                <w:szCs w:val="18"/>
                <w:lang w:val="es-ES"/>
              </w:rPr>
              <w:t xml:space="preserve"> </w:t>
            </w:r>
            <w:r w:rsidR="00BE610B">
              <w:rPr>
                <w:rFonts w:ascii="Cambria" w:hAnsi="Cambria"/>
                <w:color w:val="000000" w:themeColor="text1"/>
                <w:sz w:val="18"/>
                <w:szCs w:val="18"/>
                <w:lang w:val="es-ES"/>
              </w:rPr>
              <w:t>en noviembre de 2022.</w:t>
            </w:r>
            <w:r w:rsidR="00D33AAC" w:rsidRPr="004C458A">
              <w:rPr>
                <w:rFonts w:ascii="Cambria" w:hAnsi="Cambria"/>
                <w:color w:val="000000" w:themeColor="text1"/>
                <w:sz w:val="18"/>
                <w:szCs w:val="18"/>
                <w:lang w:val="es-ES"/>
              </w:rPr>
              <w:t xml:space="preserve"> </w:t>
            </w:r>
          </w:p>
          <w:p w14:paraId="1ECE014A" w14:textId="4000091D" w:rsidR="008F016C" w:rsidRPr="00F93C22" w:rsidRDefault="008F016C" w:rsidP="008F016C">
            <w:pPr>
              <w:pStyle w:val="ListParagraph"/>
              <w:ind w:left="360"/>
              <w:jc w:val="both"/>
              <w:rPr>
                <w:rFonts w:ascii="Cambria" w:hAnsi="Cambria"/>
                <w:b/>
                <w:sz w:val="18"/>
                <w:szCs w:val="18"/>
                <w:lang w:val="es-ES"/>
              </w:rPr>
            </w:pPr>
          </w:p>
        </w:tc>
      </w:tr>
    </w:tbl>
    <w:p w14:paraId="61829076" w14:textId="77777777" w:rsidR="00D33AAC" w:rsidRPr="00F93C22" w:rsidRDefault="00D33AAC" w:rsidP="00C11A2F">
      <w:pPr>
        <w:spacing w:after="0" w:line="240" w:lineRule="auto"/>
        <w:jc w:val="both"/>
        <w:rPr>
          <w:rFonts w:ascii="Cambria" w:hAnsi="Cambria"/>
          <w:b/>
          <w:sz w:val="20"/>
          <w:lang w:val="es-ES"/>
        </w:rPr>
      </w:pPr>
    </w:p>
    <w:p w14:paraId="6A6BCFD5" w14:textId="77777777" w:rsidR="00D33AAC" w:rsidRPr="00F93C22" w:rsidRDefault="00CF08A3" w:rsidP="00C11A2F">
      <w:pPr>
        <w:pStyle w:val="ListParagraph"/>
        <w:numPr>
          <w:ilvl w:val="0"/>
          <w:numId w:val="3"/>
        </w:numPr>
        <w:spacing w:after="0" w:line="240" w:lineRule="auto"/>
        <w:jc w:val="both"/>
        <w:rPr>
          <w:rFonts w:ascii="Cambria" w:hAnsi="Cambria"/>
          <w:b/>
          <w:sz w:val="20"/>
          <w:lang w:val="es-ES"/>
        </w:rPr>
      </w:pPr>
      <w:r w:rsidRPr="00F93C22">
        <w:rPr>
          <w:rFonts w:ascii="Cambria" w:hAnsi="Cambria"/>
          <w:b/>
          <w:sz w:val="20"/>
          <w:lang w:val="es-ES"/>
        </w:rPr>
        <w:t>Octava recomendación</w:t>
      </w:r>
    </w:p>
    <w:p w14:paraId="2BA226A1" w14:textId="77777777" w:rsidR="00CF08A3" w:rsidRPr="00F93C22" w:rsidRDefault="00CF08A3" w:rsidP="00C11A2F">
      <w:pPr>
        <w:pStyle w:val="ListParagraph"/>
        <w:spacing w:after="0" w:line="240" w:lineRule="auto"/>
        <w:ind w:left="360"/>
        <w:jc w:val="both"/>
        <w:rPr>
          <w:rFonts w:ascii="Cambria" w:hAnsi="Cambria"/>
          <w:b/>
          <w:sz w:val="20"/>
          <w:lang w:val="es-ES"/>
        </w:rPr>
      </w:pPr>
    </w:p>
    <w:tbl>
      <w:tblPr>
        <w:tblStyle w:val="TableGrid"/>
        <w:tblW w:w="96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2250"/>
        <w:gridCol w:w="2340"/>
      </w:tblGrid>
      <w:tr w:rsidR="00CF08A3" w:rsidRPr="00F93C22" w14:paraId="2AA036A5" w14:textId="77777777" w:rsidTr="0099550C">
        <w:tc>
          <w:tcPr>
            <w:tcW w:w="7309" w:type="dxa"/>
            <w:gridSpan w:val="2"/>
            <w:shd w:val="clear" w:color="auto" w:fill="B4C6E7" w:themeFill="accent5" w:themeFillTint="66"/>
          </w:tcPr>
          <w:p w14:paraId="514C91EB" w14:textId="77777777" w:rsidR="00C11A2F" w:rsidRDefault="00C11A2F" w:rsidP="00C11A2F">
            <w:pPr>
              <w:pStyle w:val="ListParagraph"/>
              <w:ind w:left="0"/>
              <w:jc w:val="both"/>
              <w:rPr>
                <w:rFonts w:ascii="Cambria" w:hAnsi="Cambria"/>
                <w:b/>
                <w:bCs/>
                <w:sz w:val="18"/>
                <w:szCs w:val="18"/>
                <w:lang w:val="es-ES"/>
              </w:rPr>
            </w:pPr>
          </w:p>
          <w:p w14:paraId="29A64A81" w14:textId="77777777" w:rsidR="00CF08A3" w:rsidRDefault="00CF08A3" w:rsidP="00C11A2F">
            <w:pPr>
              <w:pStyle w:val="ListParagraph"/>
              <w:ind w:left="0"/>
              <w:jc w:val="both"/>
              <w:rPr>
                <w:rFonts w:ascii="Cambria" w:hAnsi="Cambria"/>
                <w:b/>
                <w:color w:val="000000" w:themeColor="text1"/>
                <w:sz w:val="18"/>
                <w:szCs w:val="18"/>
                <w:lang w:val="es-ES" w:eastAsia="pt-BR"/>
              </w:rPr>
            </w:pPr>
            <w:r w:rsidRPr="00F93C22">
              <w:rPr>
                <w:rFonts w:ascii="Cambria" w:hAnsi="Cambria"/>
                <w:b/>
                <w:bCs/>
                <w:sz w:val="18"/>
                <w:szCs w:val="18"/>
                <w:lang w:val="es-ES"/>
              </w:rPr>
              <w:t xml:space="preserve">Recomendación 8. </w:t>
            </w:r>
            <w:r w:rsidRPr="00F93C22">
              <w:rPr>
                <w:rFonts w:ascii="Cambria" w:hAnsi="Cambria"/>
                <w:b/>
                <w:color w:val="000000" w:themeColor="text1"/>
                <w:sz w:val="18"/>
                <w:szCs w:val="18"/>
                <w:lang w:val="es-ES" w:eastAsia="pt-BR"/>
              </w:rPr>
              <w:t>Promover un encuentro con organismos representantes de la prensa brasileña, con la participación de los peticionarios, a fin de elaborar un compromiso de evitar la publicidad de denuncias de carácter racista, todo de acuerdo con la Declaración de Principios sobre la Libertad de Expresión.</w:t>
            </w:r>
          </w:p>
          <w:p w14:paraId="64DF1B2F" w14:textId="4063D76F" w:rsidR="00C11A2F" w:rsidRPr="00F93C22" w:rsidRDefault="00C11A2F" w:rsidP="00C11A2F">
            <w:pPr>
              <w:pStyle w:val="ListParagraph"/>
              <w:ind w:left="0"/>
              <w:jc w:val="both"/>
              <w:rPr>
                <w:rFonts w:ascii="Cambria" w:hAnsi="Cambria"/>
                <w:b/>
                <w:bCs/>
                <w:sz w:val="18"/>
                <w:szCs w:val="18"/>
                <w:lang w:val="es-ES"/>
              </w:rPr>
            </w:pPr>
          </w:p>
        </w:tc>
        <w:tc>
          <w:tcPr>
            <w:tcW w:w="2340" w:type="dxa"/>
            <w:shd w:val="clear" w:color="auto" w:fill="B4C6E7" w:themeFill="accent5" w:themeFillTint="66"/>
          </w:tcPr>
          <w:p w14:paraId="5DE71416" w14:textId="77777777" w:rsidR="00415C6F" w:rsidRDefault="00415C6F" w:rsidP="00C11A2F">
            <w:pPr>
              <w:jc w:val="center"/>
              <w:rPr>
                <w:rFonts w:ascii="Cambria" w:hAnsi="Cambria"/>
                <w:b/>
                <w:bCs/>
                <w:sz w:val="18"/>
                <w:szCs w:val="18"/>
                <w:lang w:val="es-ES"/>
              </w:rPr>
            </w:pPr>
          </w:p>
          <w:p w14:paraId="0E9720BF" w14:textId="56FDB3C9" w:rsidR="00CF08A3" w:rsidRPr="00F93C22" w:rsidRDefault="00CF08A3" w:rsidP="00C11A2F">
            <w:pPr>
              <w:jc w:val="center"/>
              <w:rPr>
                <w:rFonts w:ascii="Cambria" w:hAnsi="Cambria"/>
                <w:b/>
                <w:bCs/>
                <w:sz w:val="18"/>
                <w:szCs w:val="18"/>
                <w:lang w:val="es-ES"/>
              </w:rPr>
            </w:pPr>
            <w:r w:rsidRPr="00F93C22">
              <w:rPr>
                <w:rFonts w:ascii="Cambria" w:hAnsi="Cambria"/>
                <w:b/>
                <w:bCs/>
                <w:sz w:val="18"/>
                <w:szCs w:val="18"/>
                <w:lang w:val="es-ES"/>
              </w:rPr>
              <w:t>Pendiente de Cumplimiento</w:t>
            </w:r>
          </w:p>
          <w:p w14:paraId="17AD93B2" w14:textId="77777777" w:rsidR="00CF08A3" w:rsidRPr="00F93C22" w:rsidRDefault="00CF08A3" w:rsidP="00C11A2F">
            <w:pPr>
              <w:pStyle w:val="ListParagraph"/>
              <w:ind w:left="0"/>
              <w:jc w:val="center"/>
              <w:rPr>
                <w:rFonts w:ascii="Cambria" w:hAnsi="Cambria"/>
                <w:b/>
                <w:bCs/>
                <w:sz w:val="18"/>
                <w:szCs w:val="18"/>
                <w:lang w:val="es-ES"/>
              </w:rPr>
            </w:pPr>
          </w:p>
        </w:tc>
      </w:tr>
      <w:tr w:rsidR="00CF08A3" w:rsidRPr="00F93C22" w14:paraId="75B5BA77" w14:textId="77777777" w:rsidTr="0099550C">
        <w:tc>
          <w:tcPr>
            <w:tcW w:w="5059" w:type="dxa"/>
            <w:shd w:val="clear" w:color="auto" w:fill="F2F2F2" w:themeFill="background1" w:themeFillShade="F2"/>
          </w:tcPr>
          <w:p w14:paraId="0DE4B5B7" w14:textId="77777777" w:rsidR="00CF08A3" w:rsidRPr="00F93C22" w:rsidRDefault="00CF08A3" w:rsidP="00C11A2F">
            <w:pPr>
              <w:jc w:val="both"/>
              <w:rPr>
                <w:rFonts w:ascii="Cambria" w:hAnsi="Cambria"/>
                <w:b/>
                <w:bCs/>
                <w:sz w:val="18"/>
                <w:szCs w:val="18"/>
                <w:lang w:val="es-ES"/>
              </w:rPr>
            </w:pPr>
          </w:p>
          <w:p w14:paraId="0C127110" w14:textId="39B2EFA4" w:rsidR="00F93C22" w:rsidRPr="00557888" w:rsidRDefault="00CF08A3" w:rsidP="00C11A2F">
            <w:pPr>
              <w:pStyle w:val="NormalWeb"/>
              <w:spacing w:before="0" w:beforeAutospacing="0" w:after="0" w:afterAutospacing="0"/>
              <w:jc w:val="both"/>
              <w:rPr>
                <w:lang w:val="es-ES_tradnl"/>
              </w:rPr>
            </w:pPr>
            <w:r w:rsidRPr="00F93C22">
              <w:rPr>
                <w:rFonts w:ascii="Cambria" w:hAnsi="Cambria"/>
                <w:b/>
                <w:bCs/>
                <w:sz w:val="18"/>
                <w:szCs w:val="18"/>
                <w:lang w:val="es-ES"/>
              </w:rPr>
              <w:t>Información del Estado en 2023:</w:t>
            </w:r>
            <w:r w:rsidRPr="00F93C22">
              <w:rPr>
                <w:rFonts w:ascii="Cambria" w:hAnsi="Cambria"/>
                <w:sz w:val="18"/>
                <w:szCs w:val="18"/>
                <w:lang w:val="es-ES"/>
              </w:rPr>
              <w:t xml:space="preserve"> </w:t>
            </w:r>
            <w:r w:rsidR="00F93C22" w:rsidRPr="00557888">
              <w:rPr>
                <w:rFonts w:ascii="Cambria" w:hAnsi="Cambria"/>
                <w:color w:val="000000" w:themeColor="text1"/>
                <w:sz w:val="18"/>
                <w:szCs w:val="18"/>
                <w:lang w:val="es-ES_tradnl"/>
              </w:rPr>
              <w:t xml:space="preserve">El Estado reiteró la información proporcionada en </w:t>
            </w:r>
            <w:r w:rsidR="004C458A" w:rsidRPr="00557888">
              <w:rPr>
                <w:rFonts w:ascii="Cambria" w:hAnsi="Cambria"/>
                <w:color w:val="000000" w:themeColor="text1"/>
                <w:sz w:val="18"/>
                <w:szCs w:val="18"/>
                <w:lang w:val="es-ES_tradnl"/>
              </w:rPr>
              <w:t xml:space="preserve">años </w:t>
            </w:r>
            <w:r w:rsidR="00F93C22" w:rsidRPr="00557888">
              <w:rPr>
                <w:rFonts w:ascii="Cambria" w:hAnsi="Cambria"/>
                <w:color w:val="000000" w:themeColor="text1"/>
                <w:sz w:val="18"/>
                <w:szCs w:val="18"/>
                <w:lang w:val="es-ES_tradnl"/>
              </w:rPr>
              <w:t>anteriores</w:t>
            </w:r>
            <w:r w:rsidR="009969FA">
              <w:rPr>
                <w:rFonts w:ascii="Cambria" w:hAnsi="Cambria"/>
                <w:color w:val="000000" w:themeColor="text1"/>
                <w:sz w:val="18"/>
                <w:szCs w:val="18"/>
                <w:lang w:val="es-ES_tradnl"/>
              </w:rPr>
              <w:t xml:space="preserve"> y r</w:t>
            </w:r>
            <w:r w:rsidR="00F93C22" w:rsidRPr="00557888">
              <w:rPr>
                <w:rFonts w:ascii="Cambria" w:hAnsi="Cambria"/>
                <w:color w:val="000000"/>
                <w:sz w:val="18"/>
                <w:szCs w:val="18"/>
                <w:lang w:val="es-ES_tradnl"/>
              </w:rPr>
              <w:t>eforzó su compromiso de promover debates sobre el tema, considerando la relevancia y pertinencia temática para el caso en cuestión. Reafirmó que</w:t>
            </w:r>
            <w:r w:rsidR="004C72E1">
              <w:rPr>
                <w:rFonts w:ascii="Cambria" w:hAnsi="Cambria"/>
                <w:color w:val="000000"/>
                <w:sz w:val="18"/>
                <w:szCs w:val="18"/>
                <w:lang w:val="es-ES_tradnl"/>
              </w:rPr>
              <w:t>,</w:t>
            </w:r>
            <w:r w:rsidR="00F93C22" w:rsidRPr="00557888">
              <w:rPr>
                <w:rFonts w:ascii="Cambria" w:hAnsi="Cambria"/>
                <w:color w:val="000000"/>
                <w:sz w:val="18"/>
                <w:szCs w:val="18"/>
                <w:lang w:val="es-ES_tradnl"/>
              </w:rPr>
              <w:t xml:space="preserve"> tan pronto como sea posible, dicha reunión será debidamente programada con los órganos competentes, así como con </w:t>
            </w:r>
            <w:r w:rsidR="004C72E1">
              <w:rPr>
                <w:rFonts w:ascii="Cambria" w:hAnsi="Cambria"/>
                <w:color w:val="000000"/>
                <w:sz w:val="18"/>
                <w:szCs w:val="18"/>
                <w:lang w:val="es-ES_tradnl"/>
              </w:rPr>
              <w:t>la parte peticionaria</w:t>
            </w:r>
            <w:r w:rsidR="00F93C22" w:rsidRPr="00557888">
              <w:rPr>
                <w:rFonts w:ascii="Cambria" w:hAnsi="Cambria"/>
                <w:color w:val="000000"/>
                <w:sz w:val="18"/>
                <w:szCs w:val="18"/>
                <w:lang w:val="es-ES_tradnl"/>
              </w:rPr>
              <w:t>, con vistas a iniciar los diálogos requeridos.</w:t>
            </w:r>
          </w:p>
          <w:p w14:paraId="66204FF1" w14:textId="6EF91866" w:rsidR="00CF08A3" w:rsidRPr="00F93C22" w:rsidRDefault="00CF08A3" w:rsidP="00C11A2F">
            <w:pPr>
              <w:jc w:val="both"/>
              <w:rPr>
                <w:rFonts w:ascii="Cambria" w:hAnsi="Cambria"/>
                <w:sz w:val="18"/>
                <w:szCs w:val="18"/>
                <w:lang w:val="es-ES"/>
              </w:rPr>
            </w:pPr>
            <w:r w:rsidRPr="00F93C22">
              <w:rPr>
                <w:rFonts w:ascii="Cambria" w:hAnsi="Cambria"/>
                <w:sz w:val="18"/>
                <w:szCs w:val="18"/>
                <w:lang w:val="es-ES"/>
              </w:rPr>
              <w:t xml:space="preserve"> </w:t>
            </w:r>
          </w:p>
          <w:p w14:paraId="157E6E2A" w14:textId="54E4979C" w:rsidR="00CF08A3" w:rsidRPr="00557888" w:rsidRDefault="00CF08A3" w:rsidP="00C11A2F">
            <w:pPr>
              <w:jc w:val="both"/>
              <w:rPr>
                <w:rFonts w:ascii="Cambria" w:hAnsi="Cambria" w:cs="Cambria"/>
                <w:sz w:val="18"/>
                <w:szCs w:val="18"/>
                <w:lang w:val="es-ES_tradnl"/>
              </w:rPr>
            </w:pPr>
            <w:r w:rsidRPr="00F93C22">
              <w:rPr>
                <w:rFonts w:ascii="Cambria" w:hAnsi="Cambria"/>
                <w:b/>
                <w:bCs/>
                <w:sz w:val="18"/>
                <w:szCs w:val="18"/>
                <w:lang w:val="es-ES"/>
              </w:rPr>
              <w:t>Información de la parte peticionaria en 2023:</w:t>
            </w:r>
            <w:r w:rsidRPr="00F93C22">
              <w:rPr>
                <w:rFonts w:ascii="Cambria" w:hAnsi="Cambria"/>
                <w:sz w:val="18"/>
                <w:szCs w:val="18"/>
                <w:lang w:val="es-ES"/>
              </w:rPr>
              <w:t xml:space="preserve"> </w:t>
            </w:r>
            <w:r w:rsidR="004C72E1">
              <w:rPr>
                <w:rFonts w:ascii="Cambria" w:hAnsi="Cambria" w:cs="Cambria"/>
                <w:sz w:val="18"/>
                <w:szCs w:val="18"/>
                <w:lang w:val="es-ES_tradnl"/>
              </w:rPr>
              <w:t>I</w:t>
            </w:r>
            <w:r w:rsidR="004C458A" w:rsidRPr="00557888">
              <w:rPr>
                <w:rFonts w:ascii="Cambria" w:hAnsi="Cambria" w:cs="Cambria"/>
                <w:sz w:val="18"/>
                <w:szCs w:val="18"/>
                <w:lang w:val="es-ES_tradnl"/>
              </w:rPr>
              <w:t xml:space="preserve">nformó que el Estado no habría implementado medidas de cumplimiento de </w:t>
            </w:r>
            <w:r w:rsidR="004C72E1">
              <w:rPr>
                <w:rFonts w:ascii="Cambria" w:hAnsi="Cambria" w:cs="Cambria"/>
                <w:sz w:val="18"/>
                <w:szCs w:val="18"/>
                <w:lang w:val="es-ES_tradnl"/>
              </w:rPr>
              <w:t>la recomendación.</w:t>
            </w:r>
          </w:p>
          <w:p w14:paraId="2C37C657" w14:textId="6CD07DFE" w:rsidR="004C458A" w:rsidRPr="00FE5D49" w:rsidRDefault="004C458A" w:rsidP="00C11A2F">
            <w:pPr>
              <w:jc w:val="both"/>
              <w:rPr>
                <w:rFonts w:ascii="Cambria" w:hAnsi="Cambria"/>
                <w:sz w:val="18"/>
                <w:szCs w:val="18"/>
              </w:rPr>
            </w:pPr>
          </w:p>
        </w:tc>
        <w:tc>
          <w:tcPr>
            <w:tcW w:w="4590" w:type="dxa"/>
            <w:gridSpan w:val="2"/>
            <w:shd w:val="clear" w:color="auto" w:fill="F2F2F2" w:themeFill="background1" w:themeFillShade="F2"/>
          </w:tcPr>
          <w:p w14:paraId="2DBF0D7D" w14:textId="77777777" w:rsidR="00CF08A3" w:rsidRPr="00F93C22" w:rsidRDefault="00CF08A3" w:rsidP="00C11A2F">
            <w:pPr>
              <w:pStyle w:val="ListParagraph"/>
              <w:ind w:left="0"/>
              <w:jc w:val="both"/>
              <w:rPr>
                <w:rFonts w:ascii="Cambria" w:hAnsi="Cambria"/>
                <w:b/>
                <w:sz w:val="18"/>
                <w:szCs w:val="18"/>
                <w:lang w:val="es-ES"/>
              </w:rPr>
            </w:pPr>
          </w:p>
          <w:p w14:paraId="2A0DC966" w14:textId="69946F86" w:rsidR="00FE5D49" w:rsidRPr="009969FA" w:rsidRDefault="00CF08A3" w:rsidP="009969FA">
            <w:pPr>
              <w:jc w:val="both"/>
              <w:rPr>
                <w:rFonts w:ascii="Cambria" w:hAnsi="Cambria"/>
                <w:sz w:val="18"/>
                <w:szCs w:val="18"/>
                <w:lang w:val="es-ES"/>
              </w:rPr>
            </w:pPr>
            <w:r w:rsidRPr="00F93C22">
              <w:rPr>
                <w:rFonts w:ascii="Cambria" w:hAnsi="Cambria"/>
                <w:b/>
                <w:sz w:val="18"/>
                <w:szCs w:val="18"/>
                <w:lang w:val="es-ES"/>
              </w:rPr>
              <w:t xml:space="preserve">Análisis de </w:t>
            </w:r>
            <w:r w:rsidRPr="00557888">
              <w:rPr>
                <w:rFonts w:ascii="Cambria" w:hAnsi="Cambria"/>
                <w:b/>
                <w:sz w:val="18"/>
                <w:szCs w:val="18"/>
                <w:lang w:val="es-ES"/>
              </w:rPr>
              <w:t>cumplimiento:</w:t>
            </w:r>
            <w:r w:rsidRPr="00557888">
              <w:rPr>
                <w:rFonts w:ascii="Cambria" w:hAnsi="Cambria"/>
                <w:sz w:val="18"/>
                <w:szCs w:val="18"/>
                <w:lang w:val="es-ES"/>
              </w:rPr>
              <w:t xml:space="preserve"> </w:t>
            </w:r>
            <w:r w:rsidR="007267BD" w:rsidRPr="00557888">
              <w:rPr>
                <w:rFonts w:ascii="Cambria" w:hAnsi="Cambria"/>
                <w:sz w:val="18"/>
                <w:szCs w:val="18"/>
                <w:lang w:val="es-ES"/>
              </w:rPr>
              <w:t>Ante la falta de información actualizada</w:t>
            </w:r>
            <w:r w:rsidR="004C72E1">
              <w:rPr>
                <w:rFonts w:ascii="Cambria" w:hAnsi="Cambria"/>
                <w:sz w:val="18"/>
                <w:szCs w:val="18"/>
                <w:lang w:val="es-ES"/>
              </w:rPr>
              <w:t xml:space="preserve"> en torno a la planificación de un encuentro con organismos representantes de la prensa brasileña</w:t>
            </w:r>
            <w:r w:rsidR="007267BD" w:rsidRPr="00557888">
              <w:rPr>
                <w:rFonts w:ascii="Cambria" w:hAnsi="Cambria"/>
                <w:sz w:val="18"/>
                <w:szCs w:val="18"/>
                <w:lang w:val="es-ES"/>
              </w:rPr>
              <w:t xml:space="preserve">, el nivel de cumplimiento de la recomendación permanece </w:t>
            </w:r>
            <w:r w:rsidR="004C72E1">
              <w:rPr>
                <w:rFonts w:ascii="Cambria" w:hAnsi="Cambria"/>
                <w:sz w:val="18"/>
                <w:szCs w:val="18"/>
                <w:lang w:val="es-ES"/>
              </w:rPr>
              <w:t xml:space="preserve">en </w:t>
            </w:r>
            <w:r w:rsidR="004C72E1" w:rsidRPr="0022282B">
              <w:rPr>
                <w:rFonts w:ascii="Cambria" w:hAnsi="Cambria"/>
                <w:b/>
                <w:bCs/>
                <w:sz w:val="18"/>
                <w:szCs w:val="18"/>
                <w:lang w:val="es-ES"/>
              </w:rPr>
              <w:t>pendiente</w:t>
            </w:r>
            <w:r w:rsidR="007267BD" w:rsidRPr="00557888">
              <w:rPr>
                <w:rFonts w:ascii="Cambria" w:hAnsi="Cambria"/>
                <w:sz w:val="18"/>
                <w:szCs w:val="18"/>
                <w:lang w:val="es-ES"/>
              </w:rPr>
              <w:t xml:space="preserve">. </w:t>
            </w:r>
          </w:p>
          <w:p w14:paraId="39FD169F" w14:textId="059F0DE0" w:rsidR="00CF08A3" w:rsidRPr="00F93C22" w:rsidRDefault="00CF08A3" w:rsidP="00C11A2F">
            <w:pPr>
              <w:pStyle w:val="ListParagraph"/>
              <w:ind w:left="0"/>
              <w:jc w:val="both"/>
              <w:rPr>
                <w:rFonts w:ascii="Cambria" w:hAnsi="Cambria"/>
                <w:sz w:val="18"/>
                <w:szCs w:val="18"/>
                <w:lang w:val="es-ES"/>
              </w:rPr>
            </w:pPr>
            <w:r w:rsidRPr="00F93C22">
              <w:rPr>
                <w:rFonts w:ascii="Cambria" w:hAnsi="Cambria"/>
                <w:sz w:val="18"/>
                <w:szCs w:val="18"/>
                <w:lang w:val="es-ES"/>
              </w:rPr>
              <w:t xml:space="preserve"> </w:t>
            </w:r>
          </w:p>
        </w:tc>
      </w:tr>
      <w:tr w:rsidR="00CF08A3" w:rsidRPr="00F93C22" w14:paraId="5BD1E062" w14:textId="77777777" w:rsidTr="0099550C">
        <w:tc>
          <w:tcPr>
            <w:tcW w:w="9649" w:type="dxa"/>
            <w:gridSpan w:val="3"/>
            <w:shd w:val="clear" w:color="auto" w:fill="D9D9D9" w:themeFill="background1" w:themeFillShade="D9"/>
          </w:tcPr>
          <w:p w14:paraId="4E63A4E1" w14:textId="77777777" w:rsidR="008F016C" w:rsidRDefault="008F016C" w:rsidP="00C11A2F">
            <w:pPr>
              <w:jc w:val="both"/>
              <w:rPr>
                <w:rFonts w:ascii="Cambria" w:hAnsi="Cambria"/>
                <w:b/>
                <w:sz w:val="18"/>
                <w:szCs w:val="18"/>
                <w:lang w:val="es-ES"/>
              </w:rPr>
            </w:pPr>
          </w:p>
          <w:p w14:paraId="51BE3136" w14:textId="7D5559D1" w:rsidR="00CF08A3" w:rsidRDefault="00CF08A3" w:rsidP="00C11A2F">
            <w:pPr>
              <w:jc w:val="both"/>
              <w:rPr>
                <w:rFonts w:ascii="Cambria" w:hAnsi="Cambria"/>
                <w:b/>
                <w:sz w:val="18"/>
                <w:szCs w:val="18"/>
                <w:lang w:val="es-ES"/>
              </w:rPr>
            </w:pPr>
            <w:r w:rsidRPr="00F93C22">
              <w:rPr>
                <w:rFonts w:ascii="Cambria" w:hAnsi="Cambria"/>
                <w:b/>
                <w:sz w:val="18"/>
                <w:szCs w:val="18"/>
                <w:lang w:val="es-ES"/>
              </w:rPr>
              <w:t xml:space="preserve">Medidas relevantes de cumplimiento </w:t>
            </w:r>
            <w:r w:rsidR="00D76BED">
              <w:rPr>
                <w:rFonts w:ascii="Cambria" w:hAnsi="Cambria" w:cs="Cambria"/>
                <w:b/>
                <w:bCs/>
                <w:sz w:val="18"/>
                <w:szCs w:val="18"/>
                <w:lang w:val="pt-BR"/>
              </w:rPr>
              <w:t>informadas</w:t>
            </w:r>
            <w:r w:rsidRPr="00F93C22">
              <w:rPr>
                <w:rFonts w:ascii="Cambria" w:hAnsi="Cambria"/>
                <w:b/>
                <w:sz w:val="18"/>
                <w:szCs w:val="18"/>
                <w:lang w:val="es-ES"/>
              </w:rPr>
              <w:t xml:space="preserve"> en 2023:</w:t>
            </w:r>
          </w:p>
          <w:p w14:paraId="099663F0" w14:textId="77777777" w:rsidR="00464E73" w:rsidRPr="00F93C22" w:rsidRDefault="00464E73" w:rsidP="00C11A2F">
            <w:pPr>
              <w:jc w:val="both"/>
              <w:rPr>
                <w:rFonts w:ascii="Cambria" w:hAnsi="Cambria"/>
                <w:b/>
                <w:sz w:val="18"/>
                <w:szCs w:val="18"/>
                <w:lang w:val="es-ES"/>
              </w:rPr>
            </w:pPr>
          </w:p>
          <w:p w14:paraId="5ED799EF" w14:textId="77777777" w:rsidR="00CF08A3" w:rsidRPr="008F016C" w:rsidRDefault="00D76BED" w:rsidP="00C11A2F">
            <w:pPr>
              <w:pStyle w:val="ListParagraph"/>
              <w:numPr>
                <w:ilvl w:val="0"/>
                <w:numId w:val="2"/>
              </w:numPr>
              <w:jc w:val="both"/>
              <w:rPr>
                <w:rFonts w:ascii="Cambria" w:hAnsi="Cambria"/>
                <w:bCs/>
                <w:sz w:val="18"/>
                <w:szCs w:val="18"/>
                <w:lang w:val="es-ES"/>
              </w:rPr>
            </w:pPr>
            <w:r w:rsidRPr="00557888">
              <w:rPr>
                <w:rFonts w:ascii="Cambria" w:hAnsi="Cambria" w:cs="Cambria"/>
                <w:sz w:val="18"/>
                <w:szCs w:val="18"/>
                <w:lang w:val="es-ES_tradnl"/>
              </w:rPr>
              <w:t>Las partes no proporcionaron información sobre medidas de cumplimiento.</w:t>
            </w:r>
          </w:p>
          <w:p w14:paraId="34A9C9F5" w14:textId="5FB9329D" w:rsidR="008F016C" w:rsidRPr="00F93C22" w:rsidRDefault="008F016C" w:rsidP="008F016C">
            <w:pPr>
              <w:pStyle w:val="ListParagraph"/>
              <w:ind w:left="360"/>
              <w:jc w:val="both"/>
              <w:rPr>
                <w:rFonts w:ascii="Cambria" w:hAnsi="Cambria"/>
                <w:bCs/>
                <w:sz w:val="18"/>
                <w:szCs w:val="18"/>
                <w:lang w:val="es-ES"/>
              </w:rPr>
            </w:pPr>
          </w:p>
        </w:tc>
      </w:tr>
    </w:tbl>
    <w:p w14:paraId="6B62F1B3" w14:textId="77777777" w:rsidR="00CF08A3" w:rsidRPr="00F93C22" w:rsidRDefault="00CF08A3" w:rsidP="00C11A2F">
      <w:pPr>
        <w:spacing w:after="0" w:line="240" w:lineRule="auto"/>
        <w:jc w:val="both"/>
        <w:rPr>
          <w:rFonts w:ascii="Cambria" w:hAnsi="Cambria"/>
          <w:b/>
          <w:sz w:val="20"/>
          <w:lang w:val="es-ES"/>
        </w:rPr>
      </w:pPr>
    </w:p>
    <w:p w14:paraId="5AFFD778" w14:textId="77777777" w:rsidR="0060376B" w:rsidRPr="00F93C22" w:rsidRDefault="0060376B" w:rsidP="00C11A2F">
      <w:pPr>
        <w:pStyle w:val="ListParagraph"/>
        <w:numPr>
          <w:ilvl w:val="0"/>
          <w:numId w:val="3"/>
        </w:numPr>
        <w:spacing w:after="0" w:line="240" w:lineRule="auto"/>
        <w:jc w:val="both"/>
        <w:rPr>
          <w:rFonts w:ascii="Cambria" w:hAnsi="Cambria"/>
          <w:b/>
          <w:sz w:val="20"/>
          <w:lang w:val="es-ES"/>
        </w:rPr>
      </w:pPr>
      <w:r w:rsidRPr="00F93C22">
        <w:rPr>
          <w:rFonts w:ascii="Cambria" w:hAnsi="Cambria"/>
          <w:b/>
          <w:sz w:val="20"/>
          <w:lang w:val="es-ES"/>
        </w:rPr>
        <w:t>Novena recomendación</w:t>
      </w:r>
    </w:p>
    <w:p w14:paraId="02F2C34E" w14:textId="77777777" w:rsidR="0060376B" w:rsidRPr="00F93C22" w:rsidRDefault="0060376B" w:rsidP="00C11A2F">
      <w:pPr>
        <w:spacing w:after="0" w:line="240" w:lineRule="auto"/>
        <w:jc w:val="both"/>
        <w:rPr>
          <w:rFonts w:ascii="Cambria" w:hAnsi="Cambria"/>
          <w:b/>
          <w:sz w:val="20"/>
          <w:lang w:val="es-ES"/>
        </w:rPr>
      </w:pPr>
    </w:p>
    <w:tbl>
      <w:tblPr>
        <w:tblStyle w:val="TableGrid"/>
        <w:tblW w:w="96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2250"/>
        <w:gridCol w:w="2340"/>
      </w:tblGrid>
      <w:tr w:rsidR="0060376B" w:rsidRPr="00F93C22" w14:paraId="6E3D5BC4" w14:textId="77777777" w:rsidTr="0099550C">
        <w:tc>
          <w:tcPr>
            <w:tcW w:w="7309" w:type="dxa"/>
            <w:gridSpan w:val="2"/>
            <w:shd w:val="clear" w:color="auto" w:fill="B4C6E7" w:themeFill="accent5" w:themeFillTint="66"/>
          </w:tcPr>
          <w:p w14:paraId="6AF2C5A8" w14:textId="77777777" w:rsidR="00C11A2F" w:rsidRDefault="00C11A2F" w:rsidP="00C11A2F">
            <w:pPr>
              <w:pStyle w:val="ListParagraph"/>
              <w:ind w:left="0"/>
              <w:jc w:val="both"/>
              <w:rPr>
                <w:rFonts w:ascii="Cambria" w:hAnsi="Cambria"/>
                <w:b/>
                <w:bCs/>
                <w:sz w:val="18"/>
                <w:szCs w:val="18"/>
                <w:lang w:val="es-ES"/>
              </w:rPr>
            </w:pPr>
          </w:p>
          <w:p w14:paraId="4F822EA2" w14:textId="77777777" w:rsidR="0060376B" w:rsidRDefault="0060376B" w:rsidP="00C11A2F">
            <w:pPr>
              <w:pStyle w:val="ListParagraph"/>
              <w:ind w:left="0"/>
              <w:jc w:val="both"/>
              <w:rPr>
                <w:rFonts w:ascii="Cambria" w:hAnsi="Cambria"/>
                <w:b/>
                <w:color w:val="000000" w:themeColor="text1"/>
                <w:sz w:val="18"/>
                <w:szCs w:val="18"/>
                <w:lang w:val="es-ES" w:eastAsia="pt-BR"/>
              </w:rPr>
            </w:pPr>
            <w:r w:rsidRPr="00F93C22">
              <w:rPr>
                <w:rFonts w:ascii="Cambria" w:hAnsi="Cambria"/>
                <w:b/>
                <w:bCs/>
                <w:sz w:val="18"/>
                <w:szCs w:val="18"/>
                <w:lang w:val="es-ES"/>
              </w:rPr>
              <w:t xml:space="preserve">Recomendación 9. </w:t>
            </w:r>
            <w:r w:rsidRPr="00F93C22">
              <w:rPr>
                <w:rFonts w:ascii="Cambria" w:hAnsi="Cambria"/>
                <w:b/>
                <w:color w:val="000000" w:themeColor="text1"/>
                <w:sz w:val="18"/>
                <w:szCs w:val="18"/>
                <w:lang w:val="es-ES" w:eastAsia="pt-BR"/>
              </w:rPr>
              <w:t>Organizar Seminarios en los estados, con representantes del Poder Judicial y las Secretarías de Seguridad Pública locales, a efectos de fortalecer la protección contra la discriminación racial y el racismo.</w:t>
            </w:r>
          </w:p>
          <w:p w14:paraId="2F0DC412" w14:textId="6B85113A" w:rsidR="00C11A2F" w:rsidRPr="00F93C22" w:rsidRDefault="00C11A2F" w:rsidP="00C11A2F">
            <w:pPr>
              <w:pStyle w:val="ListParagraph"/>
              <w:ind w:left="0"/>
              <w:jc w:val="both"/>
              <w:rPr>
                <w:rFonts w:ascii="Cambria" w:hAnsi="Cambria"/>
                <w:b/>
                <w:bCs/>
                <w:sz w:val="18"/>
                <w:szCs w:val="18"/>
                <w:lang w:val="es-ES"/>
              </w:rPr>
            </w:pPr>
          </w:p>
        </w:tc>
        <w:tc>
          <w:tcPr>
            <w:tcW w:w="2340" w:type="dxa"/>
            <w:shd w:val="clear" w:color="auto" w:fill="B4C6E7" w:themeFill="accent5" w:themeFillTint="66"/>
          </w:tcPr>
          <w:p w14:paraId="1A808B17" w14:textId="77777777" w:rsidR="00415C6F" w:rsidRDefault="00415C6F" w:rsidP="00C11A2F">
            <w:pPr>
              <w:jc w:val="center"/>
              <w:rPr>
                <w:rFonts w:ascii="Cambria" w:hAnsi="Cambria"/>
                <w:b/>
                <w:bCs/>
                <w:sz w:val="18"/>
                <w:szCs w:val="18"/>
                <w:lang w:val="es-ES"/>
              </w:rPr>
            </w:pPr>
          </w:p>
          <w:p w14:paraId="162B5367" w14:textId="04FA89AE" w:rsidR="0060376B" w:rsidRPr="00F93C22" w:rsidRDefault="0060376B" w:rsidP="00C11A2F">
            <w:pPr>
              <w:jc w:val="center"/>
              <w:rPr>
                <w:rFonts w:ascii="Cambria" w:hAnsi="Cambria"/>
                <w:b/>
                <w:bCs/>
                <w:sz w:val="18"/>
                <w:szCs w:val="18"/>
                <w:lang w:val="es-ES"/>
              </w:rPr>
            </w:pPr>
            <w:r w:rsidRPr="00F93C22">
              <w:rPr>
                <w:rFonts w:ascii="Cambria" w:hAnsi="Cambria"/>
                <w:b/>
                <w:bCs/>
                <w:sz w:val="18"/>
                <w:szCs w:val="18"/>
                <w:lang w:val="es-ES"/>
              </w:rPr>
              <w:t>Cumplimiento Parcial</w:t>
            </w:r>
          </w:p>
          <w:p w14:paraId="680A4E5D" w14:textId="77777777" w:rsidR="0060376B" w:rsidRPr="00F93C22" w:rsidRDefault="0060376B" w:rsidP="00C11A2F">
            <w:pPr>
              <w:pStyle w:val="ListParagraph"/>
              <w:ind w:left="0"/>
              <w:jc w:val="center"/>
              <w:rPr>
                <w:rFonts w:ascii="Cambria" w:hAnsi="Cambria"/>
                <w:b/>
                <w:bCs/>
                <w:sz w:val="18"/>
                <w:szCs w:val="18"/>
                <w:lang w:val="es-ES"/>
              </w:rPr>
            </w:pPr>
          </w:p>
        </w:tc>
      </w:tr>
      <w:tr w:rsidR="0060376B" w:rsidRPr="00F93C22" w14:paraId="33FC512E" w14:textId="77777777" w:rsidTr="0099550C">
        <w:tc>
          <w:tcPr>
            <w:tcW w:w="5059" w:type="dxa"/>
            <w:shd w:val="clear" w:color="auto" w:fill="F2F2F2" w:themeFill="background1" w:themeFillShade="F2"/>
          </w:tcPr>
          <w:p w14:paraId="19219836" w14:textId="77777777" w:rsidR="0060376B" w:rsidRPr="004C458A" w:rsidRDefault="0060376B" w:rsidP="00C11A2F">
            <w:pPr>
              <w:jc w:val="both"/>
              <w:rPr>
                <w:rFonts w:ascii="Cambria" w:hAnsi="Cambria"/>
                <w:b/>
                <w:bCs/>
                <w:color w:val="000000" w:themeColor="text1"/>
                <w:sz w:val="18"/>
                <w:szCs w:val="18"/>
                <w:lang w:val="es-ES"/>
              </w:rPr>
            </w:pPr>
          </w:p>
          <w:p w14:paraId="32B4D3DE" w14:textId="25111861" w:rsidR="0060376B" w:rsidRPr="004C458A" w:rsidRDefault="0060376B" w:rsidP="00B977E3">
            <w:pPr>
              <w:pStyle w:val="NormalWeb"/>
              <w:spacing w:before="0" w:beforeAutospacing="0" w:after="0" w:afterAutospacing="0"/>
              <w:jc w:val="both"/>
              <w:rPr>
                <w:rFonts w:ascii="Cambria" w:hAnsi="Cambria"/>
                <w:color w:val="000000" w:themeColor="text1"/>
                <w:sz w:val="18"/>
                <w:szCs w:val="18"/>
                <w:lang w:val="es-ES"/>
              </w:rPr>
            </w:pPr>
            <w:r w:rsidRPr="004C458A">
              <w:rPr>
                <w:rFonts w:ascii="Cambria" w:hAnsi="Cambria"/>
                <w:b/>
                <w:bCs/>
                <w:color w:val="000000" w:themeColor="text1"/>
                <w:sz w:val="18"/>
                <w:szCs w:val="18"/>
                <w:lang w:val="es-ES"/>
              </w:rPr>
              <w:t>Información del Estado en 2023:</w:t>
            </w:r>
            <w:r w:rsidRPr="004C458A">
              <w:rPr>
                <w:rFonts w:ascii="Cambria" w:hAnsi="Cambria"/>
                <w:color w:val="000000" w:themeColor="text1"/>
                <w:sz w:val="18"/>
                <w:szCs w:val="18"/>
                <w:lang w:val="es-ES"/>
              </w:rPr>
              <w:t xml:space="preserve"> </w:t>
            </w:r>
            <w:r w:rsidR="00C27AC6">
              <w:rPr>
                <w:rFonts w:ascii="Cambria" w:hAnsi="Cambria"/>
                <w:color w:val="000000" w:themeColor="text1"/>
                <w:sz w:val="18"/>
                <w:szCs w:val="18"/>
                <w:lang w:val="es-ES"/>
              </w:rPr>
              <w:t xml:space="preserve">El Estado destacó </w:t>
            </w:r>
            <w:r w:rsidR="006425E8">
              <w:rPr>
                <w:rFonts w:ascii="Cambria" w:hAnsi="Cambria"/>
                <w:color w:val="000000" w:themeColor="text1"/>
                <w:sz w:val="18"/>
                <w:szCs w:val="18"/>
                <w:lang w:val="es-ES"/>
              </w:rPr>
              <w:t>que,</w:t>
            </w:r>
            <w:r w:rsidR="00C27AC6">
              <w:rPr>
                <w:rFonts w:ascii="Cambria" w:hAnsi="Cambria"/>
                <w:color w:val="000000" w:themeColor="text1"/>
                <w:sz w:val="18"/>
                <w:szCs w:val="18"/>
                <w:lang w:val="es-ES"/>
              </w:rPr>
              <w:t xml:space="preserve"> en </w:t>
            </w:r>
            <w:r w:rsidR="00C27AC6" w:rsidRPr="00C27AC6">
              <w:rPr>
                <w:rFonts w:ascii="Cambria" w:hAnsi="Cambria"/>
                <w:color w:val="000000" w:themeColor="text1"/>
                <w:sz w:val="18"/>
                <w:szCs w:val="18"/>
                <w:lang w:val="es-ES"/>
              </w:rPr>
              <w:t xml:space="preserve">febrero de 2023, se propuso la restauración del </w:t>
            </w:r>
            <w:r w:rsidR="00F55362">
              <w:rPr>
                <w:rFonts w:ascii="Cambria" w:hAnsi="Cambria"/>
                <w:color w:val="000000" w:themeColor="text1"/>
                <w:sz w:val="18"/>
                <w:szCs w:val="18"/>
                <w:lang w:val="es-ES"/>
              </w:rPr>
              <w:t>Plan</w:t>
            </w:r>
            <w:r w:rsidR="00C27AC6" w:rsidRPr="00C27AC6">
              <w:rPr>
                <w:rFonts w:ascii="Cambria" w:hAnsi="Cambria"/>
                <w:color w:val="000000" w:themeColor="text1"/>
                <w:sz w:val="18"/>
                <w:szCs w:val="18"/>
                <w:lang w:val="es-ES"/>
              </w:rPr>
              <w:t xml:space="preserve"> "Juventud Viva", ahora llamado "Juventud Negra Viva", en una reunión interinstitucional. </w:t>
            </w:r>
            <w:r w:rsidR="004F3641">
              <w:rPr>
                <w:rFonts w:ascii="Cambria" w:hAnsi="Cambria"/>
                <w:color w:val="000000" w:themeColor="text1"/>
                <w:sz w:val="18"/>
                <w:szCs w:val="18"/>
                <w:lang w:val="es-ES"/>
              </w:rPr>
              <w:t>El objetivo del plan</w:t>
            </w:r>
            <w:r w:rsidR="00C27AC6" w:rsidRPr="00C27AC6">
              <w:rPr>
                <w:rFonts w:ascii="Cambria" w:hAnsi="Cambria"/>
                <w:color w:val="000000" w:themeColor="text1"/>
                <w:sz w:val="18"/>
                <w:szCs w:val="18"/>
                <w:lang w:val="es-ES"/>
              </w:rPr>
              <w:t xml:space="preserve"> es destacar la centralidad de la cuestión racial en la mortalidad de l</w:t>
            </w:r>
            <w:r w:rsidR="00C27AC6">
              <w:rPr>
                <w:rFonts w:ascii="Cambria" w:hAnsi="Cambria"/>
                <w:color w:val="000000" w:themeColor="text1"/>
                <w:sz w:val="18"/>
                <w:szCs w:val="18"/>
                <w:lang w:val="es-ES"/>
              </w:rPr>
              <w:t>as personas</w:t>
            </w:r>
            <w:r w:rsidR="00C27AC6" w:rsidRPr="00C27AC6">
              <w:rPr>
                <w:rFonts w:ascii="Cambria" w:hAnsi="Cambria"/>
                <w:color w:val="000000" w:themeColor="text1"/>
                <w:sz w:val="18"/>
                <w:szCs w:val="18"/>
                <w:lang w:val="es-ES"/>
              </w:rPr>
              <w:t xml:space="preserve"> jóvenes</w:t>
            </w:r>
            <w:r w:rsidR="00C27AC6">
              <w:rPr>
                <w:rFonts w:ascii="Cambria" w:hAnsi="Cambria"/>
                <w:color w:val="000000" w:themeColor="text1"/>
                <w:sz w:val="18"/>
                <w:szCs w:val="18"/>
                <w:lang w:val="es-ES"/>
              </w:rPr>
              <w:t xml:space="preserve"> afrodescendientes</w:t>
            </w:r>
            <w:r w:rsidR="00C27AC6" w:rsidRPr="00C27AC6">
              <w:rPr>
                <w:rFonts w:ascii="Cambria" w:hAnsi="Cambria"/>
                <w:color w:val="000000" w:themeColor="text1"/>
                <w:sz w:val="18"/>
                <w:szCs w:val="18"/>
                <w:lang w:val="es-ES"/>
              </w:rPr>
              <w:t xml:space="preserve"> en Brasil. </w:t>
            </w:r>
            <w:r w:rsidR="006425E8">
              <w:rPr>
                <w:rFonts w:ascii="Cambria" w:hAnsi="Cambria"/>
                <w:color w:val="000000" w:themeColor="text1"/>
                <w:sz w:val="18"/>
                <w:szCs w:val="18"/>
                <w:lang w:val="es-ES"/>
              </w:rPr>
              <w:t>Al respecto, el Estado indicó que s</w:t>
            </w:r>
            <w:r w:rsidR="00C27AC6" w:rsidRPr="00C27AC6">
              <w:rPr>
                <w:rFonts w:ascii="Cambria" w:hAnsi="Cambria"/>
                <w:color w:val="000000" w:themeColor="text1"/>
                <w:sz w:val="18"/>
                <w:szCs w:val="18"/>
                <w:lang w:val="es-ES"/>
              </w:rPr>
              <w:t xml:space="preserve">e formará un Grupo de Trabajo </w:t>
            </w:r>
            <w:r w:rsidR="003F7EE2">
              <w:rPr>
                <w:rFonts w:ascii="Cambria" w:hAnsi="Cambria"/>
                <w:color w:val="000000" w:themeColor="text1"/>
                <w:sz w:val="18"/>
                <w:szCs w:val="18"/>
                <w:lang w:val="es-ES"/>
              </w:rPr>
              <w:t>I</w:t>
            </w:r>
            <w:r w:rsidR="00C27AC6" w:rsidRPr="00C27AC6">
              <w:rPr>
                <w:rFonts w:ascii="Cambria" w:hAnsi="Cambria"/>
                <w:color w:val="000000" w:themeColor="text1"/>
                <w:sz w:val="18"/>
                <w:szCs w:val="18"/>
                <w:lang w:val="es-ES"/>
              </w:rPr>
              <w:t xml:space="preserve">nterministerial </w:t>
            </w:r>
            <w:r w:rsidR="003F7EE2">
              <w:rPr>
                <w:rFonts w:ascii="Cambria" w:hAnsi="Cambria"/>
                <w:color w:val="000000" w:themeColor="text1"/>
                <w:sz w:val="18"/>
                <w:szCs w:val="18"/>
                <w:lang w:val="es-ES"/>
              </w:rPr>
              <w:t xml:space="preserve">(GTI) </w:t>
            </w:r>
            <w:r w:rsidR="00C27AC6" w:rsidRPr="00C27AC6">
              <w:rPr>
                <w:rFonts w:ascii="Cambria" w:hAnsi="Cambria"/>
                <w:color w:val="000000" w:themeColor="text1"/>
                <w:sz w:val="18"/>
                <w:szCs w:val="18"/>
                <w:lang w:val="es-ES"/>
              </w:rPr>
              <w:t xml:space="preserve">para administrar el programa, con la participación de varios </w:t>
            </w:r>
            <w:r w:rsidR="003F7EE2">
              <w:rPr>
                <w:rFonts w:ascii="Cambria" w:hAnsi="Cambria"/>
                <w:color w:val="000000" w:themeColor="text1"/>
                <w:sz w:val="18"/>
                <w:szCs w:val="18"/>
                <w:lang w:val="es-ES"/>
              </w:rPr>
              <w:t>M</w:t>
            </w:r>
            <w:r w:rsidR="00C27AC6" w:rsidRPr="00C27AC6">
              <w:rPr>
                <w:rFonts w:ascii="Cambria" w:hAnsi="Cambria"/>
                <w:color w:val="000000" w:themeColor="text1"/>
                <w:sz w:val="18"/>
                <w:szCs w:val="18"/>
                <w:lang w:val="es-ES"/>
              </w:rPr>
              <w:t xml:space="preserve">inisterios. El </w:t>
            </w:r>
            <w:r w:rsidR="004F3641">
              <w:rPr>
                <w:rFonts w:ascii="Cambria" w:hAnsi="Cambria"/>
                <w:color w:val="000000" w:themeColor="text1"/>
                <w:sz w:val="18"/>
                <w:szCs w:val="18"/>
                <w:lang w:val="es-ES"/>
              </w:rPr>
              <w:t xml:space="preserve">Estado señaló que el </w:t>
            </w:r>
            <w:r w:rsidR="00C27AC6" w:rsidRPr="00C27AC6">
              <w:rPr>
                <w:rFonts w:ascii="Cambria" w:hAnsi="Cambria"/>
                <w:color w:val="000000" w:themeColor="text1"/>
                <w:sz w:val="18"/>
                <w:szCs w:val="18"/>
                <w:lang w:val="es-ES"/>
              </w:rPr>
              <w:t>plan busca transformar áreas vulnerables, promover la inclusión social de</w:t>
            </w:r>
            <w:r w:rsidR="003F7EE2">
              <w:rPr>
                <w:rFonts w:ascii="Cambria" w:hAnsi="Cambria"/>
                <w:color w:val="000000" w:themeColor="text1"/>
                <w:sz w:val="18"/>
                <w:szCs w:val="18"/>
                <w:lang w:val="es-ES"/>
              </w:rPr>
              <w:t xml:space="preserve"> personas</w:t>
            </w:r>
            <w:r w:rsidR="00C27AC6" w:rsidRPr="00C27AC6">
              <w:rPr>
                <w:rFonts w:ascii="Cambria" w:hAnsi="Cambria"/>
                <w:color w:val="000000" w:themeColor="text1"/>
                <w:sz w:val="18"/>
                <w:szCs w:val="18"/>
                <w:lang w:val="es-ES"/>
              </w:rPr>
              <w:t xml:space="preserve"> jóvenes negr</w:t>
            </w:r>
            <w:r w:rsidR="003F7EE2">
              <w:rPr>
                <w:rFonts w:ascii="Cambria" w:hAnsi="Cambria"/>
                <w:color w:val="000000" w:themeColor="text1"/>
                <w:sz w:val="18"/>
                <w:szCs w:val="18"/>
                <w:lang w:val="es-ES"/>
              </w:rPr>
              <w:t>as</w:t>
            </w:r>
            <w:r w:rsidR="00C27AC6" w:rsidRPr="00C27AC6">
              <w:rPr>
                <w:rFonts w:ascii="Cambria" w:hAnsi="Cambria"/>
                <w:color w:val="000000" w:themeColor="text1"/>
                <w:sz w:val="18"/>
                <w:szCs w:val="18"/>
                <w:lang w:val="es-ES"/>
              </w:rPr>
              <w:t xml:space="preserve"> y abordar el racismo institucional</w:t>
            </w:r>
            <w:r w:rsidR="003F7EE2">
              <w:rPr>
                <w:rFonts w:ascii="Cambria" w:hAnsi="Cambria"/>
                <w:color w:val="000000" w:themeColor="text1"/>
                <w:sz w:val="18"/>
                <w:szCs w:val="18"/>
                <w:lang w:val="es-ES"/>
              </w:rPr>
              <w:t xml:space="preserve"> en el país</w:t>
            </w:r>
            <w:r w:rsidR="00C27AC6" w:rsidRPr="00C27AC6">
              <w:rPr>
                <w:rFonts w:ascii="Cambria" w:hAnsi="Cambria"/>
                <w:color w:val="000000" w:themeColor="text1"/>
                <w:sz w:val="18"/>
                <w:szCs w:val="18"/>
                <w:lang w:val="es-ES"/>
              </w:rPr>
              <w:t xml:space="preserve">. </w:t>
            </w:r>
            <w:r w:rsidR="004F3641">
              <w:rPr>
                <w:rFonts w:ascii="Cambria" w:hAnsi="Cambria"/>
                <w:color w:val="000000" w:themeColor="text1"/>
                <w:sz w:val="18"/>
                <w:szCs w:val="18"/>
                <w:lang w:val="es-ES"/>
              </w:rPr>
              <w:t>Además, manifestó que s</w:t>
            </w:r>
            <w:r w:rsidR="00C27AC6" w:rsidRPr="00C27AC6">
              <w:rPr>
                <w:rFonts w:ascii="Cambria" w:hAnsi="Cambria"/>
                <w:color w:val="000000" w:themeColor="text1"/>
                <w:sz w:val="18"/>
                <w:szCs w:val="18"/>
                <w:lang w:val="es-ES"/>
              </w:rPr>
              <w:t>e han programado Caravanas Participativas para escuchar las necesidades de la sociedad en todas las capitales del país</w:t>
            </w:r>
            <w:r w:rsidR="004F3641">
              <w:rPr>
                <w:rFonts w:ascii="Cambria" w:hAnsi="Cambria"/>
                <w:color w:val="000000" w:themeColor="text1"/>
                <w:sz w:val="18"/>
                <w:szCs w:val="18"/>
                <w:lang w:val="es-ES"/>
              </w:rPr>
              <w:t xml:space="preserve"> para </w:t>
            </w:r>
            <w:r w:rsidR="00C27AC6" w:rsidRPr="00C27AC6">
              <w:rPr>
                <w:rFonts w:ascii="Cambria" w:hAnsi="Cambria"/>
                <w:color w:val="000000" w:themeColor="text1"/>
                <w:sz w:val="18"/>
                <w:szCs w:val="18"/>
                <w:lang w:val="es-ES"/>
              </w:rPr>
              <w:t>fortalecer las políticas contra la discriminación racial y el racismo en Brasil.</w:t>
            </w:r>
            <w:r w:rsidRPr="004C458A">
              <w:rPr>
                <w:rFonts w:ascii="Cambria" w:hAnsi="Cambria"/>
                <w:color w:val="000000" w:themeColor="text1"/>
                <w:sz w:val="18"/>
                <w:szCs w:val="18"/>
                <w:lang w:val="es-ES"/>
              </w:rPr>
              <w:t xml:space="preserve"> </w:t>
            </w:r>
          </w:p>
          <w:p w14:paraId="296FEF7D" w14:textId="77777777" w:rsidR="0060376B" w:rsidRPr="004C458A" w:rsidRDefault="0060376B" w:rsidP="00C11A2F">
            <w:pPr>
              <w:jc w:val="both"/>
              <w:rPr>
                <w:rFonts w:ascii="Cambria" w:hAnsi="Cambria"/>
                <w:color w:val="000000" w:themeColor="text1"/>
                <w:sz w:val="18"/>
                <w:szCs w:val="18"/>
                <w:lang w:val="es-ES"/>
              </w:rPr>
            </w:pPr>
          </w:p>
          <w:p w14:paraId="13CA5516" w14:textId="1357AD56" w:rsidR="0060376B" w:rsidRPr="004C458A" w:rsidRDefault="0060376B" w:rsidP="00C11A2F">
            <w:pPr>
              <w:jc w:val="both"/>
              <w:rPr>
                <w:rFonts w:ascii="Cambria" w:hAnsi="Cambria"/>
                <w:color w:val="000000" w:themeColor="text1"/>
                <w:sz w:val="18"/>
                <w:szCs w:val="18"/>
                <w:lang w:val="es-ES"/>
              </w:rPr>
            </w:pPr>
            <w:r w:rsidRPr="004C458A">
              <w:rPr>
                <w:rFonts w:ascii="Cambria" w:hAnsi="Cambria"/>
                <w:b/>
                <w:bCs/>
                <w:color w:val="000000" w:themeColor="text1"/>
                <w:sz w:val="18"/>
                <w:szCs w:val="18"/>
                <w:lang w:val="es-ES"/>
              </w:rPr>
              <w:t>Información de la parte peticionaria en 2023:</w:t>
            </w:r>
            <w:r w:rsidRPr="004C458A">
              <w:rPr>
                <w:rFonts w:ascii="Cambria" w:hAnsi="Cambria"/>
                <w:color w:val="000000" w:themeColor="text1"/>
                <w:sz w:val="18"/>
                <w:szCs w:val="18"/>
                <w:lang w:val="es-ES"/>
              </w:rPr>
              <w:t xml:space="preserve"> </w:t>
            </w:r>
            <w:r w:rsidR="008B5D55" w:rsidRPr="00202306">
              <w:rPr>
                <w:rFonts w:ascii="Cambria" w:hAnsi="Cambria" w:cs="Cambria"/>
                <w:sz w:val="18"/>
                <w:szCs w:val="18"/>
                <w:lang w:val="es-ES_tradnl"/>
              </w:rPr>
              <w:t>La parte peticionaria informó sobre la realización del Seminario Nacional, pero destacó que la presente recomendación solo podría darse como cumplida cuando se realicen un evento similar en todos los estados de Brasil.</w:t>
            </w:r>
          </w:p>
          <w:p w14:paraId="081850D4" w14:textId="07B3B242" w:rsidR="002F1526" w:rsidRPr="004C458A" w:rsidRDefault="002F1526" w:rsidP="00C11A2F">
            <w:pPr>
              <w:jc w:val="both"/>
              <w:rPr>
                <w:rFonts w:ascii="Cambria" w:hAnsi="Cambria"/>
                <w:color w:val="000000" w:themeColor="text1"/>
                <w:sz w:val="18"/>
                <w:szCs w:val="18"/>
                <w:lang w:val="es-ES"/>
              </w:rPr>
            </w:pPr>
          </w:p>
        </w:tc>
        <w:tc>
          <w:tcPr>
            <w:tcW w:w="4590" w:type="dxa"/>
            <w:gridSpan w:val="2"/>
            <w:shd w:val="clear" w:color="auto" w:fill="F2F2F2" w:themeFill="background1" w:themeFillShade="F2"/>
          </w:tcPr>
          <w:p w14:paraId="7194DBDC" w14:textId="77777777" w:rsidR="0060376B" w:rsidRPr="00F93C22" w:rsidRDefault="0060376B" w:rsidP="00C11A2F">
            <w:pPr>
              <w:pStyle w:val="ListParagraph"/>
              <w:ind w:left="0"/>
              <w:jc w:val="both"/>
              <w:rPr>
                <w:rFonts w:ascii="Cambria" w:hAnsi="Cambria"/>
                <w:b/>
                <w:sz w:val="18"/>
                <w:szCs w:val="18"/>
                <w:lang w:val="es-ES"/>
              </w:rPr>
            </w:pPr>
          </w:p>
          <w:p w14:paraId="5B70D69C" w14:textId="3B1FE5FE" w:rsidR="00FE5D49" w:rsidRPr="00FE5D49" w:rsidRDefault="0060376B" w:rsidP="003522A2">
            <w:pPr>
              <w:jc w:val="both"/>
              <w:rPr>
                <w:rFonts w:ascii="Cambria" w:hAnsi="Cambria"/>
                <w:sz w:val="18"/>
                <w:szCs w:val="18"/>
              </w:rPr>
            </w:pPr>
            <w:r w:rsidRPr="00F93C22">
              <w:rPr>
                <w:rFonts w:ascii="Cambria" w:hAnsi="Cambria"/>
                <w:b/>
                <w:sz w:val="18"/>
                <w:szCs w:val="18"/>
                <w:lang w:val="es-ES"/>
              </w:rPr>
              <w:t xml:space="preserve">Análisis de </w:t>
            </w:r>
            <w:r w:rsidRPr="00557888">
              <w:rPr>
                <w:rFonts w:ascii="Cambria" w:hAnsi="Cambria"/>
                <w:b/>
                <w:sz w:val="18"/>
                <w:szCs w:val="18"/>
                <w:lang w:val="es-ES"/>
              </w:rPr>
              <w:t>cumplimiento:</w:t>
            </w:r>
            <w:r w:rsidRPr="00557888">
              <w:rPr>
                <w:rFonts w:ascii="Cambria" w:hAnsi="Cambria"/>
                <w:sz w:val="18"/>
                <w:szCs w:val="18"/>
                <w:lang w:val="es-ES"/>
              </w:rPr>
              <w:t xml:space="preserve"> </w:t>
            </w:r>
            <w:r w:rsidR="003522A2" w:rsidRPr="003522A2">
              <w:rPr>
                <w:rFonts w:ascii="Cambria" w:hAnsi="Cambria"/>
                <w:sz w:val="18"/>
                <w:szCs w:val="18"/>
              </w:rPr>
              <w:t>La Comisión valora la información remitida por ambas partes en 2023</w:t>
            </w:r>
            <w:r w:rsidR="00640D3B">
              <w:rPr>
                <w:rFonts w:ascii="Cambria" w:hAnsi="Cambria"/>
                <w:sz w:val="18"/>
                <w:szCs w:val="18"/>
              </w:rPr>
              <w:t>. En la misma línea d</w:t>
            </w:r>
            <w:r w:rsidR="00BB6C75">
              <w:rPr>
                <w:rFonts w:ascii="Cambria" w:hAnsi="Cambria"/>
                <w:sz w:val="18"/>
                <w:szCs w:val="18"/>
              </w:rPr>
              <w:t xml:space="preserve">el </w:t>
            </w:r>
            <w:r w:rsidR="00673141">
              <w:rPr>
                <w:rFonts w:ascii="Cambria" w:hAnsi="Cambria"/>
                <w:sz w:val="18"/>
                <w:szCs w:val="18"/>
              </w:rPr>
              <w:t>análisis</w:t>
            </w:r>
            <w:r w:rsidR="00BB6C75">
              <w:rPr>
                <w:rFonts w:ascii="Cambria" w:hAnsi="Cambria"/>
                <w:sz w:val="18"/>
                <w:szCs w:val="18"/>
              </w:rPr>
              <w:t xml:space="preserve"> respecto de</w:t>
            </w:r>
            <w:r w:rsidR="00673141">
              <w:rPr>
                <w:rFonts w:ascii="Cambria" w:hAnsi="Cambria"/>
                <w:sz w:val="18"/>
                <w:szCs w:val="18"/>
              </w:rPr>
              <w:t xml:space="preserve"> la recomendación No. 7</w:t>
            </w:r>
            <w:r w:rsidR="00640D3B">
              <w:rPr>
                <w:rFonts w:ascii="Cambria" w:hAnsi="Cambria"/>
                <w:sz w:val="18"/>
                <w:szCs w:val="18"/>
              </w:rPr>
              <w:t xml:space="preserve"> y c</w:t>
            </w:r>
            <w:r w:rsidR="003522A2" w:rsidRPr="003522A2">
              <w:rPr>
                <w:rFonts w:ascii="Cambria" w:hAnsi="Cambria"/>
                <w:sz w:val="18"/>
                <w:szCs w:val="18"/>
              </w:rPr>
              <w:t xml:space="preserve">onsiderando la solicitud de la parte peticionaria, la Comisión invita al Estado a remitir información sobre la planificación de eventos similares en los demás estados del país </w:t>
            </w:r>
            <w:r w:rsidR="008567C9">
              <w:rPr>
                <w:rFonts w:ascii="Cambria" w:hAnsi="Cambria"/>
                <w:sz w:val="18"/>
                <w:szCs w:val="18"/>
              </w:rPr>
              <w:t xml:space="preserve">para así </w:t>
            </w:r>
            <w:r w:rsidR="003522A2" w:rsidRPr="003522A2">
              <w:rPr>
                <w:rFonts w:ascii="Cambria" w:hAnsi="Cambria"/>
                <w:sz w:val="18"/>
                <w:szCs w:val="18"/>
              </w:rPr>
              <w:t xml:space="preserve">seguir implementando medidas de educación para personas funcionarias de justicia y de la policía. Ante lo anterior, </w:t>
            </w:r>
            <w:r w:rsidR="008567C9">
              <w:rPr>
                <w:rFonts w:ascii="Cambria" w:hAnsi="Cambria"/>
                <w:sz w:val="18"/>
                <w:szCs w:val="18"/>
              </w:rPr>
              <w:t xml:space="preserve">la Comisión </w:t>
            </w:r>
            <w:r w:rsidR="003522A2" w:rsidRPr="003522A2">
              <w:rPr>
                <w:rFonts w:ascii="Cambria" w:hAnsi="Cambria"/>
                <w:sz w:val="18"/>
                <w:szCs w:val="18"/>
              </w:rPr>
              <w:t xml:space="preserve">considera que la recomendación </w:t>
            </w:r>
            <w:r w:rsidR="003522A2" w:rsidRPr="00673141">
              <w:rPr>
                <w:rFonts w:ascii="Cambria" w:hAnsi="Cambria"/>
                <w:sz w:val="18"/>
                <w:szCs w:val="18"/>
              </w:rPr>
              <w:t>continúa</w:t>
            </w:r>
            <w:r w:rsidR="003522A2" w:rsidRPr="003522A2">
              <w:rPr>
                <w:rFonts w:ascii="Cambria" w:hAnsi="Cambria"/>
                <w:b/>
                <w:bCs/>
                <w:sz w:val="18"/>
                <w:szCs w:val="18"/>
              </w:rPr>
              <w:t xml:space="preserve"> parcialmente cumplida.</w:t>
            </w:r>
            <w:r w:rsidR="003522A2" w:rsidRPr="003522A2">
              <w:rPr>
                <w:rFonts w:ascii="Cambria" w:hAnsi="Cambria"/>
                <w:sz w:val="18"/>
                <w:szCs w:val="18"/>
                <w:lang w:val="es-ES"/>
              </w:rPr>
              <w:t xml:space="preserve"> </w:t>
            </w:r>
          </w:p>
        </w:tc>
      </w:tr>
      <w:tr w:rsidR="0060376B" w:rsidRPr="00F93C22" w14:paraId="7CA74A78" w14:textId="77777777" w:rsidTr="0099550C">
        <w:tc>
          <w:tcPr>
            <w:tcW w:w="9649" w:type="dxa"/>
            <w:gridSpan w:val="3"/>
            <w:shd w:val="clear" w:color="auto" w:fill="D9D9D9" w:themeFill="background1" w:themeFillShade="D9"/>
          </w:tcPr>
          <w:p w14:paraId="01011AC7" w14:textId="77777777" w:rsidR="008F016C" w:rsidRDefault="008F016C" w:rsidP="00C11A2F">
            <w:pPr>
              <w:jc w:val="both"/>
              <w:rPr>
                <w:rFonts w:ascii="Cambria" w:hAnsi="Cambria"/>
                <w:b/>
                <w:sz w:val="18"/>
                <w:szCs w:val="18"/>
                <w:lang w:val="es-ES"/>
              </w:rPr>
            </w:pPr>
          </w:p>
          <w:p w14:paraId="4E11B798" w14:textId="10394B0E" w:rsidR="0060376B" w:rsidRDefault="0060376B" w:rsidP="00C11A2F">
            <w:pPr>
              <w:jc w:val="both"/>
              <w:rPr>
                <w:rFonts w:ascii="Cambria" w:hAnsi="Cambria"/>
                <w:b/>
                <w:sz w:val="18"/>
                <w:szCs w:val="18"/>
                <w:lang w:val="es-ES"/>
              </w:rPr>
            </w:pPr>
            <w:r w:rsidRPr="00F93C22">
              <w:rPr>
                <w:rFonts w:ascii="Cambria" w:hAnsi="Cambria"/>
                <w:b/>
                <w:sz w:val="18"/>
                <w:szCs w:val="18"/>
                <w:lang w:val="es-ES"/>
              </w:rPr>
              <w:t xml:space="preserve">Medidas relevantes de cumplimiento </w:t>
            </w:r>
            <w:r w:rsidR="00D76BED">
              <w:rPr>
                <w:rFonts w:ascii="Cambria" w:hAnsi="Cambria" w:cs="Cambria"/>
                <w:b/>
                <w:bCs/>
                <w:sz w:val="18"/>
                <w:szCs w:val="18"/>
                <w:lang w:val="pt-BR"/>
              </w:rPr>
              <w:t>informadas</w:t>
            </w:r>
            <w:r w:rsidRPr="00F93C22">
              <w:rPr>
                <w:rFonts w:ascii="Cambria" w:hAnsi="Cambria"/>
                <w:b/>
                <w:sz w:val="18"/>
                <w:szCs w:val="18"/>
                <w:lang w:val="es-ES"/>
              </w:rPr>
              <w:t xml:space="preserve"> en 2023:</w:t>
            </w:r>
          </w:p>
          <w:p w14:paraId="2103FF61" w14:textId="77777777" w:rsidR="00464E73" w:rsidRPr="00F93C22" w:rsidRDefault="00464E73" w:rsidP="00C11A2F">
            <w:pPr>
              <w:jc w:val="both"/>
              <w:rPr>
                <w:rFonts w:ascii="Cambria" w:hAnsi="Cambria"/>
                <w:b/>
                <w:sz w:val="18"/>
                <w:szCs w:val="18"/>
                <w:lang w:val="es-ES"/>
              </w:rPr>
            </w:pPr>
          </w:p>
          <w:p w14:paraId="4775E8BE" w14:textId="77777777" w:rsidR="00F93C22" w:rsidRPr="008F016C" w:rsidRDefault="00BF7D5C" w:rsidP="00C11A2F">
            <w:pPr>
              <w:pStyle w:val="NormalWeb"/>
              <w:numPr>
                <w:ilvl w:val="0"/>
                <w:numId w:val="2"/>
              </w:numPr>
              <w:spacing w:before="0" w:beforeAutospacing="0" w:after="0" w:afterAutospacing="0"/>
              <w:ind w:left="357" w:hanging="357"/>
              <w:textAlignment w:val="baseline"/>
              <w:rPr>
                <w:rFonts w:ascii="Cambria" w:hAnsi="Cambria"/>
                <w:color w:val="000000"/>
                <w:sz w:val="18"/>
                <w:szCs w:val="18"/>
                <w:lang w:val="es-ES_tradnl"/>
              </w:rPr>
            </w:pPr>
            <w:r>
              <w:rPr>
                <w:rFonts w:ascii="Cambria" w:hAnsi="Cambria"/>
                <w:color w:val="000000" w:themeColor="text1"/>
                <w:sz w:val="18"/>
                <w:szCs w:val="18"/>
                <w:lang w:val="es-ES_tradnl"/>
              </w:rPr>
              <w:t xml:space="preserve">Reformulación del </w:t>
            </w:r>
            <w:r w:rsidR="00F55362">
              <w:rPr>
                <w:rFonts w:ascii="Cambria" w:hAnsi="Cambria"/>
                <w:color w:val="000000" w:themeColor="text1"/>
                <w:sz w:val="18"/>
                <w:szCs w:val="18"/>
                <w:lang w:val="es-ES_tradnl"/>
              </w:rPr>
              <w:t>Plan</w:t>
            </w:r>
            <w:r>
              <w:rPr>
                <w:rFonts w:ascii="Cambria" w:hAnsi="Cambria"/>
                <w:color w:val="000000" w:themeColor="text1"/>
                <w:sz w:val="18"/>
                <w:szCs w:val="18"/>
                <w:lang w:val="es-ES_tradnl"/>
              </w:rPr>
              <w:t xml:space="preserve"> “Juventud Negra Viva”.</w:t>
            </w:r>
          </w:p>
          <w:p w14:paraId="2FFD6B92" w14:textId="226CEABC" w:rsidR="008F016C" w:rsidRPr="00557888" w:rsidRDefault="008F016C" w:rsidP="008F016C">
            <w:pPr>
              <w:pStyle w:val="NormalWeb"/>
              <w:spacing w:before="0" w:beforeAutospacing="0" w:after="0" w:afterAutospacing="0"/>
              <w:ind w:left="357"/>
              <w:textAlignment w:val="baseline"/>
              <w:rPr>
                <w:rFonts w:ascii="Cambria" w:hAnsi="Cambria"/>
                <w:color w:val="000000"/>
                <w:sz w:val="18"/>
                <w:szCs w:val="18"/>
                <w:lang w:val="es-ES_tradnl"/>
              </w:rPr>
            </w:pPr>
          </w:p>
        </w:tc>
      </w:tr>
    </w:tbl>
    <w:p w14:paraId="769D0D3C" w14:textId="77777777" w:rsidR="0060376B" w:rsidRPr="00F93C22" w:rsidRDefault="0060376B" w:rsidP="00C11A2F">
      <w:pPr>
        <w:spacing w:after="0" w:line="240" w:lineRule="auto"/>
        <w:jc w:val="both"/>
        <w:rPr>
          <w:rFonts w:ascii="Cambria" w:hAnsi="Cambria"/>
          <w:b/>
          <w:sz w:val="20"/>
          <w:lang w:val="es-ES"/>
        </w:rPr>
      </w:pPr>
    </w:p>
    <w:p w14:paraId="7B14C923" w14:textId="77777777" w:rsidR="0060376B" w:rsidRPr="00F93C22" w:rsidRDefault="0060376B" w:rsidP="00C11A2F">
      <w:pPr>
        <w:pStyle w:val="ListParagraph"/>
        <w:numPr>
          <w:ilvl w:val="0"/>
          <w:numId w:val="3"/>
        </w:numPr>
        <w:spacing w:after="0" w:line="240" w:lineRule="auto"/>
        <w:jc w:val="both"/>
        <w:rPr>
          <w:rFonts w:ascii="Cambria" w:hAnsi="Cambria"/>
          <w:b/>
          <w:sz w:val="20"/>
          <w:lang w:val="es-ES"/>
        </w:rPr>
      </w:pPr>
      <w:r w:rsidRPr="00F93C22">
        <w:rPr>
          <w:rFonts w:ascii="Cambria" w:hAnsi="Cambria"/>
          <w:b/>
          <w:sz w:val="20"/>
          <w:lang w:val="es-ES"/>
        </w:rPr>
        <w:t>Décima recomendación</w:t>
      </w:r>
    </w:p>
    <w:p w14:paraId="54CD245A" w14:textId="77777777" w:rsidR="0060376B" w:rsidRPr="00F93C22" w:rsidRDefault="0060376B" w:rsidP="00C11A2F">
      <w:pPr>
        <w:spacing w:after="0" w:line="240" w:lineRule="auto"/>
        <w:jc w:val="both"/>
        <w:rPr>
          <w:rFonts w:ascii="Cambria" w:hAnsi="Cambria"/>
          <w:b/>
          <w:sz w:val="20"/>
          <w:lang w:val="es-ES"/>
        </w:rPr>
      </w:pPr>
    </w:p>
    <w:tbl>
      <w:tblPr>
        <w:tblStyle w:val="TableGrid"/>
        <w:tblW w:w="96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2250"/>
        <w:gridCol w:w="2340"/>
      </w:tblGrid>
      <w:tr w:rsidR="0060376B" w:rsidRPr="00F93C22" w14:paraId="43812B95" w14:textId="77777777" w:rsidTr="0099550C">
        <w:tc>
          <w:tcPr>
            <w:tcW w:w="7309" w:type="dxa"/>
            <w:gridSpan w:val="2"/>
            <w:shd w:val="clear" w:color="auto" w:fill="B4C6E7" w:themeFill="accent5" w:themeFillTint="66"/>
          </w:tcPr>
          <w:p w14:paraId="55A15532" w14:textId="77777777" w:rsidR="00C11A2F" w:rsidRDefault="00C11A2F" w:rsidP="00C11A2F">
            <w:pPr>
              <w:pStyle w:val="ListParagraph"/>
              <w:ind w:left="0"/>
              <w:jc w:val="both"/>
              <w:rPr>
                <w:rFonts w:ascii="Cambria" w:hAnsi="Cambria"/>
                <w:b/>
                <w:bCs/>
                <w:sz w:val="18"/>
                <w:szCs w:val="18"/>
                <w:lang w:val="es-ES"/>
              </w:rPr>
            </w:pPr>
          </w:p>
          <w:p w14:paraId="3AE79646" w14:textId="77777777" w:rsidR="0060376B" w:rsidRDefault="0060376B" w:rsidP="00C11A2F">
            <w:pPr>
              <w:pStyle w:val="ListParagraph"/>
              <w:ind w:left="0"/>
              <w:jc w:val="both"/>
              <w:rPr>
                <w:rFonts w:ascii="Cambria" w:hAnsi="Cambria"/>
                <w:b/>
                <w:color w:val="000000" w:themeColor="text1"/>
                <w:sz w:val="18"/>
                <w:szCs w:val="18"/>
                <w:lang w:val="es-ES" w:eastAsia="pt-BR"/>
              </w:rPr>
            </w:pPr>
            <w:r w:rsidRPr="00F93C22">
              <w:rPr>
                <w:rFonts w:ascii="Cambria" w:hAnsi="Cambria"/>
                <w:b/>
                <w:bCs/>
                <w:sz w:val="18"/>
                <w:szCs w:val="18"/>
                <w:lang w:val="es-ES"/>
              </w:rPr>
              <w:t xml:space="preserve">Recomendación 10. </w:t>
            </w:r>
            <w:r w:rsidRPr="00F93C22">
              <w:rPr>
                <w:rFonts w:ascii="Cambria" w:hAnsi="Cambria"/>
                <w:b/>
                <w:color w:val="000000" w:themeColor="text1"/>
                <w:sz w:val="18"/>
                <w:szCs w:val="18"/>
                <w:lang w:val="es-ES" w:eastAsia="pt-BR"/>
              </w:rPr>
              <w:t>Solicitar a los gobiernos de los estados la creación de comisarías especializadas en la investigación de delitos de racismo y discriminación racial.</w:t>
            </w:r>
          </w:p>
          <w:p w14:paraId="68421DED" w14:textId="5043D724" w:rsidR="00C11A2F" w:rsidRPr="00F93C22" w:rsidRDefault="00C11A2F" w:rsidP="00C11A2F">
            <w:pPr>
              <w:pStyle w:val="ListParagraph"/>
              <w:ind w:left="0"/>
              <w:jc w:val="both"/>
              <w:rPr>
                <w:rFonts w:ascii="Cambria" w:hAnsi="Cambria"/>
                <w:b/>
                <w:bCs/>
                <w:sz w:val="18"/>
                <w:szCs w:val="18"/>
                <w:lang w:val="es-ES"/>
              </w:rPr>
            </w:pPr>
          </w:p>
        </w:tc>
        <w:tc>
          <w:tcPr>
            <w:tcW w:w="2340" w:type="dxa"/>
            <w:shd w:val="clear" w:color="auto" w:fill="B4C6E7" w:themeFill="accent5" w:themeFillTint="66"/>
          </w:tcPr>
          <w:p w14:paraId="41FFDAF0" w14:textId="77777777" w:rsidR="00415C6F" w:rsidRDefault="00415C6F" w:rsidP="00C11A2F">
            <w:pPr>
              <w:jc w:val="center"/>
              <w:rPr>
                <w:rFonts w:ascii="Cambria" w:hAnsi="Cambria"/>
                <w:b/>
                <w:bCs/>
                <w:sz w:val="18"/>
                <w:szCs w:val="18"/>
                <w:lang w:val="es-ES"/>
              </w:rPr>
            </w:pPr>
          </w:p>
          <w:p w14:paraId="61243F5D" w14:textId="5064B1A5" w:rsidR="0060376B" w:rsidRPr="00F93C22" w:rsidRDefault="0060376B" w:rsidP="00C11A2F">
            <w:pPr>
              <w:jc w:val="center"/>
              <w:rPr>
                <w:rFonts w:ascii="Cambria" w:hAnsi="Cambria"/>
                <w:b/>
                <w:bCs/>
                <w:sz w:val="18"/>
                <w:szCs w:val="18"/>
                <w:lang w:val="es-ES"/>
              </w:rPr>
            </w:pPr>
            <w:r w:rsidRPr="00F93C22">
              <w:rPr>
                <w:rFonts w:ascii="Cambria" w:hAnsi="Cambria"/>
                <w:b/>
                <w:bCs/>
                <w:sz w:val="18"/>
                <w:szCs w:val="18"/>
                <w:lang w:val="es-ES"/>
              </w:rPr>
              <w:t>Cumplimiento Parcial</w:t>
            </w:r>
          </w:p>
          <w:p w14:paraId="1231BE67" w14:textId="77777777" w:rsidR="0060376B" w:rsidRPr="00F93C22" w:rsidRDefault="0060376B" w:rsidP="00C11A2F">
            <w:pPr>
              <w:pStyle w:val="ListParagraph"/>
              <w:ind w:left="0"/>
              <w:jc w:val="center"/>
              <w:rPr>
                <w:rFonts w:ascii="Cambria" w:hAnsi="Cambria"/>
                <w:b/>
                <w:bCs/>
                <w:sz w:val="18"/>
                <w:szCs w:val="18"/>
                <w:lang w:val="es-ES"/>
              </w:rPr>
            </w:pPr>
          </w:p>
        </w:tc>
      </w:tr>
      <w:tr w:rsidR="0060376B" w:rsidRPr="00F93C22" w14:paraId="75A21247" w14:textId="77777777" w:rsidTr="0099550C">
        <w:tc>
          <w:tcPr>
            <w:tcW w:w="5059" w:type="dxa"/>
            <w:shd w:val="clear" w:color="auto" w:fill="F2F2F2" w:themeFill="background1" w:themeFillShade="F2"/>
          </w:tcPr>
          <w:p w14:paraId="0D87444F" w14:textId="77777777" w:rsidR="00C11A2F" w:rsidRDefault="00C11A2F" w:rsidP="00C11A2F">
            <w:pPr>
              <w:jc w:val="both"/>
              <w:rPr>
                <w:rFonts w:ascii="Cambria" w:hAnsi="Cambria"/>
                <w:b/>
                <w:bCs/>
                <w:sz w:val="18"/>
                <w:szCs w:val="18"/>
                <w:lang w:val="es-ES"/>
              </w:rPr>
            </w:pPr>
          </w:p>
          <w:p w14:paraId="5EEB1D85" w14:textId="0D998754" w:rsidR="00F93C22" w:rsidRPr="004C458A" w:rsidRDefault="0060376B" w:rsidP="00C11A2F">
            <w:pPr>
              <w:jc w:val="both"/>
              <w:rPr>
                <w:color w:val="000000" w:themeColor="text1"/>
              </w:rPr>
            </w:pPr>
            <w:r w:rsidRPr="00F93C22">
              <w:rPr>
                <w:rFonts w:ascii="Cambria" w:hAnsi="Cambria"/>
                <w:b/>
                <w:bCs/>
                <w:sz w:val="18"/>
                <w:szCs w:val="18"/>
                <w:lang w:val="es-ES"/>
              </w:rPr>
              <w:t>Información del Estado en 2023:</w:t>
            </w:r>
            <w:r w:rsidRPr="00F93C22">
              <w:rPr>
                <w:rFonts w:ascii="Cambria" w:hAnsi="Cambria"/>
                <w:sz w:val="18"/>
                <w:szCs w:val="18"/>
                <w:lang w:val="es-ES"/>
              </w:rPr>
              <w:t xml:space="preserve"> </w:t>
            </w:r>
            <w:r w:rsidR="00F93C22" w:rsidRPr="004C458A">
              <w:rPr>
                <w:rFonts w:ascii="Cambria" w:hAnsi="Cambria"/>
                <w:color w:val="000000" w:themeColor="text1"/>
                <w:sz w:val="18"/>
                <w:szCs w:val="18"/>
              </w:rPr>
              <w:t xml:space="preserve">El Estado reiteró la información proporcionada en </w:t>
            </w:r>
            <w:r w:rsidR="004C458A" w:rsidRPr="004C458A">
              <w:rPr>
                <w:rFonts w:ascii="Cambria" w:hAnsi="Cambria"/>
                <w:color w:val="000000" w:themeColor="text1"/>
                <w:sz w:val="18"/>
                <w:szCs w:val="18"/>
              </w:rPr>
              <w:t>años</w:t>
            </w:r>
            <w:r w:rsidR="00F93C22" w:rsidRPr="004C458A">
              <w:rPr>
                <w:rFonts w:ascii="Cambria" w:hAnsi="Cambria"/>
                <w:color w:val="000000" w:themeColor="text1"/>
                <w:sz w:val="18"/>
                <w:szCs w:val="18"/>
              </w:rPr>
              <w:t xml:space="preserve"> anteriores</w:t>
            </w:r>
            <w:r w:rsidR="00A24E2E">
              <w:rPr>
                <w:rFonts w:ascii="Cambria" w:hAnsi="Cambria"/>
                <w:color w:val="000000" w:themeColor="text1"/>
                <w:sz w:val="18"/>
                <w:szCs w:val="18"/>
              </w:rPr>
              <w:t xml:space="preserve"> e indicó que los estados que cuentan con comisarías </w:t>
            </w:r>
            <w:r w:rsidR="004D4D6D">
              <w:rPr>
                <w:rFonts w:ascii="Cambria" w:hAnsi="Cambria"/>
                <w:color w:val="000000" w:themeColor="text1"/>
                <w:sz w:val="18"/>
                <w:szCs w:val="18"/>
              </w:rPr>
              <w:t>especializadas</w:t>
            </w:r>
            <w:r w:rsidR="00A24E2E">
              <w:rPr>
                <w:rFonts w:ascii="Cambria" w:hAnsi="Cambria"/>
                <w:color w:val="000000" w:themeColor="text1"/>
                <w:sz w:val="18"/>
                <w:szCs w:val="18"/>
              </w:rPr>
              <w:t xml:space="preserve"> en crímenes discriminatorios son </w:t>
            </w:r>
            <w:r w:rsidR="00A24E2E" w:rsidRPr="00B40214">
              <w:rPr>
                <w:rFonts w:ascii="Cambria" w:hAnsi="Cambria"/>
                <w:i/>
                <w:iCs/>
                <w:color w:val="000000" w:themeColor="text1"/>
                <w:sz w:val="18"/>
                <w:szCs w:val="18"/>
              </w:rPr>
              <w:t xml:space="preserve">Alagoas, Distrito Federal, Maranhão, Minas Gerais, Pará, Paraíba, Paraná, </w:t>
            </w:r>
            <w:r w:rsidR="004D4D6D" w:rsidRPr="00B40214">
              <w:rPr>
                <w:rFonts w:ascii="Cambria" w:hAnsi="Cambria"/>
                <w:i/>
                <w:iCs/>
                <w:color w:val="000000" w:themeColor="text1"/>
                <w:sz w:val="18"/>
                <w:szCs w:val="18"/>
              </w:rPr>
              <w:t>Piauí, Rio de Janeiro, Rio Grande do Sul, Sergipe, São Paulo</w:t>
            </w:r>
            <w:r w:rsidR="00B40214" w:rsidRPr="00B40214">
              <w:rPr>
                <w:rFonts w:ascii="Cambria" w:hAnsi="Cambria"/>
                <w:i/>
                <w:iCs/>
                <w:color w:val="000000" w:themeColor="text1"/>
                <w:sz w:val="18"/>
                <w:szCs w:val="18"/>
              </w:rPr>
              <w:t xml:space="preserve"> </w:t>
            </w:r>
            <w:r w:rsidR="00B40214" w:rsidRPr="00B40214">
              <w:rPr>
                <w:rFonts w:ascii="Cambria" w:hAnsi="Cambria"/>
                <w:color w:val="000000" w:themeColor="text1"/>
                <w:sz w:val="18"/>
                <w:szCs w:val="18"/>
              </w:rPr>
              <w:t>y</w:t>
            </w:r>
            <w:r w:rsidR="00B40214" w:rsidRPr="00B40214">
              <w:rPr>
                <w:rFonts w:ascii="Cambria" w:hAnsi="Cambria"/>
                <w:i/>
                <w:iCs/>
                <w:color w:val="000000" w:themeColor="text1"/>
                <w:sz w:val="18"/>
                <w:szCs w:val="18"/>
              </w:rPr>
              <w:t xml:space="preserve"> Rondônia.</w:t>
            </w:r>
          </w:p>
          <w:p w14:paraId="36FEB5B0" w14:textId="54F18AC8" w:rsidR="0060376B" w:rsidRPr="004C458A" w:rsidRDefault="0060376B" w:rsidP="00C11A2F">
            <w:pPr>
              <w:jc w:val="both"/>
              <w:rPr>
                <w:rFonts w:ascii="Cambria" w:hAnsi="Cambria"/>
                <w:color w:val="000000" w:themeColor="text1"/>
                <w:sz w:val="18"/>
                <w:szCs w:val="18"/>
                <w:lang w:val="es-ES"/>
              </w:rPr>
            </w:pPr>
            <w:r w:rsidRPr="004C458A">
              <w:rPr>
                <w:rFonts w:ascii="Cambria" w:hAnsi="Cambria"/>
                <w:color w:val="000000" w:themeColor="text1"/>
                <w:sz w:val="18"/>
                <w:szCs w:val="18"/>
                <w:lang w:val="es-ES"/>
              </w:rPr>
              <w:t xml:space="preserve"> </w:t>
            </w:r>
          </w:p>
          <w:p w14:paraId="261284BA" w14:textId="37D60FED" w:rsidR="0060376B" w:rsidRDefault="0060376B" w:rsidP="00C11A2F">
            <w:pPr>
              <w:jc w:val="both"/>
              <w:rPr>
                <w:rFonts w:ascii="Cambria" w:hAnsi="Cambria" w:cs="Cambria"/>
                <w:sz w:val="18"/>
                <w:szCs w:val="18"/>
                <w:lang w:val="es-ES_tradnl"/>
              </w:rPr>
            </w:pPr>
            <w:r w:rsidRPr="00F93C22">
              <w:rPr>
                <w:rFonts w:ascii="Cambria" w:hAnsi="Cambria"/>
                <w:b/>
                <w:bCs/>
                <w:sz w:val="18"/>
                <w:szCs w:val="18"/>
                <w:lang w:val="es-ES"/>
              </w:rPr>
              <w:t>Información de la parte peticionaria en 2023:</w:t>
            </w:r>
            <w:r w:rsidR="00FE5D49">
              <w:rPr>
                <w:rFonts w:ascii="Cambria" w:hAnsi="Cambria"/>
                <w:color w:val="FF0000"/>
                <w:sz w:val="18"/>
                <w:szCs w:val="18"/>
                <w:lang w:val="es-ES"/>
              </w:rPr>
              <w:t xml:space="preserve"> </w:t>
            </w:r>
            <w:r w:rsidR="004C458A" w:rsidRPr="00557888">
              <w:rPr>
                <w:rFonts w:ascii="Cambria" w:hAnsi="Cambria" w:cs="Cambria"/>
                <w:sz w:val="18"/>
                <w:szCs w:val="18"/>
                <w:lang w:val="es-ES_tradnl"/>
              </w:rPr>
              <w:t xml:space="preserve">La parte peticionaria informó que el Estado no habría implementado medidas de cumplimiento de </w:t>
            </w:r>
            <w:r w:rsidR="00BB3241">
              <w:rPr>
                <w:rFonts w:ascii="Cambria" w:hAnsi="Cambria" w:cs="Cambria"/>
                <w:sz w:val="18"/>
                <w:szCs w:val="18"/>
                <w:lang w:val="es-ES_tradnl"/>
              </w:rPr>
              <w:t>esta recomendación</w:t>
            </w:r>
            <w:r w:rsidR="004C458A" w:rsidRPr="00557888">
              <w:rPr>
                <w:rFonts w:ascii="Cambria" w:hAnsi="Cambria" w:cs="Cambria"/>
                <w:sz w:val="18"/>
                <w:szCs w:val="18"/>
                <w:lang w:val="es-ES_tradnl"/>
              </w:rPr>
              <w:t>.</w:t>
            </w:r>
          </w:p>
          <w:p w14:paraId="2EB8D6D3" w14:textId="28BA2A6D" w:rsidR="006B22DF" w:rsidRPr="00FE5D49" w:rsidRDefault="006B22DF" w:rsidP="00C11A2F">
            <w:pPr>
              <w:jc w:val="both"/>
              <w:rPr>
                <w:rFonts w:ascii="Cambria" w:hAnsi="Cambria"/>
                <w:sz w:val="18"/>
                <w:szCs w:val="18"/>
              </w:rPr>
            </w:pPr>
          </w:p>
        </w:tc>
        <w:tc>
          <w:tcPr>
            <w:tcW w:w="4590" w:type="dxa"/>
            <w:gridSpan w:val="2"/>
            <w:shd w:val="clear" w:color="auto" w:fill="F2F2F2" w:themeFill="background1" w:themeFillShade="F2"/>
          </w:tcPr>
          <w:p w14:paraId="529F7677" w14:textId="77777777" w:rsidR="00C11A2F" w:rsidRPr="006B22DF" w:rsidRDefault="00C11A2F" w:rsidP="00C11A2F">
            <w:pPr>
              <w:jc w:val="both"/>
              <w:rPr>
                <w:rFonts w:ascii="Cambria" w:hAnsi="Cambria"/>
                <w:b/>
                <w:sz w:val="18"/>
                <w:szCs w:val="18"/>
                <w:lang w:val="es-ES"/>
              </w:rPr>
            </w:pPr>
          </w:p>
          <w:p w14:paraId="680D2429" w14:textId="5EF79B24" w:rsidR="00F93C22" w:rsidRPr="006B22DF" w:rsidRDefault="0060376B" w:rsidP="00C11A2F">
            <w:pPr>
              <w:jc w:val="both"/>
              <w:rPr>
                <w:rFonts w:ascii="Cambria" w:hAnsi="Cambria"/>
                <w:b/>
                <w:bCs/>
                <w:sz w:val="18"/>
                <w:szCs w:val="18"/>
              </w:rPr>
            </w:pPr>
            <w:r w:rsidRPr="006B22DF">
              <w:rPr>
                <w:rFonts w:ascii="Cambria" w:hAnsi="Cambria"/>
                <w:b/>
                <w:sz w:val="18"/>
                <w:szCs w:val="18"/>
                <w:lang w:val="es-ES"/>
              </w:rPr>
              <w:t>Análisis de cumplimiento:</w:t>
            </w:r>
            <w:r w:rsidRPr="006B22DF">
              <w:rPr>
                <w:rFonts w:ascii="Cambria" w:hAnsi="Cambria"/>
                <w:sz w:val="18"/>
                <w:szCs w:val="18"/>
                <w:lang w:val="es-ES"/>
              </w:rPr>
              <w:t xml:space="preserve"> </w:t>
            </w:r>
            <w:r w:rsidR="00F93C22" w:rsidRPr="006B22DF">
              <w:rPr>
                <w:rFonts w:ascii="Cambria" w:hAnsi="Cambria"/>
                <w:sz w:val="18"/>
                <w:szCs w:val="18"/>
              </w:rPr>
              <w:t xml:space="preserve">La Comisión toma nota de la información remitida </w:t>
            </w:r>
            <w:r w:rsidR="001770DA" w:rsidRPr="006B22DF">
              <w:rPr>
                <w:rFonts w:ascii="Cambria" w:hAnsi="Cambria"/>
                <w:sz w:val="18"/>
                <w:szCs w:val="18"/>
              </w:rPr>
              <w:t>e invita al Estado a proporcionar información sobre la intención de crear comisarías especializadas en los estados que todavía no cuentan</w:t>
            </w:r>
            <w:r w:rsidR="006B22DF" w:rsidRPr="006B22DF">
              <w:rPr>
                <w:rFonts w:ascii="Cambria" w:hAnsi="Cambria"/>
                <w:sz w:val="18"/>
                <w:szCs w:val="18"/>
              </w:rPr>
              <w:t xml:space="preserve"> con </w:t>
            </w:r>
            <w:r w:rsidR="00BB3241">
              <w:rPr>
                <w:rFonts w:ascii="Cambria" w:hAnsi="Cambria"/>
                <w:sz w:val="18"/>
                <w:szCs w:val="18"/>
              </w:rPr>
              <w:t>estas comisarías especializadas</w:t>
            </w:r>
            <w:r w:rsidR="006B22DF" w:rsidRPr="006B22DF">
              <w:rPr>
                <w:rFonts w:ascii="Cambria" w:hAnsi="Cambria"/>
                <w:sz w:val="18"/>
                <w:szCs w:val="18"/>
              </w:rPr>
              <w:t xml:space="preserve">. </w:t>
            </w:r>
            <w:r w:rsidR="004C458A" w:rsidRPr="006B22DF">
              <w:rPr>
                <w:rFonts w:ascii="Cambria" w:hAnsi="Cambria" w:cs="Cambria"/>
                <w:sz w:val="18"/>
                <w:szCs w:val="18"/>
                <w:lang w:val="es-ES_tradnl"/>
              </w:rPr>
              <w:t xml:space="preserve">En razón de lo anterior, la CIDH concluye que la recomendación 10 continúa </w:t>
            </w:r>
            <w:r w:rsidR="00F93C22" w:rsidRPr="006B22DF">
              <w:rPr>
                <w:rFonts w:ascii="Cambria" w:hAnsi="Cambria"/>
                <w:b/>
                <w:bCs/>
                <w:sz w:val="18"/>
                <w:szCs w:val="18"/>
              </w:rPr>
              <w:t>parcialmente cumplida.</w:t>
            </w:r>
          </w:p>
          <w:p w14:paraId="48274E5C" w14:textId="3AD89AAF" w:rsidR="0060376B" w:rsidRPr="006B22DF" w:rsidRDefault="0060376B" w:rsidP="00C11A2F">
            <w:pPr>
              <w:pStyle w:val="ListParagraph"/>
              <w:ind w:left="0"/>
              <w:jc w:val="both"/>
              <w:rPr>
                <w:rFonts w:ascii="Cambria" w:hAnsi="Cambria"/>
                <w:sz w:val="18"/>
                <w:szCs w:val="18"/>
                <w:lang w:val="es-ES"/>
              </w:rPr>
            </w:pPr>
          </w:p>
        </w:tc>
      </w:tr>
      <w:tr w:rsidR="0060376B" w:rsidRPr="00F93C22" w14:paraId="1FE9870D" w14:textId="77777777" w:rsidTr="0099550C">
        <w:tc>
          <w:tcPr>
            <w:tcW w:w="9649" w:type="dxa"/>
            <w:gridSpan w:val="3"/>
            <w:shd w:val="clear" w:color="auto" w:fill="D9D9D9" w:themeFill="background1" w:themeFillShade="D9"/>
          </w:tcPr>
          <w:p w14:paraId="5B19B35A" w14:textId="77777777" w:rsidR="008F016C" w:rsidRDefault="008F016C" w:rsidP="00C11A2F">
            <w:pPr>
              <w:jc w:val="both"/>
              <w:rPr>
                <w:rFonts w:ascii="Cambria" w:hAnsi="Cambria"/>
                <w:b/>
                <w:sz w:val="18"/>
                <w:szCs w:val="18"/>
                <w:lang w:val="es-ES"/>
              </w:rPr>
            </w:pPr>
          </w:p>
          <w:p w14:paraId="69339671" w14:textId="116E9A14" w:rsidR="0060376B" w:rsidRDefault="0060376B" w:rsidP="00C11A2F">
            <w:pPr>
              <w:jc w:val="both"/>
              <w:rPr>
                <w:rFonts w:ascii="Cambria" w:hAnsi="Cambria"/>
                <w:b/>
                <w:sz w:val="18"/>
                <w:szCs w:val="18"/>
                <w:lang w:val="es-ES"/>
              </w:rPr>
            </w:pPr>
            <w:r w:rsidRPr="00F93C22">
              <w:rPr>
                <w:rFonts w:ascii="Cambria" w:hAnsi="Cambria"/>
                <w:b/>
                <w:sz w:val="18"/>
                <w:szCs w:val="18"/>
                <w:lang w:val="es-ES"/>
              </w:rPr>
              <w:t xml:space="preserve">Medidas relevantes de cumplimiento </w:t>
            </w:r>
            <w:r w:rsidR="00D76BED">
              <w:rPr>
                <w:rFonts w:ascii="Cambria" w:hAnsi="Cambria" w:cs="Cambria"/>
                <w:b/>
                <w:bCs/>
                <w:sz w:val="18"/>
                <w:szCs w:val="18"/>
                <w:lang w:val="pt-BR"/>
              </w:rPr>
              <w:t>informadas</w:t>
            </w:r>
            <w:r w:rsidRPr="00F93C22">
              <w:rPr>
                <w:rFonts w:ascii="Cambria" w:hAnsi="Cambria"/>
                <w:b/>
                <w:sz w:val="18"/>
                <w:szCs w:val="18"/>
                <w:lang w:val="es-ES"/>
              </w:rPr>
              <w:t xml:space="preserve"> en 2023:</w:t>
            </w:r>
          </w:p>
          <w:p w14:paraId="220D221E" w14:textId="77777777" w:rsidR="00464E73" w:rsidRPr="00F93C22" w:rsidRDefault="00464E73" w:rsidP="00C11A2F">
            <w:pPr>
              <w:jc w:val="both"/>
              <w:rPr>
                <w:rFonts w:ascii="Cambria" w:hAnsi="Cambria"/>
                <w:b/>
                <w:sz w:val="18"/>
                <w:szCs w:val="18"/>
                <w:lang w:val="es-ES"/>
              </w:rPr>
            </w:pPr>
          </w:p>
          <w:p w14:paraId="6AFBD4BB" w14:textId="77777777" w:rsidR="0060376B" w:rsidRPr="008F016C" w:rsidRDefault="00D76BED" w:rsidP="00C11A2F">
            <w:pPr>
              <w:pStyle w:val="ListParagraph"/>
              <w:numPr>
                <w:ilvl w:val="0"/>
                <w:numId w:val="2"/>
              </w:numPr>
              <w:jc w:val="both"/>
              <w:rPr>
                <w:rFonts w:ascii="Cambria" w:hAnsi="Cambria"/>
                <w:b/>
                <w:sz w:val="18"/>
                <w:szCs w:val="18"/>
                <w:lang w:val="es-ES"/>
              </w:rPr>
            </w:pPr>
            <w:r w:rsidRPr="00557888">
              <w:rPr>
                <w:rFonts w:ascii="Cambria" w:hAnsi="Cambria" w:cs="Cambria"/>
                <w:sz w:val="18"/>
                <w:szCs w:val="18"/>
                <w:lang w:val="es-ES_tradnl"/>
              </w:rPr>
              <w:t>Las partes no proporcionaron información sobre medidas de cumplimiento.</w:t>
            </w:r>
          </w:p>
          <w:p w14:paraId="01ACF4F7" w14:textId="0402657B" w:rsidR="008F016C" w:rsidRPr="00F93C22" w:rsidRDefault="008F016C" w:rsidP="008F016C">
            <w:pPr>
              <w:pStyle w:val="ListParagraph"/>
              <w:ind w:left="360"/>
              <w:jc w:val="both"/>
              <w:rPr>
                <w:rFonts w:ascii="Cambria" w:hAnsi="Cambria"/>
                <w:b/>
                <w:sz w:val="18"/>
                <w:szCs w:val="18"/>
                <w:lang w:val="es-ES"/>
              </w:rPr>
            </w:pPr>
          </w:p>
        </w:tc>
      </w:tr>
    </w:tbl>
    <w:p w14:paraId="30D7AA69" w14:textId="77777777" w:rsidR="0060376B" w:rsidRPr="00F93C22" w:rsidRDefault="0060376B" w:rsidP="00C11A2F">
      <w:pPr>
        <w:spacing w:after="0" w:line="240" w:lineRule="auto"/>
        <w:jc w:val="both"/>
        <w:rPr>
          <w:rFonts w:ascii="Cambria" w:hAnsi="Cambria"/>
          <w:b/>
          <w:sz w:val="20"/>
          <w:lang w:val="es-ES"/>
        </w:rPr>
      </w:pPr>
    </w:p>
    <w:p w14:paraId="0F6A4CAF" w14:textId="77777777" w:rsidR="0060376B" w:rsidRPr="00F93C22" w:rsidRDefault="003C40FC" w:rsidP="00C11A2F">
      <w:pPr>
        <w:pStyle w:val="ListParagraph"/>
        <w:numPr>
          <w:ilvl w:val="0"/>
          <w:numId w:val="3"/>
        </w:numPr>
        <w:spacing w:after="0" w:line="240" w:lineRule="auto"/>
        <w:jc w:val="both"/>
        <w:rPr>
          <w:rFonts w:ascii="Cambria" w:hAnsi="Cambria"/>
          <w:b/>
          <w:sz w:val="20"/>
          <w:lang w:val="es-ES"/>
        </w:rPr>
      </w:pPr>
      <w:r w:rsidRPr="00F93C22">
        <w:rPr>
          <w:rFonts w:ascii="Cambria" w:hAnsi="Cambria"/>
          <w:b/>
          <w:sz w:val="20"/>
          <w:lang w:val="es-ES"/>
        </w:rPr>
        <w:t>Onceava recomendación</w:t>
      </w:r>
    </w:p>
    <w:p w14:paraId="7196D064" w14:textId="77777777" w:rsidR="003C40FC" w:rsidRPr="00F93C22" w:rsidRDefault="003C40FC" w:rsidP="00C11A2F">
      <w:pPr>
        <w:pStyle w:val="ListParagraph"/>
        <w:spacing w:after="0" w:line="240" w:lineRule="auto"/>
        <w:ind w:left="360"/>
        <w:jc w:val="both"/>
        <w:rPr>
          <w:rFonts w:ascii="Cambria" w:hAnsi="Cambria"/>
          <w:b/>
          <w:sz w:val="20"/>
          <w:lang w:val="es-ES"/>
        </w:rPr>
      </w:pPr>
    </w:p>
    <w:tbl>
      <w:tblPr>
        <w:tblStyle w:val="TableGrid"/>
        <w:tblW w:w="96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2250"/>
        <w:gridCol w:w="2340"/>
      </w:tblGrid>
      <w:tr w:rsidR="003C40FC" w:rsidRPr="00F93C22" w14:paraId="0CECBF43" w14:textId="77777777" w:rsidTr="0099550C">
        <w:tc>
          <w:tcPr>
            <w:tcW w:w="7309" w:type="dxa"/>
            <w:gridSpan w:val="2"/>
            <w:shd w:val="clear" w:color="auto" w:fill="B4C6E7" w:themeFill="accent5" w:themeFillTint="66"/>
          </w:tcPr>
          <w:p w14:paraId="25390BF5" w14:textId="77777777" w:rsidR="00C11A2F" w:rsidRDefault="00C11A2F" w:rsidP="00C11A2F">
            <w:pPr>
              <w:pStyle w:val="ListParagraph"/>
              <w:ind w:left="0"/>
              <w:jc w:val="both"/>
              <w:rPr>
                <w:rFonts w:ascii="Cambria" w:hAnsi="Cambria"/>
                <w:b/>
                <w:bCs/>
                <w:sz w:val="18"/>
                <w:szCs w:val="18"/>
                <w:lang w:val="es-ES"/>
              </w:rPr>
            </w:pPr>
          </w:p>
          <w:p w14:paraId="5F1055D6" w14:textId="77777777" w:rsidR="003C40FC" w:rsidRDefault="003C40FC" w:rsidP="00C11A2F">
            <w:pPr>
              <w:pStyle w:val="ListParagraph"/>
              <w:ind w:left="0"/>
              <w:jc w:val="both"/>
              <w:rPr>
                <w:rFonts w:ascii="Cambria" w:hAnsi="Cambria"/>
                <w:b/>
                <w:color w:val="000000" w:themeColor="text1"/>
                <w:sz w:val="18"/>
                <w:szCs w:val="18"/>
                <w:lang w:val="es-ES" w:eastAsia="pt-BR"/>
              </w:rPr>
            </w:pPr>
            <w:r w:rsidRPr="00F93C22">
              <w:rPr>
                <w:rFonts w:ascii="Cambria" w:hAnsi="Cambria"/>
                <w:b/>
                <w:bCs/>
                <w:sz w:val="18"/>
                <w:szCs w:val="18"/>
                <w:lang w:val="es-ES"/>
              </w:rPr>
              <w:t xml:space="preserve">Recomendación 11. </w:t>
            </w:r>
            <w:r w:rsidRPr="00F93C22">
              <w:rPr>
                <w:rFonts w:ascii="Cambria" w:hAnsi="Cambria"/>
                <w:b/>
                <w:color w:val="000000" w:themeColor="text1"/>
                <w:sz w:val="18"/>
                <w:szCs w:val="18"/>
                <w:lang w:val="es-ES" w:eastAsia="pt-BR"/>
              </w:rPr>
              <w:t xml:space="preserve">Solicitar </w:t>
            </w:r>
            <w:bookmarkStart w:id="0" w:name="_Hlk57671611"/>
            <w:r w:rsidRPr="00F93C22">
              <w:rPr>
                <w:rFonts w:ascii="Cambria" w:hAnsi="Cambria"/>
                <w:b/>
                <w:color w:val="000000" w:themeColor="text1"/>
                <w:sz w:val="18"/>
                <w:szCs w:val="18"/>
                <w:lang w:val="es-ES" w:eastAsia="pt-BR"/>
              </w:rPr>
              <w:t>a los Ministerios Públicos de los estados la creación de Procuradurías Públicas Especializadas de los estados en la lucha contra el racismo y la discriminación racial.</w:t>
            </w:r>
            <w:bookmarkEnd w:id="0"/>
          </w:p>
          <w:p w14:paraId="0E40C94B" w14:textId="4A908487" w:rsidR="00C11A2F" w:rsidRPr="00F93C22" w:rsidRDefault="00C11A2F" w:rsidP="00C11A2F">
            <w:pPr>
              <w:pStyle w:val="ListParagraph"/>
              <w:ind w:left="0"/>
              <w:jc w:val="both"/>
              <w:rPr>
                <w:rFonts w:ascii="Cambria" w:hAnsi="Cambria"/>
                <w:b/>
                <w:bCs/>
                <w:sz w:val="18"/>
                <w:szCs w:val="18"/>
                <w:lang w:val="es-ES"/>
              </w:rPr>
            </w:pPr>
          </w:p>
        </w:tc>
        <w:tc>
          <w:tcPr>
            <w:tcW w:w="2340" w:type="dxa"/>
            <w:shd w:val="clear" w:color="auto" w:fill="B4C6E7" w:themeFill="accent5" w:themeFillTint="66"/>
          </w:tcPr>
          <w:p w14:paraId="14736E70" w14:textId="77777777" w:rsidR="00415C6F" w:rsidRDefault="00415C6F" w:rsidP="00C11A2F">
            <w:pPr>
              <w:jc w:val="center"/>
              <w:rPr>
                <w:rFonts w:ascii="Cambria" w:hAnsi="Cambria"/>
                <w:b/>
                <w:bCs/>
                <w:sz w:val="18"/>
                <w:szCs w:val="18"/>
                <w:lang w:val="es-ES"/>
              </w:rPr>
            </w:pPr>
          </w:p>
          <w:p w14:paraId="20D4B919" w14:textId="0F7EF46B" w:rsidR="003C40FC" w:rsidRPr="00F93C22" w:rsidRDefault="003C40FC" w:rsidP="00C11A2F">
            <w:pPr>
              <w:jc w:val="center"/>
              <w:rPr>
                <w:rFonts w:ascii="Cambria" w:hAnsi="Cambria"/>
                <w:b/>
                <w:bCs/>
                <w:sz w:val="18"/>
                <w:szCs w:val="18"/>
                <w:lang w:val="es-ES"/>
              </w:rPr>
            </w:pPr>
            <w:r w:rsidRPr="00F93C22">
              <w:rPr>
                <w:rFonts w:ascii="Cambria" w:hAnsi="Cambria"/>
                <w:b/>
                <w:bCs/>
                <w:sz w:val="18"/>
                <w:szCs w:val="18"/>
                <w:lang w:val="es-ES"/>
              </w:rPr>
              <w:t>Cumplimiento Parcial</w:t>
            </w:r>
          </w:p>
          <w:p w14:paraId="34FF1C98" w14:textId="77777777" w:rsidR="003C40FC" w:rsidRPr="00F93C22" w:rsidRDefault="003C40FC" w:rsidP="00C11A2F">
            <w:pPr>
              <w:pStyle w:val="ListParagraph"/>
              <w:ind w:left="0"/>
              <w:jc w:val="center"/>
              <w:rPr>
                <w:rFonts w:ascii="Cambria" w:hAnsi="Cambria"/>
                <w:b/>
                <w:bCs/>
                <w:sz w:val="18"/>
                <w:szCs w:val="18"/>
                <w:lang w:val="es-ES"/>
              </w:rPr>
            </w:pPr>
          </w:p>
        </w:tc>
      </w:tr>
      <w:tr w:rsidR="003C40FC" w:rsidRPr="00F93C22" w14:paraId="18AFD381" w14:textId="77777777" w:rsidTr="0099550C">
        <w:tc>
          <w:tcPr>
            <w:tcW w:w="5059" w:type="dxa"/>
            <w:shd w:val="clear" w:color="auto" w:fill="F2F2F2" w:themeFill="background1" w:themeFillShade="F2"/>
          </w:tcPr>
          <w:p w14:paraId="6D072C0D" w14:textId="77777777" w:rsidR="003C40FC" w:rsidRPr="00F93C22" w:rsidRDefault="003C40FC" w:rsidP="00C11A2F">
            <w:pPr>
              <w:jc w:val="both"/>
              <w:rPr>
                <w:rFonts w:ascii="Cambria" w:hAnsi="Cambria"/>
                <w:b/>
                <w:bCs/>
                <w:sz w:val="18"/>
                <w:szCs w:val="18"/>
                <w:lang w:val="es-ES"/>
              </w:rPr>
            </w:pPr>
          </w:p>
          <w:p w14:paraId="62E7C699" w14:textId="7910D116" w:rsidR="004C458A" w:rsidRDefault="003C40FC" w:rsidP="00863070">
            <w:pPr>
              <w:jc w:val="both"/>
              <w:rPr>
                <w:rFonts w:ascii="Cambria" w:hAnsi="Cambria"/>
                <w:color w:val="000000" w:themeColor="text1"/>
                <w:sz w:val="18"/>
                <w:szCs w:val="18"/>
              </w:rPr>
            </w:pPr>
            <w:r w:rsidRPr="00F93C22">
              <w:rPr>
                <w:rFonts w:ascii="Cambria" w:hAnsi="Cambria"/>
                <w:b/>
                <w:bCs/>
                <w:sz w:val="18"/>
                <w:szCs w:val="18"/>
                <w:lang w:val="es-ES"/>
              </w:rPr>
              <w:t>Información del Estado en 2023:</w:t>
            </w:r>
            <w:r w:rsidRPr="00F93C22">
              <w:rPr>
                <w:rFonts w:ascii="Cambria" w:hAnsi="Cambria"/>
                <w:sz w:val="18"/>
                <w:szCs w:val="18"/>
                <w:lang w:val="es-ES"/>
              </w:rPr>
              <w:t xml:space="preserve"> </w:t>
            </w:r>
            <w:r w:rsidR="00F93C22" w:rsidRPr="004C458A">
              <w:rPr>
                <w:rFonts w:ascii="Cambria" w:hAnsi="Cambria"/>
                <w:color w:val="000000" w:themeColor="text1"/>
                <w:sz w:val="18"/>
                <w:szCs w:val="18"/>
              </w:rPr>
              <w:t xml:space="preserve">El Estado reiteró la información proporcionada en </w:t>
            </w:r>
            <w:r w:rsidR="004C458A" w:rsidRPr="004C458A">
              <w:rPr>
                <w:rFonts w:ascii="Cambria" w:hAnsi="Cambria"/>
                <w:color w:val="000000" w:themeColor="text1"/>
                <w:sz w:val="18"/>
                <w:szCs w:val="18"/>
              </w:rPr>
              <w:t>años</w:t>
            </w:r>
            <w:r w:rsidR="00F93C22" w:rsidRPr="004C458A">
              <w:rPr>
                <w:rFonts w:ascii="Cambria" w:hAnsi="Cambria"/>
                <w:color w:val="000000" w:themeColor="text1"/>
                <w:sz w:val="18"/>
                <w:szCs w:val="18"/>
              </w:rPr>
              <w:t xml:space="preserve"> anteriores</w:t>
            </w:r>
            <w:r w:rsidR="0018407D">
              <w:rPr>
                <w:rFonts w:ascii="Cambria" w:hAnsi="Cambria"/>
                <w:color w:val="000000" w:themeColor="text1"/>
                <w:sz w:val="18"/>
                <w:szCs w:val="18"/>
              </w:rPr>
              <w:t xml:space="preserve">. </w:t>
            </w:r>
            <w:r w:rsidR="00863070">
              <w:rPr>
                <w:rFonts w:ascii="Cambria" w:hAnsi="Cambria"/>
                <w:color w:val="000000" w:themeColor="text1"/>
                <w:sz w:val="18"/>
                <w:szCs w:val="18"/>
              </w:rPr>
              <w:t>Además, informó que</w:t>
            </w:r>
            <w:r w:rsidR="00610BD6">
              <w:rPr>
                <w:rFonts w:ascii="Cambria" w:hAnsi="Cambria"/>
                <w:color w:val="000000" w:themeColor="text1"/>
                <w:sz w:val="18"/>
                <w:szCs w:val="18"/>
              </w:rPr>
              <w:t xml:space="preserve">, </w:t>
            </w:r>
            <w:r w:rsidR="00610BD6" w:rsidRPr="00863070">
              <w:rPr>
                <w:rFonts w:ascii="Cambria" w:hAnsi="Cambria"/>
                <w:color w:val="000000" w:themeColor="text1"/>
                <w:sz w:val="18"/>
                <w:szCs w:val="18"/>
              </w:rPr>
              <w:t>el 2 de septiembre de 2022</w:t>
            </w:r>
            <w:r w:rsidR="00610BD6">
              <w:rPr>
                <w:rFonts w:ascii="Cambria" w:hAnsi="Cambria"/>
                <w:color w:val="000000" w:themeColor="text1"/>
                <w:sz w:val="18"/>
                <w:szCs w:val="18"/>
              </w:rPr>
              <w:t>,</w:t>
            </w:r>
            <w:r w:rsidR="00863070">
              <w:rPr>
                <w:rFonts w:ascii="Cambria" w:hAnsi="Cambria"/>
                <w:color w:val="000000" w:themeColor="text1"/>
                <w:sz w:val="18"/>
                <w:szCs w:val="18"/>
              </w:rPr>
              <w:t xml:space="preserve"> el </w:t>
            </w:r>
            <w:r w:rsidR="00863070" w:rsidRPr="00863070">
              <w:rPr>
                <w:rFonts w:ascii="Cambria" w:hAnsi="Cambria"/>
                <w:color w:val="000000" w:themeColor="text1"/>
                <w:sz w:val="18"/>
                <w:szCs w:val="18"/>
              </w:rPr>
              <w:t xml:space="preserve">Consejo Nacional del Ministerio Público (CNMP) </w:t>
            </w:r>
            <w:r w:rsidR="00610BD6">
              <w:rPr>
                <w:rFonts w:ascii="Cambria" w:hAnsi="Cambria"/>
                <w:color w:val="000000" w:themeColor="text1"/>
                <w:sz w:val="18"/>
                <w:szCs w:val="18"/>
              </w:rPr>
              <w:t>preguntó oficialmente a</w:t>
            </w:r>
            <w:r w:rsidR="00863070" w:rsidRPr="00863070">
              <w:rPr>
                <w:rFonts w:ascii="Cambria" w:hAnsi="Cambria"/>
                <w:color w:val="000000" w:themeColor="text1"/>
                <w:sz w:val="18"/>
                <w:szCs w:val="18"/>
              </w:rPr>
              <w:t xml:space="preserve"> los Procuradores Generales de Justicia sobre la existencia de órganos institucionales específicos para abordar el racismo y solicitar la identificación del responsable de esta área.</w:t>
            </w:r>
            <w:r w:rsidR="00863070">
              <w:rPr>
                <w:rFonts w:ascii="Cambria" w:hAnsi="Cambria"/>
                <w:color w:val="000000" w:themeColor="text1"/>
                <w:sz w:val="18"/>
                <w:szCs w:val="18"/>
              </w:rPr>
              <w:t xml:space="preserve"> </w:t>
            </w:r>
            <w:r w:rsidR="00610BD6">
              <w:rPr>
                <w:rFonts w:ascii="Cambria" w:hAnsi="Cambria"/>
                <w:color w:val="000000" w:themeColor="text1"/>
                <w:sz w:val="18"/>
                <w:szCs w:val="18"/>
              </w:rPr>
              <w:t xml:space="preserve">El Estado indicó que, </w:t>
            </w:r>
            <w:r w:rsidR="00863070">
              <w:rPr>
                <w:rFonts w:ascii="Cambria" w:hAnsi="Cambria"/>
                <w:color w:val="000000" w:themeColor="text1"/>
                <w:sz w:val="18"/>
                <w:szCs w:val="18"/>
              </w:rPr>
              <w:t>d</w:t>
            </w:r>
            <w:r w:rsidR="00863070" w:rsidRPr="00863070">
              <w:rPr>
                <w:rFonts w:ascii="Cambria" w:hAnsi="Cambria"/>
                <w:color w:val="000000" w:themeColor="text1"/>
                <w:sz w:val="18"/>
                <w:szCs w:val="18"/>
              </w:rPr>
              <w:t>e las 30 unidades ministeriales consultadas, 28 respondieron. De est</w:t>
            </w:r>
            <w:r w:rsidR="00CD4D10">
              <w:rPr>
                <w:rFonts w:ascii="Cambria" w:hAnsi="Cambria"/>
                <w:color w:val="000000" w:themeColor="text1"/>
                <w:sz w:val="18"/>
                <w:szCs w:val="18"/>
              </w:rPr>
              <w:t>a</w:t>
            </w:r>
            <w:r w:rsidR="00863070" w:rsidRPr="00863070">
              <w:rPr>
                <w:rFonts w:ascii="Cambria" w:hAnsi="Cambria"/>
                <w:color w:val="000000" w:themeColor="text1"/>
                <w:sz w:val="18"/>
                <w:szCs w:val="18"/>
              </w:rPr>
              <w:t xml:space="preserve">s, 24 indicaron </w:t>
            </w:r>
            <w:r w:rsidR="00AE594A">
              <w:rPr>
                <w:rFonts w:ascii="Cambria" w:hAnsi="Cambria"/>
                <w:color w:val="000000" w:themeColor="text1"/>
                <w:sz w:val="18"/>
                <w:szCs w:val="18"/>
              </w:rPr>
              <w:t xml:space="preserve">quiénes era </w:t>
            </w:r>
            <w:r w:rsidR="00863070" w:rsidRPr="00863070">
              <w:rPr>
                <w:rFonts w:ascii="Cambria" w:hAnsi="Cambria"/>
                <w:color w:val="000000" w:themeColor="text1"/>
                <w:sz w:val="18"/>
                <w:szCs w:val="18"/>
              </w:rPr>
              <w:t>los responsables de los órganos del Ministerio Público que trabajan en la lucha contra el racismo, 5 no proporcionaron esta información y 2 afirmaron que no tienen un órgano específico para este tema.</w:t>
            </w:r>
            <w:r w:rsidR="00545E74">
              <w:rPr>
                <w:rFonts w:ascii="Cambria" w:hAnsi="Cambria"/>
                <w:color w:val="000000" w:themeColor="text1"/>
                <w:sz w:val="18"/>
                <w:szCs w:val="18"/>
              </w:rPr>
              <w:t xml:space="preserve"> El Estado destacó que </w:t>
            </w:r>
            <w:r w:rsidR="00863070" w:rsidRPr="00863070">
              <w:rPr>
                <w:rFonts w:ascii="Cambria" w:hAnsi="Cambria"/>
                <w:color w:val="000000" w:themeColor="text1"/>
                <w:sz w:val="18"/>
                <w:szCs w:val="18"/>
              </w:rPr>
              <w:t xml:space="preserve">no todas las unidades ministeriales tienen fiscalías especializadas, pero </w:t>
            </w:r>
            <w:r w:rsidR="00AE594A">
              <w:rPr>
                <w:rFonts w:ascii="Cambria" w:hAnsi="Cambria"/>
                <w:color w:val="000000" w:themeColor="text1"/>
                <w:sz w:val="18"/>
                <w:szCs w:val="18"/>
              </w:rPr>
              <w:t xml:space="preserve">que </w:t>
            </w:r>
            <w:r w:rsidR="00863070" w:rsidRPr="00863070">
              <w:rPr>
                <w:rFonts w:ascii="Cambria" w:hAnsi="Cambria"/>
                <w:color w:val="000000" w:themeColor="text1"/>
                <w:sz w:val="18"/>
                <w:szCs w:val="18"/>
              </w:rPr>
              <w:t>la mayoría cuenta con órganos (comisiones, comités, coordinaciones, núcleos, entre otros) que trabajan en la lucha contra el racismo.</w:t>
            </w:r>
          </w:p>
          <w:p w14:paraId="48A21919" w14:textId="31ADAE65" w:rsidR="003C40FC" w:rsidRPr="00F93C22" w:rsidRDefault="003C40FC" w:rsidP="00C11A2F">
            <w:pPr>
              <w:jc w:val="both"/>
              <w:rPr>
                <w:rFonts w:ascii="Cambria" w:hAnsi="Cambria"/>
                <w:sz w:val="18"/>
                <w:szCs w:val="18"/>
                <w:lang w:val="es-ES"/>
              </w:rPr>
            </w:pPr>
          </w:p>
          <w:p w14:paraId="7B73B4B6" w14:textId="0640FF64" w:rsidR="003C40FC" w:rsidRDefault="003C40FC" w:rsidP="00C11A2F">
            <w:pPr>
              <w:jc w:val="both"/>
              <w:rPr>
                <w:rFonts w:ascii="Cambria" w:hAnsi="Cambria"/>
                <w:color w:val="FF0000"/>
                <w:sz w:val="18"/>
                <w:szCs w:val="18"/>
                <w:lang w:val="es-ES"/>
              </w:rPr>
            </w:pPr>
            <w:r w:rsidRPr="00F93C22">
              <w:rPr>
                <w:rFonts w:ascii="Cambria" w:hAnsi="Cambria"/>
                <w:b/>
                <w:bCs/>
                <w:sz w:val="18"/>
                <w:szCs w:val="18"/>
                <w:lang w:val="es-ES"/>
              </w:rPr>
              <w:t>Información de la parte peticionaria en 2023:</w:t>
            </w:r>
            <w:r w:rsidRPr="00F93C22">
              <w:rPr>
                <w:rFonts w:ascii="Cambria" w:hAnsi="Cambria"/>
                <w:sz w:val="18"/>
                <w:szCs w:val="18"/>
                <w:lang w:val="es-ES"/>
              </w:rPr>
              <w:t xml:space="preserve"> </w:t>
            </w:r>
            <w:r w:rsidR="004C458A" w:rsidRPr="00557888">
              <w:rPr>
                <w:rFonts w:ascii="Cambria" w:hAnsi="Cambria" w:cs="Cambria"/>
                <w:sz w:val="18"/>
                <w:szCs w:val="18"/>
                <w:lang w:val="es-ES_tradnl"/>
              </w:rPr>
              <w:t>La parte peticionaria informó que el Estado no habría implementado medidas de cumplimiento de las recomendaciones.</w:t>
            </w:r>
          </w:p>
          <w:p w14:paraId="088CCFEA" w14:textId="5DE37E5E" w:rsidR="00FE5D49" w:rsidRPr="00FE5D49" w:rsidRDefault="00FE5D49" w:rsidP="00C11A2F">
            <w:pPr>
              <w:jc w:val="both"/>
              <w:rPr>
                <w:rFonts w:ascii="Cambria" w:hAnsi="Cambria"/>
                <w:sz w:val="18"/>
                <w:szCs w:val="18"/>
              </w:rPr>
            </w:pPr>
          </w:p>
        </w:tc>
        <w:tc>
          <w:tcPr>
            <w:tcW w:w="4590" w:type="dxa"/>
            <w:gridSpan w:val="2"/>
            <w:shd w:val="clear" w:color="auto" w:fill="F2F2F2" w:themeFill="background1" w:themeFillShade="F2"/>
          </w:tcPr>
          <w:p w14:paraId="6BD18F9B" w14:textId="77777777" w:rsidR="003C40FC" w:rsidRPr="00F93C22" w:rsidRDefault="003C40FC" w:rsidP="00C11A2F">
            <w:pPr>
              <w:pStyle w:val="ListParagraph"/>
              <w:ind w:left="0"/>
              <w:jc w:val="both"/>
              <w:rPr>
                <w:rFonts w:ascii="Cambria" w:hAnsi="Cambria"/>
                <w:b/>
                <w:sz w:val="18"/>
                <w:szCs w:val="18"/>
                <w:lang w:val="es-ES"/>
              </w:rPr>
            </w:pPr>
          </w:p>
          <w:p w14:paraId="35E7E70A" w14:textId="3EF5AE1F" w:rsidR="00FE5D49" w:rsidRPr="004D3D41" w:rsidRDefault="003C40FC" w:rsidP="00C11A2F">
            <w:pPr>
              <w:pStyle w:val="NormalWeb"/>
              <w:spacing w:before="0" w:beforeAutospacing="0" w:after="0" w:afterAutospacing="0"/>
              <w:jc w:val="both"/>
              <w:rPr>
                <w:rFonts w:ascii="Cambria" w:hAnsi="Cambria"/>
                <w:sz w:val="18"/>
                <w:szCs w:val="18"/>
                <w:lang w:val="es-ES_tradnl"/>
              </w:rPr>
            </w:pPr>
            <w:r w:rsidRPr="00F93C22">
              <w:rPr>
                <w:rFonts w:ascii="Cambria" w:hAnsi="Cambria"/>
                <w:b/>
                <w:sz w:val="18"/>
                <w:szCs w:val="18"/>
                <w:lang w:val="es-ES"/>
              </w:rPr>
              <w:t>Análisis de cumplimiento:</w:t>
            </w:r>
            <w:r w:rsidRPr="00F93C22">
              <w:rPr>
                <w:rFonts w:ascii="Cambria" w:hAnsi="Cambria"/>
                <w:sz w:val="18"/>
                <w:szCs w:val="18"/>
                <w:lang w:val="es-ES"/>
              </w:rPr>
              <w:t xml:space="preserve"> </w:t>
            </w:r>
            <w:r w:rsidR="00F93C22" w:rsidRPr="004D3D41">
              <w:rPr>
                <w:rFonts w:ascii="Cambria" w:hAnsi="Cambria"/>
                <w:sz w:val="18"/>
                <w:szCs w:val="18"/>
                <w:lang w:val="es-ES_tradnl"/>
              </w:rPr>
              <w:t>La Comisión agradece la información remitida</w:t>
            </w:r>
            <w:r w:rsidR="006B22DF" w:rsidRPr="004D3D41">
              <w:rPr>
                <w:rFonts w:ascii="Cambria" w:hAnsi="Cambria"/>
                <w:sz w:val="18"/>
                <w:szCs w:val="18"/>
                <w:lang w:val="es-ES_tradnl"/>
              </w:rPr>
              <w:t xml:space="preserve"> por el Estado</w:t>
            </w:r>
            <w:r w:rsidR="00F93C22" w:rsidRPr="004D3D41">
              <w:rPr>
                <w:rFonts w:ascii="Cambria" w:hAnsi="Cambria"/>
                <w:sz w:val="18"/>
                <w:szCs w:val="18"/>
                <w:lang w:val="es-ES_tradnl"/>
              </w:rPr>
              <w:t xml:space="preserve">. Específicamente, </w:t>
            </w:r>
            <w:r w:rsidR="00860934">
              <w:rPr>
                <w:rFonts w:ascii="Cambria" w:hAnsi="Cambria"/>
                <w:sz w:val="18"/>
                <w:szCs w:val="18"/>
                <w:lang w:val="es-ES_tradnl"/>
              </w:rPr>
              <w:t xml:space="preserve">le </w:t>
            </w:r>
            <w:r w:rsidR="006B22DF" w:rsidRPr="004D3D41">
              <w:rPr>
                <w:rFonts w:ascii="Cambria" w:hAnsi="Cambria"/>
                <w:sz w:val="18"/>
                <w:szCs w:val="18"/>
                <w:lang w:val="es-ES_tradnl"/>
              </w:rPr>
              <w:t xml:space="preserve">solicita aclarar </w:t>
            </w:r>
            <w:r w:rsidR="00DF5547" w:rsidRPr="004D3D41">
              <w:rPr>
                <w:rFonts w:ascii="Cambria" w:hAnsi="Cambria"/>
                <w:sz w:val="18"/>
                <w:szCs w:val="18"/>
                <w:lang w:val="es-ES_tradnl"/>
              </w:rPr>
              <w:t xml:space="preserve">si las actividades realizadas por las Fiscalías Especializadas del Ministerio Público son </w:t>
            </w:r>
            <w:r w:rsidR="00D71EAE" w:rsidRPr="004D3D41">
              <w:rPr>
                <w:rFonts w:ascii="Cambria" w:hAnsi="Cambria"/>
                <w:sz w:val="18"/>
                <w:szCs w:val="18"/>
                <w:lang w:val="es-ES_tradnl"/>
              </w:rPr>
              <w:t>incorporadas</w:t>
            </w:r>
            <w:r w:rsidR="00DF5547" w:rsidRPr="004D3D41">
              <w:rPr>
                <w:rFonts w:ascii="Cambria" w:hAnsi="Cambria"/>
                <w:sz w:val="18"/>
                <w:szCs w:val="18"/>
                <w:lang w:val="es-ES_tradnl"/>
              </w:rPr>
              <w:t xml:space="preserve"> por las mencionadas comisiones, comités</w:t>
            </w:r>
            <w:r w:rsidR="00D71EAE" w:rsidRPr="004D3D41">
              <w:rPr>
                <w:rFonts w:ascii="Cambria" w:hAnsi="Cambria"/>
                <w:sz w:val="18"/>
                <w:szCs w:val="18"/>
                <w:lang w:val="es-ES_tradnl"/>
              </w:rPr>
              <w:t>, coordinaciones u otros órganos dentro de las Fiscalías comunes</w:t>
            </w:r>
            <w:r w:rsidR="004D3D41">
              <w:rPr>
                <w:rFonts w:ascii="Cambria" w:hAnsi="Cambria"/>
                <w:sz w:val="18"/>
                <w:szCs w:val="18"/>
                <w:lang w:val="es-ES_tradnl"/>
              </w:rPr>
              <w:t xml:space="preserve"> en los estados que no cuentan con </w:t>
            </w:r>
            <w:r w:rsidR="00860934">
              <w:rPr>
                <w:rFonts w:ascii="Cambria" w:hAnsi="Cambria"/>
                <w:sz w:val="18"/>
                <w:szCs w:val="18"/>
                <w:lang w:val="es-ES_tradnl"/>
              </w:rPr>
              <w:t>Procuradurías Especializadas</w:t>
            </w:r>
            <w:r w:rsidR="00D71EAE" w:rsidRPr="004D3D41">
              <w:rPr>
                <w:rFonts w:ascii="Cambria" w:hAnsi="Cambria"/>
                <w:sz w:val="18"/>
                <w:szCs w:val="18"/>
                <w:lang w:val="es-ES_tradnl"/>
              </w:rPr>
              <w:t xml:space="preserve">. De no ser el caso, </w:t>
            </w:r>
            <w:r w:rsidR="00860934">
              <w:rPr>
                <w:rFonts w:ascii="Cambria" w:hAnsi="Cambria"/>
                <w:sz w:val="18"/>
                <w:szCs w:val="18"/>
                <w:lang w:val="es-ES_tradnl"/>
              </w:rPr>
              <w:t xml:space="preserve">la Comisión invita al Estado a </w:t>
            </w:r>
            <w:r w:rsidR="00D71EAE" w:rsidRPr="004D3D41">
              <w:rPr>
                <w:rFonts w:ascii="Cambria" w:hAnsi="Cambria"/>
                <w:sz w:val="18"/>
                <w:szCs w:val="18"/>
                <w:lang w:val="es-ES_tradnl"/>
              </w:rPr>
              <w:t>aclarar c</w:t>
            </w:r>
            <w:r w:rsidR="00860934">
              <w:rPr>
                <w:rFonts w:ascii="Cambria" w:hAnsi="Cambria"/>
                <w:sz w:val="18"/>
                <w:szCs w:val="18"/>
                <w:lang w:val="es-ES_tradnl"/>
              </w:rPr>
              <w:t>ó</w:t>
            </w:r>
            <w:r w:rsidR="00D71EAE" w:rsidRPr="004D3D41">
              <w:rPr>
                <w:rFonts w:ascii="Cambria" w:hAnsi="Cambria"/>
                <w:sz w:val="18"/>
                <w:szCs w:val="18"/>
                <w:lang w:val="es-ES_tradnl"/>
              </w:rPr>
              <w:t xml:space="preserve">mo los casos de lucha contra el racismo son priorizados en los estados donde no hay </w:t>
            </w:r>
            <w:r w:rsidR="004D3D41">
              <w:rPr>
                <w:rFonts w:ascii="Cambria" w:hAnsi="Cambria"/>
                <w:sz w:val="18"/>
                <w:szCs w:val="18"/>
                <w:lang w:val="es-ES_tradnl"/>
              </w:rPr>
              <w:t>Fiscalías Especializadas</w:t>
            </w:r>
            <w:r w:rsidR="00D71EAE" w:rsidRPr="004D3D41">
              <w:rPr>
                <w:rFonts w:ascii="Cambria" w:hAnsi="Cambria"/>
                <w:sz w:val="18"/>
                <w:szCs w:val="18"/>
                <w:lang w:val="es-ES_tradnl"/>
              </w:rPr>
              <w:t>.</w:t>
            </w:r>
            <w:r w:rsidR="004D3D41" w:rsidRPr="004D3D41">
              <w:rPr>
                <w:rFonts w:ascii="Cambria" w:hAnsi="Cambria"/>
                <w:sz w:val="18"/>
                <w:szCs w:val="18"/>
                <w:lang w:val="es-ES_tradnl"/>
              </w:rPr>
              <w:t xml:space="preserve"> Ante lo expuesto, la Comisión determina que la recomendación sigue </w:t>
            </w:r>
            <w:r w:rsidR="004D3D41" w:rsidRPr="004D3D41">
              <w:rPr>
                <w:rFonts w:ascii="Cambria" w:hAnsi="Cambria"/>
                <w:b/>
                <w:bCs/>
                <w:sz w:val="18"/>
                <w:szCs w:val="18"/>
                <w:lang w:val="es-ES_tradnl"/>
              </w:rPr>
              <w:t>parcialmente cumplida</w:t>
            </w:r>
            <w:r w:rsidR="004D3D41" w:rsidRPr="004D3D41">
              <w:rPr>
                <w:rFonts w:ascii="Cambria" w:hAnsi="Cambria"/>
                <w:sz w:val="18"/>
                <w:szCs w:val="18"/>
                <w:lang w:val="es-ES_tradnl"/>
              </w:rPr>
              <w:t>.</w:t>
            </w:r>
          </w:p>
          <w:p w14:paraId="503E8124" w14:textId="6D4F3B3E" w:rsidR="003C40FC" w:rsidRPr="00F93C22" w:rsidRDefault="003C40FC" w:rsidP="00C11A2F">
            <w:pPr>
              <w:pStyle w:val="ListParagraph"/>
              <w:ind w:left="0"/>
              <w:jc w:val="both"/>
              <w:rPr>
                <w:rFonts w:ascii="Cambria" w:hAnsi="Cambria"/>
                <w:sz w:val="18"/>
                <w:szCs w:val="18"/>
                <w:lang w:val="es-ES"/>
              </w:rPr>
            </w:pPr>
          </w:p>
        </w:tc>
      </w:tr>
      <w:tr w:rsidR="003C40FC" w:rsidRPr="00F93C22" w14:paraId="7C8EE083" w14:textId="77777777" w:rsidTr="0099550C">
        <w:tc>
          <w:tcPr>
            <w:tcW w:w="9649" w:type="dxa"/>
            <w:gridSpan w:val="3"/>
            <w:shd w:val="clear" w:color="auto" w:fill="D9D9D9" w:themeFill="background1" w:themeFillShade="D9"/>
          </w:tcPr>
          <w:p w14:paraId="24D04CD9" w14:textId="77777777" w:rsidR="008F016C" w:rsidRDefault="008F016C" w:rsidP="00C11A2F">
            <w:pPr>
              <w:jc w:val="both"/>
              <w:rPr>
                <w:rFonts w:ascii="Cambria" w:hAnsi="Cambria"/>
                <w:b/>
                <w:sz w:val="18"/>
                <w:szCs w:val="18"/>
                <w:lang w:val="es-ES"/>
              </w:rPr>
            </w:pPr>
          </w:p>
          <w:p w14:paraId="398AB576" w14:textId="5A1CFAD9" w:rsidR="003C40FC" w:rsidRDefault="003C40FC" w:rsidP="00C11A2F">
            <w:pPr>
              <w:jc w:val="both"/>
              <w:rPr>
                <w:rFonts w:ascii="Cambria" w:hAnsi="Cambria"/>
                <w:b/>
                <w:sz w:val="18"/>
                <w:szCs w:val="18"/>
                <w:lang w:val="es-ES"/>
              </w:rPr>
            </w:pPr>
            <w:r w:rsidRPr="00F93C22">
              <w:rPr>
                <w:rFonts w:ascii="Cambria" w:hAnsi="Cambria"/>
                <w:b/>
                <w:sz w:val="18"/>
                <w:szCs w:val="18"/>
                <w:lang w:val="es-ES"/>
              </w:rPr>
              <w:t xml:space="preserve">Medidas relevantes de cumplimiento </w:t>
            </w:r>
            <w:r w:rsidR="00D76BED">
              <w:rPr>
                <w:rFonts w:ascii="Cambria" w:hAnsi="Cambria" w:cs="Cambria"/>
                <w:b/>
                <w:bCs/>
                <w:sz w:val="18"/>
                <w:szCs w:val="18"/>
                <w:lang w:val="pt-BR"/>
              </w:rPr>
              <w:t>informadas</w:t>
            </w:r>
            <w:r w:rsidRPr="00F93C22">
              <w:rPr>
                <w:rFonts w:ascii="Cambria" w:hAnsi="Cambria"/>
                <w:b/>
                <w:sz w:val="18"/>
                <w:szCs w:val="18"/>
                <w:lang w:val="es-ES"/>
              </w:rPr>
              <w:t xml:space="preserve"> en 2023:</w:t>
            </w:r>
          </w:p>
          <w:p w14:paraId="4B60C2D7" w14:textId="77777777" w:rsidR="00464E73" w:rsidRPr="00F93C22" w:rsidRDefault="00464E73" w:rsidP="00C11A2F">
            <w:pPr>
              <w:jc w:val="both"/>
              <w:rPr>
                <w:rFonts w:ascii="Cambria" w:hAnsi="Cambria"/>
                <w:b/>
                <w:sz w:val="18"/>
                <w:szCs w:val="18"/>
                <w:lang w:val="es-ES"/>
              </w:rPr>
            </w:pPr>
          </w:p>
          <w:p w14:paraId="14F946D0" w14:textId="77777777" w:rsidR="003C40FC" w:rsidRPr="008F016C" w:rsidRDefault="00D76BED" w:rsidP="00C11A2F">
            <w:pPr>
              <w:pStyle w:val="ListParagraph"/>
              <w:numPr>
                <w:ilvl w:val="0"/>
                <w:numId w:val="2"/>
              </w:numPr>
              <w:jc w:val="both"/>
              <w:rPr>
                <w:rFonts w:ascii="Cambria" w:hAnsi="Cambria"/>
                <w:b/>
                <w:sz w:val="18"/>
                <w:szCs w:val="18"/>
                <w:lang w:val="es-ES"/>
              </w:rPr>
            </w:pPr>
            <w:r w:rsidRPr="00557888">
              <w:rPr>
                <w:rFonts w:ascii="Cambria" w:hAnsi="Cambria" w:cs="Cambria"/>
                <w:sz w:val="18"/>
                <w:szCs w:val="18"/>
                <w:lang w:val="es-ES_tradnl"/>
              </w:rPr>
              <w:t>Las partes no proporcionaron información sobre medidas de cumplimiento.</w:t>
            </w:r>
          </w:p>
          <w:p w14:paraId="166B0CDC" w14:textId="6620D787" w:rsidR="008F016C" w:rsidRPr="00F93C22" w:rsidRDefault="008F016C" w:rsidP="008F016C">
            <w:pPr>
              <w:pStyle w:val="ListParagraph"/>
              <w:ind w:left="360"/>
              <w:jc w:val="both"/>
              <w:rPr>
                <w:rFonts w:ascii="Cambria" w:hAnsi="Cambria"/>
                <w:b/>
                <w:sz w:val="18"/>
                <w:szCs w:val="18"/>
                <w:lang w:val="es-ES"/>
              </w:rPr>
            </w:pPr>
          </w:p>
        </w:tc>
      </w:tr>
    </w:tbl>
    <w:p w14:paraId="238601FE" w14:textId="77777777" w:rsidR="0060376B" w:rsidRPr="00F93C22" w:rsidRDefault="0060376B" w:rsidP="00C11A2F">
      <w:pPr>
        <w:spacing w:after="0" w:line="240" w:lineRule="auto"/>
        <w:jc w:val="both"/>
        <w:rPr>
          <w:rFonts w:ascii="Cambria" w:hAnsi="Cambria"/>
          <w:b/>
          <w:sz w:val="20"/>
          <w:lang w:val="es-ES"/>
        </w:rPr>
      </w:pPr>
    </w:p>
    <w:p w14:paraId="1DDB8372" w14:textId="440BBEE5" w:rsidR="009C28DC" w:rsidRPr="00F93C22" w:rsidRDefault="009C28DC" w:rsidP="00C11A2F">
      <w:pPr>
        <w:pStyle w:val="ListParagraph"/>
        <w:numPr>
          <w:ilvl w:val="0"/>
          <w:numId w:val="1"/>
        </w:numPr>
        <w:spacing w:after="0" w:line="240" w:lineRule="auto"/>
        <w:jc w:val="both"/>
        <w:rPr>
          <w:rFonts w:ascii="Cambria" w:hAnsi="Cambria"/>
          <w:b/>
          <w:sz w:val="20"/>
          <w:lang w:val="es-ES"/>
        </w:rPr>
      </w:pPr>
      <w:r w:rsidRPr="00F93C22">
        <w:rPr>
          <w:rFonts w:ascii="Cambria" w:hAnsi="Cambria"/>
          <w:b/>
          <w:sz w:val="20"/>
          <w:lang w:val="es-ES"/>
        </w:rPr>
        <w:t>Próximos pasos para el seguimiento del caso</w:t>
      </w:r>
    </w:p>
    <w:p w14:paraId="5B08B5D1" w14:textId="77777777" w:rsidR="009C28DC" w:rsidRPr="00F93C22" w:rsidRDefault="009C28DC" w:rsidP="00C11A2F">
      <w:pPr>
        <w:spacing w:after="0" w:line="240" w:lineRule="auto"/>
        <w:jc w:val="both"/>
        <w:rPr>
          <w:rFonts w:ascii="Cambria" w:hAnsi="Cambria" w:cs="Calibri Light"/>
          <w:color w:val="000000" w:themeColor="text1"/>
          <w:sz w:val="20"/>
          <w:szCs w:val="20"/>
          <w:lang w:val="es-ES"/>
        </w:rPr>
      </w:pPr>
    </w:p>
    <w:p w14:paraId="75878764" w14:textId="48B1441F" w:rsidR="00D76BED" w:rsidRDefault="00D76BED" w:rsidP="008F016C">
      <w:pPr>
        <w:numPr>
          <w:ilvl w:val="0"/>
          <w:numId w:val="5"/>
        </w:numPr>
        <w:autoSpaceDE w:val="0"/>
        <w:autoSpaceDN w:val="0"/>
        <w:adjustRightInd w:val="0"/>
        <w:spacing w:after="0" w:line="240" w:lineRule="auto"/>
        <w:ind w:right="9"/>
        <w:jc w:val="both"/>
        <w:rPr>
          <w:rFonts w:ascii="Cambria" w:hAnsi="Cambria" w:cs="Cambria"/>
          <w:color w:val="000000" w:themeColor="text1"/>
          <w:sz w:val="20"/>
          <w:szCs w:val="20"/>
          <w:lang w:val="es-ES_tradnl"/>
        </w:rPr>
      </w:pPr>
      <w:r w:rsidRPr="00557888">
        <w:rPr>
          <w:rFonts w:ascii="Cambria" w:hAnsi="Cambria" w:cs="Cambria"/>
          <w:sz w:val="20"/>
          <w:szCs w:val="20"/>
          <w:lang w:val="es-ES_tradnl"/>
        </w:rPr>
        <w:t xml:space="preserve">La CIDH </w:t>
      </w:r>
      <w:r w:rsidRPr="00557888">
        <w:rPr>
          <w:rFonts w:ascii="Cambria" w:hAnsi="Cambria" w:cs="Cambria"/>
          <w:color w:val="000000" w:themeColor="text1"/>
          <w:sz w:val="20"/>
          <w:szCs w:val="20"/>
          <w:lang w:val="es-ES_tradnl"/>
        </w:rPr>
        <w:t>saluda la información proporcionada por las partes y valora los esfuerzos de cumplimiento de las recomendaciones.</w:t>
      </w:r>
      <w:r w:rsidR="003159A8">
        <w:rPr>
          <w:rFonts w:ascii="Cambria" w:hAnsi="Cambria" w:cs="Cambria"/>
          <w:color w:val="000000" w:themeColor="text1"/>
          <w:sz w:val="20"/>
          <w:szCs w:val="20"/>
          <w:lang w:val="es-ES_tradnl"/>
        </w:rPr>
        <w:t xml:space="preserve"> Particularmente, valora positivamente la información proporcionada en torno a la medida de reparación con alcance individual relacionada con el inicio de estudios de Simone André Diniz de acuerdo con sus intereses particulades</w:t>
      </w:r>
      <w:r w:rsidR="005F3A2E">
        <w:rPr>
          <w:rFonts w:ascii="Cambria" w:hAnsi="Cambria" w:cs="Cambria"/>
          <w:color w:val="000000" w:themeColor="text1"/>
          <w:sz w:val="20"/>
          <w:szCs w:val="20"/>
          <w:lang w:val="es-ES_tradnl"/>
        </w:rPr>
        <w:t>. Al respecto,</w:t>
      </w:r>
      <w:r w:rsidR="003159A8">
        <w:rPr>
          <w:rFonts w:ascii="Cambria" w:hAnsi="Cambria" w:cs="Cambria"/>
          <w:color w:val="000000" w:themeColor="text1"/>
          <w:sz w:val="20"/>
          <w:szCs w:val="20"/>
          <w:lang w:val="es-ES_tradnl"/>
        </w:rPr>
        <w:t xml:space="preserve"> invita al Estado a monitorear que el apoyo continúe siendo garantizado en el tiempo hasta la culminación de estos estudios.</w:t>
      </w:r>
    </w:p>
    <w:p w14:paraId="0F1215E8" w14:textId="7225B506" w:rsidR="00357BB5" w:rsidRPr="00557888" w:rsidRDefault="003159A8" w:rsidP="008F016C">
      <w:pPr>
        <w:numPr>
          <w:ilvl w:val="0"/>
          <w:numId w:val="5"/>
        </w:numPr>
        <w:autoSpaceDE w:val="0"/>
        <w:autoSpaceDN w:val="0"/>
        <w:adjustRightInd w:val="0"/>
        <w:spacing w:after="0" w:line="240" w:lineRule="auto"/>
        <w:ind w:right="9"/>
        <w:jc w:val="both"/>
        <w:rPr>
          <w:rFonts w:ascii="Cambria" w:hAnsi="Cambria" w:cs="Cambria"/>
          <w:color w:val="000000" w:themeColor="text1"/>
          <w:sz w:val="20"/>
          <w:szCs w:val="20"/>
          <w:lang w:val="es-ES_tradnl"/>
        </w:rPr>
      </w:pPr>
      <w:r>
        <w:rPr>
          <w:rFonts w:ascii="Cambria" w:hAnsi="Cambria" w:cs="Cambria"/>
          <w:color w:val="000000" w:themeColor="text1"/>
          <w:sz w:val="20"/>
          <w:szCs w:val="20"/>
          <w:lang w:val="es-ES_tradnl"/>
        </w:rPr>
        <w:t xml:space="preserve">Adicionalmente, </w:t>
      </w:r>
      <w:r w:rsidR="000B6C9F">
        <w:rPr>
          <w:rFonts w:ascii="Cambria" w:hAnsi="Cambria" w:cs="Cambria"/>
          <w:color w:val="000000" w:themeColor="text1"/>
          <w:sz w:val="20"/>
          <w:szCs w:val="20"/>
          <w:lang w:val="es-ES_tradnl"/>
        </w:rPr>
        <w:t>respecto</w:t>
      </w:r>
      <w:r>
        <w:rPr>
          <w:rFonts w:ascii="Cambria" w:hAnsi="Cambria" w:cs="Cambria"/>
          <w:color w:val="000000" w:themeColor="text1"/>
          <w:sz w:val="20"/>
          <w:szCs w:val="20"/>
          <w:lang w:val="es-ES_tradnl"/>
        </w:rPr>
        <w:t xml:space="preserve"> a las demás recomendaciones del caso con alcance estructural</w:t>
      </w:r>
      <w:r w:rsidR="000B6C9F">
        <w:rPr>
          <w:rFonts w:ascii="Cambria" w:hAnsi="Cambria" w:cs="Cambria"/>
          <w:color w:val="000000" w:themeColor="text1"/>
          <w:sz w:val="20"/>
          <w:szCs w:val="20"/>
          <w:lang w:val="es-ES_tradnl"/>
        </w:rPr>
        <w:t xml:space="preserve">, </w:t>
      </w:r>
      <w:r>
        <w:rPr>
          <w:rFonts w:ascii="Cambria" w:hAnsi="Cambria" w:cs="Cambria"/>
          <w:color w:val="000000" w:themeColor="text1"/>
          <w:sz w:val="20"/>
          <w:szCs w:val="20"/>
          <w:lang w:val="es-ES_tradnl"/>
        </w:rPr>
        <w:t xml:space="preserve">la Comisión </w:t>
      </w:r>
      <w:r w:rsidR="000B6C9F">
        <w:rPr>
          <w:rFonts w:ascii="Cambria" w:hAnsi="Cambria" w:cs="Cambria"/>
          <w:color w:val="000000" w:themeColor="text1"/>
          <w:sz w:val="20"/>
          <w:szCs w:val="20"/>
          <w:lang w:val="es-ES_tradnl"/>
        </w:rPr>
        <w:t>solicita al Estado aportar la información solicitada específicamente en el análisis de cumplimiento de cada recomendación</w:t>
      </w:r>
      <w:r>
        <w:rPr>
          <w:rFonts w:ascii="Cambria" w:hAnsi="Cambria" w:cs="Cambria"/>
          <w:color w:val="000000" w:themeColor="text1"/>
          <w:sz w:val="20"/>
          <w:szCs w:val="20"/>
          <w:lang w:val="es-ES_tradnl"/>
        </w:rPr>
        <w:t xml:space="preserve"> y a entablar diálogos cercanos con la representación de la víctima que permita la adopción de medidas concretas de cumplimiento</w:t>
      </w:r>
      <w:r w:rsidR="000B6C9F">
        <w:rPr>
          <w:rFonts w:ascii="Cambria" w:hAnsi="Cambria" w:cs="Cambria"/>
          <w:color w:val="000000" w:themeColor="text1"/>
          <w:sz w:val="20"/>
          <w:szCs w:val="20"/>
          <w:lang w:val="es-ES_tradnl"/>
        </w:rPr>
        <w:t>.</w:t>
      </w:r>
    </w:p>
    <w:p w14:paraId="0AD9C6F4" w14:textId="27316735" w:rsidR="00373D6C" w:rsidRPr="008F016C" w:rsidRDefault="000B6C9F" w:rsidP="008F016C">
      <w:pPr>
        <w:pStyle w:val="ListParagraph"/>
        <w:numPr>
          <w:ilvl w:val="0"/>
          <w:numId w:val="5"/>
        </w:numPr>
        <w:spacing w:after="0" w:line="240" w:lineRule="auto"/>
        <w:ind w:right="9"/>
        <w:jc w:val="both"/>
        <w:rPr>
          <w:rFonts w:ascii="Cambria" w:hAnsi="Cambria" w:cs="Calibri Light"/>
          <w:color w:val="000000" w:themeColor="text1"/>
          <w:sz w:val="20"/>
          <w:szCs w:val="20"/>
          <w:lang w:val="es-ES"/>
        </w:rPr>
      </w:pPr>
      <w:r>
        <w:rPr>
          <w:rFonts w:ascii="Cambria" w:hAnsi="Cambria" w:cs="Cambria"/>
          <w:color w:val="000000" w:themeColor="text1"/>
          <w:sz w:val="20"/>
          <w:szCs w:val="20"/>
          <w:lang w:val="es-ES_tradnl"/>
        </w:rPr>
        <w:t>Finalmente, l</w:t>
      </w:r>
      <w:r w:rsidR="00D76BED" w:rsidRPr="00557888">
        <w:rPr>
          <w:rFonts w:ascii="Cambria" w:hAnsi="Cambria" w:cs="Cambria"/>
          <w:color w:val="000000" w:themeColor="text1"/>
          <w:sz w:val="20"/>
          <w:szCs w:val="20"/>
          <w:lang w:val="es-ES_tradnl"/>
        </w:rPr>
        <w:t xml:space="preserve">a CIDH seguirá supervisando las Recomendaciones </w:t>
      </w:r>
      <w:r w:rsidR="00802165" w:rsidRPr="00D76BED">
        <w:rPr>
          <w:rFonts w:ascii="Cambria" w:hAnsi="Cambria" w:cs="Calibri Light"/>
          <w:color w:val="000000" w:themeColor="text1"/>
          <w:sz w:val="20"/>
          <w:szCs w:val="20"/>
          <w:lang w:val="es-ES"/>
        </w:rPr>
        <w:t>3, 5, 6, 7, 8, 9, 10 y 11.</w:t>
      </w:r>
    </w:p>
    <w:sectPr w:rsidR="00373D6C" w:rsidRPr="008F016C" w:rsidSect="0010531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80E8" w14:textId="77777777" w:rsidR="00F133D0" w:rsidRDefault="00F133D0" w:rsidP="009C28DC">
      <w:pPr>
        <w:spacing w:after="0" w:line="240" w:lineRule="auto"/>
      </w:pPr>
      <w:r>
        <w:separator/>
      </w:r>
    </w:p>
  </w:endnote>
  <w:endnote w:type="continuationSeparator" w:id="0">
    <w:p w14:paraId="3A09C59C" w14:textId="77777777" w:rsidR="00F133D0" w:rsidRDefault="00F133D0" w:rsidP="009C28DC">
      <w:pPr>
        <w:spacing w:after="0" w:line="240" w:lineRule="auto"/>
      </w:pPr>
      <w:r>
        <w:continuationSeparator/>
      </w:r>
    </w:p>
  </w:endnote>
  <w:endnote w:type="continuationNotice" w:id="1">
    <w:p w14:paraId="18619087" w14:textId="77777777" w:rsidR="00F133D0" w:rsidRDefault="00F133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627B" w14:textId="77777777" w:rsidR="00105316" w:rsidRDefault="00105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25505A76" w:rsidRPr="00613B10" w14:paraId="77F7B353" w14:textId="77777777" w:rsidTr="00613B10">
      <w:trPr>
        <w:trHeight w:val="81"/>
      </w:trPr>
      <w:tc>
        <w:tcPr>
          <w:tcW w:w="2945" w:type="dxa"/>
        </w:tcPr>
        <w:p w14:paraId="13F717CE" w14:textId="5B90CD7F" w:rsidR="25505A76" w:rsidRPr="00613B10" w:rsidRDefault="25505A76" w:rsidP="25505A76">
          <w:pPr>
            <w:pStyle w:val="Header"/>
            <w:ind w:left="-115"/>
            <w:rPr>
              <w:rFonts w:ascii="Cambria" w:hAnsi="Cambria"/>
              <w:sz w:val="16"/>
              <w:szCs w:val="16"/>
            </w:rPr>
          </w:pPr>
        </w:p>
      </w:tc>
      <w:tc>
        <w:tcPr>
          <w:tcW w:w="2945" w:type="dxa"/>
        </w:tcPr>
        <w:p w14:paraId="5B1AE6DB" w14:textId="0A9A649B" w:rsidR="25505A76" w:rsidRPr="00613B10" w:rsidRDefault="25505A76" w:rsidP="25505A76">
          <w:pPr>
            <w:pStyle w:val="Header"/>
            <w:jc w:val="center"/>
            <w:rPr>
              <w:rFonts w:ascii="Cambria" w:hAnsi="Cambria"/>
              <w:sz w:val="16"/>
              <w:szCs w:val="16"/>
            </w:rPr>
          </w:pPr>
          <w:r w:rsidRPr="00613B10">
            <w:rPr>
              <w:rFonts w:ascii="Cambria" w:hAnsi="Cambria"/>
              <w:sz w:val="16"/>
              <w:szCs w:val="16"/>
            </w:rPr>
            <w:fldChar w:fldCharType="begin"/>
          </w:r>
          <w:r w:rsidRPr="00613B10">
            <w:rPr>
              <w:rFonts w:ascii="Cambria" w:hAnsi="Cambria"/>
              <w:sz w:val="16"/>
              <w:szCs w:val="16"/>
            </w:rPr>
            <w:instrText>PAGE</w:instrText>
          </w:r>
          <w:r w:rsidRPr="00613B10">
            <w:rPr>
              <w:rFonts w:ascii="Cambria" w:hAnsi="Cambria"/>
              <w:sz w:val="16"/>
              <w:szCs w:val="16"/>
            </w:rPr>
            <w:fldChar w:fldCharType="separate"/>
          </w:r>
          <w:r w:rsidR="006E7970" w:rsidRPr="00613B10">
            <w:rPr>
              <w:rFonts w:ascii="Cambria" w:hAnsi="Cambria"/>
              <w:noProof/>
              <w:sz w:val="16"/>
              <w:szCs w:val="16"/>
            </w:rPr>
            <w:t>1</w:t>
          </w:r>
          <w:r w:rsidRPr="00613B10">
            <w:rPr>
              <w:rFonts w:ascii="Cambria" w:hAnsi="Cambria"/>
              <w:sz w:val="16"/>
              <w:szCs w:val="16"/>
            </w:rPr>
            <w:fldChar w:fldCharType="end"/>
          </w:r>
        </w:p>
      </w:tc>
      <w:tc>
        <w:tcPr>
          <w:tcW w:w="2945" w:type="dxa"/>
        </w:tcPr>
        <w:p w14:paraId="10828BCF" w14:textId="6378831E" w:rsidR="25505A76" w:rsidRPr="00613B10" w:rsidRDefault="25505A76" w:rsidP="25505A76">
          <w:pPr>
            <w:pStyle w:val="Header"/>
            <w:ind w:right="-115"/>
            <w:jc w:val="right"/>
            <w:rPr>
              <w:rFonts w:ascii="Cambria" w:hAnsi="Cambria"/>
              <w:sz w:val="16"/>
              <w:szCs w:val="16"/>
            </w:rPr>
          </w:pPr>
        </w:p>
      </w:tc>
    </w:tr>
  </w:tbl>
  <w:p w14:paraId="18ECDAB5" w14:textId="2B8C3F25" w:rsidR="25505A76" w:rsidRPr="00613B10" w:rsidRDefault="25505A76" w:rsidP="25505A76">
    <w:pPr>
      <w:pStyle w:val="Footer"/>
      <w:rPr>
        <w:rFonts w:ascii="Cambria" w:hAnsi="Cambri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C260" w14:textId="77777777" w:rsidR="00105316" w:rsidRDefault="00105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5B00" w14:textId="77777777" w:rsidR="00F133D0" w:rsidRDefault="00F133D0" w:rsidP="009C28DC">
      <w:pPr>
        <w:spacing w:after="0" w:line="240" w:lineRule="auto"/>
      </w:pPr>
      <w:r>
        <w:separator/>
      </w:r>
    </w:p>
  </w:footnote>
  <w:footnote w:type="continuationSeparator" w:id="0">
    <w:p w14:paraId="6F285B08" w14:textId="77777777" w:rsidR="00F133D0" w:rsidRDefault="00F133D0" w:rsidP="009C28DC">
      <w:pPr>
        <w:spacing w:after="0" w:line="240" w:lineRule="auto"/>
      </w:pPr>
      <w:r>
        <w:continuationSeparator/>
      </w:r>
    </w:p>
  </w:footnote>
  <w:footnote w:type="continuationNotice" w:id="1">
    <w:p w14:paraId="00D5477E" w14:textId="77777777" w:rsidR="00F133D0" w:rsidRDefault="00F133D0">
      <w:pPr>
        <w:spacing w:after="0" w:line="240" w:lineRule="auto"/>
      </w:pPr>
    </w:p>
  </w:footnote>
  <w:footnote w:id="2">
    <w:p w14:paraId="4577E3BA" w14:textId="382B60AE" w:rsidR="009C28DC" w:rsidRPr="00233B16" w:rsidRDefault="009C28DC" w:rsidP="004C458A">
      <w:pPr>
        <w:pStyle w:val="FootnoteText"/>
        <w:jc w:val="both"/>
        <w:rPr>
          <w:rFonts w:ascii="Cambria" w:hAnsi="Cambria"/>
          <w:color w:val="000000" w:themeColor="text1"/>
          <w:sz w:val="16"/>
          <w:szCs w:val="16"/>
          <w:lang w:val="es-US"/>
        </w:rPr>
      </w:pPr>
      <w:r w:rsidRPr="00233B16">
        <w:rPr>
          <w:rStyle w:val="FootnoteReference"/>
          <w:rFonts w:ascii="Cambria" w:hAnsi="Cambria"/>
          <w:sz w:val="16"/>
          <w:szCs w:val="16"/>
        </w:rPr>
        <w:footnoteRef/>
      </w:r>
      <w:r w:rsidRPr="00893B09">
        <w:rPr>
          <w:rFonts w:ascii="Cambria" w:hAnsi="Cambria"/>
          <w:sz w:val="16"/>
          <w:szCs w:val="16"/>
          <w:lang w:val="es-US"/>
        </w:rPr>
        <w:t xml:space="preserve"> </w:t>
      </w:r>
      <w:r w:rsidR="00893B09" w:rsidRPr="00893B09">
        <w:rPr>
          <w:rFonts w:ascii="Cambria" w:hAnsi="Cambria"/>
          <w:sz w:val="16"/>
          <w:szCs w:val="16"/>
          <w:lang w:val="es-US"/>
        </w:rPr>
        <w:t xml:space="preserve">“Recomendación 1: </w:t>
      </w:r>
      <w:r w:rsidR="00CB5EAE" w:rsidRPr="00CB5EAE">
        <w:rPr>
          <w:rFonts w:ascii="Cambria" w:hAnsi="Cambria"/>
          <w:sz w:val="16"/>
          <w:szCs w:val="16"/>
          <w:lang w:val="es-US"/>
        </w:rPr>
        <w:t>Reparar plenamente a la víctima Simone André Diniz, considerando tanto el aspecto moral como el aspecto material, por las violaciones de los derechos humanos determinadas en el informe de</w:t>
      </w:r>
      <w:r w:rsidR="00CB5EAE">
        <w:rPr>
          <w:rFonts w:ascii="Cambria" w:hAnsi="Cambria"/>
          <w:sz w:val="16"/>
          <w:szCs w:val="16"/>
          <w:lang w:val="es-US"/>
        </w:rPr>
        <w:t xml:space="preserve"> fondo</w:t>
      </w:r>
      <w:r w:rsidR="00893B09" w:rsidRPr="00893B09">
        <w:rPr>
          <w:rFonts w:ascii="Cambria" w:hAnsi="Cambria"/>
          <w:sz w:val="16"/>
          <w:szCs w:val="16"/>
          <w:lang w:val="es-US"/>
        </w:rPr>
        <w:t>”. La re</w:t>
      </w:r>
      <w:r w:rsidR="00893B09">
        <w:rPr>
          <w:rFonts w:ascii="Cambria" w:hAnsi="Cambria"/>
          <w:sz w:val="16"/>
          <w:szCs w:val="16"/>
          <w:lang w:val="es-US"/>
        </w:rPr>
        <w:t xml:space="preserve">comendación fue dada como cumplida en el Informe Anual 2009. </w:t>
      </w:r>
      <w:r w:rsidR="00233B16" w:rsidRPr="00893B09">
        <w:rPr>
          <w:rFonts w:ascii="Cambria" w:eastAsia="Times New Roman" w:hAnsi="Cambria"/>
          <w:color w:val="000000"/>
          <w:sz w:val="16"/>
          <w:szCs w:val="16"/>
          <w:lang w:val="es-US"/>
        </w:rPr>
        <w:t xml:space="preserve">CIDH, </w:t>
      </w:r>
      <w:hyperlink r:id="rId1" w:history="1">
        <w:r w:rsidR="00233B16" w:rsidRPr="00893B09">
          <w:rPr>
            <w:rStyle w:val="Hyperlink"/>
            <w:rFonts w:ascii="Cambria" w:eastAsia="Times New Roman" w:hAnsi="Cambria"/>
            <w:color w:val="000000"/>
            <w:sz w:val="16"/>
            <w:szCs w:val="16"/>
            <w:lang w:val="es-US"/>
          </w:rPr>
          <w:t xml:space="preserve">Informe Anual, Capítulo III. </w:t>
        </w:r>
        <w:r w:rsidR="00233B16" w:rsidRPr="00233B16">
          <w:rPr>
            <w:rStyle w:val="Hyperlink"/>
            <w:rFonts w:ascii="Cambria" w:eastAsia="Times New Roman" w:hAnsi="Cambria"/>
            <w:color w:val="000000"/>
            <w:sz w:val="16"/>
            <w:szCs w:val="16"/>
            <w:lang w:val="es-US"/>
          </w:rPr>
          <w:t>Estado de las Recomendaciones de la CIDH</w:t>
        </w:r>
        <w:r w:rsidR="00233B16" w:rsidRPr="00233B16">
          <w:rPr>
            <w:rStyle w:val="Hyperlink"/>
            <w:rFonts w:ascii="Cambria" w:eastAsia="Times New Roman" w:hAnsi="Cambria"/>
            <w:color w:val="000000"/>
            <w:sz w:val="16"/>
            <w:szCs w:val="16"/>
            <w:lang w:val="es-MX"/>
          </w:rPr>
          <w:t>,</w:t>
        </w:r>
      </w:hyperlink>
      <w:r w:rsidR="00233B16" w:rsidRPr="00233B16">
        <w:rPr>
          <w:rFonts w:ascii="Cambria" w:eastAsia="Times New Roman" w:hAnsi="Cambria"/>
          <w:color w:val="000000"/>
          <w:sz w:val="16"/>
          <w:szCs w:val="16"/>
          <w:lang w:val="es-MX"/>
        </w:rPr>
        <w:t xml:space="preserve"> 2009, párr. 187.</w:t>
      </w:r>
    </w:p>
  </w:footnote>
  <w:footnote w:id="3">
    <w:p w14:paraId="3A3D89C7" w14:textId="49DBF607" w:rsidR="009C28DC" w:rsidRPr="00233B16" w:rsidRDefault="009C28DC" w:rsidP="004C458A">
      <w:pPr>
        <w:pStyle w:val="FootnoteText"/>
        <w:jc w:val="both"/>
        <w:rPr>
          <w:rFonts w:ascii="Cambria" w:hAnsi="Cambria"/>
          <w:color w:val="000000" w:themeColor="text1"/>
          <w:sz w:val="16"/>
          <w:szCs w:val="16"/>
          <w:lang w:val="es-US"/>
        </w:rPr>
      </w:pPr>
      <w:r w:rsidRPr="00233B16">
        <w:rPr>
          <w:rStyle w:val="FootnoteReference"/>
          <w:rFonts w:ascii="Cambria" w:hAnsi="Cambria"/>
          <w:sz w:val="16"/>
          <w:szCs w:val="16"/>
        </w:rPr>
        <w:footnoteRef/>
      </w:r>
      <w:r w:rsidRPr="00893B09">
        <w:rPr>
          <w:rFonts w:ascii="Cambria" w:hAnsi="Cambria"/>
          <w:sz w:val="16"/>
          <w:szCs w:val="16"/>
          <w:lang w:val="es-US"/>
        </w:rPr>
        <w:t xml:space="preserve"> </w:t>
      </w:r>
      <w:r w:rsidR="00893B09" w:rsidRPr="00893B09">
        <w:rPr>
          <w:rFonts w:ascii="Cambria" w:hAnsi="Cambria"/>
          <w:sz w:val="16"/>
          <w:szCs w:val="16"/>
          <w:lang w:val="es-US"/>
        </w:rPr>
        <w:t xml:space="preserve">“Recomendación </w:t>
      </w:r>
      <w:r w:rsidR="00893B09">
        <w:rPr>
          <w:rFonts w:ascii="Cambria" w:hAnsi="Cambria"/>
          <w:sz w:val="16"/>
          <w:szCs w:val="16"/>
          <w:lang w:val="es-US"/>
        </w:rPr>
        <w:t>2</w:t>
      </w:r>
      <w:r w:rsidR="00893B09" w:rsidRPr="00893B09">
        <w:rPr>
          <w:rFonts w:ascii="Cambria" w:hAnsi="Cambria"/>
          <w:sz w:val="16"/>
          <w:szCs w:val="16"/>
          <w:lang w:val="es-US"/>
        </w:rPr>
        <w:t xml:space="preserve">: </w:t>
      </w:r>
      <w:r w:rsidR="00CB5EAE" w:rsidRPr="00CB5EAE">
        <w:rPr>
          <w:rFonts w:ascii="Cambria" w:hAnsi="Cambria"/>
          <w:sz w:val="16"/>
          <w:szCs w:val="16"/>
          <w:lang w:val="es-US"/>
        </w:rPr>
        <w:t>Reconocer públicamente la responsabilidad internacional por la violación de los derechos humanos de Simone André Diniz</w:t>
      </w:r>
      <w:r w:rsidR="00893B09" w:rsidRPr="00893B09">
        <w:rPr>
          <w:rFonts w:ascii="Cambria" w:hAnsi="Cambria"/>
          <w:sz w:val="16"/>
          <w:szCs w:val="16"/>
          <w:lang w:val="es-US"/>
        </w:rPr>
        <w:t>”. La re</w:t>
      </w:r>
      <w:r w:rsidR="00893B09">
        <w:rPr>
          <w:rFonts w:ascii="Cambria" w:hAnsi="Cambria"/>
          <w:sz w:val="16"/>
          <w:szCs w:val="16"/>
          <w:lang w:val="es-US"/>
        </w:rPr>
        <w:t xml:space="preserve">comendación fue dada como cumplida en el Informe Anual 2009. </w:t>
      </w:r>
      <w:r w:rsidR="00233B16" w:rsidRPr="00893B09">
        <w:rPr>
          <w:rFonts w:ascii="Cambria" w:eastAsia="Times New Roman" w:hAnsi="Cambria"/>
          <w:color w:val="000000"/>
          <w:sz w:val="16"/>
          <w:szCs w:val="16"/>
          <w:lang w:val="es-US"/>
        </w:rPr>
        <w:t xml:space="preserve">CIDH, </w:t>
      </w:r>
      <w:hyperlink r:id="rId2" w:history="1">
        <w:r w:rsidR="00233B16" w:rsidRPr="00893B09">
          <w:rPr>
            <w:rStyle w:val="Hyperlink"/>
            <w:rFonts w:ascii="Cambria" w:eastAsia="Times New Roman" w:hAnsi="Cambria"/>
            <w:color w:val="000000"/>
            <w:sz w:val="16"/>
            <w:szCs w:val="16"/>
            <w:lang w:val="es-US"/>
          </w:rPr>
          <w:t xml:space="preserve">Informe Anual, Capítulo III. </w:t>
        </w:r>
        <w:r w:rsidR="00233B16" w:rsidRPr="00233B16">
          <w:rPr>
            <w:rStyle w:val="Hyperlink"/>
            <w:rFonts w:ascii="Cambria" w:eastAsia="Times New Roman" w:hAnsi="Cambria"/>
            <w:color w:val="000000"/>
            <w:sz w:val="16"/>
            <w:szCs w:val="16"/>
            <w:lang w:val="es-US"/>
          </w:rPr>
          <w:t>Estado de las Recomendaciones de la CIDH</w:t>
        </w:r>
        <w:r w:rsidR="00233B16" w:rsidRPr="00233B16">
          <w:rPr>
            <w:rStyle w:val="Hyperlink"/>
            <w:rFonts w:ascii="Cambria" w:eastAsia="Times New Roman" w:hAnsi="Cambria"/>
            <w:color w:val="000000"/>
            <w:sz w:val="16"/>
            <w:szCs w:val="16"/>
            <w:lang w:val="es-MX"/>
          </w:rPr>
          <w:t>,</w:t>
        </w:r>
      </w:hyperlink>
      <w:r w:rsidR="00233B16" w:rsidRPr="00233B16">
        <w:rPr>
          <w:rFonts w:ascii="Cambria" w:eastAsia="Times New Roman" w:hAnsi="Cambria"/>
          <w:color w:val="000000"/>
          <w:sz w:val="16"/>
          <w:szCs w:val="16"/>
          <w:lang w:val="es-MX"/>
        </w:rPr>
        <w:t xml:space="preserve"> 2009, párr. 187.</w:t>
      </w:r>
    </w:p>
  </w:footnote>
  <w:footnote w:id="4">
    <w:p w14:paraId="1123238F" w14:textId="79CC2683" w:rsidR="00233B16" w:rsidRPr="00233B16" w:rsidRDefault="00233B16" w:rsidP="004C458A">
      <w:pPr>
        <w:pStyle w:val="FootnoteText"/>
        <w:jc w:val="both"/>
        <w:rPr>
          <w:rFonts w:ascii="Cambria" w:hAnsi="Cambria"/>
          <w:sz w:val="16"/>
          <w:szCs w:val="16"/>
        </w:rPr>
      </w:pPr>
      <w:r w:rsidRPr="00233B16">
        <w:rPr>
          <w:rStyle w:val="FootnoteReference"/>
          <w:rFonts w:ascii="Cambria" w:hAnsi="Cambria"/>
          <w:sz w:val="16"/>
          <w:szCs w:val="16"/>
        </w:rPr>
        <w:footnoteRef/>
      </w:r>
      <w:r w:rsidRPr="00893B09">
        <w:rPr>
          <w:rFonts w:ascii="Cambria" w:hAnsi="Cambria"/>
          <w:sz w:val="16"/>
          <w:szCs w:val="16"/>
          <w:lang w:val="es-US"/>
        </w:rPr>
        <w:t xml:space="preserve"> </w:t>
      </w:r>
      <w:r w:rsidR="00893B09" w:rsidRPr="00893B09">
        <w:rPr>
          <w:rFonts w:ascii="Cambria" w:hAnsi="Cambria"/>
          <w:sz w:val="16"/>
          <w:szCs w:val="16"/>
          <w:lang w:val="es-US"/>
        </w:rPr>
        <w:t xml:space="preserve">“Recomendación </w:t>
      </w:r>
      <w:r w:rsidR="00CB5EAE">
        <w:rPr>
          <w:rFonts w:ascii="Cambria" w:hAnsi="Cambria"/>
          <w:sz w:val="16"/>
          <w:szCs w:val="16"/>
          <w:lang w:val="es-US"/>
        </w:rPr>
        <w:t>4</w:t>
      </w:r>
      <w:r w:rsidR="00893B09" w:rsidRPr="00893B09">
        <w:rPr>
          <w:rFonts w:ascii="Cambria" w:hAnsi="Cambria"/>
          <w:sz w:val="16"/>
          <w:szCs w:val="16"/>
          <w:lang w:val="es-US"/>
        </w:rPr>
        <w:t xml:space="preserve">: </w:t>
      </w:r>
      <w:r w:rsidR="00CB5EAE" w:rsidRPr="00CB5EAE">
        <w:rPr>
          <w:rFonts w:ascii="Cambria" w:hAnsi="Cambria"/>
          <w:sz w:val="16"/>
          <w:szCs w:val="16"/>
          <w:lang w:val="es-US"/>
        </w:rPr>
        <w:t>Establecer un valor pecuniario que se pagará a la víctima a título de indemnización por daños morales</w:t>
      </w:r>
      <w:r w:rsidR="00893B09" w:rsidRPr="00893B09">
        <w:rPr>
          <w:rFonts w:ascii="Cambria" w:hAnsi="Cambria"/>
          <w:sz w:val="16"/>
          <w:szCs w:val="16"/>
          <w:lang w:val="es-US"/>
        </w:rPr>
        <w:t>”. La re</w:t>
      </w:r>
      <w:r w:rsidR="00893B09">
        <w:rPr>
          <w:rFonts w:ascii="Cambria" w:hAnsi="Cambria"/>
          <w:sz w:val="16"/>
          <w:szCs w:val="16"/>
          <w:lang w:val="es-US"/>
        </w:rPr>
        <w:t xml:space="preserve">comendación fue dada como cumplida en el Informe Anual 2009. </w:t>
      </w:r>
      <w:r w:rsidRPr="00893B09">
        <w:rPr>
          <w:rFonts w:ascii="Cambria" w:eastAsia="Times New Roman" w:hAnsi="Cambria"/>
          <w:color w:val="000000"/>
          <w:sz w:val="16"/>
          <w:szCs w:val="16"/>
          <w:lang w:val="es-US"/>
        </w:rPr>
        <w:t xml:space="preserve">CIDH, </w:t>
      </w:r>
      <w:hyperlink r:id="rId3" w:history="1">
        <w:r w:rsidRPr="00893B09">
          <w:rPr>
            <w:rStyle w:val="Hyperlink"/>
            <w:rFonts w:ascii="Cambria" w:eastAsia="Times New Roman" w:hAnsi="Cambria"/>
            <w:color w:val="000000"/>
            <w:sz w:val="16"/>
            <w:szCs w:val="16"/>
            <w:lang w:val="es-US"/>
          </w:rPr>
          <w:t xml:space="preserve">Informe Anual, Capítulo III. </w:t>
        </w:r>
        <w:r w:rsidRPr="00233B16">
          <w:rPr>
            <w:rStyle w:val="Hyperlink"/>
            <w:rFonts w:ascii="Cambria" w:eastAsia="Times New Roman" w:hAnsi="Cambria"/>
            <w:color w:val="000000"/>
            <w:sz w:val="16"/>
            <w:szCs w:val="16"/>
            <w:lang w:val="es-US"/>
          </w:rPr>
          <w:t>Estado de las Recomendaciones de la CIDH</w:t>
        </w:r>
        <w:r w:rsidRPr="00233B16">
          <w:rPr>
            <w:rStyle w:val="Hyperlink"/>
            <w:rFonts w:ascii="Cambria" w:eastAsia="Times New Roman" w:hAnsi="Cambria"/>
            <w:color w:val="000000"/>
            <w:sz w:val="16"/>
            <w:szCs w:val="16"/>
            <w:lang w:val="es-MX"/>
          </w:rPr>
          <w:t>,</w:t>
        </w:r>
      </w:hyperlink>
      <w:r w:rsidRPr="00233B16">
        <w:rPr>
          <w:rFonts w:ascii="Cambria" w:eastAsia="Times New Roman" w:hAnsi="Cambria"/>
          <w:color w:val="000000"/>
          <w:sz w:val="16"/>
          <w:szCs w:val="16"/>
          <w:lang w:val="es-MX"/>
        </w:rPr>
        <w:t xml:space="preserve"> 2009, párr. 187.</w:t>
      </w:r>
    </w:p>
  </w:footnote>
  <w:footnote w:id="5">
    <w:p w14:paraId="598C8CCF" w14:textId="74B542E3" w:rsidR="00233B16" w:rsidRDefault="00233B16" w:rsidP="004C458A">
      <w:pPr>
        <w:pStyle w:val="FootnoteText"/>
        <w:jc w:val="both"/>
      </w:pPr>
      <w:r w:rsidRPr="00233B16">
        <w:rPr>
          <w:rStyle w:val="FootnoteReference"/>
          <w:rFonts w:ascii="Cambria" w:hAnsi="Cambria"/>
          <w:sz w:val="16"/>
          <w:szCs w:val="16"/>
        </w:rPr>
        <w:footnoteRef/>
      </w:r>
      <w:r w:rsidR="00893B09" w:rsidRPr="00893B09">
        <w:rPr>
          <w:rFonts w:ascii="Cambria" w:hAnsi="Cambria"/>
          <w:sz w:val="16"/>
          <w:szCs w:val="16"/>
          <w:lang w:val="es-US"/>
        </w:rPr>
        <w:t>“Recomendación 1</w:t>
      </w:r>
      <w:r w:rsidR="00CB5EAE">
        <w:rPr>
          <w:rFonts w:ascii="Cambria" w:hAnsi="Cambria"/>
          <w:sz w:val="16"/>
          <w:szCs w:val="16"/>
          <w:lang w:val="es-US"/>
        </w:rPr>
        <w:t>2</w:t>
      </w:r>
      <w:r w:rsidR="00893B09" w:rsidRPr="00893B09">
        <w:rPr>
          <w:rFonts w:ascii="Cambria" w:hAnsi="Cambria"/>
          <w:sz w:val="16"/>
          <w:szCs w:val="16"/>
          <w:lang w:val="es-US"/>
        </w:rPr>
        <w:t xml:space="preserve">: </w:t>
      </w:r>
      <w:r w:rsidR="00663CC8" w:rsidRPr="00663CC8">
        <w:rPr>
          <w:rFonts w:ascii="Cambria" w:hAnsi="Cambria"/>
          <w:sz w:val="16"/>
          <w:szCs w:val="16"/>
          <w:lang w:val="es-US"/>
        </w:rPr>
        <w:t>Promover campañas publicitarias contra la discriminación racial y el racismo.</w:t>
      </w:r>
      <w:r w:rsidR="00893B09" w:rsidRPr="00893B09">
        <w:rPr>
          <w:rFonts w:ascii="Cambria" w:hAnsi="Cambria"/>
          <w:sz w:val="16"/>
          <w:szCs w:val="16"/>
          <w:lang w:val="es-US"/>
        </w:rPr>
        <w:t>”. La re</w:t>
      </w:r>
      <w:r w:rsidR="00893B09">
        <w:rPr>
          <w:rFonts w:ascii="Cambria" w:hAnsi="Cambria"/>
          <w:sz w:val="16"/>
          <w:szCs w:val="16"/>
          <w:lang w:val="es-US"/>
        </w:rPr>
        <w:t xml:space="preserve">comendación fue dada como cumplida en el Informe Anual 2009. </w:t>
      </w:r>
      <w:r w:rsidRPr="00893B09">
        <w:rPr>
          <w:rFonts w:ascii="Cambria" w:hAnsi="Cambria"/>
          <w:sz w:val="16"/>
          <w:szCs w:val="16"/>
          <w:lang w:val="es-US"/>
        </w:rPr>
        <w:t xml:space="preserve"> </w:t>
      </w:r>
      <w:r w:rsidRPr="00893B09">
        <w:rPr>
          <w:rFonts w:ascii="Cambria" w:eastAsia="Times New Roman" w:hAnsi="Cambria"/>
          <w:color w:val="000000"/>
          <w:sz w:val="16"/>
          <w:szCs w:val="16"/>
          <w:lang w:val="es-US"/>
        </w:rPr>
        <w:t xml:space="preserve">CIDH, </w:t>
      </w:r>
      <w:hyperlink r:id="rId4" w:history="1">
        <w:r w:rsidRPr="00893B09">
          <w:rPr>
            <w:rStyle w:val="Hyperlink"/>
            <w:rFonts w:ascii="Cambria" w:eastAsia="Times New Roman" w:hAnsi="Cambria"/>
            <w:color w:val="000000"/>
            <w:sz w:val="16"/>
            <w:szCs w:val="16"/>
            <w:lang w:val="es-US"/>
          </w:rPr>
          <w:t xml:space="preserve">Informe Anual, Capítulo III. </w:t>
        </w:r>
        <w:r w:rsidRPr="00233B16">
          <w:rPr>
            <w:rStyle w:val="Hyperlink"/>
            <w:rFonts w:ascii="Cambria" w:eastAsia="Times New Roman" w:hAnsi="Cambria"/>
            <w:color w:val="000000"/>
            <w:sz w:val="16"/>
            <w:szCs w:val="16"/>
            <w:lang w:val="es-US"/>
          </w:rPr>
          <w:t>Estado de las Recomendaciones de la CIDH</w:t>
        </w:r>
        <w:r w:rsidRPr="00233B16">
          <w:rPr>
            <w:rStyle w:val="Hyperlink"/>
            <w:rFonts w:ascii="Cambria" w:eastAsia="Times New Roman" w:hAnsi="Cambria"/>
            <w:color w:val="000000"/>
            <w:sz w:val="16"/>
            <w:szCs w:val="16"/>
            <w:lang w:val="es-MX"/>
          </w:rPr>
          <w:t>,</w:t>
        </w:r>
      </w:hyperlink>
      <w:r w:rsidRPr="00233B16">
        <w:rPr>
          <w:rFonts w:ascii="Cambria" w:eastAsia="Times New Roman" w:hAnsi="Cambria"/>
          <w:color w:val="000000"/>
          <w:sz w:val="16"/>
          <w:szCs w:val="16"/>
          <w:lang w:val="es-MX"/>
        </w:rPr>
        <w:t xml:space="preserve"> 2009, párr. 185.</w:t>
      </w:r>
    </w:p>
  </w:footnote>
  <w:footnote w:id="6">
    <w:p w14:paraId="61C68F52" w14:textId="32597E8E" w:rsidR="00D76BED" w:rsidRPr="00D76BED" w:rsidRDefault="00D76BED" w:rsidP="004C458A">
      <w:pPr>
        <w:pStyle w:val="FootnoteText"/>
      </w:pPr>
      <w:r>
        <w:rPr>
          <w:rStyle w:val="FootnoteReference"/>
        </w:rPr>
        <w:footnoteRef/>
      </w:r>
      <w:r>
        <w:t xml:space="preserve"> </w:t>
      </w:r>
      <w:r w:rsidRPr="00557888">
        <w:rPr>
          <w:rFonts w:ascii="Cambria" w:hAnsi="Cambria" w:cs="Cambria"/>
          <w:sz w:val="16"/>
          <w:szCs w:val="16"/>
          <w:lang w:val="es-ES_tradnl"/>
        </w:rPr>
        <w:t>Para información anterior a 2023, verificar el Capítulo II.E del Informe Anual de la CIDH 2022, o de ser el caso, el capítulo II de Informe Anuales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C96E" w14:textId="77777777" w:rsidR="00105316" w:rsidRDefault="00105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single" w:sz="12" w:space="0" w:color="333333"/>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8D5674" w14:paraId="706A6C3A" w14:textId="77777777" w:rsidTr="008D5674">
      <w:trPr>
        <w:trHeight w:hRule="exact" w:val="640"/>
        <w:jc w:val="center"/>
      </w:trPr>
      <w:tc>
        <w:tcPr>
          <w:tcW w:w="4675" w:type="dxa"/>
          <w:shd w:val="clear" w:color="auto" w:fill="auto"/>
        </w:tcPr>
        <w:p w14:paraId="648A751C" w14:textId="12A65252" w:rsidR="008D5674" w:rsidRDefault="008D5674" w:rsidP="008D5674">
          <w:pPr>
            <w:pStyle w:val="Header"/>
          </w:pPr>
          <w:r>
            <w:rPr>
              <w:noProof/>
            </w:rPr>
            <w:drawing>
              <wp:inline distT="0" distB="0" distL="0" distR="0" wp14:anchorId="11B0D97A" wp14:editId="7DA3E138">
                <wp:extent cx="866919" cy="3175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66919" cy="317500"/>
                        </a:xfrm>
                        <a:prstGeom prst="rect">
                          <a:avLst/>
                        </a:prstGeom>
                      </pic:spPr>
                    </pic:pic>
                  </a:graphicData>
                </a:graphic>
              </wp:inline>
            </w:drawing>
          </w:r>
        </w:p>
      </w:tc>
      <w:tc>
        <w:tcPr>
          <w:tcW w:w="4675" w:type="dxa"/>
          <w:shd w:val="clear" w:color="auto" w:fill="auto"/>
        </w:tcPr>
        <w:p w14:paraId="2EBBA9B6" w14:textId="20CFA64D" w:rsidR="008D5674" w:rsidRDefault="008D5674" w:rsidP="008D5674">
          <w:pPr>
            <w:pStyle w:val="Header"/>
            <w:jc w:val="right"/>
          </w:pPr>
          <w:r>
            <w:rPr>
              <w:noProof/>
            </w:rPr>
            <w:drawing>
              <wp:inline distT="0" distB="0" distL="0" distR="0" wp14:anchorId="592B9710" wp14:editId="3629051E">
                <wp:extent cx="1344098" cy="3175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
                          <a:extLst>
                            <a:ext uri="{28A0092B-C50C-407E-A947-70E740481C1C}">
                              <a14:useLocalDpi xmlns:a14="http://schemas.microsoft.com/office/drawing/2010/main" val="0"/>
                            </a:ext>
                          </a:extLst>
                        </a:blip>
                        <a:stretch>
                          <a:fillRect/>
                        </a:stretch>
                      </pic:blipFill>
                      <pic:spPr>
                        <a:xfrm>
                          <a:off x="0" y="0"/>
                          <a:ext cx="1344098" cy="317500"/>
                        </a:xfrm>
                        <a:prstGeom prst="rect">
                          <a:avLst/>
                        </a:prstGeom>
                      </pic:spPr>
                    </pic:pic>
                  </a:graphicData>
                </a:graphic>
              </wp:inline>
            </w:drawing>
          </w:r>
        </w:p>
      </w:tc>
    </w:tr>
  </w:tbl>
  <w:p w14:paraId="562C75D1" w14:textId="7AF571DF" w:rsidR="00385CCE" w:rsidRPr="008D5674" w:rsidRDefault="00385CCE" w:rsidP="008D5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single" w:sz="12" w:space="0" w:color="333333"/>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8D5674" w14:paraId="7B0F20B9" w14:textId="77777777" w:rsidTr="008D5674">
      <w:trPr>
        <w:trHeight w:hRule="exact" w:val="860"/>
        <w:jc w:val="center"/>
      </w:trPr>
      <w:tc>
        <w:tcPr>
          <w:tcW w:w="4675" w:type="dxa"/>
          <w:shd w:val="clear" w:color="auto" w:fill="auto"/>
        </w:tcPr>
        <w:p w14:paraId="2B2F321B" w14:textId="2BAA7C3E" w:rsidR="008D5674" w:rsidRDefault="008D5674" w:rsidP="008D5674">
          <w:pPr>
            <w:pStyle w:val="Header"/>
          </w:pPr>
          <w:r>
            <w:rPr>
              <w:noProof/>
            </w:rPr>
            <w:drawing>
              <wp:inline distT="0" distB="0" distL="0" distR="0" wp14:anchorId="466D129E" wp14:editId="38A03822">
                <wp:extent cx="1248364"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1248364" cy="457200"/>
                        </a:xfrm>
                        <a:prstGeom prst="rect">
                          <a:avLst/>
                        </a:prstGeom>
                      </pic:spPr>
                    </pic:pic>
                  </a:graphicData>
                </a:graphic>
              </wp:inline>
            </w:drawing>
          </w:r>
        </w:p>
      </w:tc>
      <w:tc>
        <w:tcPr>
          <w:tcW w:w="4675" w:type="dxa"/>
          <w:shd w:val="clear" w:color="auto" w:fill="auto"/>
        </w:tcPr>
        <w:p w14:paraId="4CA1ED08" w14:textId="20EB5403" w:rsidR="008D5674" w:rsidRDefault="008D5674" w:rsidP="008D5674">
          <w:pPr>
            <w:pStyle w:val="Header"/>
            <w:jc w:val="right"/>
          </w:pPr>
          <w:r>
            <w:rPr>
              <w:noProof/>
            </w:rPr>
            <w:drawing>
              <wp:inline distT="0" distB="0" distL="0" distR="0" wp14:anchorId="7F02AD8F" wp14:editId="7C70609D">
                <wp:extent cx="1935501"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1935501" cy="457200"/>
                        </a:xfrm>
                        <a:prstGeom prst="rect">
                          <a:avLst/>
                        </a:prstGeom>
                      </pic:spPr>
                    </pic:pic>
                  </a:graphicData>
                </a:graphic>
              </wp:inline>
            </w:drawing>
          </w:r>
        </w:p>
      </w:tc>
    </w:tr>
  </w:tbl>
  <w:p w14:paraId="3FC5CFAB" w14:textId="77777777" w:rsidR="00105316" w:rsidRPr="008D5674" w:rsidRDefault="00105316" w:rsidP="008D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43082"/>
    <w:multiLevelType w:val="hybridMultilevel"/>
    <w:tmpl w:val="4D16A4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A36F54"/>
    <w:multiLevelType w:val="hybridMultilevel"/>
    <w:tmpl w:val="79B4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32F5D"/>
    <w:multiLevelType w:val="multilevel"/>
    <w:tmpl w:val="A13A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E5155"/>
    <w:multiLevelType w:val="hybridMultilevel"/>
    <w:tmpl w:val="DA9C22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BF348A"/>
    <w:multiLevelType w:val="hybridMultilevel"/>
    <w:tmpl w:val="7DD83BC4"/>
    <w:lvl w:ilvl="0" w:tplc="240A0013">
      <w:start w:val="1"/>
      <w:numFmt w:val="upperRoman"/>
      <w:lvlText w:val="%1."/>
      <w:lvlJc w:val="righ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582097A"/>
    <w:multiLevelType w:val="hybridMultilevel"/>
    <w:tmpl w:val="81A8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15491"/>
    <w:multiLevelType w:val="hybridMultilevel"/>
    <w:tmpl w:val="2CA2A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C04A75"/>
    <w:multiLevelType w:val="hybridMultilevel"/>
    <w:tmpl w:val="4B2073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A27F23"/>
    <w:multiLevelType w:val="hybridMultilevel"/>
    <w:tmpl w:val="F63861B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4B606206"/>
    <w:multiLevelType w:val="multilevel"/>
    <w:tmpl w:val="7FC8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A416C"/>
    <w:multiLevelType w:val="hybridMultilevel"/>
    <w:tmpl w:val="37E4B4D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5DF263AD"/>
    <w:multiLevelType w:val="hybridMultilevel"/>
    <w:tmpl w:val="58B6C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9B67CB"/>
    <w:multiLevelType w:val="hybridMultilevel"/>
    <w:tmpl w:val="6C94E30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740E0A72"/>
    <w:multiLevelType w:val="hybridMultilevel"/>
    <w:tmpl w:val="BDE8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03011">
    <w:abstractNumId w:val="5"/>
  </w:num>
  <w:num w:numId="2" w16cid:durableId="496924869">
    <w:abstractNumId w:val="8"/>
  </w:num>
  <w:num w:numId="3" w16cid:durableId="732891953">
    <w:abstractNumId w:val="13"/>
  </w:num>
  <w:num w:numId="4" w16cid:durableId="289674019">
    <w:abstractNumId w:val="14"/>
  </w:num>
  <w:num w:numId="5" w16cid:durableId="2131313129">
    <w:abstractNumId w:val="2"/>
  </w:num>
  <w:num w:numId="6" w16cid:durableId="567498054">
    <w:abstractNumId w:val="6"/>
  </w:num>
  <w:num w:numId="7" w16cid:durableId="762143096">
    <w:abstractNumId w:val="1"/>
  </w:num>
  <w:num w:numId="8" w16cid:durableId="1444038532">
    <w:abstractNumId w:val="4"/>
  </w:num>
  <w:num w:numId="9" w16cid:durableId="2127500298">
    <w:abstractNumId w:val="11"/>
  </w:num>
  <w:num w:numId="10" w16cid:durableId="467091650">
    <w:abstractNumId w:val="7"/>
  </w:num>
  <w:num w:numId="11" w16cid:durableId="374817785">
    <w:abstractNumId w:val="12"/>
  </w:num>
  <w:num w:numId="12" w16cid:durableId="2146001167">
    <w:abstractNumId w:val="9"/>
  </w:num>
  <w:num w:numId="13" w16cid:durableId="1539969824">
    <w:abstractNumId w:val="10"/>
  </w:num>
  <w:num w:numId="14" w16cid:durableId="383061874">
    <w:abstractNumId w:val="3"/>
  </w:num>
  <w:num w:numId="15" w16cid:durableId="1669482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8DC"/>
    <w:rsid w:val="00005413"/>
    <w:rsid w:val="00020142"/>
    <w:rsid w:val="000401AD"/>
    <w:rsid w:val="00044FC2"/>
    <w:rsid w:val="0004734D"/>
    <w:rsid w:val="00054AB9"/>
    <w:rsid w:val="00065A46"/>
    <w:rsid w:val="00076243"/>
    <w:rsid w:val="00084264"/>
    <w:rsid w:val="00095B69"/>
    <w:rsid w:val="000A4B91"/>
    <w:rsid w:val="000B6C9F"/>
    <w:rsid w:val="000D715D"/>
    <w:rsid w:val="00105316"/>
    <w:rsid w:val="00110A8F"/>
    <w:rsid w:val="00121354"/>
    <w:rsid w:val="00123621"/>
    <w:rsid w:val="00146A4F"/>
    <w:rsid w:val="0014760B"/>
    <w:rsid w:val="00152754"/>
    <w:rsid w:val="001719A0"/>
    <w:rsid w:val="001770DA"/>
    <w:rsid w:val="0018407D"/>
    <w:rsid w:val="001928E5"/>
    <w:rsid w:val="001A4E90"/>
    <w:rsid w:val="001C039B"/>
    <w:rsid w:val="001C18A0"/>
    <w:rsid w:val="001D1BA1"/>
    <w:rsid w:val="001D2612"/>
    <w:rsid w:val="001D3FDE"/>
    <w:rsid w:val="001E363B"/>
    <w:rsid w:val="00202306"/>
    <w:rsid w:val="0022282B"/>
    <w:rsid w:val="00223F85"/>
    <w:rsid w:val="00233B16"/>
    <w:rsid w:val="00236880"/>
    <w:rsid w:val="00264A4D"/>
    <w:rsid w:val="00266315"/>
    <w:rsid w:val="00276A36"/>
    <w:rsid w:val="00290AB1"/>
    <w:rsid w:val="002A634C"/>
    <w:rsid w:val="002C4C87"/>
    <w:rsid w:val="002D4E36"/>
    <w:rsid w:val="002D6DF1"/>
    <w:rsid w:val="002F016D"/>
    <w:rsid w:val="002F1526"/>
    <w:rsid w:val="002F29E9"/>
    <w:rsid w:val="00310516"/>
    <w:rsid w:val="00310697"/>
    <w:rsid w:val="00313CFA"/>
    <w:rsid w:val="003159A8"/>
    <w:rsid w:val="003522A2"/>
    <w:rsid w:val="00357BB5"/>
    <w:rsid w:val="00366ECB"/>
    <w:rsid w:val="00373D6C"/>
    <w:rsid w:val="00385CCE"/>
    <w:rsid w:val="003952C2"/>
    <w:rsid w:val="003A29D8"/>
    <w:rsid w:val="003A44E2"/>
    <w:rsid w:val="003C1821"/>
    <w:rsid w:val="003C2233"/>
    <w:rsid w:val="003C39F7"/>
    <w:rsid w:val="003C40FC"/>
    <w:rsid w:val="003C67F4"/>
    <w:rsid w:val="003D187A"/>
    <w:rsid w:val="003F7EE2"/>
    <w:rsid w:val="0041073B"/>
    <w:rsid w:val="00415C6F"/>
    <w:rsid w:val="00422141"/>
    <w:rsid w:val="0042579A"/>
    <w:rsid w:val="00426C11"/>
    <w:rsid w:val="00427193"/>
    <w:rsid w:val="00447273"/>
    <w:rsid w:val="00447B72"/>
    <w:rsid w:val="00455113"/>
    <w:rsid w:val="00464E73"/>
    <w:rsid w:val="00477713"/>
    <w:rsid w:val="00485BFE"/>
    <w:rsid w:val="004A312A"/>
    <w:rsid w:val="004A3B4B"/>
    <w:rsid w:val="004C458A"/>
    <w:rsid w:val="004C72E1"/>
    <w:rsid w:val="004D29B6"/>
    <w:rsid w:val="004D3D41"/>
    <w:rsid w:val="004D4D6D"/>
    <w:rsid w:val="004F3641"/>
    <w:rsid w:val="004F4BC6"/>
    <w:rsid w:val="005011D2"/>
    <w:rsid w:val="00515570"/>
    <w:rsid w:val="00527EFF"/>
    <w:rsid w:val="00537CA6"/>
    <w:rsid w:val="00545E74"/>
    <w:rsid w:val="00557888"/>
    <w:rsid w:val="00583B46"/>
    <w:rsid w:val="00584CBD"/>
    <w:rsid w:val="00591875"/>
    <w:rsid w:val="005A3DF6"/>
    <w:rsid w:val="005B4793"/>
    <w:rsid w:val="005C228C"/>
    <w:rsid w:val="005C454D"/>
    <w:rsid w:val="005D535E"/>
    <w:rsid w:val="005F3A2E"/>
    <w:rsid w:val="006004FA"/>
    <w:rsid w:val="0060376B"/>
    <w:rsid w:val="00610BD6"/>
    <w:rsid w:val="00613B10"/>
    <w:rsid w:val="00640D3B"/>
    <w:rsid w:val="006425E8"/>
    <w:rsid w:val="006573B1"/>
    <w:rsid w:val="00663CC8"/>
    <w:rsid w:val="00667917"/>
    <w:rsid w:val="00673141"/>
    <w:rsid w:val="0067377E"/>
    <w:rsid w:val="00675833"/>
    <w:rsid w:val="00696AE6"/>
    <w:rsid w:val="006A0FC8"/>
    <w:rsid w:val="006A2B37"/>
    <w:rsid w:val="006B22DF"/>
    <w:rsid w:val="006C02F4"/>
    <w:rsid w:val="006D195A"/>
    <w:rsid w:val="006D5218"/>
    <w:rsid w:val="006E3F1C"/>
    <w:rsid w:val="006E575F"/>
    <w:rsid w:val="006E7970"/>
    <w:rsid w:val="006F41C7"/>
    <w:rsid w:val="0071034E"/>
    <w:rsid w:val="00714180"/>
    <w:rsid w:val="007267BD"/>
    <w:rsid w:val="00730F0F"/>
    <w:rsid w:val="00741639"/>
    <w:rsid w:val="007418C9"/>
    <w:rsid w:val="0074265D"/>
    <w:rsid w:val="00746757"/>
    <w:rsid w:val="00756EB3"/>
    <w:rsid w:val="00762D01"/>
    <w:rsid w:val="007754C8"/>
    <w:rsid w:val="00777A82"/>
    <w:rsid w:val="00787D42"/>
    <w:rsid w:val="007B126B"/>
    <w:rsid w:val="007D1E93"/>
    <w:rsid w:val="007D38A7"/>
    <w:rsid w:val="00802165"/>
    <w:rsid w:val="0081148B"/>
    <w:rsid w:val="00820188"/>
    <w:rsid w:val="00847CB2"/>
    <w:rsid w:val="008567C9"/>
    <w:rsid w:val="008578F5"/>
    <w:rsid w:val="00860934"/>
    <w:rsid w:val="00863070"/>
    <w:rsid w:val="00885686"/>
    <w:rsid w:val="00893B09"/>
    <w:rsid w:val="00897391"/>
    <w:rsid w:val="00897F56"/>
    <w:rsid w:val="008A7EBB"/>
    <w:rsid w:val="008B1CB1"/>
    <w:rsid w:val="008B5D55"/>
    <w:rsid w:val="008C1077"/>
    <w:rsid w:val="008C72A5"/>
    <w:rsid w:val="008D157B"/>
    <w:rsid w:val="008D5674"/>
    <w:rsid w:val="008D7BA8"/>
    <w:rsid w:val="008D7C45"/>
    <w:rsid w:val="008F016C"/>
    <w:rsid w:val="0091268F"/>
    <w:rsid w:val="009161EE"/>
    <w:rsid w:val="009207B8"/>
    <w:rsid w:val="00947B2E"/>
    <w:rsid w:val="009512CC"/>
    <w:rsid w:val="00955B15"/>
    <w:rsid w:val="00962A1E"/>
    <w:rsid w:val="00963EE4"/>
    <w:rsid w:val="00991CF2"/>
    <w:rsid w:val="0099550C"/>
    <w:rsid w:val="009969FA"/>
    <w:rsid w:val="009A5702"/>
    <w:rsid w:val="009A7E71"/>
    <w:rsid w:val="009C1695"/>
    <w:rsid w:val="009C28DC"/>
    <w:rsid w:val="009D3A67"/>
    <w:rsid w:val="009D5EC8"/>
    <w:rsid w:val="009E46BC"/>
    <w:rsid w:val="009E5DB6"/>
    <w:rsid w:val="009E7BA3"/>
    <w:rsid w:val="009F3A4F"/>
    <w:rsid w:val="00A24E2E"/>
    <w:rsid w:val="00A606A4"/>
    <w:rsid w:val="00A606AC"/>
    <w:rsid w:val="00A72D31"/>
    <w:rsid w:val="00A83737"/>
    <w:rsid w:val="00AA6305"/>
    <w:rsid w:val="00AB44A7"/>
    <w:rsid w:val="00AE594A"/>
    <w:rsid w:val="00B206E4"/>
    <w:rsid w:val="00B245C4"/>
    <w:rsid w:val="00B30216"/>
    <w:rsid w:val="00B30246"/>
    <w:rsid w:val="00B37EF6"/>
    <w:rsid w:val="00B40214"/>
    <w:rsid w:val="00B570CF"/>
    <w:rsid w:val="00B80E4A"/>
    <w:rsid w:val="00B977E3"/>
    <w:rsid w:val="00BB3241"/>
    <w:rsid w:val="00BB6C75"/>
    <w:rsid w:val="00BC7A66"/>
    <w:rsid w:val="00BD6627"/>
    <w:rsid w:val="00BE206A"/>
    <w:rsid w:val="00BE610B"/>
    <w:rsid w:val="00BE6B08"/>
    <w:rsid w:val="00BF7D5C"/>
    <w:rsid w:val="00C04BCA"/>
    <w:rsid w:val="00C11A2F"/>
    <w:rsid w:val="00C26029"/>
    <w:rsid w:val="00C27AC6"/>
    <w:rsid w:val="00C30E16"/>
    <w:rsid w:val="00C76EF6"/>
    <w:rsid w:val="00C91852"/>
    <w:rsid w:val="00CA0909"/>
    <w:rsid w:val="00CB3EA3"/>
    <w:rsid w:val="00CB5EAE"/>
    <w:rsid w:val="00CC1CD2"/>
    <w:rsid w:val="00CC70A9"/>
    <w:rsid w:val="00CD3925"/>
    <w:rsid w:val="00CD3CB6"/>
    <w:rsid w:val="00CD4D10"/>
    <w:rsid w:val="00CD5567"/>
    <w:rsid w:val="00CE3B68"/>
    <w:rsid w:val="00CF08A3"/>
    <w:rsid w:val="00D045BF"/>
    <w:rsid w:val="00D05ECE"/>
    <w:rsid w:val="00D10305"/>
    <w:rsid w:val="00D14395"/>
    <w:rsid w:val="00D2337E"/>
    <w:rsid w:val="00D314BC"/>
    <w:rsid w:val="00D33AAC"/>
    <w:rsid w:val="00D34A53"/>
    <w:rsid w:val="00D639CB"/>
    <w:rsid w:val="00D71EAE"/>
    <w:rsid w:val="00D75CD9"/>
    <w:rsid w:val="00D76BED"/>
    <w:rsid w:val="00D85FA5"/>
    <w:rsid w:val="00D90CCB"/>
    <w:rsid w:val="00D94447"/>
    <w:rsid w:val="00DD07E8"/>
    <w:rsid w:val="00DD4C39"/>
    <w:rsid w:val="00DF419E"/>
    <w:rsid w:val="00DF5547"/>
    <w:rsid w:val="00E13C91"/>
    <w:rsid w:val="00E26326"/>
    <w:rsid w:val="00E31008"/>
    <w:rsid w:val="00E463A1"/>
    <w:rsid w:val="00E57092"/>
    <w:rsid w:val="00E57A45"/>
    <w:rsid w:val="00E8098B"/>
    <w:rsid w:val="00EA1483"/>
    <w:rsid w:val="00EE24EA"/>
    <w:rsid w:val="00EF2FA4"/>
    <w:rsid w:val="00EF635D"/>
    <w:rsid w:val="00EF6BA7"/>
    <w:rsid w:val="00F133D0"/>
    <w:rsid w:val="00F32F57"/>
    <w:rsid w:val="00F53A81"/>
    <w:rsid w:val="00F55362"/>
    <w:rsid w:val="00F70C28"/>
    <w:rsid w:val="00F84DFF"/>
    <w:rsid w:val="00F93C22"/>
    <w:rsid w:val="00F95AED"/>
    <w:rsid w:val="00FB34A7"/>
    <w:rsid w:val="00FE5D49"/>
    <w:rsid w:val="00FF2938"/>
    <w:rsid w:val="00FF690E"/>
    <w:rsid w:val="013F39B3"/>
    <w:rsid w:val="1675B315"/>
    <w:rsid w:val="25505A76"/>
    <w:rsid w:val="43494C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AF1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8DC"/>
  </w:style>
  <w:style w:type="paragraph" w:styleId="Heading3">
    <w:name w:val="heading 3"/>
    <w:basedOn w:val="Normal"/>
    <w:link w:val="Heading3Char"/>
    <w:uiPriority w:val="9"/>
    <w:qFormat/>
    <w:rsid w:val="0074265D"/>
    <w:pPr>
      <w:spacing w:before="100" w:beforeAutospacing="1" w:after="100" w:afterAutospacing="1" w:line="240" w:lineRule="auto"/>
      <w:outlineLvl w:val="2"/>
    </w:pPr>
    <w:rPr>
      <w:rFonts w:ascii="Times New Roman" w:eastAsia="Times New Roman" w:hAnsi="Times New Roman" w:cs="Times New Roman"/>
      <w:b/>
      <w:bCs/>
      <w:sz w:val="27"/>
      <w:szCs w:val="27"/>
      <w:lang w:val="es-US" w:eastAsia="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C28DC"/>
    <w:pPr>
      <w:spacing w:after="0" w:line="240" w:lineRule="auto"/>
    </w:pPr>
    <w:rPr>
      <w:rFonts w:eastAsiaTheme="minorEastAsia"/>
      <w:sz w:val="20"/>
      <w:szCs w:val="20"/>
    </w:rPr>
  </w:style>
  <w:style w:type="character" w:customStyle="1" w:styleId="NoSpacingChar">
    <w:name w:val="No Spacing Char"/>
    <w:link w:val="NoSpacing"/>
    <w:uiPriority w:val="1"/>
    <w:rsid w:val="009C28DC"/>
    <w:rPr>
      <w:rFonts w:eastAsiaTheme="minorEastAsia"/>
      <w:sz w:val="20"/>
      <w:szCs w:val="20"/>
    </w:rPr>
  </w:style>
  <w:style w:type="character" w:styleId="Hyperlink">
    <w:name w:val="Hyperlink"/>
    <w:uiPriority w:val="99"/>
    <w:unhideWhenUsed/>
    <w:rsid w:val="009C28DC"/>
    <w:rPr>
      <w:color w:val="0563C1"/>
      <w:u w:val="single"/>
    </w:rPr>
  </w:style>
  <w:style w:type="paragraph" w:styleId="ListParagraph">
    <w:name w:val="List Paragraph"/>
    <w:aliases w:val="Párrafo de lista1,List Paragraph1,Colorful List - Accent 11,List Paragraph11"/>
    <w:basedOn w:val="Normal"/>
    <w:link w:val="ListParagraphChar"/>
    <w:uiPriority w:val="34"/>
    <w:qFormat/>
    <w:rsid w:val="009C28DC"/>
    <w:pPr>
      <w:ind w:left="720"/>
      <w:contextualSpacing/>
    </w:p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9C28DC"/>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
    <w:basedOn w:val="Normal"/>
    <w:link w:val="FootnoteTextChar"/>
    <w:unhideWhenUsed/>
    <w:qFormat/>
    <w:rsid w:val="009C28DC"/>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9C28DC"/>
    <w:rPr>
      <w:sz w:val="20"/>
      <w:szCs w:val="20"/>
    </w:rPr>
  </w:style>
  <w:style w:type="character" w:styleId="FootnoteReference">
    <w:name w:val="footnote reference"/>
    <w:basedOn w:val="DefaultParagraphFont"/>
    <w:uiPriority w:val="99"/>
    <w:semiHidden/>
    <w:unhideWhenUsed/>
    <w:rsid w:val="009C28DC"/>
    <w:rPr>
      <w:vertAlign w:val="superscript"/>
    </w:rPr>
  </w:style>
  <w:style w:type="table" w:styleId="TableGrid">
    <w:name w:val="Table Grid"/>
    <w:basedOn w:val="TableNormal"/>
    <w:uiPriority w:val="39"/>
    <w:rsid w:val="009C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28DC"/>
    <w:pPr>
      <w:tabs>
        <w:tab w:val="center" w:pos="4419"/>
        <w:tab w:val="right" w:pos="8838"/>
      </w:tabs>
      <w:spacing w:after="0" w:line="240" w:lineRule="auto"/>
    </w:pPr>
  </w:style>
  <w:style w:type="character" w:customStyle="1" w:styleId="HeaderChar">
    <w:name w:val="Header Char"/>
    <w:basedOn w:val="DefaultParagraphFont"/>
    <w:link w:val="Header"/>
    <w:uiPriority w:val="99"/>
    <w:rsid w:val="009C28DC"/>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F93C22"/>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FollowedHyperlink">
    <w:name w:val="FollowedHyperlink"/>
    <w:basedOn w:val="DefaultParagraphFont"/>
    <w:uiPriority w:val="99"/>
    <w:semiHidden/>
    <w:unhideWhenUsed/>
    <w:rsid w:val="00613B10"/>
    <w:rPr>
      <w:color w:val="954F72" w:themeColor="followedHyperlink"/>
      <w:u w:val="single"/>
    </w:rPr>
  </w:style>
  <w:style w:type="paragraph" w:styleId="Revision">
    <w:name w:val="Revision"/>
    <w:hidden/>
    <w:uiPriority w:val="99"/>
    <w:semiHidden/>
    <w:rsid w:val="00EA1483"/>
    <w:pPr>
      <w:spacing w:after="0" w:line="240" w:lineRule="auto"/>
    </w:pPr>
  </w:style>
  <w:style w:type="character" w:styleId="CommentReference">
    <w:name w:val="annotation reference"/>
    <w:basedOn w:val="DefaultParagraphFont"/>
    <w:uiPriority w:val="99"/>
    <w:semiHidden/>
    <w:unhideWhenUsed/>
    <w:rsid w:val="00054AB9"/>
    <w:rPr>
      <w:sz w:val="16"/>
      <w:szCs w:val="16"/>
    </w:rPr>
  </w:style>
  <w:style w:type="paragraph" w:styleId="CommentText">
    <w:name w:val="annotation text"/>
    <w:basedOn w:val="Normal"/>
    <w:link w:val="CommentTextChar"/>
    <w:uiPriority w:val="99"/>
    <w:unhideWhenUsed/>
    <w:rsid w:val="00054AB9"/>
    <w:pPr>
      <w:spacing w:line="240" w:lineRule="auto"/>
    </w:pPr>
    <w:rPr>
      <w:sz w:val="20"/>
      <w:szCs w:val="20"/>
    </w:rPr>
  </w:style>
  <w:style w:type="character" w:customStyle="1" w:styleId="CommentTextChar">
    <w:name w:val="Comment Text Char"/>
    <w:basedOn w:val="DefaultParagraphFont"/>
    <w:link w:val="CommentText"/>
    <w:uiPriority w:val="99"/>
    <w:rsid w:val="00054AB9"/>
    <w:rPr>
      <w:sz w:val="20"/>
      <w:szCs w:val="20"/>
    </w:rPr>
  </w:style>
  <w:style w:type="paragraph" w:styleId="CommentSubject">
    <w:name w:val="annotation subject"/>
    <w:basedOn w:val="CommentText"/>
    <w:next w:val="CommentText"/>
    <w:link w:val="CommentSubjectChar"/>
    <w:uiPriority w:val="99"/>
    <w:semiHidden/>
    <w:unhideWhenUsed/>
    <w:rsid w:val="00054AB9"/>
    <w:rPr>
      <w:b/>
      <w:bCs/>
    </w:rPr>
  </w:style>
  <w:style w:type="character" w:customStyle="1" w:styleId="CommentSubjectChar">
    <w:name w:val="Comment Subject Char"/>
    <w:basedOn w:val="CommentTextChar"/>
    <w:link w:val="CommentSubject"/>
    <w:uiPriority w:val="99"/>
    <w:semiHidden/>
    <w:rsid w:val="00054AB9"/>
    <w:rPr>
      <w:b/>
      <w:bCs/>
      <w:sz w:val="20"/>
      <w:szCs w:val="20"/>
    </w:rPr>
  </w:style>
  <w:style w:type="character" w:customStyle="1" w:styleId="Heading3Char">
    <w:name w:val="Heading 3 Char"/>
    <w:basedOn w:val="DefaultParagraphFont"/>
    <w:link w:val="Heading3"/>
    <w:uiPriority w:val="9"/>
    <w:rsid w:val="0074265D"/>
    <w:rPr>
      <w:rFonts w:ascii="Times New Roman" w:eastAsia="Times New Roman" w:hAnsi="Times New Roman" w:cs="Times New Roman"/>
      <w:b/>
      <w:bCs/>
      <w:sz w:val="27"/>
      <w:szCs w:val="27"/>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3072">
      <w:bodyDiv w:val="1"/>
      <w:marLeft w:val="0"/>
      <w:marRight w:val="0"/>
      <w:marTop w:val="0"/>
      <w:marBottom w:val="0"/>
      <w:divBdr>
        <w:top w:val="none" w:sz="0" w:space="0" w:color="auto"/>
        <w:left w:val="none" w:sz="0" w:space="0" w:color="auto"/>
        <w:bottom w:val="none" w:sz="0" w:space="0" w:color="auto"/>
        <w:right w:val="none" w:sz="0" w:space="0" w:color="auto"/>
      </w:divBdr>
    </w:div>
    <w:div w:id="195774780">
      <w:bodyDiv w:val="1"/>
      <w:marLeft w:val="0"/>
      <w:marRight w:val="0"/>
      <w:marTop w:val="0"/>
      <w:marBottom w:val="0"/>
      <w:divBdr>
        <w:top w:val="none" w:sz="0" w:space="0" w:color="auto"/>
        <w:left w:val="none" w:sz="0" w:space="0" w:color="auto"/>
        <w:bottom w:val="none" w:sz="0" w:space="0" w:color="auto"/>
        <w:right w:val="none" w:sz="0" w:space="0" w:color="auto"/>
      </w:divBdr>
    </w:div>
    <w:div w:id="265309328">
      <w:bodyDiv w:val="1"/>
      <w:marLeft w:val="0"/>
      <w:marRight w:val="0"/>
      <w:marTop w:val="0"/>
      <w:marBottom w:val="0"/>
      <w:divBdr>
        <w:top w:val="none" w:sz="0" w:space="0" w:color="auto"/>
        <w:left w:val="none" w:sz="0" w:space="0" w:color="auto"/>
        <w:bottom w:val="none" w:sz="0" w:space="0" w:color="auto"/>
        <w:right w:val="none" w:sz="0" w:space="0" w:color="auto"/>
      </w:divBdr>
    </w:div>
    <w:div w:id="298456633">
      <w:bodyDiv w:val="1"/>
      <w:marLeft w:val="0"/>
      <w:marRight w:val="0"/>
      <w:marTop w:val="0"/>
      <w:marBottom w:val="0"/>
      <w:divBdr>
        <w:top w:val="none" w:sz="0" w:space="0" w:color="auto"/>
        <w:left w:val="none" w:sz="0" w:space="0" w:color="auto"/>
        <w:bottom w:val="none" w:sz="0" w:space="0" w:color="auto"/>
        <w:right w:val="none" w:sz="0" w:space="0" w:color="auto"/>
      </w:divBdr>
    </w:div>
    <w:div w:id="400442607">
      <w:bodyDiv w:val="1"/>
      <w:marLeft w:val="0"/>
      <w:marRight w:val="0"/>
      <w:marTop w:val="0"/>
      <w:marBottom w:val="0"/>
      <w:divBdr>
        <w:top w:val="none" w:sz="0" w:space="0" w:color="auto"/>
        <w:left w:val="none" w:sz="0" w:space="0" w:color="auto"/>
        <w:bottom w:val="none" w:sz="0" w:space="0" w:color="auto"/>
        <w:right w:val="none" w:sz="0" w:space="0" w:color="auto"/>
      </w:divBdr>
    </w:div>
    <w:div w:id="571040668">
      <w:bodyDiv w:val="1"/>
      <w:marLeft w:val="0"/>
      <w:marRight w:val="0"/>
      <w:marTop w:val="0"/>
      <w:marBottom w:val="0"/>
      <w:divBdr>
        <w:top w:val="none" w:sz="0" w:space="0" w:color="auto"/>
        <w:left w:val="none" w:sz="0" w:space="0" w:color="auto"/>
        <w:bottom w:val="none" w:sz="0" w:space="0" w:color="auto"/>
        <w:right w:val="none" w:sz="0" w:space="0" w:color="auto"/>
      </w:divBdr>
    </w:div>
    <w:div w:id="600142043">
      <w:bodyDiv w:val="1"/>
      <w:marLeft w:val="0"/>
      <w:marRight w:val="0"/>
      <w:marTop w:val="0"/>
      <w:marBottom w:val="0"/>
      <w:divBdr>
        <w:top w:val="none" w:sz="0" w:space="0" w:color="auto"/>
        <w:left w:val="none" w:sz="0" w:space="0" w:color="auto"/>
        <w:bottom w:val="none" w:sz="0" w:space="0" w:color="auto"/>
        <w:right w:val="none" w:sz="0" w:space="0" w:color="auto"/>
      </w:divBdr>
    </w:div>
    <w:div w:id="601567649">
      <w:bodyDiv w:val="1"/>
      <w:marLeft w:val="0"/>
      <w:marRight w:val="0"/>
      <w:marTop w:val="0"/>
      <w:marBottom w:val="0"/>
      <w:divBdr>
        <w:top w:val="none" w:sz="0" w:space="0" w:color="auto"/>
        <w:left w:val="none" w:sz="0" w:space="0" w:color="auto"/>
        <w:bottom w:val="none" w:sz="0" w:space="0" w:color="auto"/>
        <w:right w:val="none" w:sz="0" w:space="0" w:color="auto"/>
      </w:divBdr>
    </w:div>
    <w:div w:id="631055712">
      <w:bodyDiv w:val="1"/>
      <w:marLeft w:val="0"/>
      <w:marRight w:val="0"/>
      <w:marTop w:val="0"/>
      <w:marBottom w:val="0"/>
      <w:divBdr>
        <w:top w:val="none" w:sz="0" w:space="0" w:color="auto"/>
        <w:left w:val="none" w:sz="0" w:space="0" w:color="auto"/>
        <w:bottom w:val="none" w:sz="0" w:space="0" w:color="auto"/>
        <w:right w:val="none" w:sz="0" w:space="0" w:color="auto"/>
      </w:divBdr>
    </w:div>
    <w:div w:id="649284202">
      <w:bodyDiv w:val="1"/>
      <w:marLeft w:val="0"/>
      <w:marRight w:val="0"/>
      <w:marTop w:val="0"/>
      <w:marBottom w:val="0"/>
      <w:divBdr>
        <w:top w:val="none" w:sz="0" w:space="0" w:color="auto"/>
        <w:left w:val="none" w:sz="0" w:space="0" w:color="auto"/>
        <w:bottom w:val="none" w:sz="0" w:space="0" w:color="auto"/>
        <w:right w:val="none" w:sz="0" w:space="0" w:color="auto"/>
      </w:divBdr>
    </w:div>
    <w:div w:id="743991567">
      <w:bodyDiv w:val="1"/>
      <w:marLeft w:val="0"/>
      <w:marRight w:val="0"/>
      <w:marTop w:val="0"/>
      <w:marBottom w:val="0"/>
      <w:divBdr>
        <w:top w:val="none" w:sz="0" w:space="0" w:color="auto"/>
        <w:left w:val="none" w:sz="0" w:space="0" w:color="auto"/>
        <w:bottom w:val="none" w:sz="0" w:space="0" w:color="auto"/>
        <w:right w:val="none" w:sz="0" w:space="0" w:color="auto"/>
      </w:divBdr>
    </w:div>
    <w:div w:id="816917052">
      <w:bodyDiv w:val="1"/>
      <w:marLeft w:val="0"/>
      <w:marRight w:val="0"/>
      <w:marTop w:val="0"/>
      <w:marBottom w:val="0"/>
      <w:divBdr>
        <w:top w:val="none" w:sz="0" w:space="0" w:color="auto"/>
        <w:left w:val="none" w:sz="0" w:space="0" w:color="auto"/>
        <w:bottom w:val="none" w:sz="0" w:space="0" w:color="auto"/>
        <w:right w:val="none" w:sz="0" w:space="0" w:color="auto"/>
      </w:divBdr>
    </w:div>
    <w:div w:id="855188948">
      <w:bodyDiv w:val="1"/>
      <w:marLeft w:val="0"/>
      <w:marRight w:val="0"/>
      <w:marTop w:val="0"/>
      <w:marBottom w:val="0"/>
      <w:divBdr>
        <w:top w:val="none" w:sz="0" w:space="0" w:color="auto"/>
        <w:left w:val="none" w:sz="0" w:space="0" w:color="auto"/>
        <w:bottom w:val="none" w:sz="0" w:space="0" w:color="auto"/>
        <w:right w:val="none" w:sz="0" w:space="0" w:color="auto"/>
      </w:divBdr>
    </w:div>
    <w:div w:id="875654550">
      <w:bodyDiv w:val="1"/>
      <w:marLeft w:val="0"/>
      <w:marRight w:val="0"/>
      <w:marTop w:val="0"/>
      <w:marBottom w:val="0"/>
      <w:divBdr>
        <w:top w:val="none" w:sz="0" w:space="0" w:color="auto"/>
        <w:left w:val="none" w:sz="0" w:space="0" w:color="auto"/>
        <w:bottom w:val="none" w:sz="0" w:space="0" w:color="auto"/>
        <w:right w:val="none" w:sz="0" w:space="0" w:color="auto"/>
      </w:divBdr>
    </w:div>
    <w:div w:id="1101417987">
      <w:bodyDiv w:val="1"/>
      <w:marLeft w:val="0"/>
      <w:marRight w:val="0"/>
      <w:marTop w:val="0"/>
      <w:marBottom w:val="0"/>
      <w:divBdr>
        <w:top w:val="none" w:sz="0" w:space="0" w:color="auto"/>
        <w:left w:val="none" w:sz="0" w:space="0" w:color="auto"/>
        <w:bottom w:val="none" w:sz="0" w:space="0" w:color="auto"/>
        <w:right w:val="none" w:sz="0" w:space="0" w:color="auto"/>
      </w:divBdr>
    </w:div>
    <w:div w:id="1104036570">
      <w:bodyDiv w:val="1"/>
      <w:marLeft w:val="0"/>
      <w:marRight w:val="0"/>
      <w:marTop w:val="0"/>
      <w:marBottom w:val="0"/>
      <w:divBdr>
        <w:top w:val="none" w:sz="0" w:space="0" w:color="auto"/>
        <w:left w:val="none" w:sz="0" w:space="0" w:color="auto"/>
        <w:bottom w:val="none" w:sz="0" w:space="0" w:color="auto"/>
        <w:right w:val="none" w:sz="0" w:space="0" w:color="auto"/>
      </w:divBdr>
    </w:div>
    <w:div w:id="1201236744">
      <w:bodyDiv w:val="1"/>
      <w:marLeft w:val="0"/>
      <w:marRight w:val="0"/>
      <w:marTop w:val="0"/>
      <w:marBottom w:val="0"/>
      <w:divBdr>
        <w:top w:val="none" w:sz="0" w:space="0" w:color="auto"/>
        <w:left w:val="none" w:sz="0" w:space="0" w:color="auto"/>
        <w:bottom w:val="none" w:sz="0" w:space="0" w:color="auto"/>
        <w:right w:val="none" w:sz="0" w:space="0" w:color="auto"/>
      </w:divBdr>
    </w:div>
    <w:div w:id="1334257908">
      <w:bodyDiv w:val="1"/>
      <w:marLeft w:val="0"/>
      <w:marRight w:val="0"/>
      <w:marTop w:val="0"/>
      <w:marBottom w:val="0"/>
      <w:divBdr>
        <w:top w:val="none" w:sz="0" w:space="0" w:color="auto"/>
        <w:left w:val="none" w:sz="0" w:space="0" w:color="auto"/>
        <w:bottom w:val="none" w:sz="0" w:space="0" w:color="auto"/>
        <w:right w:val="none" w:sz="0" w:space="0" w:color="auto"/>
      </w:divBdr>
    </w:div>
    <w:div w:id="1425305321">
      <w:bodyDiv w:val="1"/>
      <w:marLeft w:val="0"/>
      <w:marRight w:val="0"/>
      <w:marTop w:val="0"/>
      <w:marBottom w:val="0"/>
      <w:divBdr>
        <w:top w:val="none" w:sz="0" w:space="0" w:color="auto"/>
        <w:left w:val="none" w:sz="0" w:space="0" w:color="auto"/>
        <w:bottom w:val="none" w:sz="0" w:space="0" w:color="auto"/>
        <w:right w:val="none" w:sz="0" w:space="0" w:color="auto"/>
      </w:divBdr>
    </w:div>
    <w:div w:id="1452552407">
      <w:bodyDiv w:val="1"/>
      <w:marLeft w:val="0"/>
      <w:marRight w:val="0"/>
      <w:marTop w:val="0"/>
      <w:marBottom w:val="0"/>
      <w:divBdr>
        <w:top w:val="none" w:sz="0" w:space="0" w:color="auto"/>
        <w:left w:val="none" w:sz="0" w:space="0" w:color="auto"/>
        <w:bottom w:val="none" w:sz="0" w:space="0" w:color="auto"/>
        <w:right w:val="none" w:sz="0" w:space="0" w:color="auto"/>
      </w:divBdr>
    </w:div>
    <w:div w:id="1455556008">
      <w:bodyDiv w:val="1"/>
      <w:marLeft w:val="0"/>
      <w:marRight w:val="0"/>
      <w:marTop w:val="0"/>
      <w:marBottom w:val="0"/>
      <w:divBdr>
        <w:top w:val="none" w:sz="0" w:space="0" w:color="auto"/>
        <w:left w:val="none" w:sz="0" w:space="0" w:color="auto"/>
        <w:bottom w:val="none" w:sz="0" w:space="0" w:color="auto"/>
        <w:right w:val="none" w:sz="0" w:space="0" w:color="auto"/>
      </w:divBdr>
    </w:div>
    <w:div w:id="1473281613">
      <w:bodyDiv w:val="1"/>
      <w:marLeft w:val="0"/>
      <w:marRight w:val="0"/>
      <w:marTop w:val="0"/>
      <w:marBottom w:val="0"/>
      <w:divBdr>
        <w:top w:val="none" w:sz="0" w:space="0" w:color="auto"/>
        <w:left w:val="none" w:sz="0" w:space="0" w:color="auto"/>
        <w:bottom w:val="none" w:sz="0" w:space="0" w:color="auto"/>
        <w:right w:val="none" w:sz="0" w:space="0" w:color="auto"/>
      </w:divBdr>
    </w:div>
    <w:div w:id="1498108898">
      <w:bodyDiv w:val="1"/>
      <w:marLeft w:val="0"/>
      <w:marRight w:val="0"/>
      <w:marTop w:val="0"/>
      <w:marBottom w:val="0"/>
      <w:divBdr>
        <w:top w:val="none" w:sz="0" w:space="0" w:color="auto"/>
        <w:left w:val="none" w:sz="0" w:space="0" w:color="auto"/>
        <w:bottom w:val="none" w:sz="0" w:space="0" w:color="auto"/>
        <w:right w:val="none" w:sz="0" w:space="0" w:color="auto"/>
      </w:divBdr>
      <w:divsChild>
        <w:div w:id="2055545120">
          <w:marLeft w:val="0"/>
          <w:marRight w:val="0"/>
          <w:marTop w:val="0"/>
          <w:marBottom w:val="0"/>
          <w:divBdr>
            <w:top w:val="none" w:sz="0" w:space="0" w:color="auto"/>
            <w:left w:val="none" w:sz="0" w:space="0" w:color="auto"/>
            <w:bottom w:val="none" w:sz="0" w:space="0" w:color="auto"/>
            <w:right w:val="none" w:sz="0" w:space="0" w:color="auto"/>
          </w:divBdr>
          <w:divsChild>
            <w:div w:id="1274097614">
              <w:marLeft w:val="0"/>
              <w:marRight w:val="0"/>
              <w:marTop w:val="0"/>
              <w:marBottom w:val="0"/>
              <w:divBdr>
                <w:top w:val="none" w:sz="0" w:space="0" w:color="auto"/>
                <w:left w:val="none" w:sz="0" w:space="0" w:color="auto"/>
                <w:bottom w:val="none" w:sz="0" w:space="0" w:color="auto"/>
                <w:right w:val="none" w:sz="0" w:space="0" w:color="auto"/>
              </w:divBdr>
              <w:divsChild>
                <w:div w:id="214316895">
                  <w:marLeft w:val="0"/>
                  <w:marRight w:val="0"/>
                  <w:marTop w:val="0"/>
                  <w:marBottom w:val="0"/>
                  <w:divBdr>
                    <w:top w:val="none" w:sz="0" w:space="0" w:color="auto"/>
                    <w:left w:val="none" w:sz="0" w:space="0" w:color="auto"/>
                    <w:bottom w:val="none" w:sz="0" w:space="0" w:color="auto"/>
                    <w:right w:val="none" w:sz="0" w:space="0" w:color="auto"/>
                  </w:divBdr>
                  <w:divsChild>
                    <w:div w:id="14851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97455">
      <w:bodyDiv w:val="1"/>
      <w:marLeft w:val="0"/>
      <w:marRight w:val="0"/>
      <w:marTop w:val="0"/>
      <w:marBottom w:val="0"/>
      <w:divBdr>
        <w:top w:val="none" w:sz="0" w:space="0" w:color="auto"/>
        <w:left w:val="none" w:sz="0" w:space="0" w:color="auto"/>
        <w:bottom w:val="none" w:sz="0" w:space="0" w:color="auto"/>
        <w:right w:val="none" w:sz="0" w:space="0" w:color="auto"/>
      </w:divBdr>
    </w:div>
    <w:div w:id="1525172991">
      <w:bodyDiv w:val="1"/>
      <w:marLeft w:val="0"/>
      <w:marRight w:val="0"/>
      <w:marTop w:val="0"/>
      <w:marBottom w:val="0"/>
      <w:divBdr>
        <w:top w:val="none" w:sz="0" w:space="0" w:color="auto"/>
        <w:left w:val="none" w:sz="0" w:space="0" w:color="auto"/>
        <w:bottom w:val="none" w:sz="0" w:space="0" w:color="auto"/>
        <w:right w:val="none" w:sz="0" w:space="0" w:color="auto"/>
      </w:divBdr>
    </w:div>
    <w:div w:id="1613517278">
      <w:bodyDiv w:val="1"/>
      <w:marLeft w:val="0"/>
      <w:marRight w:val="0"/>
      <w:marTop w:val="0"/>
      <w:marBottom w:val="0"/>
      <w:divBdr>
        <w:top w:val="none" w:sz="0" w:space="0" w:color="auto"/>
        <w:left w:val="none" w:sz="0" w:space="0" w:color="auto"/>
        <w:bottom w:val="none" w:sz="0" w:space="0" w:color="auto"/>
        <w:right w:val="none" w:sz="0" w:space="0" w:color="auto"/>
      </w:divBdr>
    </w:div>
    <w:div w:id="1615092213">
      <w:bodyDiv w:val="1"/>
      <w:marLeft w:val="0"/>
      <w:marRight w:val="0"/>
      <w:marTop w:val="0"/>
      <w:marBottom w:val="0"/>
      <w:divBdr>
        <w:top w:val="none" w:sz="0" w:space="0" w:color="auto"/>
        <w:left w:val="none" w:sz="0" w:space="0" w:color="auto"/>
        <w:bottom w:val="none" w:sz="0" w:space="0" w:color="auto"/>
        <w:right w:val="none" w:sz="0" w:space="0" w:color="auto"/>
      </w:divBdr>
    </w:div>
    <w:div w:id="1630623434">
      <w:bodyDiv w:val="1"/>
      <w:marLeft w:val="0"/>
      <w:marRight w:val="0"/>
      <w:marTop w:val="0"/>
      <w:marBottom w:val="0"/>
      <w:divBdr>
        <w:top w:val="none" w:sz="0" w:space="0" w:color="auto"/>
        <w:left w:val="none" w:sz="0" w:space="0" w:color="auto"/>
        <w:bottom w:val="none" w:sz="0" w:space="0" w:color="auto"/>
        <w:right w:val="none" w:sz="0" w:space="0" w:color="auto"/>
      </w:divBdr>
    </w:div>
    <w:div w:id="1704596236">
      <w:bodyDiv w:val="1"/>
      <w:marLeft w:val="0"/>
      <w:marRight w:val="0"/>
      <w:marTop w:val="0"/>
      <w:marBottom w:val="0"/>
      <w:divBdr>
        <w:top w:val="none" w:sz="0" w:space="0" w:color="auto"/>
        <w:left w:val="none" w:sz="0" w:space="0" w:color="auto"/>
        <w:bottom w:val="none" w:sz="0" w:space="0" w:color="auto"/>
        <w:right w:val="none" w:sz="0" w:space="0" w:color="auto"/>
      </w:divBdr>
    </w:div>
    <w:div w:id="1706634366">
      <w:bodyDiv w:val="1"/>
      <w:marLeft w:val="0"/>
      <w:marRight w:val="0"/>
      <w:marTop w:val="0"/>
      <w:marBottom w:val="0"/>
      <w:divBdr>
        <w:top w:val="none" w:sz="0" w:space="0" w:color="auto"/>
        <w:left w:val="none" w:sz="0" w:space="0" w:color="auto"/>
        <w:bottom w:val="none" w:sz="0" w:space="0" w:color="auto"/>
        <w:right w:val="none" w:sz="0" w:space="0" w:color="auto"/>
      </w:divBdr>
    </w:div>
    <w:div w:id="1868983444">
      <w:bodyDiv w:val="1"/>
      <w:marLeft w:val="0"/>
      <w:marRight w:val="0"/>
      <w:marTop w:val="0"/>
      <w:marBottom w:val="0"/>
      <w:divBdr>
        <w:top w:val="none" w:sz="0" w:space="0" w:color="auto"/>
        <w:left w:val="none" w:sz="0" w:space="0" w:color="auto"/>
        <w:bottom w:val="none" w:sz="0" w:space="0" w:color="auto"/>
        <w:right w:val="none" w:sz="0" w:space="0" w:color="auto"/>
      </w:divBdr>
    </w:div>
    <w:div w:id="1872910848">
      <w:bodyDiv w:val="1"/>
      <w:marLeft w:val="0"/>
      <w:marRight w:val="0"/>
      <w:marTop w:val="0"/>
      <w:marBottom w:val="0"/>
      <w:divBdr>
        <w:top w:val="none" w:sz="0" w:space="0" w:color="auto"/>
        <w:left w:val="none" w:sz="0" w:space="0" w:color="auto"/>
        <w:bottom w:val="none" w:sz="0" w:space="0" w:color="auto"/>
        <w:right w:val="none" w:sz="0" w:space="0" w:color="auto"/>
      </w:divBdr>
    </w:div>
    <w:div w:id="1916161515">
      <w:bodyDiv w:val="1"/>
      <w:marLeft w:val="0"/>
      <w:marRight w:val="0"/>
      <w:marTop w:val="0"/>
      <w:marBottom w:val="0"/>
      <w:divBdr>
        <w:top w:val="none" w:sz="0" w:space="0" w:color="auto"/>
        <w:left w:val="none" w:sz="0" w:space="0" w:color="auto"/>
        <w:bottom w:val="none" w:sz="0" w:space="0" w:color="auto"/>
        <w:right w:val="none" w:sz="0" w:space="0" w:color="auto"/>
      </w:divBdr>
    </w:div>
    <w:div w:id="1919317883">
      <w:bodyDiv w:val="1"/>
      <w:marLeft w:val="0"/>
      <w:marRight w:val="0"/>
      <w:marTop w:val="0"/>
      <w:marBottom w:val="0"/>
      <w:divBdr>
        <w:top w:val="none" w:sz="0" w:space="0" w:color="auto"/>
        <w:left w:val="none" w:sz="0" w:space="0" w:color="auto"/>
        <w:bottom w:val="none" w:sz="0" w:space="0" w:color="auto"/>
        <w:right w:val="none" w:sz="0" w:space="0" w:color="auto"/>
      </w:divBdr>
    </w:div>
    <w:div w:id="213883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idh.oas.org/annualrep/2002sp/Brasil.12001.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6sp/Brasil12001sp.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idh.oas.org/annualrep/2009sp/cap.3d2.09.sp.htm" TargetMode="External"/><Relationship Id="rId2" Type="http://schemas.openxmlformats.org/officeDocument/2006/relationships/hyperlink" Target="http://www.cidh.oas.org/annualrep/2009sp/cap.3d2.09.sp.htm" TargetMode="External"/><Relationship Id="rId1" Type="http://schemas.openxmlformats.org/officeDocument/2006/relationships/hyperlink" Target="http://www.cidh.oas.org/annualrep/2009sp/cap.3d2.09.sp.htm" TargetMode="External"/><Relationship Id="rId4" Type="http://schemas.openxmlformats.org/officeDocument/2006/relationships/hyperlink" Target="http://www.cidh.oas.org/annualrep/2009sp/cap.3d2.09.sp.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Cambria" panose="02040503050406030204" pitchFamily="18" charset="0"/>
                <a:ea typeface="+mn-ea"/>
                <a:cs typeface="+mn-cs"/>
              </a:defRPr>
            </a:pPr>
            <a:r>
              <a:rPr lang="en-US" sz="1200">
                <a:solidFill>
                  <a:sysClr val="windowText" lastClr="000000"/>
                </a:solidFill>
                <a:latin typeface="Cambria" panose="02040503050406030204" pitchFamily="18" charset="0"/>
              </a:rPr>
              <a:t>Recomendaciones</a:t>
            </a:r>
            <a:endParaRPr lang="en-US">
              <a:solidFill>
                <a:sysClr val="windowText" lastClr="000000"/>
              </a:solidFill>
              <a:latin typeface="Cambria" panose="020405030504060302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Cambria" panose="02040503050406030204" pitchFamily="18" charset="0"/>
              <a:ea typeface="+mn-ea"/>
              <a:cs typeface="+mn-cs"/>
            </a:defRPr>
          </a:pPr>
          <a:endParaRPr lang="en-US"/>
        </a:p>
      </c:txPr>
    </c:title>
    <c:autoTitleDeleted val="0"/>
    <c:plotArea>
      <c:layout>
        <c:manualLayout>
          <c:layoutTarget val="inner"/>
          <c:xMode val="edge"/>
          <c:yMode val="edge"/>
          <c:x val="0"/>
          <c:y val="0.17332500207467866"/>
          <c:w val="0.56510688689166377"/>
          <c:h val="0.62431523399934585"/>
        </c:manualLayout>
      </c:layout>
      <c:pieChart>
        <c:varyColors val="1"/>
        <c:ser>
          <c:idx val="0"/>
          <c:order val="0"/>
          <c:tx>
            <c:strRef>
              <c:f>Hoja1!$B$1</c:f>
              <c:strCache>
                <c:ptCount val="1"/>
                <c:pt idx="0">
                  <c:v>Recomendaciones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0C0-48F1-843E-6F40F9463C9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0C0-48F1-843E-6F40F9463C9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0C0-48F1-843E-6F40F9463C9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9FF-9B49-9F2C-2A08FAA5881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271-4643-B69E-66F247E070C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Cumplimiento Total</c:v>
                </c:pt>
                <c:pt idx="1">
                  <c:v>Cumplimiento Parcial Sustancial</c:v>
                </c:pt>
                <c:pt idx="2">
                  <c:v>Cumplimiento Parcial</c:v>
                </c:pt>
                <c:pt idx="3">
                  <c:v>Pendiente de Cumplimiento</c:v>
                </c:pt>
                <c:pt idx="4">
                  <c:v>Incumplimiento</c:v>
                </c:pt>
              </c:strCache>
            </c:strRef>
          </c:cat>
          <c:val>
            <c:numRef>
              <c:f>Hoja1!$B$2:$B$6</c:f>
              <c:numCache>
                <c:formatCode>General</c:formatCode>
                <c:ptCount val="5"/>
                <c:pt idx="0">
                  <c:v>33.200000000000003</c:v>
                </c:pt>
                <c:pt idx="1">
                  <c:v>8.3000000000000007</c:v>
                </c:pt>
                <c:pt idx="2">
                  <c:v>41.5</c:v>
                </c:pt>
                <c:pt idx="3">
                  <c:v>8.3000000000000007</c:v>
                </c:pt>
                <c:pt idx="4">
                  <c:v>8.3000000000000007</c:v>
                </c:pt>
              </c:numCache>
            </c:numRef>
          </c:val>
          <c:extLst>
            <c:ext xmlns:c16="http://schemas.microsoft.com/office/drawing/2014/chart" uri="{C3380CC4-5D6E-409C-BE32-E72D297353CC}">
              <c16:uniqueId val="{00000008-E0C0-48F1-843E-6F40F9463C9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legendEntry>
      <c:legendEntry>
        <c:idx val="2"/>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legendEntry>
      <c:layout>
        <c:manualLayout>
          <c:xMode val="edge"/>
          <c:yMode val="edge"/>
          <c:x val="0.56517450251375223"/>
          <c:y val="0.28617257614152847"/>
          <c:w val="0.34765514757640742"/>
          <c:h val="0.6553097875213731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9AE6641A-F8C8-474A-A31A-8D1868363C6D}">
  <ds:schemaRefs>
    <ds:schemaRef ds:uri="http://schemas.microsoft.com/sharepoint/v3/contenttype/forms"/>
  </ds:schemaRefs>
</ds:datastoreItem>
</file>

<file path=customXml/itemProps2.xml><?xml version="1.0" encoding="utf-8"?>
<ds:datastoreItem xmlns:ds="http://schemas.openxmlformats.org/officeDocument/2006/customXml" ds:itemID="{2D7C4632-5863-E64D-BA9C-C7245FD54417}">
  <ds:schemaRefs>
    <ds:schemaRef ds:uri="http://schemas.openxmlformats.org/officeDocument/2006/bibliography"/>
  </ds:schemaRefs>
</ds:datastoreItem>
</file>

<file path=customXml/itemProps3.xml><?xml version="1.0" encoding="utf-8"?>
<ds:datastoreItem xmlns:ds="http://schemas.openxmlformats.org/officeDocument/2006/customXml" ds:itemID="{91FD5537-21F1-440F-A776-6D44968E4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6790A6-AC4F-459E-90A7-585CA9D2A2EF}">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3401</Words>
  <Characters>19390</Characters>
  <Application>Microsoft Office Word</Application>
  <DocSecurity>0</DocSecurity>
  <Lines>161</Lines>
  <Paragraphs>45</Paragraphs>
  <ScaleCrop>false</ScaleCrop>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2024-03-11T16:47:00Z</dcterms:created>
  <dcterms:modified xsi:type="dcterms:W3CDTF">2024-03-11T16:47:00Z</dcterms:modified>
</cp:coreProperties>
</file>