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9662D" w14:textId="77777777" w:rsidR="006377C0" w:rsidRPr="0009182C" w:rsidRDefault="006377C0" w:rsidP="006377C0">
      <w:pPr>
        <w:spacing w:after="0" w:line="240" w:lineRule="auto"/>
        <w:jc w:val="center"/>
        <w:rPr>
          <w:rFonts w:ascii="Cambria" w:hAnsi="Cambria"/>
          <w:b/>
          <w:color w:val="000000" w:themeColor="text1"/>
          <w:lang w:val="es-CO"/>
        </w:rPr>
      </w:pPr>
      <w:r w:rsidRPr="0009182C">
        <w:rPr>
          <w:rFonts w:ascii="Cambria" w:hAnsi="Cambria"/>
          <w:b/>
          <w:color w:val="000000" w:themeColor="text1"/>
          <w:lang w:val="es-CO"/>
        </w:rPr>
        <w:t>FICHA TÉCNICA INFORMATIVA</w:t>
      </w:r>
    </w:p>
    <w:p w14:paraId="2AC18E23" w14:textId="77777777" w:rsidR="006377C0" w:rsidRPr="0009182C" w:rsidRDefault="006377C0" w:rsidP="006377C0">
      <w:pPr>
        <w:spacing w:after="0" w:line="240" w:lineRule="auto"/>
        <w:jc w:val="center"/>
        <w:rPr>
          <w:rFonts w:ascii="Cambria" w:eastAsia="Batang" w:hAnsi="Cambria"/>
          <w:b/>
          <w:color w:val="000000" w:themeColor="text1"/>
          <w:lang w:val="es-CO"/>
        </w:rPr>
      </w:pPr>
      <w:r w:rsidRPr="0009182C">
        <w:rPr>
          <w:rFonts w:ascii="Cambria" w:eastAsia="Batang" w:hAnsi="Cambria" w:cs="Calibri Light"/>
          <w:b/>
          <w:color w:val="000000" w:themeColor="text1"/>
          <w:lang w:val="es-CO"/>
        </w:rPr>
        <w:t>PETICIÓN 242-03 INOCENCIA LUCA PEGORARO</w:t>
      </w:r>
    </w:p>
    <w:p w14:paraId="5E769A9F" w14:textId="77777777" w:rsidR="006377C0" w:rsidRPr="0009182C" w:rsidRDefault="006377C0" w:rsidP="006377C0">
      <w:pPr>
        <w:spacing w:after="0" w:line="240" w:lineRule="auto"/>
        <w:jc w:val="center"/>
        <w:rPr>
          <w:rFonts w:ascii="Cambria" w:eastAsia="Batang" w:hAnsi="Cambria"/>
          <w:b/>
          <w:color w:val="000000" w:themeColor="text1"/>
          <w:lang w:val="es-CO"/>
        </w:rPr>
      </w:pPr>
      <w:r w:rsidRPr="0009182C">
        <w:rPr>
          <w:rFonts w:ascii="Cambria" w:eastAsia="Batang" w:hAnsi="Cambria"/>
          <w:b/>
          <w:color w:val="000000" w:themeColor="text1"/>
          <w:lang w:val="es-CO"/>
        </w:rPr>
        <w:t>INFORME DE SOLUCIÓN AMISTOSA No.</w:t>
      </w:r>
      <w:hyperlink r:id="rId7" w:history="1">
        <w:r w:rsidRPr="0009182C">
          <w:rPr>
            <w:rStyle w:val="Hyperlink"/>
            <w:rFonts w:ascii="Cambria" w:eastAsia="Batang" w:hAnsi="Cambria"/>
            <w:b/>
            <w:bCs/>
            <w:color w:val="000000" w:themeColor="text1"/>
            <w:lang w:val="es-CO"/>
          </w:rPr>
          <w:t>160/10</w:t>
        </w:r>
      </w:hyperlink>
    </w:p>
    <w:p w14:paraId="0716B1AA" w14:textId="77777777" w:rsidR="006377C0" w:rsidRPr="0009182C" w:rsidRDefault="006377C0" w:rsidP="006377C0">
      <w:pPr>
        <w:spacing w:after="0" w:line="240" w:lineRule="auto"/>
        <w:jc w:val="center"/>
        <w:rPr>
          <w:rFonts w:ascii="Cambria" w:eastAsia="Batang" w:hAnsi="Cambria"/>
          <w:b/>
          <w:color w:val="000000" w:themeColor="text1"/>
          <w:lang w:val="es-CO"/>
        </w:rPr>
      </w:pPr>
      <w:r w:rsidRPr="0009182C">
        <w:rPr>
          <w:rFonts w:ascii="Cambria" w:eastAsia="Batang" w:hAnsi="Cambria"/>
          <w:b/>
          <w:color w:val="000000" w:themeColor="text1"/>
          <w:lang w:val="es-CO"/>
        </w:rPr>
        <w:t>CUMPLIMIENTO TOTAL</w:t>
      </w:r>
    </w:p>
    <w:p w14:paraId="0CAA6974" w14:textId="77777777" w:rsidR="006377C0" w:rsidRPr="0009182C" w:rsidRDefault="006377C0" w:rsidP="006377C0">
      <w:pPr>
        <w:spacing w:after="0" w:line="240" w:lineRule="auto"/>
        <w:jc w:val="center"/>
        <w:rPr>
          <w:rFonts w:ascii="Cambria" w:eastAsia="Batang" w:hAnsi="Cambria"/>
          <w:b/>
          <w:color w:val="000000" w:themeColor="text1"/>
          <w:lang w:val="es-CO"/>
        </w:rPr>
      </w:pPr>
      <w:r w:rsidRPr="0009182C">
        <w:rPr>
          <w:rFonts w:ascii="Cambria" w:eastAsia="Batang" w:hAnsi="Cambria"/>
          <w:b/>
          <w:color w:val="000000" w:themeColor="text1"/>
          <w:lang w:val="es-CO"/>
        </w:rPr>
        <w:t xml:space="preserve"> (ARGENTINA)</w:t>
      </w:r>
    </w:p>
    <w:p w14:paraId="009C3E71" w14:textId="77777777" w:rsidR="006377C0" w:rsidRPr="0009182C" w:rsidRDefault="006377C0" w:rsidP="006377C0">
      <w:pPr>
        <w:spacing w:after="0" w:line="240" w:lineRule="auto"/>
        <w:jc w:val="center"/>
        <w:rPr>
          <w:rFonts w:ascii="Cambria" w:eastAsia="Batang" w:hAnsi="Cambria"/>
          <w:b/>
          <w:color w:val="080808"/>
          <w:lang w:val="es-CO"/>
        </w:rPr>
      </w:pPr>
    </w:p>
    <w:p w14:paraId="05142A7B" w14:textId="77777777" w:rsidR="006377C0" w:rsidRPr="0009182C" w:rsidRDefault="006377C0" w:rsidP="006377C0">
      <w:pPr>
        <w:numPr>
          <w:ilvl w:val="0"/>
          <w:numId w:val="1"/>
        </w:numPr>
        <w:spacing w:after="0" w:line="240" w:lineRule="auto"/>
        <w:ind w:left="0" w:firstLine="709"/>
        <w:rPr>
          <w:rFonts w:ascii="Cambria" w:eastAsia="Batang" w:hAnsi="Cambria"/>
          <w:b/>
          <w:color w:val="080808"/>
          <w:lang w:val="es-CO"/>
        </w:rPr>
      </w:pPr>
      <w:r w:rsidRPr="0009182C">
        <w:rPr>
          <w:rFonts w:ascii="Cambria" w:eastAsia="Batang" w:hAnsi="Cambria" w:cs="Calibri Light"/>
          <w:b/>
          <w:color w:val="080808"/>
          <w:lang w:val="es-CO"/>
        </w:rPr>
        <w:t xml:space="preserve">RESUMEN DEL CASO </w:t>
      </w:r>
    </w:p>
    <w:p w14:paraId="71AE515A" w14:textId="77777777" w:rsidR="006377C0" w:rsidRPr="0009182C" w:rsidRDefault="006377C0" w:rsidP="006377C0">
      <w:pPr>
        <w:spacing w:after="0" w:line="240" w:lineRule="auto"/>
        <w:jc w:val="both"/>
        <w:rPr>
          <w:rFonts w:ascii="Cambria" w:eastAsia="Batang" w:hAnsi="Cambria" w:cs="Calibri Light"/>
          <w:b/>
          <w:color w:val="080808"/>
          <w:lang w:val="es-C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6377C0" w:rsidRPr="001873B5" w14:paraId="02A477C7" w14:textId="77777777" w:rsidTr="00B67A4A">
        <w:trPr>
          <w:trHeight w:val="4517"/>
          <w:jc w:val="center"/>
        </w:trPr>
        <w:tc>
          <w:tcPr>
            <w:tcW w:w="9350" w:type="dxa"/>
            <w:shd w:val="clear" w:color="auto" w:fill="F2F2F2"/>
          </w:tcPr>
          <w:p w14:paraId="4773D686" w14:textId="77777777" w:rsidR="006377C0" w:rsidRPr="0009182C" w:rsidRDefault="006377C0" w:rsidP="00B67A4A">
            <w:pPr>
              <w:spacing w:after="0" w:line="240" w:lineRule="auto"/>
              <w:jc w:val="both"/>
              <w:rPr>
                <w:rFonts w:ascii="Cambria" w:eastAsia="Batang" w:hAnsi="Cambria"/>
                <w:bCs/>
                <w:color w:val="080808"/>
                <w:lang w:val="es-CO"/>
              </w:rPr>
            </w:pPr>
            <w:r w:rsidRPr="0009182C">
              <w:rPr>
                <w:rFonts w:ascii="Cambria" w:eastAsia="Batang" w:hAnsi="Cambria"/>
                <w:b/>
                <w:color w:val="080808"/>
                <w:lang w:val="es-CO"/>
              </w:rPr>
              <w:t xml:space="preserve">Víctima (s): </w:t>
            </w:r>
            <w:r w:rsidRPr="0009182C">
              <w:rPr>
                <w:rFonts w:ascii="Cambria" w:eastAsia="Batang" w:hAnsi="Cambria"/>
                <w:bCs/>
                <w:color w:val="080808"/>
                <w:lang w:val="es-CO"/>
              </w:rPr>
              <w:t>Inocencia Luca Pegoraro</w:t>
            </w:r>
          </w:p>
          <w:p w14:paraId="41F9B1C4" w14:textId="77777777" w:rsidR="006377C0" w:rsidRPr="0009182C" w:rsidRDefault="006377C0" w:rsidP="00B67A4A">
            <w:pPr>
              <w:spacing w:after="0" w:line="240" w:lineRule="auto"/>
              <w:jc w:val="both"/>
              <w:rPr>
                <w:rFonts w:ascii="Cambria" w:eastAsia="Batang" w:hAnsi="Cambria"/>
                <w:b/>
                <w:color w:val="080808"/>
                <w:lang w:val="es-CO"/>
              </w:rPr>
            </w:pPr>
            <w:r w:rsidRPr="0009182C">
              <w:rPr>
                <w:rFonts w:ascii="Cambria" w:eastAsia="Batang" w:hAnsi="Cambria"/>
                <w:b/>
                <w:color w:val="080808"/>
                <w:lang w:val="es-CO"/>
              </w:rPr>
              <w:t xml:space="preserve">Peticionario (s): </w:t>
            </w:r>
            <w:r w:rsidRPr="0009182C">
              <w:rPr>
                <w:rFonts w:ascii="Cambria" w:eastAsia="Batang" w:hAnsi="Cambria"/>
                <w:bCs/>
                <w:color w:val="080808"/>
                <w:lang w:val="es-CO"/>
              </w:rPr>
              <w:t>Abuelas de Plaza de Mayo, Estela Barnes de Carlotto</w:t>
            </w:r>
          </w:p>
          <w:p w14:paraId="232572F0" w14:textId="77777777" w:rsidR="006377C0" w:rsidRPr="0009182C" w:rsidRDefault="006377C0" w:rsidP="00B67A4A">
            <w:pPr>
              <w:spacing w:after="0" w:line="240" w:lineRule="auto"/>
              <w:jc w:val="both"/>
              <w:rPr>
                <w:rFonts w:ascii="Cambria" w:eastAsia="Batang" w:hAnsi="Cambria"/>
                <w:b/>
                <w:color w:val="080808"/>
                <w:lang w:val="es-CO"/>
              </w:rPr>
            </w:pPr>
            <w:r w:rsidRPr="0009182C">
              <w:rPr>
                <w:rFonts w:ascii="Cambria" w:eastAsia="Batang" w:hAnsi="Cambria"/>
                <w:b/>
                <w:color w:val="080808"/>
                <w:lang w:val="es-CO"/>
              </w:rPr>
              <w:t xml:space="preserve">Estado: </w:t>
            </w:r>
            <w:r w:rsidRPr="0009182C">
              <w:rPr>
                <w:rFonts w:ascii="Cambria" w:eastAsia="Batang" w:hAnsi="Cambria"/>
                <w:bCs/>
                <w:color w:val="080808"/>
                <w:lang w:val="es-CO"/>
              </w:rPr>
              <w:t>Argentina</w:t>
            </w:r>
          </w:p>
          <w:p w14:paraId="6EB726A5" w14:textId="77777777" w:rsidR="006377C0" w:rsidRPr="0009182C" w:rsidRDefault="006377C0" w:rsidP="00B67A4A">
            <w:pPr>
              <w:spacing w:after="0" w:line="240" w:lineRule="auto"/>
              <w:jc w:val="both"/>
              <w:rPr>
                <w:rFonts w:ascii="Cambria" w:eastAsia="Batang" w:hAnsi="Cambria"/>
                <w:color w:val="080808"/>
                <w:lang w:val="es-CO"/>
              </w:rPr>
            </w:pPr>
            <w:r w:rsidRPr="0009182C">
              <w:rPr>
                <w:rFonts w:ascii="Cambria" w:eastAsia="Batang" w:hAnsi="Cambria"/>
                <w:b/>
                <w:bCs/>
                <w:color w:val="080808"/>
                <w:lang w:val="es-CO"/>
              </w:rPr>
              <w:t xml:space="preserve">Fecha de inicio de las negociaciones: </w:t>
            </w:r>
            <w:r w:rsidRPr="0009182C">
              <w:rPr>
                <w:rFonts w:ascii="Cambria" w:eastAsia="Batang" w:hAnsi="Cambria"/>
                <w:color w:val="080808"/>
                <w:lang w:val="es-CO"/>
              </w:rPr>
              <w:t>6 de junio de 2007</w:t>
            </w:r>
          </w:p>
          <w:p w14:paraId="03527065" w14:textId="77777777" w:rsidR="006377C0" w:rsidRPr="0009182C" w:rsidRDefault="006377C0" w:rsidP="00B67A4A">
            <w:pPr>
              <w:spacing w:after="0" w:line="240" w:lineRule="auto"/>
              <w:jc w:val="both"/>
              <w:rPr>
                <w:rFonts w:ascii="Cambria" w:eastAsia="Batang" w:hAnsi="Cambria"/>
                <w:b/>
                <w:bCs/>
                <w:color w:val="000000" w:themeColor="text1"/>
                <w:lang w:val="es-CO"/>
              </w:rPr>
            </w:pPr>
            <w:r w:rsidRPr="0009182C">
              <w:rPr>
                <w:rFonts w:ascii="Cambria" w:eastAsia="Batang" w:hAnsi="Cambria"/>
                <w:b/>
                <w:bCs/>
                <w:color w:val="080808"/>
                <w:lang w:val="es-CO"/>
              </w:rPr>
              <w:t>Fecha de Firma de ASA:</w:t>
            </w:r>
            <w:r w:rsidRPr="0009182C">
              <w:rPr>
                <w:rFonts w:ascii="Cambria" w:eastAsia="Batang" w:hAnsi="Cambria"/>
                <w:color w:val="080808"/>
                <w:lang w:val="es-CO"/>
              </w:rPr>
              <w:t xml:space="preserve">11 de septiembre </w:t>
            </w:r>
            <w:r w:rsidRPr="0009182C">
              <w:rPr>
                <w:rFonts w:ascii="Cambria" w:eastAsia="Batang" w:hAnsi="Cambria"/>
                <w:color w:val="000000" w:themeColor="text1"/>
                <w:lang w:val="es-CO"/>
              </w:rPr>
              <w:t>de 2009</w:t>
            </w:r>
          </w:p>
          <w:p w14:paraId="0CAE8E43" w14:textId="77777777" w:rsidR="006377C0" w:rsidRPr="0009182C" w:rsidRDefault="006377C0" w:rsidP="00B67A4A">
            <w:pPr>
              <w:spacing w:after="0" w:line="240" w:lineRule="auto"/>
              <w:jc w:val="both"/>
              <w:rPr>
                <w:rFonts w:ascii="Cambria" w:eastAsia="Batang" w:hAnsi="Cambria"/>
                <w:bCs/>
                <w:color w:val="000000" w:themeColor="text1"/>
                <w:lang w:val="es-CO"/>
              </w:rPr>
            </w:pPr>
            <w:r w:rsidRPr="0009182C">
              <w:rPr>
                <w:rFonts w:ascii="Cambria" w:eastAsia="Batang" w:hAnsi="Cambria"/>
                <w:b/>
                <w:color w:val="000000" w:themeColor="text1"/>
                <w:lang w:val="es-CO"/>
              </w:rPr>
              <w:t xml:space="preserve">Informe de Acuerdo de Solución Amistosa Nº: </w:t>
            </w:r>
            <w:hyperlink r:id="rId8" w:history="1">
              <w:r w:rsidRPr="0009182C">
                <w:rPr>
                  <w:rStyle w:val="Hyperlink"/>
                  <w:rFonts w:ascii="Cambria" w:eastAsia="Batang" w:hAnsi="Cambria"/>
                  <w:b/>
                  <w:bCs/>
                  <w:color w:val="000000" w:themeColor="text1"/>
                  <w:lang w:val="es-CO"/>
                </w:rPr>
                <w:t>160/10</w:t>
              </w:r>
            </w:hyperlink>
            <w:r w:rsidRPr="0009182C">
              <w:rPr>
                <w:rFonts w:ascii="Cambria" w:eastAsia="Batang" w:hAnsi="Cambria"/>
                <w:bCs/>
                <w:color w:val="000000" w:themeColor="text1"/>
                <w:lang w:val="es-CO"/>
              </w:rPr>
              <w:t>, publicado el 1 de noviembre de 2010</w:t>
            </w:r>
          </w:p>
          <w:p w14:paraId="1F946355" w14:textId="77777777" w:rsidR="006377C0" w:rsidRPr="0009182C" w:rsidRDefault="006377C0" w:rsidP="00B67A4A">
            <w:pPr>
              <w:spacing w:after="0" w:line="240" w:lineRule="auto"/>
              <w:jc w:val="both"/>
              <w:rPr>
                <w:rFonts w:ascii="Cambria" w:eastAsia="Batang" w:hAnsi="Cambria"/>
                <w:b/>
                <w:bCs/>
                <w:color w:val="000000" w:themeColor="text1"/>
                <w:lang w:val="es-CO"/>
              </w:rPr>
            </w:pPr>
            <w:r w:rsidRPr="0009182C">
              <w:rPr>
                <w:rFonts w:ascii="Cambria" w:eastAsia="Batang" w:hAnsi="Cambria"/>
                <w:b/>
                <w:bCs/>
                <w:color w:val="000000" w:themeColor="text1"/>
                <w:lang w:val="es-CO"/>
              </w:rPr>
              <w:t xml:space="preserve">Duración estimada de la fase de negociación: </w:t>
            </w:r>
            <w:r w:rsidRPr="0009182C">
              <w:rPr>
                <w:rFonts w:ascii="Cambria" w:eastAsia="Batang" w:hAnsi="Cambria"/>
                <w:color w:val="000000" w:themeColor="text1"/>
                <w:lang w:val="es-CO"/>
              </w:rPr>
              <w:t>3 años</w:t>
            </w:r>
          </w:p>
          <w:p w14:paraId="1AB366D3" w14:textId="77777777" w:rsidR="006377C0" w:rsidRPr="0009182C" w:rsidRDefault="006377C0" w:rsidP="00B67A4A">
            <w:pPr>
              <w:spacing w:after="0" w:line="240" w:lineRule="auto"/>
              <w:jc w:val="both"/>
              <w:rPr>
                <w:rFonts w:ascii="Cambria" w:eastAsia="Batang" w:hAnsi="Cambria"/>
                <w:b/>
                <w:color w:val="000000" w:themeColor="text1"/>
                <w:lang w:val="es-CO"/>
              </w:rPr>
            </w:pPr>
            <w:r w:rsidRPr="0009182C">
              <w:rPr>
                <w:rFonts w:ascii="Cambria" w:eastAsia="Batang" w:hAnsi="Cambria"/>
                <w:b/>
                <w:color w:val="000000" w:themeColor="text1"/>
                <w:lang w:val="es-CO"/>
              </w:rPr>
              <w:t xml:space="preserve">Relatoría vinculada: </w:t>
            </w:r>
            <w:r w:rsidRPr="0009182C">
              <w:rPr>
                <w:rFonts w:ascii="Cambria" w:eastAsia="Batang" w:hAnsi="Cambria"/>
                <w:bCs/>
                <w:color w:val="000000" w:themeColor="text1"/>
                <w:lang w:val="es-CO"/>
              </w:rPr>
              <w:t>Derecho de las Mujeres; Derecho de Niñas, Niños y Adolescentes.</w:t>
            </w:r>
          </w:p>
          <w:p w14:paraId="6F7C64A9" w14:textId="77777777" w:rsidR="006377C0" w:rsidRPr="0009182C" w:rsidRDefault="006377C0" w:rsidP="00B67A4A">
            <w:pPr>
              <w:spacing w:after="0" w:line="240" w:lineRule="auto"/>
              <w:jc w:val="both"/>
              <w:rPr>
                <w:rFonts w:ascii="Cambria" w:eastAsia="Batang" w:hAnsi="Cambria"/>
                <w:b/>
                <w:color w:val="000000" w:themeColor="text1"/>
                <w:lang w:val="es-CO"/>
              </w:rPr>
            </w:pPr>
            <w:r w:rsidRPr="0009182C">
              <w:rPr>
                <w:rFonts w:ascii="Cambria" w:eastAsia="Batang" w:hAnsi="Cambria"/>
                <w:b/>
                <w:color w:val="000000" w:themeColor="text1"/>
                <w:lang w:val="es-CO"/>
              </w:rPr>
              <w:t xml:space="preserve">Temas: </w:t>
            </w:r>
            <w:r w:rsidRPr="0009182C">
              <w:rPr>
                <w:rFonts w:ascii="Cambria" w:eastAsia="Batang" w:hAnsi="Cambria"/>
                <w:bCs/>
                <w:color w:val="000000" w:themeColor="text1"/>
                <w:lang w:val="es-CO"/>
              </w:rPr>
              <w:t>Niños, niñas y adolescentes/Jóvenes/Detención arbitraria o ilegal/Derechos sexuales y reproductivos/ Desaparición forzada/ Investigación</w:t>
            </w:r>
          </w:p>
          <w:p w14:paraId="122E8BD7" w14:textId="77777777" w:rsidR="006377C0" w:rsidRPr="0009182C" w:rsidRDefault="006377C0" w:rsidP="00B67A4A">
            <w:pPr>
              <w:spacing w:after="0" w:line="240" w:lineRule="auto"/>
              <w:jc w:val="both"/>
              <w:rPr>
                <w:rFonts w:ascii="Cambria" w:eastAsia="Batang" w:hAnsi="Cambria"/>
                <w:b/>
                <w:color w:val="080808"/>
                <w:lang w:val="es-CO"/>
              </w:rPr>
            </w:pPr>
          </w:p>
          <w:p w14:paraId="1EB76A49" w14:textId="77777777" w:rsidR="006377C0" w:rsidRPr="0009182C" w:rsidRDefault="006377C0" w:rsidP="00B67A4A">
            <w:pPr>
              <w:spacing w:after="0" w:line="240" w:lineRule="auto"/>
              <w:jc w:val="both"/>
              <w:rPr>
                <w:rFonts w:ascii="Cambria" w:eastAsia="Batang" w:hAnsi="Cambria"/>
                <w:b/>
                <w:color w:val="080808"/>
                <w:lang w:val="es-CO"/>
              </w:rPr>
            </w:pPr>
            <w:r w:rsidRPr="0009182C">
              <w:rPr>
                <w:rFonts w:ascii="Cambria" w:eastAsia="Batang" w:hAnsi="Cambria"/>
                <w:b/>
                <w:color w:val="080808"/>
                <w:lang w:val="es-CO"/>
              </w:rPr>
              <w:t xml:space="preserve">Hechos: </w:t>
            </w:r>
            <w:r w:rsidRPr="0009182C">
              <w:rPr>
                <w:rFonts w:ascii="Cambria" w:eastAsia="Batang" w:hAnsi="Cambria"/>
                <w:bCs/>
                <w:color w:val="080808"/>
                <w:lang w:val="es-CO"/>
              </w:rPr>
              <w:t>Los peticionarios alegaron la responsabilidad del Estado por los hechos ocurridos el 18 de junio de 1977, cuando Susana Pegoraro, hija de Inocencia Pegoraro, con cinco meses de embarazo, fue detenida y llevada al Centro Clandestino de Detención que funcionó durante la dictadura militar en la Escuela de Mecánica de la Armada (ESMA). Según el testimonio de Inocencia Luca Pegoraro, Susana Pegoraro dio a luz a una niña en el interior de esas instalaciones. Las peticionarias señalan que, en 1999, Inocencia Luca Pegoraro y Angélica Chimeno de Bauer, se constituyeron en parte querellante e iniciaron un proceso ante las autoridades judiciales, denunciando la sustracción de su nieta, a quien identificaron como Evelin Vásquez Ferra. En primer momento, el Juzgado Nacional en lo Criminal y Correccional Federal No. 1 ordenó una prueba pericial con el fin de establecer la identidad de Evelin Vásquez Ferra. Sin embargo, ante una impugnación de esta prueba, la diligencia fue decidida finalmente por la Corte Suprema como no compulsiva, por considerar dicha actuación pericial de carácter complementario para los fines del proceso, dado que los padres adoptivos Policarpo Luis Vásquez y Ana María Ferra, habían confesado que Evelin Vásquez Ferra no era su hija biológica; y además consideró que su realización compulsiva era violatoria al derecho de intimidad de esta última. Las peticionarias alegaron que dicha resolución de la Corte Suprema de Justicia de la Nación cerró las puertas a una posible investigación de la desaparición de Susana Pegoraro y Raúl Santiago Bauer además de la identificación de Evelin Vásquez Ferra.</w:t>
            </w:r>
            <w:r w:rsidRPr="0009182C">
              <w:rPr>
                <w:rFonts w:ascii="Cambria" w:eastAsia="Batang" w:hAnsi="Cambria"/>
                <w:b/>
                <w:color w:val="080808"/>
                <w:lang w:val="es-CO"/>
              </w:rPr>
              <w:t xml:space="preserve">  </w:t>
            </w:r>
          </w:p>
          <w:p w14:paraId="7D752851" w14:textId="77777777" w:rsidR="006377C0" w:rsidRPr="0009182C" w:rsidRDefault="006377C0" w:rsidP="00B67A4A">
            <w:pPr>
              <w:spacing w:after="0" w:line="240" w:lineRule="auto"/>
              <w:jc w:val="both"/>
              <w:rPr>
                <w:rFonts w:ascii="Cambria" w:eastAsia="Batang" w:hAnsi="Cambria"/>
                <w:b/>
                <w:color w:val="080808"/>
                <w:lang w:val="es-CO"/>
              </w:rPr>
            </w:pPr>
          </w:p>
          <w:p w14:paraId="1298954D" w14:textId="77777777" w:rsidR="006377C0" w:rsidRPr="0009182C" w:rsidRDefault="006377C0" w:rsidP="00B67A4A">
            <w:pPr>
              <w:autoSpaceDE w:val="0"/>
              <w:autoSpaceDN w:val="0"/>
              <w:adjustRightInd w:val="0"/>
              <w:spacing w:after="0" w:line="240" w:lineRule="auto"/>
              <w:jc w:val="both"/>
              <w:rPr>
                <w:rFonts w:ascii="Cambria" w:eastAsia="Batang" w:hAnsi="Cambria" w:cs="Cambria"/>
                <w:color w:val="080808"/>
                <w:lang w:val="es-CO" w:eastAsia="pt-BR"/>
              </w:rPr>
            </w:pPr>
            <w:r w:rsidRPr="0009182C">
              <w:rPr>
                <w:rFonts w:ascii="Cambria" w:eastAsia="Batang" w:hAnsi="Cambria"/>
                <w:b/>
                <w:color w:val="080808"/>
                <w:lang w:val="es-CO"/>
              </w:rPr>
              <w:t xml:space="preserve">Derechos alegados: </w:t>
            </w:r>
            <w:r w:rsidRPr="0009182C">
              <w:rPr>
                <w:rFonts w:ascii="Cambria" w:eastAsia="Batang" w:hAnsi="Cambria"/>
                <w:bCs/>
                <w:color w:val="080808"/>
                <w:lang w:val="es-CO"/>
              </w:rPr>
              <w:t>Los peticionarios alegaron que la República Argentina violó los artículos 5 (Derecho a la Integridad Personal), 8 (Garantías Judiciales), 17 (Protección a la familia) y 25 (Protección Judicial) de la Convención Americana sobre Derechos Humanos.</w:t>
            </w:r>
          </w:p>
        </w:tc>
      </w:tr>
    </w:tbl>
    <w:p w14:paraId="7A93C7BC" w14:textId="77777777" w:rsidR="006377C0" w:rsidRPr="0009182C" w:rsidRDefault="006377C0" w:rsidP="006377C0">
      <w:pPr>
        <w:spacing w:after="0" w:line="240" w:lineRule="auto"/>
        <w:contextualSpacing/>
        <w:jc w:val="both"/>
        <w:rPr>
          <w:rFonts w:ascii="Cambria" w:eastAsia="Batang" w:hAnsi="Cambria" w:cs="Calibri Light"/>
          <w:b/>
          <w:color w:val="080808"/>
          <w:lang w:val="es-CO"/>
        </w:rPr>
      </w:pPr>
    </w:p>
    <w:p w14:paraId="12626B37" w14:textId="77777777" w:rsidR="006377C0" w:rsidRPr="0009182C" w:rsidRDefault="006377C0" w:rsidP="006377C0">
      <w:pPr>
        <w:numPr>
          <w:ilvl w:val="0"/>
          <w:numId w:val="1"/>
        </w:numPr>
        <w:spacing w:after="0" w:line="240" w:lineRule="auto"/>
        <w:ind w:left="0" w:firstLine="720"/>
        <w:contextualSpacing/>
        <w:rPr>
          <w:rFonts w:ascii="Cambria" w:eastAsia="Batang" w:hAnsi="Cambria"/>
          <w:b/>
          <w:color w:val="080808"/>
          <w:lang w:val="es-CO"/>
        </w:rPr>
      </w:pPr>
      <w:r w:rsidRPr="0009182C">
        <w:rPr>
          <w:rFonts w:ascii="Cambria" w:eastAsia="Batang" w:hAnsi="Cambria"/>
          <w:b/>
          <w:color w:val="080808"/>
          <w:lang w:val="es-CO"/>
        </w:rPr>
        <w:t>ACTIVIDAD PROCESAL</w:t>
      </w:r>
    </w:p>
    <w:p w14:paraId="64B7E762" w14:textId="77777777" w:rsidR="006377C0" w:rsidRPr="0009182C" w:rsidRDefault="006377C0" w:rsidP="006377C0">
      <w:pPr>
        <w:spacing w:after="0" w:line="240" w:lineRule="auto"/>
        <w:ind w:firstLine="720"/>
        <w:jc w:val="both"/>
        <w:rPr>
          <w:rFonts w:ascii="Cambria" w:hAnsi="Cambria"/>
          <w:color w:val="080808"/>
          <w:lang w:val="es-CO"/>
        </w:rPr>
      </w:pPr>
    </w:p>
    <w:p w14:paraId="7E348299" w14:textId="77777777" w:rsidR="006377C0" w:rsidRPr="0009182C" w:rsidRDefault="006377C0" w:rsidP="006377C0">
      <w:pPr>
        <w:numPr>
          <w:ilvl w:val="0"/>
          <w:numId w:val="2"/>
        </w:numPr>
        <w:spacing w:after="0" w:line="240" w:lineRule="auto"/>
        <w:ind w:left="0" w:firstLine="720"/>
        <w:jc w:val="both"/>
        <w:rPr>
          <w:rFonts w:ascii="Cambria" w:eastAsia="Batang" w:hAnsi="Cambria" w:cs="Calibri Light"/>
          <w:b/>
          <w:color w:val="080808"/>
          <w:lang w:val="es-CO"/>
        </w:rPr>
      </w:pPr>
      <w:r w:rsidRPr="0009182C">
        <w:rPr>
          <w:rFonts w:ascii="Cambria" w:hAnsi="Cambria"/>
          <w:color w:val="080808"/>
          <w:lang w:val="es-CO"/>
        </w:rPr>
        <w:t>El 11 de septiembre de 2009, las partes firmaron un acuerdo de solución amistosa.</w:t>
      </w:r>
    </w:p>
    <w:p w14:paraId="3F832C48" w14:textId="77777777" w:rsidR="006377C0" w:rsidRPr="0009182C" w:rsidRDefault="006377C0" w:rsidP="006377C0">
      <w:pPr>
        <w:spacing w:after="0" w:line="240" w:lineRule="auto"/>
        <w:ind w:firstLine="720"/>
        <w:jc w:val="both"/>
        <w:rPr>
          <w:rFonts w:ascii="Cambria" w:hAnsi="Cambria"/>
          <w:color w:val="080808"/>
          <w:lang w:val="es-CO"/>
        </w:rPr>
      </w:pPr>
    </w:p>
    <w:p w14:paraId="26469402" w14:textId="77777777" w:rsidR="006377C0" w:rsidRPr="0009182C" w:rsidRDefault="006377C0" w:rsidP="006377C0">
      <w:pPr>
        <w:numPr>
          <w:ilvl w:val="0"/>
          <w:numId w:val="2"/>
        </w:numPr>
        <w:spacing w:after="0" w:line="240" w:lineRule="auto"/>
        <w:ind w:left="0" w:firstLine="720"/>
        <w:jc w:val="both"/>
        <w:rPr>
          <w:rFonts w:ascii="Cambria" w:eastAsia="Batang" w:hAnsi="Cambria" w:cs="Calibri Light"/>
          <w:color w:val="080808"/>
          <w:lang w:val="es-CO"/>
        </w:rPr>
      </w:pPr>
      <w:r w:rsidRPr="0009182C">
        <w:rPr>
          <w:rFonts w:ascii="Cambria" w:eastAsia="Batang" w:hAnsi="Cambria" w:cs="Calibri Light"/>
          <w:color w:val="080808"/>
          <w:lang w:val="es-CO"/>
        </w:rPr>
        <w:lastRenderedPageBreak/>
        <w:t xml:space="preserve">El 1 de noviembre de 2010, la Comisión aprobó el acuerdo suscrito por las partes, mediante el </w:t>
      </w:r>
      <w:r w:rsidRPr="0009182C">
        <w:rPr>
          <w:rFonts w:ascii="Cambria" w:hAnsi="Cambria"/>
          <w:color w:val="080808"/>
          <w:lang w:val="es-CO"/>
        </w:rPr>
        <w:t>Informe No. 160</w:t>
      </w:r>
      <w:r w:rsidRPr="0009182C">
        <w:rPr>
          <w:rFonts w:ascii="Cambria" w:eastAsia="Batang" w:hAnsi="Cambria"/>
          <w:color w:val="080808"/>
          <w:lang w:val="es-CO"/>
        </w:rPr>
        <w:t>/10.</w:t>
      </w:r>
    </w:p>
    <w:p w14:paraId="7CA8DFFF" w14:textId="77777777" w:rsidR="006377C0" w:rsidRPr="0009182C" w:rsidRDefault="006377C0" w:rsidP="006377C0">
      <w:pPr>
        <w:spacing w:after="0" w:line="240" w:lineRule="auto"/>
        <w:jc w:val="both"/>
        <w:rPr>
          <w:rFonts w:ascii="Cambria" w:eastAsia="Batang" w:hAnsi="Cambria" w:cs="Calibri Light"/>
          <w:color w:val="080808"/>
          <w:lang w:val="es-CO"/>
        </w:rPr>
      </w:pPr>
    </w:p>
    <w:p w14:paraId="75A64094" w14:textId="77777777" w:rsidR="006377C0" w:rsidRPr="0009182C" w:rsidRDefault="006377C0" w:rsidP="006377C0">
      <w:pPr>
        <w:pStyle w:val="ListParagraph"/>
        <w:numPr>
          <w:ilvl w:val="0"/>
          <w:numId w:val="1"/>
        </w:numPr>
        <w:spacing w:after="0" w:line="240" w:lineRule="auto"/>
        <w:ind w:left="0" w:firstLine="709"/>
        <w:jc w:val="both"/>
        <w:rPr>
          <w:rFonts w:ascii="Cambria" w:eastAsia="Batang" w:hAnsi="Cambria" w:cs="Calibri Light"/>
          <w:b/>
          <w:color w:val="080808"/>
          <w:lang w:val="es-CO"/>
        </w:rPr>
      </w:pPr>
      <w:r w:rsidRPr="0009182C">
        <w:rPr>
          <w:rFonts w:ascii="Cambria" w:eastAsia="Batang" w:hAnsi="Cambria" w:cs="Calibri Light"/>
          <w:b/>
          <w:color w:val="080808"/>
          <w:lang w:val="es-CO"/>
        </w:rPr>
        <w:t>ANÁLISIS DEL CUMPLIMIENTO DE LAS CLÁUSULAS DEL ACUERDO DE SOLUCIÓN AMISTOSA</w:t>
      </w:r>
    </w:p>
    <w:p w14:paraId="06087337" w14:textId="77777777" w:rsidR="006377C0" w:rsidRPr="0009182C" w:rsidRDefault="006377C0" w:rsidP="006377C0">
      <w:pPr>
        <w:pStyle w:val="ListParagraph"/>
        <w:spacing w:after="0" w:line="240" w:lineRule="auto"/>
        <w:ind w:left="709"/>
        <w:jc w:val="both"/>
        <w:rPr>
          <w:rFonts w:ascii="Cambria" w:eastAsia="Batang" w:hAnsi="Cambria" w:cs="Calibri Light"/>
          <w:b/>
          <w:color w:val="080808"/>
          <w:lang w:val="es-CO"/>
        </w:rPr>
      </w:pPr>
    </w:p>
    <w:tbl>
      <w:tblPr>
        <w:tblW w:w="9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32"/>
        <w:gridCol w:w="1752"/>
      </w:tblGrid>
      <w:tr w:rsidR="006377C0" w:rsidRPr="0009182C" w14:paraId="22CD7988" w14:textId="77777777" w:rsidTr="00B67A4A">
        <w:trPr>
          <w:jc w:val="center"/>
        </w:trPr>
        <w:tc>
          <w:tcPr>
            <w:tcW w:w="7632" w:type="dxa"/>
            <w:tcBorders>
              <w:top w:val="single" w:sz="4" w:space="0" w:color="auto"/>
              <w:left w:val="single" w:sz="4" w:space="0" w:color="auto"/>
              <w:bottom w:val="single" w:sz="4" w:space="0" w:color="auto"/>
              <w:right w:val="single" w:sz="4" w:space="0" w:color="auto"/>
            </w:tcBorders>
            <w:shd w:val="clear" w:color="auto" w:fill="D9D9D9"/>
            <w:vAlign w:val="center"/>
          </w:tcPr>
          <w:p w14:paraId="0D38CBCB" w14:textId="77777777" w:rsidR="006377C0" w:rsidRPr="0009182C" w:rsidRDefault="006377C0" w:rsidP="00B67A4A">
            <w:pPr>
              <w:tabs>
                <w:tab w:val="center" w:pos="2049"/>
              </w:tabs>
              <w:spacing w:after="0" w:line="240" w:lineRule="auto"/>
              <w:jc w:val="center"/>
              <w:rPr>
                <w:rFonts w:ascii="Cambria" w:eastAsia="Batang" w:hAnsi="Cambria"/>
                <w:b/>
                <w:color w:val="080808"/>
                <w:lang w:val="es-CO"/>
              </w:rPr>
            </w:pPr>
            <w:r w:rsidRPr="0009182C">
              <w:rPr>
                <w:rFonts w:ascii="Cambria" w:eastAsia="Batang" w:hAnsi="Cambria"/>
                <w:b/>
                <w:color w:val="080808"/>
                <w:lang w:val="es-CO"/>
              </w:rPr>
              <w:t>Cláusula del Acuerdo</w:t>
            </w:r>
          </w:p>
        </w:tc>
        <w:tc>
          <w:tcPr>
            <w:tcW w:w="1752" w:type="dxa"/>
            <w:tcBorders>
              <w:top w:val="single" w:sz="4" w:space="0" w:color="auto"/>
              <w:left w:val="single" w:sz="4" w:space="0" w:color="auto"/>
              <w:bottom w:val="single" w:sz="4" w:space="0" w:color="auto"/>
              <w:right w:val="single" w:sz="4" w:space="0" w:color="auto"/>
            </w:tcBorders>
            <w:shd w:val="clear" w:color="auto" w:fill="D9D9D9"/>
            <w:vAlign w:val="center"/>
          </w:tcPr>
          <w:p w14:paraId="56EED0CF" w14:textId="77777777" w:rsidR="006377C0" w:rsidRPr="0009182C" w:rsidRDefault="006377C0" w:rsidP="00B67A4A">
            <w:pPr>
              <w:spacing w:after="0" w:line="240" w:lineRule="auto"/>
              <w:jc w:val="center"/>
              <w:rPr>
                <w:rFonts w:ascii="Cambria" w:eastAsia="Batang" w:hAnsi="Cambria"/>
                <w:b/>
                <w:color w:val="080808"/>
                <w:lang w:val="es-CO"/>
              </w:rPr>
            </w:pPr>
            <w:r w:rsidRPr="0009182C">
              <w:rPr>
                <w:rFonts w:ascii="Cambria" w:eastAsia="Batang" w:hAnsi="Cambria"/>
                <w:b/>
                <w:color w:val="080808"/>
                <w:lang w:val="es-CO"/>
              </w:rPr>
              <w:t>Estado de Cumplimiento</w:t>
            </w:r>
          </w:p>
        </w:tc>
      </w:tr>
      <w:tr w:rsidR="006377C0" w:rsidRPr="0009182C" w14:paraId="4DEA132F" w14:textId="77777777" w:rsidTr="00B67A4A">
        <w:trPr>
          <w:trHeight w:val="269"/>
          <w:jc w:val="center"/>
        </w:trPr>
        <w:tc>
          <w:tcPr>
            <w:tcW w:w="7632" w:type="dxa"/>
            <w:tcBorders>
              <w:top w:val="single" w:sz="4" w:space="0" w:color="auto"/>
              <w:left w:val="single" w:sz="4" w:space="0" w:color="auto"/>
              <w:bottom w:val="single" w:sz="4" w:space="0" w:color="auto"/>
              <w:right w:val="single" w:sz="4" w:space="0" w:color="auto"/>
            </w:tcBorders>
            <w:vAlign w:val="center"/>
          </w:tcPr>
          <w:p w14:paraId="3FBC1233" w14:textId="77777777" w:rsidR="006377C0" w:rsidRPr="0009182C" w:rsidRDefault="006377C0" w:rsidP="00B67A4A">
            <w:pPr>
              <w:spacing w:after="0" w:line="240" w:lineRule="auto"/>
              <w:jc w:val="both"/>
              <w:rPr>
                <w:rFonts w:ascii="Cambria" w:eastAsia="Times New Roman" w:hAnsi="Cambria"/>
                <w:color w:val="080808"/>
                <w:lang w:val="es-CO"/>
              </w:rPr>
            </w:pPr>
            <w:r w:rsidRPr="0009182C">
              <w:rPr>
                <w:rFonts w:ascii="Cambria" w:hAnsi="Cambria"/>
                <w:color w:val="080808"/>
                <w:lang w:val="es-CO"/>
              </w:rPr>
              <w:t>1.</w:t>
            </w:r>
            <w:r w:rsidRPr="0009182C">
              <w:rPr>
                <w:rFonts w:ascii="Cambria" w:hAnsi="Cambria"/>
                <w:color w:val="080808"/>
                <w:lang w:val="es-CO"/>
              </w:rPr>
              <w:tab/>
              <w:t>Reconocimiento de hechos. Adopción de medidas</w:t>
            </w:r>
          </w:p>
        </w:tc>
        <w:tc>
          <w:tcPr>
            <w:tcW w:w="1752" w:type="dxa"/>
            <w:tcBorders>
              <w:top w:val="single" w:sz="4" w:space="0" w:color="auto"/>
              <w:left w:val="single" w:sz="4" w:space="0" w:color="auto"/>
              <w:bottom w:val="single" w:sz="4" w:space="0" w:color="auto"/>
              <w:right w:val="single" w:sz="4" w:space="0" w:color="auto"/>
            </w:tcBorders>
            <w:vAlign w:val="center"/>
          </w:tcPr>
          <w:p w14:paraId="2D13066B" w14:textId="77777777" w:rsidR="006377C0" w:rsidRPr="0009182C" w:rsidRDefault="006377C0" w:rsidP="00B67A4A">
            <w:pPr>
              <w:spacing w:after="0" w:line="240" w:lineRule="auto"/>
              <w:jc w:val="center"/>
              <w:rPr>
                <w:rFonts w:ascii="Cambria" w:eastAsia="Batang" w:hAnsi="Cambria"/>
                <w:b/>
                <w:color w:val="080808"/>
                <w:lang w:val="es-CO"/>
              </w:rPr>
            </w:pPr>
            <w:r w:rsidRPr="0009182C">
              <w:rPr>
                <w:rFonts w:ascii="Cambria" w:eastAsia="Batang" w:hAnsi="Cambria"/>
                <w:b/>
                <w:color w:val="080808"/>
                <w:lang w:val="es-CO"/>
              </w:rPr>
              <w:t>Cláusula declarativa</w:t>
            </w:r>
          </w:p>
        </w:tc>
      </w:tr>
      <w:tr w:rsidR="006377C0" w:rsidRPr="001873B5" w14:paraId="0DCFB02B" w14:textId="77777777" w:rsidTr="00B67A4A">
        <w:trPr>
          <w:jc w:val="center"/>
        </w:trPr>
        <w:tc>
          <w:tcPr>
            <w:tcW w:w="9384" w:type="dxa"/>
            <w:gridSpan w:val="2"/>
            <w:tcBorders>
              <w:top w:val="single" w:sz="4" w:space="0" w:color="auto"/>
              <w:left w:val="single" w:sz="4" w:space="0" w:color="auto"/>
              <w:bottom w:val="single" w:sz="4" w:space="0" w:color="auto"/>
              <w:right w:val="single" w:sz="4" w:space="0" w:color="auto"/>
            </w:tcBorders>
          </w:tcPr>
          <w:p w14:paraId="27EEC386" w14:textId="77777777" w:rsidR="006377C0" w:rsidRPr="0009182C" w:rsidRDefault="006377C0" w:rsidP="00B67A4A">
            <w:pPr>
              <w:spacing w:after="0" w:line="240" w:lineRule="auto"/>
              <w:jc w:val="both"/>
              <w:rPr>
                <w:rFonts w:ascii="Cambria" w:eastAsia="Batang" w:hAnsi="Cambria"/>
                <w:b/>
                <w:color w:val="080808"/>
                <w:lang w:val="es-CO"/>
              </w:rPr>
            </w:pPr>
            <w:r w:rsidRPr="0009182C">
              <w:rPr>
                <w:rFonts w:ascii="Cambria" w:hAnsi="Cambria"/>
                <w:color w:val="000000"/>
                <w:lang w:val="es-CO"/>
              </w:rPr>
              <w:t>2.</w:t>
            </w:r>
            <w:r w:rsidRPr="0009182C">
              <w:rPr>
                <w:rFonts w:ascii="Cambria" w:hAnsi="Cambria"/>
                <w:color w:val="000000"/>
                <w:lang w:val="es-CO"/>
              </w:rPr>
              <w:tab/>
              <w:t>Medidas de reparación no pecuniarias</w:t>
            </w:r>
          </w:p>
        </w:tc>
      </w:tr>
      <w:tr w:rsidR="006377C0" w:rsidRPr="0009182C" w14:paraId="18FBE93C" w14:textId="77777777" w:rsidTr="00B67A4A">
        <w:trPr>
          <w:trHeight w:val="1574"/>
          <w:jc w:val="center"/>
        </w:trPr>
        <w:tc>
          <w:tcPr>
            <w:tcW w:w="7632" w:type="dxa"/>
            <w:tcBorders>
              <w:top w:val="single" w:sz="4" w:space="0" w:color="auto"/>
              <w:left w:val="single" w:sz="4" w:space="0" w:color="auto"/>
              <w:bottom w:val="single" w:sz="4" w:space="0" w:color="auto"/>
              <w:right w:val="single" w:sz="4" w:space="0" w:color="auto"/>
            </w:tcBorders>
            <w:vAlign w:val="center"/>
          </w:tcPr>
          <w:p w14:paraId="73A615D8" w14:textId="77777777" w:rsidR="006377C0" w:rsidRPr="0009182C" w:rsidRDefault="006377C0" w:rsidP="00B67A4A">
            <w:pPr>
              <w:spacing w:after="0" w:line="240" w:lineRule="auto"/>
              <w:jc w:val="both"/>
              <w:rPr>
                <w:rFonts w:ascii="Cambria" w:hAnsi="Cambria"/>
                <w:color w:val="000000"/>
                <w:lang w:val="es-CO"/>
              </w:rPr>
            </w:pPr>
            <w:r w:rsidRPr="0009182C">
              <w:rPr>
                <w:rFonts w:ascii="Cambria" w:hAnsi="Cambria"/>
                <w:color w:val="000000"/>
                <w:lang w:val="es-CO"/>
              </w:rPr>
              <w:t xml:space="preserve">2.1. </w:t>
            </w:r>
            <w:r w:rsidRPr="0009182C">
              <w:rPr>
                <w:rFonts w:ascii="Cambria" w:hAnsi="Cambria"/>
                <w:color w:val="000000"/>
                <w:lang w:val="es-CO"/>
              </w:rPr>
              <w:tab/>
              <w:t>Sobre el Derecho a la Identidad</w:t>
            </w:r>
          </w:p>
          <w:p w14:paraId="45A0F076" w14:textId="77777777" w:rsidR="006377C0" w:rsidRPr="0009182C" w:rsidRDefault="006377C0" w:rsidP="00B67A4A">
            <w:pPr>
              <w:spacing w:after="0" w:line="240" w:lineRule="auto"/>
              <w:jc w:val="both"/>
              <w:rPr>
                <w:rFonts w:ascii="Cambria" w:hAnsi="Cambria"/>
                <w:color w:val="000000"/>
                <w:lang w:val="es-CO"/>
              </w:rPr>
            </w:pPr>
            <w:r w:rsidRPr="0009182C">
              <w:rPr>
                <w:rFonts w:ascii="Cambria" w:hAnsi="Cambria"/>
                <w:color w:val="000000"/>
                <w:lang w:val="es-CO"/>
              </w:rPr>
              <w:t>a.</w:t>
            </w:r>
            <w:r w:rsidRPr="0009182C">
              <w:rPr>
                <w:rFonts w:ascii="Cambria" w:hAnsi="Cambria"/>
                <w:color w:val="000000"/>
                <w:lang w:val="es-CO"/>
              </w:rPr>
              <w:tab/>
              <w:t xml:space="preserve"> El Poder Ejecutivo Nacional de la República Argentina se compromete a enviar al Honorable Congreso de la Nación un proyecto de ley para establecer un procedimiento para la obtención de muestras de ADN que resguarde los derechos de los involucrados y resulte eficaz para la investigación y juzgamiento de la apropiación de niños originada durante la dictadura militar.</w:t>
            </w:r>
          </w:p>
          <w:p w14:paraId="4A35B569" w14:textId="77777777" w:rsidR="006377C0" w:rsidRPr="0009182C" w:rsidRDefault="006377C0" w:rsidP="00B67A4A">
            <w:pPr>
              <w:spacing w:after="0" w:line="240" w:lineRule="auto"/>
              <w:jc w:val="both"/>
              <w:rPr>
                <w:rFonts w:ascii="Cambria" w:hAnsi="Cambria"/>
                <w:color w:val="080808"/>
                <w:lang w:val="es-CO"/>
              </w:rPr>
            </w:pPr>
            <w:r w:rsidRPr="0009182C">
              <w:rPr>
                <w:rFonts w:ascii="Cambria" w:hAnsi="Cambria"/>
                <w:color w:val="000000"/>
                <w:lang w:val="es-CO"/>
              </w:rPr>
              <w:t>b.</w:t>
            </w:r>
            <w:r w:rsidRPr="0009182C">
              <w:rPr>
                <w:rFonts w:ascii="Cambria" w:hAnsi="Cambria"/>
                <w:color w:val="000000"/>
                <w:lang w:val="es-CO"/>
              </w:rPr>
              <w:tab/>
              <w:t>El Poder Ejecutivo Nacional de la República Argentina se compromete a enviar al Honorable. Congreso de la Nación un proyecto de ley para modificar la legislación que regula el funcionamiento del Banco Nacional de Datos Genéticos, a fin de adecuarla a los avances de la ciencia en la materia.</w:t>
            </w:r>
          </w:p>
        </w:tc>
        <w:tc>
          <w:tcPr>
            <w:tcW w:w="1752" w:type="dxa"/>
            <w:tcBorders>
              <w:top w:val="single" w:sz="4" w:space="0" w:color="auto"/>
              <w:left w:val="single" w:sz="4" w:space="0" w:color="auto"/>
              <w:bottom w:val="single" w:sz="4" w:space="0" w:color="auto"/>
              <w:right w:val="single" w:sz="4" w:space="0" w:color="auto"/>
            </w:tcBorders>
            <w:vAlign w:val="center"/>
          </w:tcPr>
          <w:p w14:paraId="097D4F1F" w14:textId="77777777" w:rsidR="006377C0" w:rsidRPr="0009182C" w:rsidRDefault="006377C0" w:rsidP="00B67A4A">
            <w:pPr>
              <w:spacing w:after="0" w:line="240" w:lineRule="auto"/>
              <w:jc w:val="center"/>
              <w:rPr>
                <w:rFonts w:ascii="Cambria" w:hAnsi="Cambria"/>
                <w:b/>
                <w:color w:val="000000"/>
                <w:lang w:val="es-CO"/>
              </w:rPr>
            </w:pPr>
            <w:r w:rsidRPr="0009182C">
              <w:rPr>
                <w:rFonts w:ascii="Cambria" w:hAnsi="Cambria"/>
                <w:b/>
                <w:color w:val="000000"/>
                <w:lang w:val="es-CO"/>
              </w:rPr>
              <w:t>Total</w:t>
            </w:r>
            <w:r w:rsidRPr="0009182C">
              <w:rPr>
                <w:rFonts w:ascii="Cambria" w:hAnsi="Cambria"/>
                <w:b/>
                <w:color w:val="000000"/>
                <w:vertAlign w:val="superscript"/>
                <w:lang w:val="es-CO"/>
              </w:rPr>
              <w:footnoteReference w:id="1"/>
            </w:r>
          </w:p>
          <w:p w14:paraId="275100CD" w14:textId="77777777" w:rsidR="006377C0" w:rsidRPr="0009182C" w:rsidRDefault="006377C0" w:rsidP="00B67A4A">
            <w:pPr>
              <w:spacing w:after="0" w:line="240" w:lineRule="auto"/>
              <w:jc w:val="center"/>
              <w:rPr>
                <w:rFonts w:ascii="Cambria" w:hAnsi="Cambria"/>
                <w:b/>
                <w:color w:val="000000"/>
                <w:lang w:val="es-CO"/>
              </w:rPr>
            </w:pPr>
          </w:p>
          <w:p w14:paraId="69987636" w14:textId="77777777" w:rsidR="006377C0" w:rsidRPr="0009182C" w:rsidRDefault="006377C0" w:rsidP="00B67A4A">
            <w:pPr>
              <w:spacing w:after="0" w:line="240" w:lineRule="auto"/>
              <w:jc w:val="center"/>
              <w:rPr>
                <w:rFonts w:ascii="Cambria" w:eastAsia="Batang" w:hAnsi="Cambria"/>
                <w:b/>
                <w:color w:val="080808"/>
                <w:lang w:val="es-CO"/>
              </w:rPr>
            </w:pPr>
          </w:p>
        </w:tc>
      </w:tr>
      <w:tr w:rsidR="006377C0" w:rsidRPr="0009182C" w14:paraId="6AC4D836" w14:textId="77777777" w:rsidTr="00B67A4A">
        <w:trPr>
          <w:trHeight w:val="1097"/>
          <w:jc w:val="center"/>
        </w:trPr>
        <w:tc>
          <w:tcPr>
            <w:tcW w:w="7632" w:type="dxa"/>
            <w:tcBorders>
              <w:top w:val="single" w:sz="4" w:space="0" w:color="auto"/>
              <w:left w:val="single" w:sz="4" w:space="0" w:color="auto"/>
              <w:bottom w:val="single" w:sz="4" w:space="0" w:color="auto"/>
              <w:right w:val="single" w:sz="4" w:space="0" w:color="auto"/>
            </w:tcBorders>
            <w:vAlign w:val="center"/>
          </w:tcPr>
          <w:p w14:paraId="132F60B1" w14:textId="77777777" w:rsidR="006377C0" w:rsidRPr="0009182C" w:rsidRDefault="006377C0" w:rsidP="00B67A4A">
            <w:pPr>
              <w:spacing w:after="0" w:line="240" w:lineRule="auto"/>
              <w:jc w:val="both"/>
              <w:rPr>
                <w:rFonts w:ascii="Cambria" w:hAnsi="Cambria"/>
                <w:color w:val="000000"/>
                <w:lang w:val="es-CO"/>
              </w:rPr>
            </w:pPr>
            <w:r w:rsidRPr="0009182C">
              <w:rPr>
                <w:rFonts w:ascii="Cambria" w:hAnsi="Cambria"/>
                <w:color w:val="000000"/>
                <w:lang w:val="es-CO"/>
              </w:rPr>
              <w:t xml:space="preserve">2.2. </w:t>
            </w:r>
            <w:r w:rsidRPr="0009182C">
              <w:rPr>
                <w:rFonts w:ascii="Cambria" w:hAnsi="Cambria"/>
                <w:color w:val="000000"/>
                <w:lang w:val="es-CO"/>
              </w:rPr>
              <w:tab/>
              <w:t>Sobre el Derecho de Acceso a la Justicia</w:t>
            </w:r>
          </w:p>
          <w:p w14:paraId="1B9D1B21" w14:textId="77777777" w:rsidR="006377C0" w:rsidRPr="0009182C" w:rsidRDefault="006377C0" w:rsidP="00B67A4A">
            <w:pPr>
              <w:spacing w:after="0" w:line="240" w:lineRule="auto"/>
              <w:jc w:val="both"/>
              <w:rPr>
                <w:rFonts w:ascii="Cambria" w:hAnsi="Cambria"/>
                <w:color w:val="080808"/>
                <w:lang w:val="es-CO"/>
              </w:rPr>
            </w:pPr>
            <w:r w:rsidRPr="0009182C">
              <w:rPr>
                <w:rFonts w:ascii="Cambria" w:hAnsi="Cambria"/>
                <w:color w:val="000000"/>
                <w:lang w:val="es-CO"/>
              </w:rPr>
              <w:t>a.       El Poder Ejecutivo Nacional de la República Argentina se compromete a enviar al Honorable Congreso de la Nación un proyecto de ley para garantizar de un modo más eficaz la participación judicial de las víctimas -entendiendo por tales a las personas presuntamente apropiadas como a sus legítimos familiares- y de las asociaciones intermedias conformadas para la defensa de sus derechos en los procesos en los que se investiga la apropiación de niños.</w:t>
            </w:r>
          </w:p>
        </w:tc>
        <w:tc>
          <w:tcPr>
            <w:tcW w:w="1752" w:type="dxa"/>
            <w:tcBorders>
              <w:top w:val="single" w:sz="4" w:space="0" w:color="auto"/>
              <w:left w:val="single" w:sz="4" w:space="0" w:color="auto"/>
              <w:bottom w:val="single" w:sz="4" w:space="0" w:color="auto"/>
              <w:right w:val="single" w:sz="4" w:space="0" w:color="auto"/>
            </w:tcBorders>
            <w:vAlign w:val="center"/>
          </w:tcPr>
          <w:p w14:paraId="752676A2" w14:textId="77777777" w:rsidR="006377C0" w:rsidRPr="0009182C" w:rsidRDefault="006377C0" w:rsidP="00B67A4A">
            <w:pPr>
              <w:spacing w:after="0" w:line="240" w:lineRule="auto"/>
              <w:jc w:val="center"/>
              <w:rPr>
                <w:rFonts w:ascii="Cambria" w:hAnsi="Cambria"/>
                <w:b/>
                <w:color w:val="000000"/>
                <w:lang w:val="es-CO"/>
              </w:rPr>
            </w:pPr>
            <w:r w:rsidRPr="0009182C">
              <w:rPr>
                <w:rFonts w:ascii="Cambria" w:hAnsi="Cambria"/>
                <w:b/>
                <w:color w:val="000000"/>
                <w:lang w:val="es-CO"/>
              </w:rPr>
              <w:t>Total</w:t>
            </w:r>
            <w:r w:rsidRPr="0009182C">
              <w:rPr>
                <w:rFonts w:ascii="Cambria" w:hAnsi="Cambria"/>
                <w:b/>
                <w:color w:val="000000"/>
                <w:vertAlign w:val="superscript"/>
                <w:lang w:val="es-CO"/>
              </w:rPr>
              <w:footnoteReference w:id="2"/>
            </w:r>
          </w:p>
          <w:p w14:paraId="5FA22726" w14:textId="77777777" w:rsidR="006377C0" w:rsidRPr="0009182C" w:rsidRDefault="006377C0" w:rsidP="00B67A4A">
            <w:pPr>
              <w:spacing w:after="0" w:line="240" w:lineRule="auto"/>
              <w:jc w:val="center"/>
              <w:rPr>
                <w:rFonts w:ascii="Cambria" w:eastAsia="Batang" w:hAnsi="Cambria"/>
                <w:b/>
                <w:color w:val="080808"/>
                <w:lang w:val="es-CO"/>
              </w:rPr>
            </w:pPr>
          </w:p>
        </w:tc>
      </w:tr>
      <w:tr w:rsidR="006377C0" w:rsidRPr="0009182C" w14:paraId="2646CF68" w14:textId="77777777" w:rsidTr="00B67A4A">
        <w:trPr>
          <w:trHeight w:val="1036"/>
          <w:jc w:val="center"/>
        </w:trPr>
        <w:tc>
          <w:tcPr>
            <w:tcW w:w="7632" w:type="dxa"/>
            <w:tcBorders>
              <w:top w:val="single" w:sz="4" w:space="0" w:color="auto"/>
              <w:left w:val="single" w:sz="4" w:space="0" w:color="auto"/>
              <w:bottom w:val="single" w:sz="4" w:space="0" w:color="auto"/>
              <w:right w:val="single" w:sz="4" w:space="0" w:color="auto"/>
            </w:tcBorders>
            <w:vAlign w:val="center"/>
          </w:tcPr>
          <w:p w14:paraId="1CA76FAE" w14:textId="77777777" w:rsidR="006377C0" w:rsidRPr="0009182C" w:rsidRDefault="006377C0" w:rsidP="00B67A4A">
            <w:pPr>
              <w:spacing w:after="0" w:line="240" w:lineRule="auto"/>
              <w:jc w:val="both"/>
              <w:rPr>
                <w:rFonts w:ascii="Cambria" w:hAnsi="Cambria"/>
                <w:color w:val="080808"/>
                <w:lang w:val="es-CO"/>
              </w:rPr>
            </w:pPr>
            <w:r w:rsidRPr="0009182C">
              <w:rPr>
                <w:rFonts w:ascii="Cambria" w:hAnsi="Cambria"/>
                <w:color w:val="000000"/>
                <w:lang w:val="es-CO"/>
              </w:rPr>
              <w:t>b.</w:t>
            </w:r>
            <w:r w:rsidRPr="0009182C">
              <w:rPr>
                <w:rFonts w:ascii="Cambria" w:hAnsi="Cambria"/>
                <w:color w:val="000000"/>
                <w:lang w:val="es-CO"/>
              </w:rPr>
              <w:tab/>
              <w:t xml:space="preserve"> El Poder Ejecutivo Nacional de la República Argentina se compromete a adoptar las medidas que fueran necesarias, dentro de un plazo razonable, para optimizar y profundizar la aplicación de la Resolución N° 1229/09 del Ministro de Justicia, Seguridad y Derechos Humanos de la Nación.</w:t>
            </w:r>
          </w:p>
        </w:tc>
        <w:tc>
          <w:tcPr>
            <w:tcW w:w="1752" w:type="dxa"/>
            <w:tcBorders>
              <w:top w:val="single" w:sz="4" w:space="0" w:color="auto"/>
              <w:left w:val="single" w:sz="4" w:space="0" w:color="auto"/>
              <w:bottom w:val="single" w:sz="4" w:space="0" w:color="auto"/>
              <w:right w:val="single" w:sz="4" w:space="0" w:color="auto"/>
            </w:tcBorders>
            <w:vAlign w:val="center"/>
          </w:tcPr>
          <w:p w14:paraId="5E741497" w14:textId="77777777" w:rsidR="006377C0" w:rsidRPr="0009182C" w:rsidRDefault="006377C0" w:rsidP="00B67A4A">
            <w:pPr>
              <w:spacing w:after="0" w:line="240" w:lineRule="auto"/>
              <w:jc w:val="center"/>
              <w:rPr>
                <w:rFonts w:ascii="Cambria" w:eastAsia="Batang" w:hAnsi="Cambria"/>
                <w:b/>
                <w:color w:val="080808"/>
                <w:lang w:val="es-CO"/>
              </w:rPr>
            </w:pPr>
            <w:r w:rsidRPr="0009182C">
              <w:rPr>
                <w:rFonts w:ascii="Cambria" w:hAnsi="Cambria"/>
                <w:b/>
                <w:color w:val="000000"/>
                <w:lang w:val="es-CO"/>
              </w:rPr>
              <w:t>Total</w:t>
            </w:r>
            <w:r w:rsidRPr="0009182C">
              <w:rPr>
                <w:rFonts w:ascii="Cambria" w:hAnsi="Cambria"/>
                <w:b/>
                <w:color w:val="000000"/>
                <w:vertAlign w:val="superscript"/>
                <w:lang w:val="es-CO"/>
              </w:rPr>
              <w:footnoteReference w:id="3"/>
            </w:r>
          </w:p>
        </w:tc>
      </w:tr>
      <w:tr w:rsidR="006377C0" w:rsidRPr="0009182C" w14:paraId="3EB9E24B" w14:textId="77777777" w:rsidTr="00B67A4A">
        <w:trPr>
          <w:trHeight w:val="620"/>
          <w:jc w:val="center"/>
        </w:trPr>
        <w:tc>
          <w:tcPr>
            <w:tcW w:w="7632" w:type="dxa"/>
            <w:tcBorders>
              <w:top w:val="single" w:sz="4" w:space="0" w:color="auto"/>
              <w:left w:val="single" w:sz="4" w:space="0" w:color="auto"/>
              <w:bottom w:val="single" w:sz="4" w:space="0" w:color="auto"/>
              <w:right w:val="single" w:sz="4" w:space="0" w:color="auto"/>
            </w:tcBorders>
            <w:vAlign w:val="center"/>
          </w:tcPr>
          <w:p w14:paraId="058F8780" w14:textId="77777777" w:rsidR="006377C0" w:rsidRPr="0009182C" w:rsidRDefault="006377C0" w:rsidP="00B67A4A">
            <w:pPr>
              <w:spacing w:after="0" w:line="240" w:lineRule="auto"/>
              <w:jc w:val="both"/>
              <w:rPr>
                <w:rFonts w:ascii="Cambria" w:hAnsi="Cambria"/>
                <w:color w:val="080808"/>
                <w:lang w:val="es-CO"/>
              </w:rPr>
            </w:pPr>
            <w:r w:rsidRPr="0009182C">
              <w:rPr>
                <w:rFonts w:ascii="Cambria" w:hAnsi="Cambria"/>
                <w:color w:val="000000"/>
                <w:lang w:val="es-CO"/>
              </w:rPr>
              <w:t>c.</w:t>
            </w:r>
            <w:r w:rsidRPr="0009182C">
              <w:rPr>
                <w:rFonts w:ascii="Cambria" w:hAnsi="Cambria"/>
                <w:color w:val="000000"/>
                <w:lang w:val="es-CO"/>
              </w:rPr>
              <w:tab/>
              <w:t xml:space="preserve"> El Poder Ejecutivo Nacional de la República Argentina se compromete a trabajar en la adopción de medidas tendientes a optimizar el uso de la facultad que le confiere el art. 27 de la Ley N° 24.946 (Ley Orgánica del Ministerio Público) a fin de proponer al Procurador General de la Nación: 1) que dicte instrucciones generales a los fiscales instándolos a concurrir a los registros domiciliarios que se practiquen en los casos en que se investigue la apropiación de niños; y 2) que diseñe y ejecute un Plan Especial de Investigación sobre la apropiación de niños durante la dictadura militar a fin de optimizar la resolución de casos, disponiendo de fiscales especiales para ello en las jurisdicciones donde tramite una cantidad de casos que lo justifique.</w:t>
            </w:r>
          </w:p>
        </w:tc>
        <w:tc>
          <w:tcPr>
            <w:tcW w:w="1752" w:type="dxa"/>
            <w:tcBorders>
              <w:top w:val="single" w:sz="4" w:space="0" w:color="auto"/>
              <w:left w:val="single" w:sz="4" w:space="0" w:color="auto"/>
              <w:bottom w:val="single" w:sz="4" w:space="0" w:color="auto"/>
              <w:right w:val="single" w:sz="4" w:space="0" w:color="auto"/>
            </w:tcBorders>
            <w:vAlign w:val="center"/>
          </w:tcPr>
          <w:p w14:paraId="6E4DEE3F" w14:textId="77777777" w:rsidR="006377C0" w:rsidRPr="0009182C" w:rsidRDefault="006377C0" w:rsidP="00B67A4A">
            <w:pPr>
              <w:spacing w:after="0" w:line="240" w:lineRule="auto"/>
              <w:jc w:val="center"/>
              <w:rPr>
                <w:rFonts w:ascii="Cambria" w:eastAsia="Batang" w:hAnsi="Cambria"/>
                <w:b/>
                <w:color w:val="080808"/>
                <w:lang w:val="es-CO"/>
              </w:rPr>
            </w:pPr>
            <w:r w:rsidRPr="0009182C">
              <w:rPr>
                <w:rFonts w:ascii="Cambria" w:hAnsi="Cambria"/>
                <w:b/>
                <w:color w:val="000000"/>
                <w:lang w:val="es-CO"/>
              </w:rPr>
              <w:t>Total</w:t>
            </w:r>
            <w:r w:rsidRPr="0009182C">
              <w:rPr>
                <w:rFonts w:ascii="Cambria" w:hAnsi="Cambria"/>
                <w:b/>
                <w:color w:val="000000"/>
                <w:vertAlign w:val="superscript"/>
                <w:lang w:val="es-CO"/>
              </w:rPr>
              <w:footnoteReference w:id="4"/>
            </w:r>
          </w:p>
        </w:tc>
      </w:tr>
      <w:tr w:rsidR="006377C0" w:rsidRPr="001873B5" w14:paraId="20F85FCE" w14:textId="77777777" w:rsidTr="00B67A4A">
        <w:trPr>
          <w:jc w:val="center"/>
        </w:trPr>
        <w:tc>
          <w:tcPr>
            <w:tcW w:w="9384" w:type="dxa"/>
            <w:gridSpan w:val="2"/>
            <w:tcBorders>
              <w:top w:val="single" w:sz="4" w:space="0" w:color="auto"/>
              <w:left w:val="single" w:sz="4" w:space="0" w:color="auto"/>
              <w:bottom w:val="single" w:sz="4" w:space="0" w:color="auto"/>
              <w:right w:val="single" w:sz="4" w:space="0" w:color="auto"/>
            </w:tcBorders>
          </w:tcPr>
          <w:p w14:paraId="7C2B3760" w14:textId="77777777" w:rsidR="006377C0" w:rsidRPr="0009182C" w:rsidRDefault="006377C0" w:rsidP="00B67A4A">
            <w:pPr>
              <w:spacing w:after="0" w:line="240" w:lineRule="auto"/>
              <w:jc w:val="both"/>
              <w:rPr>
                <w:rFonts w:ascii="Cambria" w:eastAsia="Batang" w:hAnsi="Cambria"/>
                <w:b/>
                <w:color w:val="080808"/>
                <w:lang w:val="es-CO"/>
              </w:rPr>
            </w:pPr>
            <w:r w:rsidRPr="0009182C">
              <w:rPr>
                <w:rFonts w:ascii="Cambria" w:hAnsi="Cambria"/>
                <w:color w:val="000000"/>
                <w:lang w:val="es-CO"/>
              </w:rPr>
              <w:lastRenderedPageBreak/>
              <w:t xml:space="preserve">2.3. </w:t>
            </w:r>
            <w:r w:rsidRPr="0009182C">
              <w:rPr>
                <w:rFonts w:ascii="Cambria" w:hAnsi="Cambria"/>
                <w:color w:val="000000"/>
                <w:lang w:val="es-CO"/>
              </w:rPr>
              <w:tab/>
              <w:t>Sobre la Capacitación de los actores judiciales</w:t>
            </w:r>
          </w:p>
        </w:tc>
      </w:tr>
      <w:tr w:rsidR="006377C0" w:rsidRPr="0009182C" w14:paraId="276ABA96" w14:textId="77777777" w:rsidTr="00B67A4A">
        <w:trPr>
          <w:trHeight w:val="458"/>
          <w:jc w:val="center"/>
        </w:trPr>
        <w:tc>
          <w:tcPr>
            <w:tcW w:w="7632" w:type="dxa"/>
            <w:tcBorders>
              <w:top w:val="single" w:sz="4" w:space="0" w:color="auto"/>
              <w:left w:val="single" w:sz="4" w:space="0" w:color="auto"/>
              <w:bottom w:val="single" w:sz="4" w:space="0" w:color="auto"/>
              <w:right w:val="single" w:sz="4" w:space="0" w:color="auto"/>
            </w:tcBorders>
          </w:tcPr>
          <w:p w14:paraId="7380141C" w14:textId="77777777" w:rsidR="006377C0" w:rsidRPr="0009182C" w:rsidRDefault="006377C0" w:rsidP="00B67A4A">
            <w:pPr>
              <w:spacing w:after="0" w:line="240" w:lineRule="auto"/>
              <w:jc w:val="both"/>
              <w:rPr>
                <w:rFonts w:ascii="Cambria" w:hAnsi="Cambria"/>
                <w:b/>
                <w:bCs/>
                <w:color w:val="080808"/>
                <w:lang w:val="es-CO"/>
              </w:rPr>
            </w:pPr>
            <w:r w:rsidRPr="0009182C">
              <w:rPr>
                <w:rFonts w:ascii="Cambria" w:hAnsi="Cambria"/>
                <w:color w:val="000000"/>
                <w:lang w:val="es-CO"/>
              </w:rPr>
              <w:t>a.</w:t>
            </w:r>
            <w:r w:rsidRPr="0009182C">
              <w:rPr>
                <w:rFonts w:ascii="Cambria" w:hAnsi="Cambria"/>
                <w:color w:val="000000"/>
                <w:lang w:val="es-CO"/>
              </w:rPr>
              <w:tab/>
              <w:t xml:space="preserve"> El Poder Ejecutivo Nacional de la República Argentina se compromete a trabajar en la adopción de medidas vinculadas con el uso de la facultad que le confiere el art. 27 de la Ley N° 24.946 (Ley Orgánica del Ministerio Público) a fin de proponer al Procurador General de la Nación la capacitación de fiscales y demás funcionarios del Ministerio Público en el trato adecuado a las víctimas de estos graves delitos.</w:t>
            </w:r>
          </w:p>
        </w:tc>
        <w:tc>
          <w:tcPr>
            <w:tcW w:w="1752" w:type="dxa"/>
            <w:tcBorders>
              <w:top w:val="single" w:sz="4" w:space="0" w:color="auto"/>
              <w:left w:val="single" w:sz="4" w:space="0" w:color="auto"/>
              <w:bottom w:val="single" w:sz="4" w:space="0" w:color="auto"/>
              <w:right w:val="single" w:sz="4" w:space="0" w:color="auto"/>
            </w:tcBorders>
            <w:vAlign w:val="center"/>
          </w:tcPr>
          <w:p w14:paraId="139071CE" w14:textId="77777777" w:rsidR="006377C0" w:rsidRPr="0009182C" w:rsidRDefault="006377C0" w:rsidP="00B67A4A">
            <w:pPr>
              <w:spacing w:after="0" w:line="240" w:lineRule="auto"/>
              <w:jc w:val="center"/>
              <w:rPr>
                <w:rFonts w:ascii="Cambria" w:eastAsia="Batang" w:hAnsi="Cambria"/>
                <w:color w:val="080808"/>
                <w:lang w:val="es-CO"/>
              </w:rPr>
            </w:pPr>
            <w:r w:rsidRPr="0009182C">
              <w:rPr>
                <w:rFonts w:ascii="Cambria" w:hAnsi="Cambria"/>
                <w:b/>
                <w:color w:val="000000"/>
                <w:lang w:val="es-CO"/>
              </w:rPr>
              <w:t>Total</w:t>
            </w:r>
            <w:r w:rsidRPr="0009182C">
              <w:rPr>
                <w:rStyle w:val="FootnoteReference"/>
                <w:rFonts w:ascii="Cambria" w:hAnsi="Cambria"/>
                <w:b/>
                <w:color w:val="000000"/>
                <w:lang w:val="es-CO"/>
              </w:rPr>
              <w:footnoteReference w:id="5"/>
            </w:r>
          </w:p>
        </w:tc>
      </w:tr>
      <w:tr w:rsidR="006377C0" w:rsidRPr="0009182C" w14:paraId="272AE1F9" w14:textId="77777777" w:rsidTr="00B67A4A">
        <w:trPr>
          <w:trHeight w:val="568"/>
          <w:jc w:val="center"/>
        </w:trPr>
        <w:tc>
          <w:tcPr>
            <w:tcW w:w="7632" w:type="dxa"/>
            <w:tcBorders>
              <w:top w:val="single" w:sz="4" w:space="0" w:color="auto"/>
              <w:left w:val="single" w:sz="4" w:space="0" w:color="auto"/>
              <w:bottom w:val="single" w:sz="4" w:space="0" w:color="auto"/>
              <w:right w:val="single" w:sz="4" w:space="0" w:color="auto"/>
            </w:tcBorders>
            <w:vAlign w:val="center"/>
          </w:tcPr>
          <w:p w14:paraId="4484E2A9" w14:textId="77777777" w:rsidR="006377C0" w:rsidRPr="0009182C" w:rsidRDefault="006377C0" w:rsidP="00B67A4A">
            <w:pPr>
              <w:spacing w:after="0" w:line="240" w:lineRule="auto"/>
              <w:jc w:val="both"/>
              <w:rPr>
                <w:rFonts w:ascii="Cambria" w:hAnsi="Cambria"/>
                <w:color w:val="080808"/>
                <w:lang w:val="es-CO"/>
              </w:rPr>
            </w:pPr>
            <w:r w:rsidRPr="0009182C">
              <w:rPr>
                <w:rFonts w:ascii="Cambria" w:hAnsi="Cambria"/>
                <w:color w:val="080808"/>
                <w:lang w:val="es-CO"/>
              </w:rPr>
              <w:t>b.</w:t>
            </w:r>
            <w:r w:rsidRPr="0009182C">
              <w:rPr>
                <w:rFonts w:ascii="Cambria" w:hAnsi="Cambria"/>
                <w:color w:val="080808"/>
                <w:lang w:val="es-CO"/>
              </w:rPr>
              <w:tab/>
              <w:t xml:space="preserve"> El Poder Ejecutivo Nacional de la República Argentina se compromete a instar al Consejo de la Magistratura de la Nación a planificar cursos de capacitación para magistrados, funcionarios y empleados del Poder Judicial en el trato adecuado a las víctimas de estos graves delitos (cfr. art. 7 inc. 11 de la Ley N° 24.937, t.o. según art. 3° de la Ley N° 26.080).</w:t>
            </w:r>
          </w:p>
        </w:tc>
        <w:tc>
          <w:tcPr>
            <w:tcW w:w="1752" w:type="dxa"/>
            <w:tcBorders>
              <w:top w:val="single" w:sz="4" w:space="0" w:color="auto"/>
              <w:left w:val="single" w:sz="4" w:space="0" w:color="auto"/>
              <w:bottom w:val="single" w:sz="4" w:space="0" w:color="auto"/>
              <w:right w:val="single" w:sz="4" w:space="0" w:color="auto"/>
            </w:tcBorders>
            <w:vAlign w:val="center"/>
          </w:tcPr>
          <w:p w14:paraId="38F842E3" w14:textId="77777777" w:rsidR="006377C0" w:rsidRPr="0009182C" w:rsidRDefault="006377C0" w:rsidP="00B67A4A">
            <w:pPr>
              <w:spacing w:after="0" w:line="240" w:lineRule="auto"/>
              <w:jc w:val="center"/>
              <w:rPr>
                <w:rFonts w:ascii="Cambria" w:eastAsia="Batang" w:hAnsi="Cambria"/>
                <w:b/>
                <w:color w:val="080808"/>
                <w:lang w:val="es-CO"/>
              </w:rPr>
            </w:pPr>
            <w:r w:rsidRPr="0009182C">
              <w:rPr>
                <w:rFonts w:ascii="Cambria" w:eastAsia="Batang" w:hAnsi="Cambria"/>
                <w:b/>
                <w:color w:val="080808"/>
                <w:lang w:val="es-CO"/>
              </w:rPr>
              <w:t>Total</w:t>
            </w:r>
            <w:r w:rsidRPr="0009182C">
              <w:rPr>
                <w:rFonts w:ascii="Cambria" w:eastAsia="Batang" w:hAnsi="Cambria"/>
                <w:b/>
                <w:color w:val="080808"/>
                <w:vertAlign w:val="superscript"/>
                <w:lang w:val="es-CO"/>
              </w:rPr>
              <w:footnoteReference w:id="6"/>
            </w:r>
          </w:p>
        </w:tc>
      </w:tr>
      <w:tr w:rsidR="006377C0" w:rsidRPr="0009182C" w14:paraId="5CBC5BC9" w14:textId="77777777" w:rsidTr="00B67A4A">
        <w:trPr>
          <w:trHeight w:val="568"/>
          <w:jc w:val="center"/>
        </w:trPr>
        <w:tc>
          <w:tcPr>
            <w:tcW w:w="7632" w:type="dxa"/>
            <w:tcBorders>
              <w:top w:val="single" w:sz="4" w:space="0" w:color="auto"/>
              <w:left w:val="single" w:sz="4" w:space="0" w:color="auto"/>
              <w:bottom w:val="single" w:sz="4" w:space="0" w:color="auto"/>
              <w:right w:val="single" w:sz="4" w:space="0" w:color="auto"/>
            </w:tcBorders>
            <w:vAlign w:val="center"/>
          </w:tcPr>
          <w:p w14:paraId="332BC953" w14:textId="77777777" w:rsidR="006377C0" w:rsidRPr="0009182C" w:rsidRDefault="006377C0" w:rsidP="00B67A4A">
            <w:pPr>
              <w:spacing w:after="0" w:line="240" w:lineRule="auto"/>
              <w:jc w:val="both"/>
              <w:rPr>
                <w:rFonts w:ascii="Cambria" w:hAnsi="Cambria"/>
                <w:color w:val="000000"/>
                <w:lang w:val="es-CO"/>
              </w:rPr>
            </w:pPr>
            <w:r w:rsidRPr="0009182C">
              <w:rPr>
                <w:rFonts w:ascii="Cambria" w:hAnsi="Cambria"/>
                <w:color w:val="000000"/>
                <w:lang w:val="es-CO"/>
              </w:rPr>
              <w:t xml:space="preserve">2.4. </w:t>
            </w:r>
            <w:r w:rsidRPr="0009182C">
              <w:rPr>
                <w:rFonts w:ascii="Cambria" w:hAnsi="Cambria"/>
                <w:color w:val="000000"/>
                <w:lang w:val="es-CO"/>
              </w:rPr>
              <w:tab/>
              <w:t>Sobre el Grupo de Trabajo</w:t>
            </w:r>
          </w:p>
          <w:p w14:paraId="31D75403" w14:textId="77777777" w:rsidR="006377C0" w:rsidRPr="0009182C" w:rsidRDefault="006377C0" w:rsidP="00B67A4A">
            <w:pPr>
              <w:spacing w:after="0" w:line="240" w:lineRule="auto"/>
              <w:jc w:val="both"/>
              <w:rPr>
                <w:rFonts w:ascii="Cambria" w:hAnsi="Cambria"/>
                <w:color w:val="080808"/>
                <w:lang w:val="es-CO"/>
              </w:rPr>
            </w:pPr>
            <w:r w:rsidRPr="0009182C">
              <w:rPr>
                <w:rFonts w:ascii="Cambria" w:hAnsi="Cambria"/>
                <w:color w:val="000000"/>
                <w:lang w:val="es-CO"/>
              </w:rPr>
              <w:t>a.</w:t>
            </w:r>
            <w:r w:rsidRPr="0009182C">
              <w:rPr>
                <w:rFonts w:ascii="Cambria" w:hAnsi="Cambria"/>
                <w:color w:val="000000"/>
                <w:lang w:val="es-CO"/>
              </w:rPr>
              <w:tab/>
              <w:t xml:space="preserve"> El Poder Ejecutivo Nacional de la República Argentina se compromete a establecer mecanismos específicos para facilitar la corrección de la documentación y los registros públicos y privados, tanto nacionales como provinciales y municipales, de toda persona cuya identidad haya sido sustituida durante la dictadura militar, a fin de favorecer el proceso de restitución de la identidad.</w:t>
            </w:r>
          </w:p>
        </w:tc>
        <w:tc>
          <w:tcPr>
            <w:tcW w:w="1752" w:type="dxa"/>
            <w:tcBorders>
              <w:top w:val="single" w:sz="4" w:space="0" w:color="auto"/>
              <w:left w:val="single" w:sz="4" w:space="0" w:color="auto"/>
              <w:bottom w:val="single" w:sz="4" w:space="0" w:color="auto"/>
              <w:right w:val="single" w:sz="4" w:space="0" w:color="auto"/>
            </w:tcBorders>
            <w:vAlign w:val="center"/>
          </w:tcPr>
          <w:p w14:paraId="2CBECF48" w14:textId="77777777" w:rsidR="006377C0" w:rsidRPr="0009182C" w:rsidRDefault="006377C0" w:rsidP="00B67A4A">
            <w:pPr>
              <w:spacing w:after="0" w:line="240" w:lineRule="auto"/>
              <w:jc w:val="center"/>
              <w:rPr>
                <w:rFonts w:ascii="Cambria" w:hAnsi="Cambria"/>
                <w:b/>
                <w:color w:val="000000"/>
                <w:lang w:val="es-CO"/>
              </w:rPr>
            </w:pPr>
          </w:p>
          <w:p w14:paraId="2F22CEFB" w14:textId="77777777" w:rsidR="006377C0" w:rsidRPr="0009182C" w:rsidRDefault="006377C0" w:rsidP="00B67A4A">
            <w:pPr>
              <w:spacing w:after="0" w:line="240" w:lineRule="auto"/>
              <w:jc w:val="center"/>
              <w:rPr>
                <w:rFonts w:ascii="Cambria" w:hAnsi="Cambria"/>
                <w:b/>
                <w:color w:val="000000"/>
                <w:lang w:val="es-CO"/>
              </w:rPr>
            </w:pPr>
            <w:r w:rsidRPr="0009182C">
              <w:rPr>
                <w:rFonts w:ascii="Cambria" w:hAnsi="Cambria"/>
                <w:b/>
                <w:color w:val="000000"/>
                <w:lang w:val="es-CO"/>
              </w:rPr>
              <w:t>Total</w:t>
            </w:r>
            <w:r w:rsidRPr="0009182C">
              <w:rPr>
                <w:rFonts w:ascii="Cambria" w:hAnsi="Cambria"/>
                <w:b/>
                <w:color w:val="000000"/>
                <w:vertAlign w:val="superscript"/>
                <w:lang w:val="es-CO"/>
              </w:rPr>
              <w:footnoteReference w:id="7"/>
            </w:r>
          </w:p>
          <w:p w14:paraId="656B3425" w14:textId="77777777" w:rsidR="006377C0" w:rsidRPr="0009182C" w:rsidRDefault="006377C0" w:rsidP="00B67A4A">
            <w:pPr>
              <w:spacing w:after="0" w:line="240" w:lineRule="auto"/>
              <w:jc w:val="center"/>
              <w:rPr>
                <w:rFonts w:ascii="Cambria" w:eastAsia="Batang" w:hAnsi="Cambria"/>
                <w:b/>
                <w:color w:val="080808"/>
                <w:lang w:val="es-CO"/>
              </w:rPr>
            </w:pPr>
          </w:p>
        </w:tc>
      </w:tr>
      <w:tr w:rsidR="006377C0" w:rsidRPr="0009182C" w14:paraId="34144C17" w14:textId="77777777" w:rsidTr="00B67A4A">
        <w:trPr>
          <w:trHeight w:val="568"/>
          <w:jc w:val="center"/>
        </w:trPr>
        <w:tc>
          <w:tcPr>
            <w:tcW w:w="7632" w:type="dxa"/>
            <w:tcBorders>
              <w:top w:val="single" w:sz="4" w:space="0" w:color="auto"/>
              <w:left w:val="single" w:sz="4" w:space="0" w:color="auto"/>
              <w:bottom w:val="single" w:sz="4" w:space="0" w:color="auto"/>
              <w:right w:val="single" w:sz="4" w:space="0" w:color="auto"/>
            </w:tcBorders>
          </w:tcPr>
          <w:p w14:paraId="411A20E3" w14:textId="77777777" w:rsidR="006377C0" w:rsidRPr="0009182C" w:rsidRDefault="006377C0" w:rsidP="00B67A4A">
            <w:pPr>
              <w:spacing w:after="0" w:line="240" w:lineRule="auto"/>
              <w:jc w:val="both"/>
              <w:rPr>
                <w:rFonts w:ascii="Cambria" w:hAnsi="Cambria"/>
                <w:color w:val="080808"/>
                <w:lang w:val="es-CO"/>
              </w:rPr>
            </w:pPr>
            <w:r w:rsidRPr="0009182C">
              <w:rPr>
                <w:rFonts w:ascii="Cambria" w:hAnsi="Cambria"/>
                <w:color w:val="000000"/>
                <w:lang w:val="es-CO"/>
              </w:rPr>
              <w:t>b.</w:t>
            </w:r>
            <w:r w:rsidRPr="0009182C">
              <w:rPr>
                <w:rFonts w:ascii="Cambria" w:hAnsi="Cambria"/>
                <w:color w:val="000000"/>
                <w:lang w:val="es-CO"/>
              </w:rPr>
              <w:tab/>
              <w:t xml:space="preserve"> Las partes convienen en mantener reuniones periódicas de trabajo, en el ámbito de la Cancillería, a efectos de evaluar la marcha de las medidas que aquí se comprometen.</w:t>
            </w:r>
          </w:p>
        </w:tc>
        <w:tc>
          <w:tcPr>
            <w:tcW w:w="1752" w:type="dxa"/>
            <w:vMerge w:val="restart"/>
            <w:tcBorders>
              <w:top w:val="single" w:sz="4" w:space="0" w:color="auto"/>
              <w:left w:val="single" w:sz="4" w:space="0" w:color="auto"/>
              <w:right w:val="single" w:sz="4" w:space="0" w:color="auto"/>
            </w:tcBorders>
            <w:vAlign w:val="center"/>
          </w:tcPr>
          <w:p w14:paraId="226C6967" w14:textId="77777777" w:rsidR="006377C0" w:rsidRPr="0009182C" w:rsidRDefault="006377C0" w:rsidP="00B67A4A">
            <w:pPr>
              <w:spacing w:after="0" w:line="240" w:lineRule="auto"/>
              <w:jc w:val="center"/>
              <w:rPr>
                <w:rFonts w:ascii="Cambria" w:hAnsi="Cambria"/>
                <w:b/>
                <w:color w:val="000000"/>
                <w:lang w:val="es-CO"/>
              </w:rPr>
            </w:pPr>
            <w:r w:rsidRPr="0009182C">
              <w:rPr>
                <w:rFonts w:ascii="Cambria" w:hAnsi="Cambria"/>
                <w:b/>
                <w:color w:val="000000"/>
                <w:lang w:val="es-CO"/>
              </w:rPr>
              <w:t>Total</w:t>
            </w:r>
            <w:r w:rsidRPr="0009182C">
              <w:rPr>
                <w:rStyle w:val="FootnoteReference"/>
                <w:rFonts w:ascii="Cambria" w:hAnsi="Cambria"/>
                <w:b/>
                <w:color w:val="000000"/>
                <w:lang w:val="es-CO"/>
              </w:rPr>
              <w:footnoteReference w:id="8"/>
            </w:r>
          </w:p>
        </w:tc>
      </w:tr>
      <w:tr w:rsidR="006377C0" w:rsidRPr="001873B5" w14:paraId="692E166D" w14:textId="77777777" w:rsidTr="00B67A4A">
        <w:trPr>
          <w:trHeight w:val="568"/>
          <w:jc w:val="center"/>
        </w:trPr>
        <w:tc>
          <w:tcPr>
            <w:tcW w:w="7632" w:type="dxa"/>
            <w:tcBorders>
              <w:top w:val="single" w:sz="4" w:space="0" w:color="auto"/>
              <w:left w:val="single" w:sz="4" w:space="0" w:color="auto"/>
              <w:bottom w:val="single" w:sz="4" w:space="0" w:color="auto"/>
              <w:right w:val="single" w:sz="4" w:space="0" w:color="auto"/>
            </w:tcBorders>
          </w:tcPr>
          <w:p w14:paraId="09B7E6A0" w14:textId="77777777" w:rsidR="006377C0" w:rsidRPr="0009182C" w:rsidRDefault="006377C0" w:rsidP="00B67A4A">
            <w:pPr>
              <w:spacing w:after="0" w:line="240" w:lineRule="auto"/>
              <w:jc w:val="both"/>
              <w:rPr>
                <w:rFonts w:ascii="Cambria" w:hAnsi="Cambria"/>
                <w:color w:val="080808"/>
                <w:lang w:val="es-CO"/>
              </w:rPr>
            </w:pPr>
            <w:r w:rsidRPr="0009182C">
              <w:rPr>
                <w:rFonts w:ascii="Cambria" w:hAnsi="Cambria"/>
                <w:color w:val="000000"/>
                <w:lang w:val="es-CO"/>
              </w:rPr>
              <w:t>c.</w:t>
            </w:r>
            <w:r w:rsidRPr="0009182C">
              <w:rPr>
                <w:rFonts w:ascii="Cambria" w:hAnsi="Cambria"/>
                <w:color w:val="000000"/>
                <w:lang w:val="es-CO"/>
              </w:rPr>
              <w:tab/>
              <w:t xml:space="preserve"> El Gobierno de la República Argentina se compromete a facilitar las actividades del grupo de trabajo, como así también a proporcionarles el soporte técnico y el uso de las instalaciones que sean necesarias para el desarrollo de su tarea, comprometiéndose a informar al respecto periódicamente a la Comisión interamericana de Derechos Humanos.</w:t>
            </w:r>
          </w:p>
        </w:tc>
        <w:tc>
          <w:tcPr>
            <w:tcW w:w="1752" w:type="dxa"/>
            <w:vMerge/>
            <w:tcBorders>
              <w:left w:val="single" w:sz="4" w:space="0" w:color="auto"/>
              <w:right w:val="single" w:sz="4" w:space="0" w:color="auto"/>
            </w:tcBorders>
          </w:tcPr>
          <w:p w14:paraId="6F173A8D" w14:textId="77777777" w:rsidR="006377C0" w:rsidRPr="0009182C" w:rsidRDefault="006377C0" w:rsidP="00B67A4A">
            <w:pPr>
              <w:spacing w:after="0" w:line="240" w:lineRule="auto"/>
              <w:jc w:val="center"/>
              <w:rPr>
                <w:rFonts w:ascii="Cambria" w:eastAsia="Batang" w:hAnsi="Cambria"/>
                <w:b/>
                <w:color w:val="080808"/>
                <w:lang w:val="es-CO"/>
              </w:rPr>
            </w:pPr>
          </w:p>
        </w:tc>
      </w:tr>
      <w:tr w:rsidR="006377C0" w:rsidRPr="0009182C" w14:paraId="6CB791E2" w14:textId="77777777" w:rsidTr="00B67A4A">
        <w:trPr>
          <w:trHeight w:val="568"/>
          <w:jc w:val="center"/>
        </w:trPr>
        <w:tc>
          <w:tcPr>
            <w:tcW w:w="7632" w:type="dxa"/>
            <w:tcBorders>
              <w:top w:val="single" w:sz="4" w:space="0" w:color="auto"/>
              <w:left w:val="single" w:sz="4" w:space="0" w:color="auto"/>
              <w:bottom w:val="single" w:sz="4" w:space="0" w:color="auto"/>
              <w:right w:val="single" w:sz="4" w:space="0" w:color="auto"/>
            </w:tcBorders>
          </w:tcPr>
          <w:p w14:paraId="281F4052" w14:textId="77777777" w:rsidR="006377C0" w:rsidRPr="0009182C" w:rsidRDefault="006377C0" w:rsidP="00B67A4A">
            <w:pPr>
              <w:spacing w:after="0" w:line="240" w:lineRule="auto"/>
              <w:jc w:val="both"/>
              <w:rPr>
                <w:rFonts w:ascii="Cambria" w:hAnsi="Cambria"/>
                <w:color w:val="000000"/>
                <w:lang w:val="es-CO"/>
              </w:rPr>
            </w:pPr>
            <w:r w:rsidRPr="0009182C">
              <w:rPr>
                <w:rFonts w:ascii="Cambria" w:hAnsi="Cambria"/>
                <w:color w:val="000000"/>
                <w:lang w:val="es-CO"/>
              </w:rPr>
              <w:t xml:space="preserve">2.5. </w:t>
            </w:r>
            <w:r w:rsidRPr="0009182C">
              <w:rPr>
                <w:rFonts w:ascii="Cambria" w:hAnsi="Cambria"/>
                <w:color w:val="000000"/>
                <w:lang w:val="es-CO"/>
              </w:rPr>
              <w:tab/>
              <w:t>Sobre la publicidad</w:t>
            </w:r>
          </w:p>
          <w:p w14:paraId="51F352C5" w14:textId="77777777" w:rsidR="006377C0" w:rsidRPr="0009182C" w:rsidRDefault="006377C0" w:rsidP="00B67A4A">
            <w:pPr>
              <w:spacing w:after="0" w:line="240" w:lineRule="auto"/>
              <w:jc w:val="both"/>
              <w:rPr>
                <w:rFonts w:ascii="Cambria" w:hAnsi="Cambria"/>
                <w:color w:val="080808"/>
                <w:lang w:val="es-CO"/>
              </w:rPr>
            </w:pPr>
            <w:r w:rsidRPr="0009182C">
              <w:rPr>
                <w:rFonts w:ascii="Cambria" w:hAnsi="Cambria"/>
                <w:color w:val="000000"/>
                <w:lang w:val="es-CO"/>
              </w:rPr>
              <w:t>El Gobierno de la República Argentina se compromete a dar a publicidad al presente acuerdo en el Boletín Oficial de la República Argentina, y en los diarios "Clarín", "La Nación" y "Página 12", una vez que éste sea homologado por la Comisión Interamericana de Derechos Humanos conforme a lo dispuesto por el artículo 49 de la Convención Americana sobre Derechos Humanos.</w:t>
            </w:r>
          </w:p>
        </w:tc>
        <w:tc>
          <w:tcPr>
            <w:tcW w:w="1752" w:type="dxa"/>
            <w:tcBorders>
              <w:left w:val="single" w:sz="4" w:space="0" w:color="auto"/>
              <w:bottom w:val="single" w:sz="4" w:space="0" w:color="auto"/>
              <w:right w:val="single" w:sz="4" w:space="0" w:color="auto"/>
            </w:tcBorders>
            <w:vAlign w:val="center"/>
          </w:tcPr>
          <w:p w14:paraId="7EBB2641" w14:textId="77777777" w:rsidR="006377C0" w:rsidRPr="0009182C" w:rsidRDefault="006377C0" w:rsidP="00B67A4A">
            <w:pPr>
              <w:spacing w:after="0" w:line="240" w:lineRule="auto"/>
              <w:jc w:val="center"/>
              <w:rPr>
                <w:rFonts w:ascii="Cambria" w:eastAsia="Batang" w:hAnsi="Cambria"/>
                <w:b/>
                <w:color w:val="080808"/>
                <w:lang w:val="es-CO"/>
              </w:rPr>
            </w:pPr>
            <w:r w:rsidRPr="0009182C">
              <w:rPr>
                <w:rFonts w:ascii="Cambria" w:hAnsi="Cambria"/>
                <w:b/>
                <w:color w:val="000000"/>
                <w:lang w:val="es-CO"/>
              </w:rPr>
              <w:t>Total</w:t>
            </w:r>
            <w:r w:rsidRPr="0009182C">
              <w:rPr>
                <w:rFonts w:ascii="Cambria" w:hAnsi="Cambria"/>
                <w:b/>
                <w:color w:val="000000"/>
                <w:vertAlign w:val="superscript"/>
                <w:lang w:val="es-CO"/>
              </w:rPr>
              <w:footnoteReference w:id="9"/>
            </w:r>
          </w:p>
        </w:tc>
      </w:tr>
    </w:tbl>
    <w:p w14:paraId="5964781F" w14:textId="77777777" w:rsidR="006377C0" w:rsidRPr="0009182C" w:rsidRDefault="006377C0" w:rsidP="006377C0">
      <w:pPr>
        <w:autoSpaceDE w:val="0"/>
        <w:autoSpaceDN w:val="0"/>
        <w:adjustRightInd w:val="0"/>
        <w:spacing w:after="0" w:line="240" w:lineRule="auto"/>
        <w:ind w:left="720"/>
        <w:jc w:val="both"/>
        <w:rPr>
          <w:rFonts w:ascii="Cambria" w:eastAsia="Batang" w:hAnsi="Cambria" w:cs="Calibri Light"/>
          <w:b/>
          <w:color w:val="080808"/>
          <w:lang w:val="es-CO"/>
        </w:rPr>
      </w:pPr>
    </w:p>
    <w:p w14:paraId="7E612230" w14:textId="77777777" w:rsidR="006377C0" w:rsidRPr="0009182C" w:rsidRDefault="006377C0" w:rsidP="006377C0">
      <w:pPr>
        <w:numPr>
          <w:ilvl w:val="0"/>
          <w:numId w:val="1"/>
        </w:numPr>
        <w:autoSpaceDE w:val="0"/>
        <w:autoSpaceDN w:val="0"/>
        <w:adjustRightInd w:val="0"/>
        <w:spacing w:after="0" w:line="240" w:lineRule="auto"/>
        <w:ind w:left="0" w:firstLine="720"/>
        <w:jc w:val="both"/>
        <w:rPr>
          <w:rFonts w:ascii="Cambria" w:eastAsia="Batang" w:hAnsi="Cambria" w:cs="Calibri Light"/>
          <w:b/>
          <w:color w:val="080808"/>
          <w:lang w:val="es-CO"/>
        </w:rPr>
      </w:pPr>
      <w:r w:rsidRPr="0009182C">
        <w:rPr>
          <w:rFonts w:ascii="Cambria" w:eastAsia="Batang" w:hAnsi="Cambria" w:cs="Calibri Light"/>
          <w:b/>
          <w:color w:val="080808"/>
          <w:lang w:val="es-CO"/>
        </w:rPr>
        <w:t>NIVEL DE CUMPLIMIENTO DEL CASO</w:t>
      </w:r>
    </w:p>
    <w:p w14:paraId="6F697EF9" w14:textId="77777777" w:rsidR="006377C0" w:rsidRPr="0009182C" w:rsidRDefault="006377C0" w:rsidP="006377C0">
      <w:pPr>
        <w:spacing w:after="0" w:line="240" w:lineRule="auto"/>
        <w:ind w:firstLine="720"/>
        <w:jc w:val="both"/>
        <w:rPr>
          <w:rFonts w:ascii="Cambria" w:eastAsia="Batang" w:hAnsi="Cambria" w:cs="Calibri Light"/>
          <w:color w:val="080808"/>
          <w:lang w:val="es-CO"/>
        </w:rPr>
      </w:pPr>
    </w:p>
    <w:p w14:paraId="3D391A42" w14:textId="77777777" w:rsidR="006377C0" w:rsidRPr="0009182C" w:rsidRDefault="006377C0" w:rsidP="006377C0">
      <w:pPr>
        <w:numPr>
          <w:ilvl w:val="0"/>
          <w:numId w:val="2"/>
        </w:numPr>
        <w:spacing w:after="0" w:line="240" w:lineRule="auto"/>
        <w:ind w:left="0" w:firstLine="720"/>
        <w:jc w:val="both"/>
        <w:rPr>
          <w:rFonts w:ascii="Cambria" w:eastAsia="Batang" w:hAnsi="Cambria" w:cs="Calibri Light"/>
          <w:bCs/>
          <w:color w:val="080808"/>
          <w:lang w:val="es-CO"/>
        </w:rPr>
      </w:pPr>
      <w:r w:rsidRPr="0009182C">
        <w:rPr>
          <w:rFonts w:ascii="Cambria" w:eastAsia="Batang" w:hAnsi="Cambria" w:cs="Calibri Light"/>
          <w:bCs/>
          <w:color w:val="080808"/>
          <w:lang w:val="es-CO"/>
        </w:rPr>
        <w:t>La Comisión declaró el cumplimiento total del asunto y el cese del seguimiento del acuerdo de solución amistosa en el Informe Anual de 2021.</w:t>
      </w:r>
    </w:p>
    <w:p w14:paraId="52B11CEF" w14:textId="77777777" w:rsidR="006377C0" w:rsidRPr="0009182C" w:rsidRDefault="006377C0" w:rsidP="006377C0">
      <w:pPr>
        <w:spacing w:after="0" w:line="240" w:lineRule="auto"/>
        <w:ind w:firstLine="720"/>
        <w:jc w:val="both"/>
        <w:rPr>
          <w:rFonts w:ascii="Cambria" w:eastAsia="Batang" w:hAnsi="Cambria" w:cs="Calibri Light"/>
          <w:b/>
          <w:color w:val="080808"/>
          <w:lang w:val="es-CO"/>
        </w:rPr>
      </w:pPr>
    </w:p>
    <w:p w14:paraId="6FAFD72F" w14:textId="77777777" w:rsidR="006377C0" w:rsidRPr="0009182C" w:rsidRDefault="006377C0" w:rsidP="006377C0">
      <w:pPr>
        <w:numPr>
          <w:ilvl w:val="0"/>
          <w:numId w:val="1"/>
        </w:numPr>
        <w:spacing w:after="0" w:line="240" w:lineRule="auto"/>
        <w:ind w:left="0" w:firstLine="720"/>
        <w:contextualSpacing/>
        <w:jc w:val="both"/>
        <w:rPr>
          <w:rFonts w:ascii="Cambria" w:eastAsia="Batang" w:hAnsi="Cambria" w:cs="Calibri Light"/>
          <w:b/>
          <w:color w:val="080808"/>
          <w:lang w:val="es-CO"/>
        </w:rPr>
        <w:sectPr w:rsidR="006377C0" w:rsidRPr="0009182C" w:rsidSect="00477809">
          <w:headerReference w:type="default" r:id="rId9"/>
          <w:headerReference w:type="first" r:id="rId10"/>
          <w:footerReference w:type="first" r:id="rId11"/>
          <w:pgSz w:w="12240" w:h="15840"/>
          <w:pgMar w:top="1440" w:right="1440" w:bottom="1440" w:left="1440" w:header="720" w:footer="720" w:gutter="0"/>
          <w:pgNumType w:start="1"/>
          <w:cols w:space="720"/>
          <w:titlePg/>
          <w:docGrid w:linePitch="360"/>
        </w:sectPr>
      </w:pPr>
    </w:p>
    <w:p w14:paraId="47DF2886" w14:textId="77777777" w:rsidR="006377C0" w:rsidRPr="0009182C" w:rsidRDefault="006377C0" w:rsidP="006377C0">
      <w:pPr>
        <w:numPr>
          <w:ilvl w:val="0"/>
          <w:numId w:val="1"/>
        </w:numPr>
        <w:spacing w:after="0" w:line="240" w:lineRule="auto"/>
        <w:ind w:left="0" w:firstLine="720"/>
        <w:contextualSpacing/>
        <w:jc w:val="both"/>
        <w:rPr>
          <w:rFonts w:ascii="Cambria" w:eastAsia="Batang" w:hAnsi="Cambria" w:cs="Calibri Light"/>
          <w:b/>
          <w:color w:val="080808"/>
          <w:lang w:val="es-CO"/>
        </w:rPr>
      </w:pPr>
      <w:r w:rsidRPr="0009182C">
        <w:rPr>
          <w:rFonts w:ascii="Cambria" w:eastAsia="Batang" w:hAnsi="Cambria" w:cs="Calibri Light"/>
          <w:b/>
          <w:color w:val="080808"/>
          <w:lang w:val="es-CO"/>
        </w:rPr>
        <w:lastRenderedPageBreak/>
        <w:t xml:space="preserve">RESULTADOS INDIVIDUALES Y ESTRUCTURALES DEL CASO </w:t>
      </w:r>
    </w:p>
    <w:p w14:paraId="57227FA9" w14:textId="77777777" w:rsidR="006377C0" w:rsidRPr="0009182C" w:rsidRDefault="006377C0" w:rsidP="006377C0">
      <w:pPr>
        <w:spacing w:after="0" w:line="240" w:lineRule="auto"/>
        <w:ind w:left="720"/>
        <w:contextualSpacing/>
        <w:jc w:val="both"/>
        <w:rPr>
          <w:rFonts w:ascii="Cambria" w:eastAsia="Batang" w:hAnsi="Cambria" w:cs="Calibri Light"/>
          <w:b/>
          <w:color w:val="080808"/>
          <w:lang w:val="es-CO"/>
        </w:rPr>
      </w:pPr>
    </w:p>
    <w:p w14:paraId="61884E35" w14:textId="77777777" w:rsidR="006377C0" w:rsidRPr="0009182C" w:rsidRDefault="006377C0" w:rsidP="006377C0">
      <w:pPr>
        <w:numPr>
          <w:ilvl w:val="1"/>
          <w:numId w:val="1"/>
        </w:numPr>
        <w:spacing w:after="0" w:line="240" w:lineRule="auto"/>
        <w:ind w:left="0" w:firstLine="720"/>
        <w:contextualSpacing/>
        <w:jc w:val="both"/>
        <w:rPr>
          <w:rFonts w:ascii="Cambria" w:eastAsia="Batang" w:hAnsi="Cambria" w:cs="Calibri Light"/>
          <w:b/>
          <w:color w:val="080808"/>
          <w:lang w:val="es-CO"/>
        </w:rPr>
      </w:pPr>
      <w:r w:rsidRPr="0009182C">
        <w:rPr>
          <w:rFonts w:ascii="Cambria" w:eastAsia="Batang" w:hAnsi="Cambria" w:cs="Calibri Light"/>
          <w:b/>
          <w:color w:val="080808"/>
          <w:lang w:val="es-CO"/>
        </w:rPr>
        <w:t>Resultados individuales del caso</w:t>
      </w:r>
    </w:p>
    <w:p w14:paraId="452D42F6" w14:textId="77777777" w:rsidR="006377C0" w:rsidRPr="0009182C" w:rsidRDefault="006377C0" w:rsidP="006377C0">
      <w:pPr>
        <w:spacing w:after="0" w:line="240" w:lineRule="auto"/>
        <w:ind w:left="1440" w:hanging="720"/>
        <w:contextualSpacing/>
        <w:jc w:val="both"/>
        <w:rPr>
          <w:rFonts w:ascii="Cambria" w:eastAsia="Batang" w:hAnsi="Cambria" w:cs="Calibri Light"/>
          <w:b/>
          <w:color w:val="080808"/>
          <w:lang w:val="es-CO"/>
        </w:rPr>
      </w:pPr>
    </w:p>
    <w:p w14:paraId="746EACEF" w14:textId="77777777" w:rsidR="006377C0" w:rsidRPr="0009182C" w:rsidRDefault="006377C0" w:rsidP="006377C0">
      <w:pPr>
        <w:numPr>
          <w:ilvl w:val="0"/>
          <w:numId w:val="3"/>
        </w:numPr>
        <w:spacing w:after="0" w:line="240" w:lineRule="auto"/>
        <w:ind w:left="1440" w:hanging="731"/>
        <w:jc w:val="both"/>
        <w:rPr>
          <w:rFonts w:ascii="Cambria" w:hAnsi="Cambria"/>
          <w:color w:val="000000"/>
          <w:lang w:val="es-CO"/>
        </w:rPr>
      </w:pPr>
      <w:r w:rsidRPr="0009182C">
        <w:rPr>
          <w:rFonts w:ascii="Cambria" w:hAnsi="Cambria"/>
          <w:color w:val="000000"/>
          <w:lang w:val="es-CO"/>
        </w:rPr>
        <w:t>El Estado reconoció los hechos, según lo acordado;</w:t>
      </w:r>
    </w:p>
    <w:p w14:paraId="54ED374C" w14:textId="77777777" w:rsidR="006377C0" w:rsidRPr="0009182C" w:rsidRDefault="006377C0" w:rsidP="006377C0">
      <w:pPr>
        <w:numPr>
          <w:ilvl w:val="0"/>
          <w:numId w:val="3"/>
        </w:numPr>
        <w:spacing w:after="0" w:line="240" w:lineRule="auto"/>
        <w:ind w:left="1440" w:hanging="731"/>
        <w:jc w:val="both"/>
        <w:rPr>
          <w:rFonts w:ascii="Cambria" w:hAnsi="Cambria"/>
          <w:color w:val="000000"/>
          <w:lang w:val="es-CO"/>
        </w:rPr>
      </w:pPr>
      <w:r w:rsidRPr="0009182C">
        <w:rPr>
          <w:rFonts w:ascii="Cambria" w:hAnsi="Cambria"/>
          <w:color w:val="000000"/>
          <w:lang w:val="es-CO"/>
        </w:rPr>
        <w:t xml:space="preserve">El Estado realizó la publicación del acuerdo de solución amistosa, según lo acordado. </w:t>
      </w:r>
    </w:p>
    <w:p w14:paraId="2B6F3CCC" w14:textId="77777777" w:rsidR="006377C0" w:rsidRPr="0009182C" w:rsidRDefault="006377C0" w:rsidP="006377C0">
      <w:pPr>
        <w:tabs>
          <w:tab w:val="left" w:pos="0"/>
        </w:tabs>
        <w:spacing w:after="0" w:line="240" w:lineRule="auto"/>
        <w:ind w:left="1440" w:hanging="731"/>
        <w:contextualSpacing/>
        <w:jc w:val="both"/>
        <w:rPr>
          <w:rFonts w:ascii="Cambria" w:hAnsi="Cambria"/>
          <w:color w:val="080808"/>
          <w:lang w:val="es-CO"/>
        </w:rPr>
      </w:pPr>
    </w:p>
    <w:p w14:paraId="657C1DF2" w14:textId="77777777" w:rsidR="006377C0" w:rsidRPr="0009182C" w:rsidRDefault="006377C0" w:rsidP="006377C0">
      <w:pPr>
        <w:numPr>
          <w:ilvl w:val="1"/>
          <w:numId w:val="1"/>
        </w:numPr>
        <w:spacing w:after="0" w:line="240" w:lineRule="auto"/>
        <w:ind w:left="0" w:firstLine="720"/>
        <w:contextualSpacing/>
        <w:jc w:val="both"/>
        <w:rPr>
          <w:rFonts w:ascii="Cambria" w:eastAsia="Batang" w:hAnsi="Cambria" w:cs="Calibri Light"/>
          <w:b/>
          <w:color w:val="080808"/>
          <w:lang w:val="es-CO"/>
        </w:rPr>
      </w:pPr>
      <w:r w:rsidRPr="0009182C">
        <w:rPr>
          <w:rFonts w:ascii="Cambria" w:eastAsia="Batang" w:hAnsi="Cambria" w:cs="Calibri Light"/>
          <w:b/>
          <w:color w:val="080808"/>
          <w:lang w:val="es-CO"/>
        </w:rPr>
        <w:t>Resultados estructurales del caso</w:t>
      </w:r>
    </w:p>
    <w:p w14:paraId="6595C3D3" w14:textId="77777777" w:rsidR="006377C0" w:rsidRPr="0009182C" w:rsidRDefault="006377C0" w:rsidP="006377C0">
      <w:pPr>
        <w:tabs>
          <w:tab w:val="left" w:pos="0"/>
        </w:tabs>
        <w:spacing w:after="0" w:line="240" w:lineRule="auto"/>
        <w:contextualSpacing/>
        <w:jc w:val="both"/>
        <w:rPr>
          <w:rFonts w:ascii="Cambria" w:eastAsia="Batang" w:hAnsi="Cambria" w:cs="Calibri Light"/>
          <w:color w:val="080808"/>
          <w:lang w:val="es-CO"/>
        </w:rPr>
      </w:pPr>
    </w:p>
    <w:p w14:paraId="3D86599B" w14:textId="77777777" w:rsidR="006377C0" w:rsidRPr="0009182C" w:rsidRDefault="006377C0" w:rsidP="006377C0">
      <w:pPr>
        <w:pStyle w:val="MediumGrid21"/>
        <w:numPr>
          <w:ilvl w:val="0"/>
          <w:numId w:val="3"/>
        </w:numPr>
        <w:ind w:left="1440" w:hanging="720"/>
        <w:jc w:val="both"/>
        <w:rPr>
          <w:rFonts w:ascii="Cambria" w:hAnsi="Cambria"/>
          <w:color w:val="000000"/>
          <w:lang w:val="es-CO"/>
        </w:rPr>
      </w:pPr>
      <w:r w:rsidRPr="0009182C">
        <w:rPr>
          <w:rFonts w:ascii="Cambria" w:hAnsi="Cambria"/>
          <w:color w:val="000000"/>
          <w:lang w:val="es-CO"/>
        </w:rPr>
        <w:t>Se creó la “Unidad de Regularización Documental de las víctimas de violaciones de los Derechos Humanos en el marco del accionar del terrorismo de estado”.</w:t>
      </w:r>
    </w:p>
    <w:p w14:paraId="662874FC" w14:textId="77777777" w:rsidR="006377C0" w:rsidRPr="0009182C" w:rsidRDefault="006377C0" w:rsidP="006377C0">
      <w:pPr>
        <w:pStyle w:val="MediumGrid21"/>
        <w:numPr>
          <w:ilvl w:val="0"/>
          <w:numId w:val="3"/>
        </w:numPr>
        <w:ind w:left="1440" w:hanging="720"/>
        <w:jc w:val="both"/>
        <w:rPr>
          <w:rFonts w:ascii="Cambria" w:hAnsi="Cambria"/>
          <w:color w:val="000000"/>
          <w:lang w:val="es-CO"/>
        </w:rPr>
      </w:pPr>
      <w:r w:rsidRPr="0009182C">
        <w:rPr>
          <w:rFonts w:ascii="Cambria" w:hAnsi="Cambria"/>
          <w:color w:val="000000"/>
          <w:lang w:val="es-CO"/>
        </w:rPr>
        <w:t>Se crearon procedimientos para la obtención de muestras de ADN para la identificación de los nietos sustraídos durante la dictadura.</w:t>
      </w:r>
    </w:p>
    <w:p w14:paraId="391CD40B" w14:textId="77777777" w:rsidR="006377C0" w:rsidRPr="0009182C" w:rsidRDefault="006377C0" w:rsidP="006377C0">
      <w:pPr>
        <w:pStyle w:val="MediumGrid21"/>
        <w:numPr>
          <w:ilvl w:val="0"/>
          <w:numId w:val="3"/>
        </w:numPr>
        <w:ind w:left="1440" w:hanging="720"/>
        <w:jc w:val="both"/>
        <w:rPr>
          <w:rFonts w:ascii="Cambria" w:hAnsi="Cambria"/>
          <w:color w:val="000000"/>
          <w:lang w:val="es-CO"/>
        </w:rPr>
      </w:pPr>
      <w:r w:rsidRPr="0009182C">
        <w:rPr>
          <w:rFonts w:ascii="Cambria" w:hAnsi="Cambria"/>
          <w:color w:val="000000"/>
          <w:lang w:val="es-CO"/>
        </w:rPr>
        <w:t>Se instauró el "Grupo de Asistencia Judicial", en virtud de la Resolución No. 1229-1209 del Ministerio de Justicia y Derechos Humanos.</w:t>
      </w:r>
    </w:p>
    <w:p w14:paraId="21FF8470" w14:textId="77777777" w:rsidR="006377C0" w:rsidRPr="0009182C" w:rsidRDefault="006377C0" w:rsidP="006377C0">
      <w:pPr>
        <w:pStyle w:val="MediumGrid21"/>
        <w:numPr>
          <w:ilvl w:val="0"/>
          <w:numId w:val="3"/>
        </w:numPr>
        <w:ind w:left="1440" w:hanging="720"/>
        <w:jc w:val="both"/>
        <w:rPr>
          <w:rFonts w:ascii="Cambria" w:hAnsi="Cambria"/>
          <w:color w:val="000000"/>
          <w:lang w:val="es-CO"/>
        </w:rPr>
      </w:pPr>
      <w:r w:rsidRPr="0009182C">
        <w:rPr>
          <w:rFonts w:ascii="Cambria" w:hAnsi="Cambria"/>
          <w:color w:val="000000"/>
          <w:lang w:val="es-CO"/>
        </w:rPr>
        <w:t>Se optimizó y profundizó la aplicación de la Resolución N° 1229/09 del Ministro de Justicia, Seguridad y Derechos Humanos de la Nación.</w:t>
      </w:r>
    </w:p>
    <w:p w14:paraId="62887961" w14:textId="77777777" w:rsidR="006377C0" w:rsidRPr="0009182C" w:rsidRDefault="006377C0" w:rsidP="006377C0">
      <w:pPr>
        <w:pStyle w:val="Default"/>
        <w:numPr>
          <w:ilvl w:val="0"/>
          <w:numId w:val="3"/>
        </w:numPr>
        <w:ind w:left="1440" w:hanging="720"/>
        <w:jc w:val="both"/>
        <w:rPr>
          <w:rFonts w:cs="Times New Roman"/>
          <w:sz w:val="22"/>
          <w:szCs w:val="22"/>
          <w:lang w:val="es-CO" w:eastAsia="en-US"/>
        </w:rPr>
      </w:pPr>
      <w:r w:rsidRPr="0009182C">
        <w:rPr>
          <w:rFonts w:cs="Times New Roman"/>
          <w:sz w:val="22"/>
          <w:szCs w:val="22"/>
          <w:lang w:val="es-CO" w:eastAsia="en-US"/>
        </w:rPr>
        <w:t>Se aprobó un Protocolo de actuación para casos de apropiación de niños durante el terrorismo de Estado.</w:t>
      </w:r>
    </w:p>
    <w:p w14:paraId="28A55D06" w14:textId="77777777" w:rsidR="006377C0" w:rsidRPr="0009182C" w:rsidRDefault="006377C0" w:rsidP="006377C0">
      <w:pPr>
        <w:pStyle w:val="Default"/>
        <w:numPr>
          <w:ilvl w:val="0"/>
          <w:numId w:val="3"/>
        </w:numPr>
        <w:ind w:left="1440" w:hanging="720"/>
        <w:jc w:val="both"/>
        <w:rPr>
          <w:rFonts w:cs="Times New Roman"/>
          <w:sz w:val="22"/>
          <w:szCs w:val="22"/>
          <w:lang w:val="es-CO" w:eastAsia="en-US"/>
        </w:rPr>
      </w:pPr>
      <w:r w:rsidRPr="0009182C">
        <w:rPr>
          <w:rFonts w:cs="Times New Roman"/>
          <w:sz w:val="22"/>
          <w:szCs w:val="22"/>
          <w:lang w:val="es-CO" w:eastAsia="en-US"/>
        </w:rPr>
        <w:t>Se creó el Centro de Asistencia a Víctimas de Violaciones de Derechos Humanos “Dr. Fernando Ulloa”, creado por la Secretaría de Derechos Humanos del Ministerio de Justicia y Derechos Humanos de la Nación, elaboró un “Protocolo de intervención para el tratamiento de víctimas – testigos en el marco de procesos judiciales”, dirigido a magistrados, funcionarios y operadores que tengan participación en el abordaje judicial de testigos y víctimas del terrorismo de Estado, como una guía que busca evitar la revictimización de las víctimas testigo.</w:t>
      </w:r>
    </w:p>
    <w:p w14:paraId="6AEE8066" w14:textId="77777777" w:rsidR="006377C0" w:rsidRPr="0009182C" w:rsidRDefault="006377C0" w:rsidP="006377C0">
      <w:pPr>
        <w:pStyle w:val="Default"/>
        <w:numPr>
          <w:ilvl w:val="0"/>
          <w:numId w:val="3"/>
        </w:numPr>
        <w:ind w:left="1440" w:hanging="720"/>
        <w:jc w:val="both"/>
        <w:rPr>
          <w:rFonts w:cs="Times New Roman"/>
          <w:sz w:val="22"/>
          <w:szCs w:val="22"/>
          <w:lang w:val="es-CO" w:eastAsia="en-US"/>
        </w:rPr>
      </w:pPr>
      <w:r w:rsidRPr="0009182C">
        <w:rPr>
          <w:rFonts w:cs="Times New Roman"/>
          <w:sz w:val="22"/>
          <w:szCs w:val="22"/>
          <w:lang w:val="es-CO" w:eastAsia="en-US"/>
        </w:rPr>
        <w:t>La Procuradora General de la Nación aprobó un curso diseñado por la citada Unidad Especializada sobre la investigación de delitos de apropiación de niños durante el terrorismo de Estado.</w:t>
      </w:r>
    </w:p>
    <w:p w14:paraId="5AC0C55C" w14:textId="77777777" w:rsidR="006377C0" w:rsidRPr="0009182C" w:rsidRDefault="006377C0" w:rsidP="006377C0">
      <w:pPr>
        <w:pStyle w:val="MediumGrid21"/>
        <w:numPr>
          <w:ilvl w:val="0"/>
          <w:numId w:val="3"/>
        </w:numPr>
        <w:ind w:left="1440" w:right="-270" w:hanging="720"/>
        <w:jc w:val="both"/>
        <w:rPr>
          <w:rFonts w:ascii="Cambria" w:hAnsi="Cambria"/>
          <w:color w:val="000000"/>
          <w:lang w:val="es-CO"/>
        </w:rPr>
      </w:pPr>
      <w:r w:rsidRPr="0009182C">
        <w:rPr>
          <w:rFonts w:ascii="Cambria" w:hAnsi="Cambria"/>
          <w:color w:val="000000"/>
          <w:lang w:val="es-CO"/>
        </w:rPr>
        <w:t>Se dictaron cursos de capacitación para funcionarios públicos.</w:t>
      </w:r>
    </w:p>
    <w:p w14:paraId="30604173" w14:textId="77777777" w:rsidR="006377C0" w:rsidRPr="0009182C" w:rsidRDefault="006377C0" w:rsidP="006377C0">
      <w:pPr>
        <w:pStyle w:val="MediumGrid21"/>
        <w:numPr>
          <w:ilvl w:val="0"/>
          <w:numId w:val="3"/>
        </w:numPr>
        <w:ind w:left="1440" w:right="-270" w:hanging="720"/>
        <w:jc w:val="both"/>
        <w:rPr>
          <w:rFonts w:ascii="Cambria" w:hAnsi="Cambria"/>
          <w:color w:val="000000"/>
          <w:lang w:val="es-CO"/>
        </w:rPr>
      </w:pPr>
      <w:r w:rsidRPr="0009182C">
        <w:rPr>
          <w:rFonts w:ascii="Cambria" w:hAnsi="Cambria"/>
          <w:color w:val="000000"/>
          <w:lang w:val="es-CO"/>
        </w:rPr>
        <w:t>Se establecieron mecanismos específicos para facilitar la corrección de la documentación y los registros públicos y privados, tanto nacionales como provinciales y municipales, de toda persona cuya identidad haya sido sustituida durante la dictadura militar, a fin de favorecer el proceso de restitución de la identidad.</w:t>
      </w:r>
    </w:p>
    <w:p w14:paraId="77BBA93F" w14:textId="77777777" w:rsidR="006377C0" w:rsidRPr="0009182C" w:rsidRDefault="006377C0" w:rsidP="006377C0">
      <w:pPr>
        <w:numPr>
          <w:ilvl w:val="0"/>
          <w:numId w:val="3"/>
        </w:numPr>
        <w:spacing w:after="0" w:line="240" w:lineRule="auto"/>
        <w:ind w:left="1440" w:right="-270" w:hanging="720"/>
        <w:jc w:val="both"/>
        <w:rPr>
          <w:rFonts w:ascii="Cambria" w:hAnsi="Cambria"/>
          <w:color w:val="000000"/>
          <w:lang w:val="es-CO"/>
        </w:rPr>
      </w:pPr>
      <w:r w:rsidRPr="0009182C">
        <w:rPr>
          <w:rFonts w:ascii="Cambria" w:hAnsi="Cambria"/>
          <w:color w:val="000000"/>
          <w:lang w:val="es-CO"/>
        </w:rPr>
        <w:t xml:space="preserve">El Estado constituyó una mesa de trabajo con la participación de la parte peticionaria, representantes del Consejo de la Magistratura de la Nación y la Secretaría de Derechos Humanos, según lo acordado en el ASA. </w:t>
      </w:r>
    </w:p>
    <w:p w14:paraId="3FD54DB8" w14:textId="77777777" w:rsidR="006377C0" w:rsidRDefault="006377C0" w:rsidP="006377C0">
      <w:pPr>
        <w:numPr>
          <w:ilvl w:val="0"/>
          <w:numId w:val="3"/>
        </w:numPr>
        <w:spacing w:after="0" w:line="240" w:lineRule="auto"/>
        <w:ind w:left="1440" w:right="-270" w:hanging="720"/>
        <w:jc w:val="both"/>
        <w:rPr>
          <w:rFonts w:ascii="Cambria" w:hAnsi="Cambria"/>
          <w:color w:val="000000"/>
          <w:lang w:val="es-CO"/>
        </w:rPr>
      </w:pPr>
      <w:bookmarkStart w:id="31" w:name="_Hlk87454512"/>
      <w:r w:rsidRPr="0009182C">
        <w:rPr>
          <w:rFonts w:ascii="Cambria" w:hAnsi="Cambria"/>
          <w:color w:val="000000"/>
          <w:lang w:val="es-CO"/>
        </w:rPr>
        <w:t>Se instauró el curso “</w:t>
      </w:r>
      <w:r w:rsidRPr="0009182C">
        <w:rPr>
          <w:rFonts w:ascii="Cambria" w:hAnsi="Cambria"/>
          <w:i/>
          <w:iCs/>
          <w:color w:val="000000"/>
          <w:lang w:val="es-CO"/>
        </w:rPr>
        <w:t>La investigación en casos de apropiación de niños y niñas durante el terrorismo de Estado</w:t>
      </w:r>
      <w:r w:rsidRPr="0009182C">
        <w:rPr>
          <w:rFonts w:ascii="Cambria" w:hAnsi="Cambria"/>
          <w:color w:val="000000"/>
          <w:lang w:val="es-CO"/>
        </w:rPr>
        <w:t>” de la Escuela Judicial del Consejo de la Magistratura.</w:t>
      </w:r>
      <w:bookmarkEnd w:id="31"/>
    </w:p>
    <w:p w14:paraId="5425A67E" w14:textId="77777777" w:rsidR="00730587" w:rsidRPr="006377C0" w:rsidRDefault="00730587">
      <w:pPr>
        <w:rPr>
          <w:lang w:val="es-CO"/>
        </w:rPr>
      </w:pPr>
    </w:p>
    <w:sectPr w:rsidR="00730587" w:rsidRPr="006377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962B7" w14:textId="77777777" w:rsidR="006377C0" w:rsidRDefault="006377C0" w:rsidP="006377C0">
      <w:pPr>
        <w:spacing w:after="0" w:line="240" w:lineRule="auto"/>
      </w:pPr>
      <w:r>
        <w:separator/>
      </w:r>
    </w:p>
  </w:endnote>
  <w:endnote w:type="continuationSeparator" w:id="0">
    <w:p w14:paraId="790805CA" w14:textId="77777777" w:rsidR="006377C0" w:rsidRDefault="006377C0" w:rsidP="00637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CB1FA" w14:textId="77777777" w:rsidR="006377C0" w:rsidRDefault="001631CD" w:rsidP="006377C0">
    <w:pPr>
      <w:pStyle w:val="Footer"/>
      <w:spacing w:line="360" w:lineRule="auto"/>
      <w:jc w:val="right"/>
    </w:pPr>
    <w:bookmarkStart w:id="21" w:name="_Hlk129090884"/>
    <w:bookmarkStart w:id="22" w:name="_Hlk129090885"/>
    <w:bookmarkStart w:id="23" w:name="_Hlk129091044"/>
    <w:bookmarkStart w:id="24" w:name="_Hlk129091045"/>
    <w:bookmarkStart w:id="25" w:name="_Hlk129091049"/>
    <w:bookmarkStart w:id="26" w:name="_Hlk129091050"/>
    <w:bookmarkStart w:id="27" w:name="_Hlk129091188"/>
    <w:bookmarkStart w:id="28" w:name="_Hlk129091189"/>
    <w:bookmarkStart w:id="29" w:name="_Hlk129091982"/>
    <w:bookmarkStart w:id="30" w:name="_Hlk129091983"/>
    <w:r>
      <w:pict w14:anchorId="0611E119">
        <v:rect id="_x0000_i1027" style="width:0;height:1.5pt" o:hralign="center" o:hrstd="t" o:hr="t" fillcolor="#a0a0a0" stroked="f"/>
      </w:pict>
    </w:r>
  </w:p>
  <w:p w14:paraId="2E8488AE" w14:textId="3837A994" w:rsidR="006377C0" w:rsidRDefault="006377C0" w:rsidP="006377C0">
    <w:pPr>
      <w:pStyle w:val="Footer"/>
      <w:jc w:val="center"/>
    </w:pPr>
    <w:r w:rsidRPr="008A5CB5">
      <w:rPr>
        <w:noProof/>
      </w:rPr>
      <w:drawing>
        <wp:inline distT="0" distB="0" distL="0" distR="0" wp14:anchorId="76F52FEE" wp14:editId="45751872">
          <wp:extent cx="5117465" cy="324485"/>
          <wp:effectExtent l="0" t="0" r="6985" b="0"/>
          <wp:docPr id="4" name="Picture 4" descr="C:\Users\mfontana\Documents\Eva Fontana\GRAFICA CIDH\cartas\logos\foote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mfontana\Documents\Eva Fontana\GRAFICA CIDH\cartas\logos\foote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7465" cy="324485"/>
                  </a:xfrm>
                  <a:prstGeom prst="rect">
                    <a:avLst/>
                  </a:prstGeom>
                  <a:noFill/>
                  <a:ln>
                    <a:noFill/>
                  </a:ln>
                </pic:spPr>
              </pic:pic>
            </a:graphicData>
          </a:graphic>
        </wp:inline>
      </w:drawing>
    </w:r>
    <w:bookmarkEnd w:id="21"/>
    <w:bookmarkEnd w:id="22"/>
    <w:bookmarkEnd w:id="23"/>
    <w:bookmarkEnd w:id="24"/>
    <w:bookmarkEnd w:id="25"/>
    <w:bookmarkEnd w:id="26"/>
    <w:bookmarkEnd w:id="27"/>
    <w:bookmarkEnd w:id="28"/>
    <w:bookmarkEnd w:id="29"/>
    <w:bookmarkEnd w:id="30"/>
  </w:p>
  <w:p w14:paraId="45A68963" w14:textId="77777777" w:rsidR="006377C0" w:rsidRDefault="006377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7D8F8" w14:textId="77777777" w:rsidR="006377C0" w:rsidRDefault="006377C0" w:rsidP="006377C0">
      <w:pPr>
        <w:spacing w:after="0" w:line="240" w:lineRule="auto"/>
      </w:pPr>
      <w:r>
        <w:separator/>
      </w:r>
    </w:p>
  </w:footnote>
  <w:footnote w:type="continuationSeparator" w:id="0">
    <w:p w14:paraId="1A415127" w14:textId="77777777" w:rsidR="006377C0" w:rsidRDefault="006377C0" w:rsidP="006377C0">
      <w:pPr>
        <w:spacing w:after="0" w:line="240" w:lineRule="auto"/>
      </w:pPr>
      <w:r>
        <w:continuationSeparator/>
      </w:r>
    </w:p>
  </w:footnote>
  <w:footnote w:id="1">
    <w:p w14:paraId="6C92BCAB" w14:textId="77777777" w:rsidR="006377C0" w:rsidRPr="00254A60" w:rsidRDefault="006377C0" w:rsidP="006377C0">
      <w:pPr>
        <w:pStyle w:val="FootnoteText"/>
        <w:tabs>
          <w:tab w:val="left" w:pos="180"/>
        </w:tabs>
        <w:spacing w:after="0" w:line="240" w:lineRule="auto"/>
        <w:ind w:firstLine="709"/>
        <w:jc w:val="both"/>
        <w:rPr>
          <w:rFonts w:ascii="Cambria" w:hAnsi="Cambria"/>
          <w:color w:val="000000"/>
          <w:sz w:val="16"/>
          <w:szCs w:val="16"/>
          <w:lang w:val="es-CO"/>
        </w:rPr>
      </w:pPr>
      <w:r w:rsidRPr="00254A60">
        <w:rPr>
          <w:rStyle w:val="FootnoteReference"/>
          <w:rFonts w:ascii="Cambria" w:hAnsi="Cambria"/>
          <w:color w:val="000000"/>
          <w:sz w:val="16"/>
          <w:szCs w:val="16"/>
        </w:rPr>
        <w:footnoteRef/>
      </w:r>
      <w:r w:rsidRPr="00254A60">
        <w:rPr>
          <w:rStyle w:val="FootnoteReference"/>
          <w:rFonts w:ascii="Cambria" w:hAnsi="Cambria"/>
          <w:color w:val="000000"/>
          <w:sz w:val="16"/>
          <w:szCs w:val="16"/>
          <w:lang w:val="es-VE"/>
        </w:rPr>
        <w:t xml:space="preserve"> </w:t>
      </w:r>
      <w:r w:rsidRPr="00254A60">
        <w:rPr>
          <w:rFonts w:ascii="Cambria" w:hAnsi="Cambria"/>
          <w:color w:val="000000"/>
          <w:sz w:val="16"/>
          <w:szCs w:val="16"/>
          <w:lang w:val="es-CO"/>
        </w:rPr>
        <w:t>CIDH, Informe 160/10, Petición 242-03. Solución Amistosa. Inocencia Luca de Pegoraro y otros. Argentina. Aprobado el 1 de noviembre de 2010.</w:t>
      </w:r>
    </w:p>
  </w:footnote>
  <w:footnote w:id="2">
    <w:p w14:paraId="545CDF49" w14:textId="77777777" w:rsidR="006377C0" w:rsidRPr="00254A60" w:rsidRDefault="006377C0" w:rsidP="006377C0">
      <w:pPr>
        <w:pStyle w:val="FootnoteText"/>
        <w:tabs>
          <w:tab w:val="left" w:pos="180"/>
        </w:tabs>
        <w:spacing w:after="0" w:line="240" w:lineRule="auto"/>
        <w:ind w:firstLine="709"/>
        <w:jc w:val="both"/>
        <w:rPr>
          <w:rFonts w:ascii="Cambria" w:hAnsi="Cambria"/>
          <w:color w:val="000000"/>
          <w:sz w:val="16"/>
          <w:szCs w:val="16"/>
          <w:lang w:val="es-CO"/>
        </w:rPr>
      </w:pPr>
      <w:r w:rsidRPr="00254A60">
        <w:rPr>
          <w:rStyle w:val="FootnoteReference"/>
          <w:rFonts w:ascii="Cambria" w:hAnsi="Cambria"/>
          <w:color w:val="000000"/>
          <w:sz w:val="16"/>
          <w:szCs w:val="16"/>
        </w:rPr>
        <w:footnoteRef/>
      </w:r>
      <w:r w:rsidRPr="00254A60">
        <w:rPr>
          <w:rFonts w:ascii="Cambria" w:hAnsi="Cambria"/>
          <w:color w:val="000000"/>
          <w:sz w:val="16"/>
          <w:szCs w:val="16"/>
          <w:lang w:val="es-CO"/>
        </w:rPr>
        <w:t xml:space="preserve"> CIDH, Informe 160/10, Petición 242-03. Solución Amistosa. Inocencia Luca de Pegoraro y otros. Argentina. Aprobado el 1 de noviembre de 2010.</w:t>
      </w:r>
    </w:p>
  </w:footnote>
  <w:footnote w:id="3">
    <w:p w14:paraId="09EED468" w14:textId="77777777" w:rsidR="006377C0" w:rsidRPr="00254A60" w:rsidRDefault="006377C0" w:rsidP="006377C0">
      <w:pPr>
        <w:pStyle w:val="FootnoteText"/>
        <w:tabs>
          <w:tab w:val="left" w:pos="180"/>
        </w:tabs>
        <w:spacing w:after="0" w:line="240" w:lineRule="auto"/>
        <w:ind w:firstLine="709"/>
        <w:jc w:val="both"/>
        <w:rPr>
          <w:rFonts w:ascii="Cambria" w:hAnsi="Cambria"/>
          <w:color w:val="000000"/>
          <w:sz w:val="16"/>
          <w:szCs w:val="16"/>
          <w:lang w:val="es-VE"/>
        </w:rPr>
      </w:pPr>
      <w:r w:rsidRPr="00254A60">
        <w:rPr>
          <w:rStyle w:val="FootnoteReference"/>
          <w:rFonts w:ascii="Cambria" w:hAnsi="Cambria"/>
          <w:color w:val="000000"/>
          <w:sz w:val="16"/>
          <w:szCs w:val="16"/>
        </w:rPr>
        <w:footnoteRef/>
      </w:r>
      <w:r w:rsidRPr="00254A60">
        <w:rPr>
          <w:rFonts w:ascii="Cambria" w:hAnsi="Cambria"/>
          <w:color w:val="000000"/>
          <w:sz w:val="16"/>
          <w:szCs w:val="16"/>
          <w:lang w:val="es-CO"/>
        </w:rPr>
        <w:t xml:space="preserve"> CIDH, Informe 160/10, Petición 242-03. Solución Amistosa. Inocencia Luca de Pegoraro y otros. Argentina. Aprobado el 1 de noviembre de 2010.</w:t>
      </w:r>
    </w:p>
  </w:footnote>
  <w:footnote w:id="4">
    <w:p w14:paraId="2A5747F0" w14:textId="77777777" w:rsidR="006377C0" w:rsidRPr="00254A60" w:rsidRDefault="006377C0" w:rsidP="006377C0">
      <w:pPr>
        <w:pStyle w:val="FootnoteText"/>
        <w:tabs>
          <w:tab w:val="left" w:pos="180"/>
        </w:tabs>
        <w:spacing w:after="0" w:line="240" w:lineRule="auto"/>
        <w:ind w:firstLine="709"/>
        <w:jc w:val="both"/>
        <w:rPr>
          <w:rFonts w:ascii="Cambria" w:hAnsi="Cambria"/>
          <w:color w:val="000000"/>
          <w:sz w:val="16"/>
          <w:szCs w:val="16"/>
          <w:lang w:val="es-VE"/>
        </w:rPr>
      </w:pPr>
      <w:r w:rsidRPr="00254A60">
        <w:rPr>
          <w:rStyle w:val="FootnoteReference"/>
          <w:rFonts w:ascii="Cambria" w:hAnsi="Cambria"/>
          <w:color w:val="000000"/>
          <w:sz w:val="16"/>
          <w:szCs w:val="16"/>
        </w:rPr>
        <w:footnoteRef/>
      </w:r>
      <w:r w:rsidRPr="00254A60">
        <w:rPr>
          <w:rFonts w:ascii="Cambria" w:hAnsi="Cambria"/>
          <w:color w:val="000000"/>
          <w:sz w:val="16"/>
          <w:szCs w:val="16"/>
          <w:lang w:val="es-VE"/>
        </w:rPr>
        <w:t xml:space="preserve"> </w:t>
      </w:r>
      <w:r w:rsidRPr="00254A60">
        <w:rPr>
          <w:rFonts w:ascii="Cambria" w:hAnsi="Cambria"/>
          <w:color w:val="000000"/>
          <w:sz w:val="16"/>
          <w:szCs w:val="16"/>
          <w:lang w:val="es-CO"/>
        </w:rPr>
        <w:t xml:space="preserve">CIDH, Informe Anual 2016, Capítulo III, Sección D: Estado de Cumplimiento de las Recomendaciones de la CIDH, párrs. 172 – 193 Disponible en:  </w:t>
      </w:r>
      <w:hyperlink r:id="rId1" w:history="1">
        <w:r w:rsidRPr="00254A60">
          <w:rPr>
            <w:rStyle w:val="Hyperlink"/>
            <w:rFonts w:ascii="Cambria" w:hAnsi="Cambria"/>
            <w:color w:val="000000"/>
            <w:sz w:val="16"/>
            <w:szCs w:val="16"/>
            <w:lang w:val="es-CO"/>
          </w:rPr>
          <w:t>http://www.oas.org/es/cidh/docs/anual/2016/docs/InformeAnual2016cap2Dseguimiento-es.pdf</w:t>
        </w:r>
      </w:hyperlink>
    </w:p>
  </w:footnote>
  <w:footnote w:id="5">
    <w:p w14:paraId="716F97D4" w14:textId="77777777" w:rsidR="006377C0" w:rsidRPr="00254A60" w:rsidRDefault="006377C0" w:rsidP="006377C0">
      <w:pPr>
        <w:spacing w:after="0" w:line="240" w:lineRule="auto"/>
        <w:ind w:firstLine="709"/>
        <w:jc w:val="both"/>
        <w:rPr>
          <w:rFonts w:ascii="Cambria" w:hAnsi="Cambria"/>
          <w:color w:val="000000" w:themeColor="text1"/>
          <w:sz w:val="16"/>
          <w:szCs w:val="16"/>
          <w:lang w:val="es-CO"/>
        </w:rPr>
      </w:pPr>
      <w:r w:rsidRPr="00254A60">
        <w:rPr>
          <w:rStyle w:val="FootnoteReference"/>
          <w:rFonts w:ascii="Cambria" w:hAnsi="Cambria"/>
          <w:color w:val="000000" w:themeColor="text1"/>
          <w:sz w:val="16"/>
          <w:szCs w:val="16"/>
        </w:rPr>
        <w:footnoteRef/>
      </w:r>
      <w:r w:rsidRPr="00254A60">
        <w:rPr>
          <w:rFonts w:ascii="Cambria" w:hAnsi="Cambria"/>
          <w:color w:val="000000" w:themeColor="text1"/>
          <w:sz w:val="16"/>
          <w:szCs w:val="16"/>
          <w:lang w:val="es-VE"/>
        </w:rPr>
        <w:t xml:space="preserve"> </w:t>
      </w:r>
      <w:r w:rsidRPr="00254A60">
        <w:rPr>
          <w:rFonts w:ascii="Cambria" w:hAnsi="Cambria"/>
          <w:color w:val="000000" w:themeColor="text1"/>
          <w:sz w:val="16"/>
          <w:szCs w:val="16"/>
          <w:lang w:val="es-ES"/>
        </w:rPr>
        <w:t xml:space="preserve">Ver CIDH, Informe Anual 2018, Capítulo II, Sección G. Estado del cumplimiento de las recomendaciones de la CIDH emitidas en informes de fondo y de los acuerdos de solución amistosa homologados por la CIDH, </w:t>
      </w:r>
      <w:r w:rsidRPr="00254A60">
        <w:rPr>
          <w:rFonts w:ascii="Cambria" w:hAnsi="Cambria"/>
          <w:color w:val="000000" w:themeColor="text1"/>
          <w:sz w:val="16"/>
          <w:szCs w:val="16"/>
          <w:lang w:val="es-CO"/>
        </w:rPr>
        <w:t xml:space="preserve">Disponible en: </w:t>
      </w:r>
      <w:hyperlink r:id="rId2" w:history="1">
        <w:r w:rsidRPr="00254A60">
          <w:rPr>
            <w:rStyle w:val="Hyperlink"/>
            <w:rFonts w:ascii="Cambria" w:hAnsi="Cambria"/>
            <w:color w:val="000000" w:themeColor="text1"/>
            <w:sz w:val="16"/>
            <w:szCs w:val="16"/>
            <w:lang w:val="es-ES"/>
          </w:rPr>
          <w:t>http://www.oas.org/es/cidh/docs/anual/2018/docs/IA2018cap.2-es.pdf</w:t>
        </w:r>
      </w:hyperlink>
    </w:p>
  </w:footnote>
  <w:footnote w:id="6">
    <w:p w14:paraId="61209175" w14:textId="77777777" w:rsidR="006377C0" w:rsidRPr="00254A60" w:rsidRDefault="006377C0" w:rsidP="006377C0">
      <w:pPr>
        <w:pStyle w:val="FootnoteText"/>
        <w:spacing w:after="0" w:line="240" w:lineRule="auto"/>
        <w:ind w:firstLine="709"/>
        <w:jc w:val="both"/>
        <w:rPr>
          <w:rFonts w:ascii="Cambria" w:hAnsi="Cambria"/>
          <w:color w:val="000000" w:themeColor="text1"/>
          <w:sz w:val="16"/>
          <w:szCs w:val="16"/>
          <w:lang w:val="es-CO"/>
        </w:rPr>
      </w:pPr>
      <w:r w:rsidRPr="00254A60">
        <w:rPr>
          <w:rStyle w:val="FootnoteReference"/>
          <w:rFonts w:ascii="Cambria" w:hAnsi="Cambria"/>
          <w:color w:val="000000" w:themeColor="text1"/>
          <w:sz w:val="16"/>
          <w:szCs w:val="16"/>
        </w:rPr>
        <w:footnoteRef/>
      </w:r>
      <w:r w:rsidRPr="00254A60">
        <w:rPr>
          <w:rFonts w:ascii="Cambria" w:hAnsi="Cambria"/>
          <w:color w:val="000000" w:themeColor="text1"/>
          <w:sz w:val="16"/>
          <w:szCs w:val="16"/>
          <w:lang w:val="es-ES"/>
        </w:rPr>
        <w:t xml:space="preserve"> Ver CIDH, Informe Anual 2021, Capiítulo II, Sección F: </w:t>
      </w:r>
      <w:r w:rsidRPr="00254A60">
        <w:rPr>
          <w:rFonts w:ascii="Cambria" w:hAnsi="Cambria"/>
          <w:color w:val="000000" w:themeColor="text1"/>
          <w:sz w:val="16"/>
          <w:szCs w:val="16"/>
          <w:lang w:val="es-CO"/>
        </w:rPr>
        <w:t xml:space="preserve">Avances y retrocesos en materia de negociación e implementación de acuerdos de solución amistosa, Disponible en: </w:t>
      </w:r>
      <w:hyperlink r:id="rId3" w:history="1">
        <w:r w:rsidRPr="00254A60">
          <w:rPr>
            <w:rStyle w:val="Hyperlink"/>
            <w:rFonts w:ascii="Cambria" w:hAnsi="Cambria"/>
            <w:color w:val="000000" w:themeColor="text1"/>
            <w:sz w:val="16"/>
            <w:szCs w:val="16"/>
            <w:lang w:val="es-CO"/>
          </w:rPr>
          <w:t>https://www.oas.org/es/cidh/docs/anual/2021/capitulos/IA2021cap2-es.pdf</w:t>
        </w:r>
      </w:hyperlink>
      <w:r w:rsidRPr="00254A60">
        <w:rPr>
          <w:rFonts w:ascii="Cambria" w:hAnsi="Cambria"/>
          <w:color w:val="000000" w:themeColor="text1"/>
          <w:sz w:val="16"/>
          <w:szCs w:val="16"/>
          <w:lang w:val="es-CO"/>
        </w:rPr>
        <w:t xml:space="preserve"> </w:t>
      </w:r>
    </w:p>
  </w:footnote>
  <w:footnote w:id="7">
    <w:p w14:paraId="39790FA5" w14:textId="77777777" w:rsidR="006377C0" w:rsidRPr="00254A60" w:rsidRDefault="006377C0" w:rsidP="006377C0">
      <w:pPr>
        <w:pStyle w:val="FootnoteText"/>
        <w:tabs>
          <w:tab w:val="left" w:pos="180"/>
        </w:tabs>
        <w:spacing w:after="0" w:line="240" w:lineRule="auto"/>
        <w:ind w:firstLine="709"/>
        <w:jc w:val="both"/>
        <w:rPr>
          <w:rFonts w:ascii="Cambria" w:hAnsi="Cambria"/>
          <w:color w:val="000000" w:themeColor="text1"/>
          <w:sz w:val="16"/>
          <w:szCs w:val="16"/>
          <w:lang w:val="es-VE"/>
        </w:rPr>
      </w:pPr>
      <w:r w:rsidRPr="00254A60">
        <w:rPr>
          <w:rStyle w:val="FootnoteReference"/>
          <w:rFonts w:ascii="Cambria" w:hAnsi="Cambria"/>
          <w:color w:val="000000" w:themeColor="text1"/>
          <w:sz w:val="16"/>
          <w:szCs w:val="16"/>
        </w:rPr>
        <w:footnoteRef/>
      </w:r>
      <w:r w:rsidRPr="00254A60">
        <w:rPr>
          <w:rFonts w:ascii="Cambria" w:hAnsi="Cambria"/>
          <w:color w:val="000000" w:themeColor="text1"/>
          <w:sz w:val="16"/>
          <w:szCs w:val="16"/>
          <w:lang w:val="es-VE"/>
        </w:rPr>
        <w:t xml:space="preserve"> </w:t>
      </w:r>
      <w:r w:rsidRPr="00254A60">
        <w:rPr>
          <w:rFonts w:ascii="Cambria" w:hAnsi="Cambria"/>
          <w:color w:val="000000" w:themeColor="text1"/>
          <w:sz w:val="16"/>
          <w:szCs w:val="16"/>
          <w:lang w:val="es-CO"/>
        </w:rPr>
        <w:t>CIDH, Informe 160/10, Petición 242-03. Solución Amistosa. Inocencia Luca de Pegoraro y otros. Argentina. Aprobado el 1 de noviembre de 2010.</w:t>
      </w:r>
    </w:p>
  </w:footnote>
  <w:footnote w:id="8">
    <w:p w14:paraId="7459F41F" w14:textId="77777777" w:rsidR="006377C0" w:rsidRPr="00254A60" w:rsidRDefault="006377C0" w:rsidP="006377C0">
      <w:pPr>
        <w:pStyle w:val="FootnoteText"/>
        <w:spacing w:after="0" w:line="240" w:lineRule="auto"/>
        <w:ind w:firstLine="709"/>
        <w:jc w:val="both"/>
        <w:rPr>
          <w:rFonts w:ascii="Cambria" w:hAnsi="Cambria"/>
          <w:color w:val="000000" w:themeColor="text1"/>
          <w:sz w:val="16"/>
          <w:szCs w:val="16"/>
          <w:lang w:val="es-ES"/>
        </w:rPr>
      </w:pPr>
      <w:r w:rsidRPr="00254A60">
        <w:rPr>
          <w:rStyle w:val="FootnoteReference"/>
          <w:rFonts w:ascii="Cambria" w:hAnsi="Cambria"/>
          <w:color w:val="000000" w:themeColor="text1"/>
          <w:sz w:val="16"/>
          <w:szCs w:val="16"/>
        </w:rPr>
        <w:footnoteRef/>
      </w:r>
      <w:bookmarkStart w:id="0" w:name="_Hlk87866157"/>
      <w:r w:rsidRPr="00254A60">
        <w:rPr>
          <w:rFonts w:ascii="Cambria" w:hAnsi="Cambria"/>
          <w:color w:val="000000" w:themeColor="text1"/>
          <w:sz w:val="16"/>
          <w:szCs w:val="16"/>
          <w:lang w:val="es-ES"/>
        </w:rPr>
        <w:t xml:space="preserve"> </w:t>
      </w:r>
      <w:bookmarkEnd w:id="0"/>
      <w:r w:rsidRPr="00254A60">
        <w:rPr>
          <w:rFonts w:ascii="Cambria" w:hAnsi="Cambria"/>
          <w:color w:val="000000" w:themeColor="text1"/>
          <w:sz w:val="16"/>
          <w:szCs w:val="16"/>
          <w:lang w:val="es-ES"/>
        </w:rPr>
        <w:t xml:space="preserve">Ver CIDH, Informe Anual 2020, Capítulo II, Sección F. Negociación e implementación de acuerdos de solución amistosa. </w:t>
      </w:r>
      <w:r w:rsidRPr="00254A60">
        <w:rPr>
          <w:rFonts w:ascii="Cambria" w:hAnsi="Cambria"/>
          <w:color w:val="000000" w:themeColor="text1"/>
          <w:sz w:val="16"/>
          <w:szCs w:val="16"/>
          <w:lang w:val="es-CO"/>
        </w:rPr>
        <w:t xml:space="preserve">Disponible en: </w:t>
      </w:r>
      <w:hyperlink r:id="rId4" w:history="1">
        <w:r w:rsidRPr="00254A60">
          <w:rPr>
            <w:rStyle w:val="Hyperlink"/>
            <w:rFonts w:ascii="Cambria" w:hAnsi="Cambria"/>
            <w:color w:val="000000" w:themeColor="text1"/>
            <w:sz w:val="16"/>
            <w:szCs w:val="16"/>
            <w:lang w:val="es-CO"/>
          </w:rPr>
          <w:t>http://www.oas.org/es/cidh/docs/anual/2020/capitulos/IA2020cap2-es.pdf</w:t>
        </w:r>
      </w:hyperlink>
    </w:p>
  </w:footnote>
  <w:footnote w:id="9">
    <w:p w14:paraId="39F73888" w14:textId="77777777" w:rsidR="006377C0" w:rsidRPr="00254A60" w:rsidRDefault="006377C0" w:rsidP="006377C0">
      <w:pPr>
        <w:pStyle w:val="FootnoteText"/>
        <w:tabs>
          <w:tab w:val="left" w:pos="180"/>
        </w:tabs>
        <w:spacing w:after="0" w:line="240" w:lineRule="auto"/>
        <w:ind w:firstLine="709"/>
        <w:jc w:val="both"/>
        <w:rPr>
          <w:rFonts w:ascii="Cambria" w:hAnsi="Cambria"/>
          <w:color w:val="000000"/>
          <w:sz w:val="16"/>
          <w:szCs w:val="16"/>
          <w:lang w:val="es-VE"/>
        </w:rPr>
      </w:pPr>
      <w:r w:rsidRPr="00254A60">
        <w:rPr>
          <w:rStyle w:val="FootnoteReference"/>
          <w:rFonts w:ascii="Cambria" w:hAnsi="Cambria"/>
          <w:color w:val="000000" w:themeColor="text1"/>
          <w:sz w:val="16"/>
          <w:szCs w:val="16"/>
        </w:rPr>
        <w:footnoteRef/>
      </w:r>
      <w:r w:rsidRPr="00254A60">
        <w:rPr>
          <w:rStyle w:val="FootnoteReference"/>
          <w:rFonts w:ascii="Cambria" w:hAnsi="Cambria"/>
          <w:color w:val="000000" w:themeColor="text1"/>
          <w:sz w:val="16"/>
          <w:szCs w:val="16"/>
          <w:lang w:val="es-VE"/>
        </w:rPr>
        <w:t xml:space="preserve"> </w:t>
      </w:r>
      <w:r w:rsidRPr="00254A60">
        <w:rPr>
          <w:rFonts w:ascii="Cambria" w:hAnsi="Cambria"/>
          <w:color w:val="000000" w:themeColor="text1"/>
          <w:sz w:val="16"/>
          <w:szCs w:val="16"/>
          <w:lang w:val="es-CO"/>
        </w:rPr>
        <w:t xml:space="preserve">Ver CIDH, Informe Anual 2016, Capítulo II, Sección D: Estado de Cumplimiento de las Recomendaciones y Soluciones Amistosas en casos individuales, párr. 172-193. Disponible en:  </w:t>
      </w:r>
      <w:hyperlink r:id="rId5" w:history="1">
        <w:r w:rsidRPr="00254A60">
          <w:rPr>
            <w:rStyle w:val="Hyperlink"/>
            <w:rFonts w:ascii="Cambria" w:hAnsi="Cambria"/>
            <w:color w:val="000000" w:themeColor="text1"/>
            <w:sz w:val="16"/>
            <w:szCs w:val="16"/>
            <w:lang w:val="es-CO"/>
          </w:rPr>
          <w:t>http://www.oas.org/es/cidh/docs/anual/2016/docs/InformeAnual2016cap2Dseguimiento-es.pdf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61DD4" w14:textId="5BDBBF9B" w:rsidR="006377C0" w:rsidRPr="0058688A" w:rsidRDefault="006377C0" w:rsidP="006377C0">
    <w:pPr>
      <w:pStyle w:val="Header"/>
      <w:jc w:val="center"/>
      <w:rPr>
        <w:lang w:val="es-ES_tradnl"/>
      </w:rPr>
    </w:pPr>
    <w:bookmarkStart w:id="1" w:name="_Hlk129090305"/>
    <w:bookmarkStart w:id="2" w:name="_Hlk129090306"/>
    <w:bookmarkStart w:id="3" w:name="_Hlk129090399"/>
    <w:bookmarkStart w:id="4" w:name="_Hlk129090400"/>
    <w:bookmarkStart w:id="5" w:name="_Hlk129090413"/>
    <w:bookmarkStart w:id="6" w:name="_Hlk129090414"/>
    <w:bookmarkStart w:id="7" w:name="_Hlk129090871"/>
    <w:bookmarkStart w:id="8" w:name="_Hlk129090872"/>
    <w:bookmarkStart w:id="9" w:name="_Hlk129091030"/>
    <w:bookmarkStart w:id="10" w:name="_Hlk129091031"/>
    <w:bookmarkStart w:id="11" w:name="_Hlk129091177"/>
    <w:bookmarkStart w:id="12" w:name="_Hlk129091178"/>
    <w:r>
      <w:rPr>
        <w:noProof/>
        <w:lang w:val="es-ES_tradnl"/>
      </w:rPr>
      <w:drawing>
        <wp:inline distT="0" distB="0" distL="0" distR="0" wp14:anchorId="22A02749" wp14:editId="535415F8">
          <wp:extent cx="2286000" cy="1238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123825"/>
                  </a:xfrm>
                  <a:prstGeom prst="rect">
                    <a:avLst/>
                  </a:prstGeom>
                  <a:noFill/>
                  <a:ln>
                    <a:noFill/>
                  </a:ln>
                </pic:spPr>
              </pic:pic>
            </a:graphicData>
          </a:graphic>
        </wp:inline>
      </w:drawing>
    </w:r>
  </w:p>
  <w:p w14:paraId="25C341A2" w14:textId="77777777" w:rsidR="006377C0" w:rsidRDefault="001631CD" w:rsidP="006377C0">
    <w:pPr>
      <w:pStyle w:val="Header"/>
    </w:pPr>
    <w:r>
      <w:pict w14:anchorId="750FEF24">
        <v:rect id="_x0000_i1025" style="width:0;height:1.5pt" o:hralign="center" o:hrstd="t" o:hr="t" fillcolor="#a0a0a0" stroked="f"/>
      </w:pict>
    </w:r>
    <w:bookmarkEnd w:id="1"/>
    <w:bookmarkEnd w:id="2"/>
    <w:bookmarkEnd w:id="3"/>
    <w:bookmarkEnd w:id="4"/>
    <w:bookmarkEnd w:id="5"/>
    <w:bookmarkEnd w:id="6"/>
    <w:bookmarkEnd w:id="7"/>
    <w:bookmarkEnd w:id="8"/>
    <w:bookmarkEnd w:id="9"/>
    <w:bookmarkEnd w:id="10"/>
    <w:bookmarkEnd w:id="11"/>
    <w:bookmarkEnd w:id="12"/>
  </w:p>
  <w:p w14:paraId="3F1E5EA1" w14:textId="77777777" w:rsidR="006377C0" w:rsidRDefault="006377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BAAD5" w14:textId="6DB2FA4E" w:rsidR="006377C0" w:rsidRDefault="006377C0" w:rsidP="006377C0">
    <w:pPr>
      <w:pStyle w:val="Header"/>
    </w:pPr>
    <w:bookmarkStart w:id="13" w:name="_Hlk129090378"/>
    <w:bookmarkStart w:id="14" w:name="_Hlk129090379"/>
    <w:bookmarkStart w:id="15" w:name="_Hlk129090860"/>
    <w:bookmarkStart w:id="16" w:name="_Hlk129090861"/>
    <w:bookmarkStart w:id="17" w:name="_Hlk129091020"/>
    <w:bookmarkStart w:id="18" w:name="_Hlk129091021"/>
    <w:bookmarkStart w:id="19" w:name="_Hlk129091166"/>
    <w:bookmarkStart w:id="20" w:name="_Hlk129091167"/>
    <w:r w:rsidRPr="008A5CB5">
      <w:rPr>
        <w:noProof/>
      </w:rPr>
      <w:drawing>
        <wp:inline distT="0" distB="0" distL="0" distR="0" wp14:anchorId="6C459B8C" wp14:editId="1CE7A8DD">
          <wp:extent cx="2352675" cy="457200"/>
          <wp:effectExtent l="0" t="0" r="9525" b="0"/>
          <wp:docPr id="1" name="Picture 1"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457200"/>
                  </a:xfrm>
                  <a:prstGeom prst="rect">
                    <a:avLst/>
                  </a:prstGeom>
                  <a:noFill/>
                  <a:ln>
                    <a:noFill/>
                  </a:ln>
                </pic:spPr>
              </pic:pic>
            </a:graphicData>
          </a:graphic>
        </wp:inline>
      </w:drawing>
    </w:r>
    <w:r>
      <w:tab/>
    </w:r>
    <w:r>
      <w:tab/>
    </w:r>
    <w:r>
      <w:rPr>
        <w:noProof/>
      </w:rPr>
      <w:drawing>
        <wp:inline distT="0" distB="0" distL="0" distR="0" wp14:anchorId="20F18344" wp14:editId="21C71666">
          <wp:extent cx="1943100" cy="495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3100" cy="495300"/>
                  </a:xfrm>
                  <a:prstGeom prst="rect">
                    <a:avLst/>
                  </a:prstGeom>
                  <a:noFill/>
                  <a:ln>
                    <a:noFill/>
                  </a:ln>
                </pic:spPr>
              </pic:pic>
            </a:graphicData>
          </a:graphic>
        </wp:inline>
      </w:drawing>
    </w:r>
  </w:p>
  <w:p w14:paraId="3A924EA7" w14:textId="77777777" w:rsidR="006377C0" w:rsidRDefault="001631CD" w:rsidP="006377C0">
    <w:pPr>
      <w:pStyle w:val="Header"/>
    </w:pPr>
    <w:r>
      <w:pict w14:anchorId="0877EAE9">
        <v:rect id="_x0000_i1026" style="width:0;height:1.5pt" o:hralign="center" o:hrstd="t" o:hr="t" fillcolor="#a0a0a0" stroked="f"/>
      </w:pict>
    </w:r>
    <w:bookmarkEnd w:id="13"/>
    <w:bookmarkEnd w:id="14"/>
    <w:bookmarkEnd w:id="15"/>
    <w:bookmarkEnd w:id="16"/>
    <w:bookmarkEnd w:id="17"/>
    <w:bookmarkEnd w:id="18"/>
    <w:bookmarkEnd w:id="19"/>
    <w:bookmarkEnd w:id="20"/>
  </w:p>
  <w:p w14:paraId="4F633EFD" w14:textId="77777777" w:rsidR="006377C0" w:rsidRPr="001873B5" w:rsidRDefault="006377C0" w:rsidP="001873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17221E"/>
    <w:multiLevelType w:val="hybridMultilevel"/>
    <w:tmpl w:val="E26844CE"/>
    <w:lvl w:ilvl="0" w:tplc="FFFFFFFF">
      <w:start w:val="1"/>
      <w:numFmt w:val="upperRoman"/>
      <w:lvlText w:val="%1."/>
      <w:lvlJc w:val="left"/>
      <w:pPr>
        <w:ind w:left="450" w:hanging="720"/>
      </w:pPr>
      <w:rPr>
        <w:rFonts w:hint="default"/>
        <w:b/>
        <w:color w:val="000000"/>
      </w:rPr>
    </w:lvl>
    <w:lvl w:ilvl="1" w:tplc="FFFFFFFF">
      <w:start w:val="1"/>
      <w:numFmt w:val="upperLetter"/>
      <w:lvlText w:val="%2."/>
      <w:lvlJc w:val="left"/>
      <w:pPr>
        <w:ind w:left="810" w:hanging="360"/>
      </w:pPr>
      <w:rPr>
        <w:rFonts w:hint="default"/>
      </w:rPr>
    </w:lvl>
    <w:lvl w:ilvl="2" w:tplc="FFFFFFFF" w:tentative="1">
      <w:start w:val="1"/>
      <w:numFmt w:val="lowerRoman"/>
      <w:lvlText w:val="%3."/>
      <w:lvlJc w:val="right"/>
      <w:pPr>
        <w:ind w:left="153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1" w15:restartNumberingAfterBreak="0">
    <w:nsid w:val="53E961B8"/>
    <w:multiLevelType w:val="hybridMultilevel"/>
    <w:tmpl w:val="2438E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704826"/>
    <w:multiLevelType w:val="hybridMultilevel"/>
    <w:tmpl w:val="175EF996"/>
    <w:lvl w:ilvl="0" w:tplc="FFFFFFFF">
      <w:start w:val="1"/>
      <w:numFmt w:val="decimal"/>
      <w:lvlText w:val="%1."/>
      <w:lvlJc w:val="left"/>
      <w:pPr>
        <w:ind w:left="360" w:hanging="360"/>
      </w:pPr>
      <w:rPr>
        <w:rFonts w:ascii="Cambria" w:hAnsi="Cambria" w:cs="Times New Roman" w:hint="default"/>
        <w:b w:val="0"/>
        <w:i w:val="0"/>
        <w:color w:val="00000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68898704">
    <w:abstractNumId w:val="0"/>
  </w:num>
  <w:num w:numId="2" w16cid:durableId="1822573815">
    <w:abstractNumId w:val="2"/>
  </w:num>
  <w:num w:numId="3" w16cid:durableId="28236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val="bestFit" w:percent="222"/>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7C0"/>
    <w:rsid w:val="001631CD"/>
    <w:rsid w:val="006377C0"/>
    <w:rsid w:val="00730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A9F3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7C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7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7C0"/>
    <w:rPr>
      <w:rFonts w:ascii="Calibri" w:eastAsia="Calibri" w:hAnsi="Calibri" w:cs="Times New Roman"/>
    </w:rPr>
  </w:style>
  <w:style w:type="paragraph" w:styleId="Footer">
    <w:name w:val="footer"/>
    <w:basedOn w:val="Normal"/>
    <w:link w:val="FooterChar"/>
    <w:uiPriority w:val="99"/>
    <w:unhideWhenUsed/>
    <w:rsid w:val="006377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7C0"/>
    <w:rPr>
      <w:rFonts w:ascii="Calibri" w:eastAsia="Calibri" w:hAnsi="Calibri" w:cs="Times New Roman"/>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iPriority w:val="99"/>
    <w:unhideWhenUsed/>
    <w:qFormat/>
    <w:rsid w:val="006377C0"/>
    <w:rPr>
      <w:vertAlign w:val="superscript"/>
    </w:rPr>
  </w:style>
  <w:style w:type="paragraph" w:customStyle="1" w:styleId="Appelnotedebasde">
    <w:name w:val="Appel note de bas de..."/>
    <w:basedOn w:val="Normal"/>
    <w:link w:val="FootnoteReference"/>
    <w:uiPriority w:val="99"/>
    <w:rsid w:val="006377C0"/>
    <w:pPr>
      <w:spacing w:after="160" w:line="240" w:lineRule="exact"/>
    </w:pPr>
    <w:rPr>
      <w:rFonts w:asciiTheme="minorHAnsi" w:eastAsiaTheme="minorHAnsi" w:hAnsiTheme="minorHAnsi" w:cstheme="minorBidi"/>
      <w:vertAlign w:val="superscript"/>
    </w:rPr>
  </w:style>
  <w:style w:type="character" w:styleId="Hyperlink">
    <w:name w:val="Hyperlink"/>
    <w:uiPriority w:val="99"/>
    <w:unhideWhenUsed/>
    <w:rsid w:val="006377C0"/>
    <w:rPr>
      <w:color w:val="0000FF"/>
      <w:u w:val="single"/>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6377C0"/>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6377C0"/>
    <w:rPr>
      <w:rFonts w:ascii="Calibri" w:eastAsia="Calibri" w:hAnsi="Calibri" w:cs="Times New Roman"/>
      <w:sz w:val="20"/>
      <w:szCs w:val="20"/>
    </w:rPr>
  </w:style>
  <w:style w:type="paragraph" w:styleId="ListParagraph">
    <w:name w:val="List Paragraph"/>
    <w:basedOn w:val="Normal"/>
    <w:link w:val="ListParagraphChar"/>
    <w:uiPriority w:val="34"/>
    <w:qFormat/>
    <w:rsid w:val="006377C0"/>
    <w:pPr>
      <w:ind w:left="720"/>
      <w:contextualSpacing/>
    </w:pPr>
  </w:style>
  <w:style w:type="character" w:customStyle="1" w:styleId="ListParagraphChar">
    <w:name w:val="List Paragraph Char"/>
    <w:link w:val="ListParagraph"/>
    <w:uiPriority w:val="34"/>
    <w:rsid w:val="006377C0"/>
    <w:rPr>
      <w:rFonts w:ascii="Calibri" w:eastAsia="Calibri" w:hAnsi="Calibri" w:cs="Times New Roman"/>
    </w:rPr>
  </w:style>
  <w:style w:type="paragraph" w:customStyle="1" w:styleId="MediumGrid21">
    <w:name w:val="Medium Grid 21"/>
    <w:link w:val="MediumGrid2Char"/>
    <w:uiPriority w:val="1"/>
    <w:qFormat/>
    <w:rsid w:val="006377C0"/>
    <w:pPr>
      <w:spacing w:after="0" w:line="240" w:lineRule="auto"/>
    </w:pPr>
    <w:rPr>
      <w:rFonts w:ascii="Calibri" w:eastAsia="MS Mincho" w:hAnsi="Calibri" w:cs="Times New Roman"/>
      <w:lang w:val="pt-BR"/>
    </w:rPr>
  </w:style>
  <w:style w:type="paragraph" w:customStyle="1" w:styleId="Default">
    <w:name w:val="Default"/>
    <w:rsid w:val="006377C0"/>
    <w:pPr>
      <w:autoSpaceDE w:val="0"/>
      <w:autoSpaceDN w:val="0"/>
      <w:adjustRightInd w:val="0"/>
      <w:spacing w:after="0" w:line="240" w:lineRule="auto"/>
    </w:pPr>
    <w:rPr>
      <w:rFonts w:ascii="Cambria" w:eastAsia="MS Mincho" w:hAnsi="Cambria" w:cs="Cambria"/>
      <w:color w:val="000000"/>
      <w:sz w:val="24"/>
      <w:szCs w:val="24"/>
      <w:lang w:val="pt-BR" w:eastAsia="pt-BR"/>
    </w:rPr>
  </w:style>
  <w:style w:type="character" w:customStyle="1" w:styleId="MediumGrid2Char">
    <w:name w:val="Medium Grid 2 Char"/>
    <w:link w:val="MediumGrid21"/>
    <w:uiPriority w:val="1"/>
    <w:rsid w:val="006377C0"/>
    <w:rPr>
      <w:rFonts w:ascii="Calibri" w:eastAsia="MS Mincho" w:hAnsi="Calibri" w:cs="Times New Roman"/>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s.org/es/cidh/decisiones/amistosas.as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as.org/es/cidh/decisiones/amistosas.as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3" Type="http://schemas.openxmlformats.org/officeDocument/2006/relationships/hyperlink" Target="https://www.oas.org/es/cidh/docs/anual/2021/capitulos/IA2021cap2-es.pdf" TargetMode="External"/><Relationship Id="rId2" Type="http://schemas.openxmlformats.org/officeDocument/2006/relationships/hyperlink" Target="http://www.oas.org/es/cidh/docs/anual/2018/docs/IA2018cap.2-es.pdf" TargetMode="External"/><Relationship Id="rId1" Type="http://schemas.openxmlformats.org/officeDocument/2006/relationships/hyperlink" Target="http://www.oas.org/es/cidh/docs/anual/2016/docs/InformeAnual2016cap2Dseguimiento-es.pdf" TargetMode="External"/><Relationship Id="rId5" Type="http://schemas.openxmlformats.org/officeDocument/2006/relationships/hyperlink" Target="http://www.oas.org/es/cidh/docs/anual/2016/docs/InformeAnual2016cap2Dseguimiento-es.pdf" TargetMode="External"/><Relationship Id="rId4" Type="http://schemas.openxmlformats.org/officeDocument/2006/relationships/hyperlink" Target="http://www.oas.org/es/cidh/docs/anual/2020/capitulos/IA2020cap2-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1545</Words>
  <Characters>8810</Characters>
  <Application>Microsoft Office Word</Application>
  <DocSecurity>0</DocSecurity>
  <Lines>73</Lines>
  <Paragraphs>20</Paragraphs>
  <ScaleCrop>false</ScaleCrop>
  <Company/>
  <LinksUpToDate>false</LinksUpToDate>
  <CharactersWithSpaces>10335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2023-03-07T20:30:00Z</dcterms:created>
  <dcterms:modified xsi:type="dcterms:W3CDTF">2023-03-07T20:30:00Z</dcterms:modified>
</cp:coreProperties>
</file>