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E02BA" w:rsidRPr="00F02DFC" w:rsidRDefault="009E02BA" w:rsidP="009E02BA">
      <w:pPr>
        <w:jc w:val="both"/>
        <w:rPr>
          <w:rFonts w:ascii="Cambria" w:hAnsi="Cambria" w:cs="Univers"/>
          <w:b/>
          <w:bCs/>
          <w:sz w:val="22"/>
          <w:szCs w:val="22"/>
          <w:lang w:val="es-ES_tradnl"/>
        </w:rPr>
      </w:pPr>
      <w:r>
        <w:rPr>
          <w:noProof/>
        </w:rPr>
        <mc:AlternateContent>
          <mc:Choice Requires="wps">
            <w:drawing>
              <wp:anchor distT="0" distB="0" distL="114300" distR="114300" simplePos="0" relativeHeight="251659264" behindDoc="0" locked="0" layoutInCell="1" allowOverlap="1" wp14:anchorId="4133A79B" wp14:editId="75B1B687">
                <wp:simplePos x="0" y="0"/>
                <wp:positionH relativeFrom="column">
                  <wp:posOffset>-415925</wp:posOffset>
                </wp:positionH>
                <wp:positionV relativeFrom="paragraph">
                  <wp:posOffset>-356870</wp:posOffset>
                </wp:positionV>
                <wp:extent cx="1409700" cy="897763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2.75pt;margin-top:-28.1pt;width:111pt;height:70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gGZwIAAMsEAAAOAAAAZHJzL2Uyb0RvYy54bWysVE1v2zAMvQ/YfxB0X52kadMYdYogXYcB&#10;QVusHXpmZPkDk0RNUuJ0v76U7LRZt9OwiyCKNPn4+OjLq71WbCedb9EUfHwy4kwagWVr6oJ/f7z5&#10;dMGZD2BKUGhkwZ+l51eLjx8uO5vLCTaoSukYJTE+72zBmxBsnmVeNFKDP0ErDTkrdBoCma7OSgcd&#10;Zdcqm4xG51mHrrQOhfSeXq97J1+k/FUlRbirKi8DUwUnbCGdLp2beGaLS8hrB7ZpxQAD/gGFhtZQ&#10;0ddU1xCAbV37RyrdCoceq3AiUGdYVa2QqQfqZjx6181DA1amXogcb19p8v8vrbjd3TvWlgWfc2ZA&#10;04i+EWlgaiXZPNLTWZ9T1IO9d7FBb9cofnhyZL95ouGHmH3ldIyl9tg+cf38yrXcBybocTwdzWcj&#10;Gokg38V8Njs/TdPIID98bp0PXyRqFi8Fd4QrcQy7tQ8RAOSHkIQMVVvetEolw9WblXJsBzT489ny&#10;8+kqNkOf+OMwZVhX8MnZNCEBEmClIBAobYkSb2rOQNWkbBFcqm0wVqBMfe1r8E1fI6UdSigT/TLJ&#10;b4D6Rk+8bbB8Jtod9nr0Vty01OMafLgHRwIkXmipwh0dlUKCiMONswbdr7+9x3jSBXk560jQBP/n&#10;FpzkTH01pJj5eDqNG5CM6dlsQoY79myOPWarV0jUjWl9rUjXGB/U4Vo51E+0e8tYlVxgBNXuiRqM&#10;VegXjbZXyOUyhZHqLYS1ebAiJj/w+Lh/AmeHQQfSyC0exA/5u3n3sfFLg8ttwKpNYnjjdZAmbUwa&#10;+LDdcSWP7RT19g9avAAAAP//AwBQSwMEFAAGAAgAAAAhACyUxePfAAAADAEAAA8AAABkcnMvZG93&#10;bnJldi54bWxMj8FOwzAQRO9I/IO1SFyq1qHIAdI4VVWVU091+QAn2SYR8TqKnTb8PdsT3GZ3RrNv&#10;8+3senHFMXSeNLysEhBIla87ajR8nT+X7yBCtFTb3hNq+MEA2+LxIbdZ7W90wquJjeASCpnV0MY4&#10;ZFKGqkVnw8oPSOxd/Ohs5HFsZD3aG5e7Xq6TJJXOdsQXWjvgvsXq20xOA552e/o4DovpqMqDUQtj&#10;2kOn9fPTvNuAiDjHvzDc8RkdCmYq/UR1EL2GZaoUR1modA3inlApb0oWr+otBVnk8v8TxS8AAAD/&#10;/wMAUEsBAi0AFAAGAAgAAAAhALaDOJL+AAAA4QEAABMAAAAAAAAAAAAAAAAAAAAAAFtDb250ZW50&#10;X1R5cGVzXS54bWxQSwECLQAUAAYACAAAACEAOP0h/9YAAACUAQAACwAAAAAAAAAAAAAAAAAvAQAA&#10;X3JlbHMvLnJlbHNQSwECLQAUAAYACAAAACEAear4BmcCAADLBAAADgAAAAAAAAAAAAAAAAAuAgAA&#10;ZHJzL2Uyb0RvYy54bWxQSwECLQAUAAYACAAAACEALJTF498AAAAMAQAADwAAAAAAAAAAAAAAAADB&#10;BAAAZHJzL2Rvd25yZXYueG1sUEsFBgAAAAAEAAQA8wAAAM0FAAAAAA==&#10;" fillcolor="#67ae3c" stroked="f" strokeweight="2pt">
                <v:path arrowok="t"/>
              </v:rect>
            </w:pict>
          </mc:Fallback>
        </mc:AlternateContent>
      </w:r>
      <w:r>
        <w:rPr>
          <w:noProof/>
        </w:rPr>
        <mc:AlternateContent>
          <mc:Choice Requires="wps">
            <w:drawing>
              <wp:anchor distT="0" distB="0" distL="114300" distR="114300" simplePos="0" relativeHeight="251663360" behindDoc="0" locked="0" layoutInCell="1" allowOverlap="1" wp14:anchorId="3DB45559" wp14:editId="4A3B1E5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txbx>
                        <w:txbxContent>
                          <w:p w:rsidR="009E02BA" w:rsidRDefault="009E02BA" w:rsidP="009E02BA">
                            <w:r>
                              <w:rPr>
                                <w:noProof/>
                              </w:rPr>
                              <w:drawing>
                                <wp:inline distT="0" distB="0" distL="0" distR="0" wp14:anchorId="4FFDA15C" wp14:editId="502420DC">
                                  <wp:extent cx="2528570" cy="485140"/>
                                  <wp:effectExtent l="0" t="0" r="5080" b="0"/>
                                  <wp:docPr id="6" name="Picture 6"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8570" cy="485140"/>
                                          </a:xfrm>
                                          <a:prstGeom prst="rect">
                                            <a:avLst/>
                                          </a:prstGeom>
                                          <a:noFill/>
                                          <a:ln>
                                            <a:noFill/>
                                          </a:ln>
                                        </pic:spPr>
                                      </pic:pic>
                                    </a:graphicData>
                                  </a:graphic>
                                </wp:inline>
                              </w:drawing>
                            </w:r>
                            <w:r w:rsidR="003D0613">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4mpOgIAAHoEAAAOAAAAZHJzL2Uyb0RvYy54bWysVE2P2jAQvVfqf7B8LwEK7G5EWNFdUVVC&#10;uytBtWfjOBA18bi2Idn++j47fGnbU9WLM555nq83k+l9W1fsoKwrSWd80OtzprSkvNTbjH9fLz7d&#10;cua80LmoSKuMvynH72cfP0wbk6oh7ajKlWVwol3amIzvvDdpkji5U7VwPTJKw1iQrYXH1W6T3IoG&#10;3usqGfb7k6QhmxtLUjkH7WNn5LPovyiU9M9F4ZRnVcaRm4+njecmnMlsKtKtFWZXymMa4h+yqEWp&#10;EfTs6lF4wfa2/MNVXUpLjgrfk1QnVBSlVLEGVDPov6tmtRNGxVrQHGfObXL/z618OrxYVubgbsCZ&#10;FjU4WqvWsy/UMqjQn8a4FLCVAdC30AMba3VmSfKHAyS5wnQPHNChH21h6/BFpQwPQcHbue0hjIRy&#10;NLqdDG/GnEnYbsbDEeTg9PLaWOe/KqpZEDJuQWvMQByWznfQEyQE07Qoqwp6kVaaNRmffB7344Oz&#10;Bc4rHQAqDsnRTSijyzxIvt20cBLEDeVvKN9SN0DOyEWJVJbC+RdhMTEoDFvgn3EUFSEkHSXOdmR/&#10;/U0f8CASVs4aTGDG3c+9sIqz6psGxXeD0SiMbLyMxjdDXOy1ZXNt0fv6gTDkYBHZRTHgfXUSC0v1&#10;K5ZlHqLCJLRE7Iz7k/jgu73Askk1n0cQhtQIv9QrI0+sh0av21dhzZENDx6f6DSrIn1HSoftaJnv&#10;PRVlZOzS1eP4YMAj58dlDBt0fY+oyy9j9hsAAP//AwBQSwMEFAAGAAgAAAAhAOKjdPbeAAAACgEA&#10;AA8AAABkcnMvZG93bnJldi54bWxMj0FLAzEQhe+C/yGM4K3NKnQN62ZLEb0IItaCeJtu0s3WzWRN&#10;0nb9944ne5vHe7z5Xr2c/CCONqY+kIabeQHCUhtMT52GzfvTTIFIGcngEMhq+LEJls3lRY2VCSd6&#10;s8d17gSXUKpQg8t5rKRMrbMe0zyMltjbhegxs4ydNBFPXO4HeVsUpfTYE39wONoHZ9uv9cFruFOf&#10;xu3j87T5eFl9u9dRDo8otb6+mlb3ILKd8n8Y/vAZHRpm2oYDmSQG1qrgLVnDbKEWIDihVMnHVkPJ&#10;jmxqeT6h+QUAAP//AwBQSwECLQAUAAYACAAAACEAtoM4kv4AAADhAQAAEwAAAAAAAAAAAAAAAAAA&#10;AAAAW0NvbnRlbnRfVHlwZXNdLnhtbFBLAQItABQABgAIAAAAIQA4/SH/1gAAAJQBAAALAAAAAAAA&#10;AAAAAAAAAC8BAABfcmVscy8ucmVsc1BLAQItABQABgAIAAAAIQAq44mpOgIAAHoEAAAOAAAAAAAA&#10;AAAAAAAAAC4CAABkcnMvZTJvRG9jLnhtbFBLAQItABQABgAIAAAAIQDio3T23gAAAAoBAAAPAAAA&#10;AAAAAAAAAAAAAJQEAABkcnMvZG93bnJldi54bWxQSwUGAAAAAAQABADzAAAAnwUAAAAA&#10;" filled="f" stroked="f" strokeweight=".5pt">
                <v:path arrowok="t"/>
                <v:textbox>
                  <w:txbxContent>
                    <w:p w:rsidR="009E02BA" w:rsidRDefault="009E02BA" w:rsidP="009E02BA">
                      <w:r>
                        <w:rPr>
                          <w:noProof/>
                        </w:rPr>
                        <w:drawing>
                          <wp:inline distT="0" distB="0" distL="0" distR="0" wp14:anchorId="4FFDA15C" wp14:editId="502420DC">
                            <wp:extent cx="2528570" cy="485140"/>
                            <wp:effectExtent l="0" t="0" r="5080" b="0"/>
                            <wp:docPr id="6" name="Picture 6"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h-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8570" cy="485140"/>
                                    </a:xfrm>
                                    <a:prstGeom prst="rect">
                                      <a:avLst/>
                                    </a:prstGeom>
                                    <a:noFill/>
                                    <a:ln>
                                      <a:noFill/>
                                    </a:ln>
                                  </pic:spPr>
                                </pic:pic>
                              </a:graphicData>
                            </a:graphic>
                          </wp:inline>
                        </w:drawing>
                      </w:r>
                      <w:r w:rsidR="003D0613">
                        <w:t xml:space="preserve">                       </w:t>
                      </w:r>
                      <w:r>
                        <w:t xml:space="preserve"> </w:t>
                      </w:r>
                    </w:p>
                  </w:txbxContent>
                </v:textbox>
              </v:shape>
            </w:pict>
          </mc:Fallback>
        </mc:AlternateContent>
      </w:r>
    </w:p>
    <w:p w:rsidR="009E02BA" w:rsidRPr="00F02DFC" w:rsidRDefault="009E02BA" w:rsidP="009E02BA">
      <w:pPr>
        <w:tabs>
          <w:tab w:val="center" w:pos="5400"/>
        </w:tabs>
        <w:suppressAutoHyphens/>
        <w:jc w:val="both"/>
        <w:rPr>
          <w:rFonts w:ascii="Cambria" w:hAnsi="Cambria"/>
          <w:sz w:val="22"/>
          <w:szCs w:val="22"/>
          <w:lang w:val="es-ES"/>
        </w:rPr>
      </w:pPr>
    </w:p>
    <w:p w:rsidR="009E02BA" w:rsidRPr="00F02DFC" w:rsidRDefault="009E02BA" w:rsidP="009E02BA">
      <w:pPr>
        <w:tabs>
          <w:tab w:val="center" w:pos="5400"/>
        </w:tabs>
        <w:suppressAutoHyphens/>
        <w:jc w:val="both"/>
        <w:rPr>
          <w:rFonts w:ascii="Cambria" w:hAnsi="Cambria"/>
          <w:sz w:val="22"/>
          <w:szCs w:val="22"/>
          <w:lang w:val="es-ES"/>
        </w:rPr>
      </w:pPr>
    </w:p>
    <w:p w:rsidR="009E02BA" w:rsidRPr="00F02DFC" w:rsidRDefault="009E02BA" w:rsidP="009E02BA">
      <w:pPr>
        <w:tabs>
          <w:tab w:val="center" w:pos="5400"/>
        </w:tabs>
        <w:suppressAutoHyphens/>
        <w:rPr>
          <w:rFonts w:ascii="Cambria" w:hAnsi="Cambria"/>
          <w:sz w:val="22"/>
          <w:szCs w:val="22"/>
          <w:lang w:val="es-ES_tradnl"/>
        </w:rPr>
      </w:pPr>
    </w:p>
    <w:p w:rsidR="009E02BA" w:rsidRPr="00F02DFC" w:rsidRDefault="009E02BA" w:rsidP="009E02BA">
      <w:pPr>
        <w:tabs>
          <w:tab w:val="center" w:pos="5400"/>
        </w:tabs>
        <w:suppressAutoHyphens/>
        <w:rPr>
          <w:rFonts w:ascii="Cambria" w:hAnsi="Cambria"/>
          <w:sz w:val="22"/>
          <w:szCs w:val="22"/>
          <w:lang w:val="es-ES_tradnl"/>
        </w:rPr>
      </w:pPr>
    </w:p>
    <w:p w:rsidR="009E02BA" w:rsidRPr="00F02DFC" w:rsidRDefault="009E02BA" w:rsidP="009E02BA">
      <w:pPr>
        <w:tabs>
          <w:tab w:val="center" w:pos="5400"/>
        </w:tabs>
        <w:suppressAutoHyphens/>
        <w:rPr>
          <w:rFonts w:ascii="Cambria" w:hAnsi="Cambria"/>
          <w:sz w:val="22"/>
          <w:szCs w:val="22"/>
          <w:lang w:val="es-ES_tradnl"/>
        </w:rPr>
      </w:pPr>
    </w:p>
    <w:p w:rsidR="009E02BA" w:rsidRPr="00F02DFC" w:rsidRDefault="009E02BA" w:rsidP="009E02BA">
      <w:pPr>
        <w:tabs>
          <w:tab w:val="center" w:pos="5400"/>
        </w:tabs>
        <w:suppressAutoHyphens/>
        <w:jc w:val="center"/>
        <w:rPr>
          <w:rFonts w:ascii="Cambria" w:hAnsi="Cambria"/>
          <w:sz w:val="22"/>
          <w:szCs w:val="22"/>
          <w:lang w:val="es-ES_tradnl"/>
        </w:rPr>
      </w:pPr>
    </w:p>
    <w:p w:rsidR="009E02BA" w:rsidRPr="00F02DFC" w:rsidRDefault="009E02BA" w:rsidP="009E02BA">
      <w:pPr>
        <w:tabs>
          <w:tab w:val="center" w:pos="5400"/>
        </w:tabs>
        <w:suppressAutoHyphens/>
        <w:jc w:val="center"/>
        <w:rPr>
          <w:rFonts w:ascii="Cambria" w:hAnsi="Cambria"/>
          <w:sz w:val="22"/>
          <w:szCs w:val="22"/>
          <w:lang w:val="es-ES_tradnl"/>
        </w:rPr>
      </w:pPr>
    </w:p>
    <w:p w:rsidR="009E02BA" w:rsidRPr="00F02DFC" w:rsidRDefault="009E02BA" w:rsidP="009E02BA">
      <w:pPr>
        <w:tabs>
          <w:tab w:val="center" w:pos="5400"/>
        </w:tabs>
        <w:suppressAutoHyphens/>
        <w:jc w:val="center"/>
        <w:rPr>
          <w:rFonts w:ascii="Cambria" w:hAnsi="Cambria"/>
          <w:sz w:val="22"/>
          <w:szCs w:val="22"/>
          <w:lang w:val="es-ES_tradnl"/>
        </w:rPr>
      </w:pPr>
    </w:p>
    <w:p w:rsidR="009E02BA" w:rsidRPr="00F02DFC" w:rsidRDefault="009E02BA" w:rsidP="009E02BA">
      <w:pPr>
        <w:tabs>
          <w:tab w:val="center" w:pos="5400"/>
        </w:tabs>
        <w:suppressAutoHyphens/>
        <w:jc w:val="center"/>
        <w:rPr>
          <w:rFonts w:ascii="Cambria" w:hAnsi="Cambria"/>
          <w:sz w:val="22"/>
          <w:szCs w:val="22"/>
          <w:lang w:val="es-ES_tradnl"/>
        </w:rPr>
      </w:pPr>
    </w:p>
    <w:p w:rsidR="009E02BA" w:rsidRPr="00F02DFC" w:rsidRDefault="009E02BA" w:rsidP="009E02BA">
      <w:pPr>
        <w:tabs>
          <w:tab w:val="center" w:pos="5400"/>
        </w:tabs>
        <w:suppressAutoHyphens/>
        <w:jc w:val="center"/>
        <w:rPr>
          <w:rFonts w:ascii="Cambria" w:hAnsi="Cambria"/>
          <w:sz w:val="22"/>
          <w:szCs w:val="22"/>
          <w:lang w:val="es-ES_tradnl"/>
        </w:rPr>
      </w:pPr>
    </w:p>
    <w:p w:rsidR="009E02BA" w:rsidRPr="00F02DFC" w:rsidRDefault="009E02BA" w:rsidP="009E02BA">
      <w:pPr>
        <w:tabs>
          <w:tab w:val="center" w:pos="5400"/>
        </w:tabs>
        <w:suppressAutoHyphens/>
        <w:jc w:val="center"/>
        <w:rPr>
          <w:rFonts w:ascii="Cambria" w:hAnsi="Cambria"/>
          <w:sz w:val="22"/>
          <w:szCs w:val="22"/>
          <w:lang w:val="es-ES_tradnl"/>
        </w:rPr>
      </w:pPr>
    </w:p>
    <w:p w:rsidR="009E02BA" w:rsidRPr="00F02DFC" w:rsidRDefault="009E02BA" w:rsidP="009E02BA">
      <w:pPr>
        <w:tabs>
          <w:tab w:val="center" w:pos="5400"/>
        </w:tabs>
        <w:suppressAutoHyphens/>
        <w:jc w:val="center"/>
        <w:rPr>
          <w:rFonts w:ascii="Cambria" w:hAnsi="Cambria"/>
          <w:sz w:val="22"/>
          <w:szCs w:val="22"/>
          <w:lang w:val="es-ES_tradnl"/>
        </w:rPr>
      </w:pPr>
    </w:p>
    <w:p w:rsidR="009E02BA" w:rsidRPr="00F02DFC" w:rsidRDefault="009E02BA" w:rsidP="009E02BA">
      <w:pPr>
        <w:tabs>
          <w:tab w:val="center" w:pos="5400"/>
        </w:tabs>
        <w:suppressAutoHyphens/>
        <w:jc w:val="center"/>
        <w:rPr>
          <w:rFonts w:ascii="Cambria" w:hAnsi="Cambria"/>
          <w:sz w:val="22"/>
          <w:szCs w:val="22"/>
          <w:lang w:val="es-ES_tradnl"/>
        </w:rPr>
      </w:pPr>
    </w:p>
    <w:p w:rsidR="009E02BA" w:rsidRPr="00F02DFC" w:rsidRDefault="009E02BA" w:rsidP="009E02BA">
      <w:pPr>
        <w:tabs>
          <w:tab w:val="center" w:pos="5400"/>
        </w:tabs>
        <w:suppressAutoHyphens/>
        <w:jc w:val="center"/>
        <w:rPr>
          <w:rFonts w:ascii="Cambria" w:hAnsi="Cambria"/>
          <w:sz w:val="22"/>
          <w:szCs w:val="22"/>
          <w:lang w:val="es-ES_tradnl"/>
        </w:rPr>
      </w:pPr>
      <w:r>
        <w:rPr>
          <w:noProof/>
        </w:rPr>
        <mc:AlternateContent>
          <mc:Choice Requires="wps">
            <w:drawing>
              <wp:anchor distT="0" distB="0" distL="114300" distR="114300" simplePos="0" relativeHeight="251660288" behindDoc="0" locked="0" layoutInCell="1" allowOverlap="1">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txbx>
                        <w:txbxContent>
                          <w:p w:rsidR="009E02BA" w:rsidRPr="00E560F5" w:rsidRDefault="009E02BA" w:rsidP="009E02BA">
                            <w:pPr>
                              <w:spacing w:line="276" w:lineRule="auto"/>
                              <w:rPr>
                                <w:rFonts w:ascii="Cambria" w:hAnsi="Cambria" w:cs="Arial"/>
                                <w:b/>
                                <w:bCs/>
                                <w:color w:val="0D0D0D"/>
                                <w:sz w:val="36"/>
                                <w:szCs w:val="22"/>
                              </w:rPr>
                            </w:pPr>
                            <w:r w:rsidRPr="00E560F5">
                              <w:rPr>
                                <w:rFonts w:ascii="Cambria" w:hAnsi="Cambria" w:cs="Arial"/>
                                <w:b/>
                                <w:bCs/>
                                <w:color w:val="0D0D0D"/>
                                <w:sz w:val="36"/>
                                <w:szCs w:val="22"/>
                              </w:rPr>
                              <w:t xml:space="preserve">REPORT </w:t>
                            </w:r>
                            <w:r w:rsidRPr="00E560F5">
                              <w:rPr>
                                <w:rFonts w:ascii="Cambria" w:hAnsi="Cambria" w:cs="Arial"/>
                                <w:b/>
                                <w:bCs/>
                                <w:color w:val="0D0D0D"/>
                                <w:sz w:val="36"/>
                                <w:szCs w:val="40"/>
                              </w:rPr>
                              <w:t>No.</w:t>
                            </w:r>
                            <w:r>
                              <w:rPr>
                                <w:rFonts w:ascii="Cambria" w:hAnsi="Cambria" w:cs="Arial"/>
                                <w:b/>
                                <w:bCs/>
                                <w:color w:val="0D0D0D"/>
                                <w:sz w:val="36"/>
                                <w:szCs w:val="22"/>
                              </w:rPr>
                              <w:t xml:space="preserve"> </w:t>
                            </w:r>
                            <w:r w:rsidR="008C1FA8">
                              <w:rPr>
                                <w:rFonts w:ascii="Cambria" w:hAnsi="Cambria" w:cs="Arial"/>
                                <w:b/>
                                <w:bCs/>
                                <w:color w:val="0D0D0D"/>
                                <w:sz w:val="36"/>
                                <w:szCs w:val="22"/>
                              </w:rPr>
                              <w:t>46</w:t>
                            </w:r>
                            <w:r w:rsidRPr="00E560F5">
                              <w:rPr>
                                <w:rFonts w:ascii="Cambria" w:hAnsi="Cambria" w:cs="Arial"/>
                                <w:b/>
                                <w:bCs/>
                                <w:color w:val="0D0D0D"/>
                                <w:sz w:val="36"/>
                                <w:szCs w:val="22"/>
                              </w:rPr>
                              <w:t>/15</w:t>
                            </w:r>
                          </w:p>
                          <w:p w:rsidR="009E02BA" w:rsidRPr="00E560F5" w:rsidRDefault="009E02BA" w:rsidP="009E02BA">
                            <w:pPr>
                              <w:spacing w:line="276" w:lineRule="auto"/>
                              <w:rPr>
                                <w:rFonts w:ascii="Cambria" w:hAnsi="Cambria" w:cs="Arial"/>
                                <w:b/>
                                <w:color w:val="0D0D0D"/>
                                <w:sz w:val="36"/>
                                <w:szCs w:val="22"/>
                              </w:rPr>
                            </w:pPr>
                            <w:r>
                              <w:rPr>
                                <w:rFonts w:ascii="Cambria" w:hAnsi="Cambria" w:cs="Arial"/>
                                <w:b/>
                                <w:color w:val="0D0D0D"/>
                                <w:sz w:val="36"/>
                                <w:szCs w:val="22"/>
                              </w:rPr>
                              <w:t>PETITION 315-01</w:t>
                            </w:r>
                          </w:p>
                          <w:p w:rsidR="009E02BA" w:rsidRPr="00E560F5" w:rsidRDefault="009E02BA" w:rsidP="009E02BA">
                            <w:pPr>
                              <w:spacing w:line="276" w:lineRule="auto"/>
                              <w:rPr>
                                <w:rFonts w:ascii="Cambria" w:hAnsi="Cambria" w:cs="Arial"/>
                                <w:color w:val="0D0D0D"/>
                                <w:szCs w:val="22"/>
                              </w:rPr>
                            </w:pPr>
                            <w:r w:rsidRPr="00E560F5">
                              <w:rPr>
                                <w:rFonts w:ascii="Cambria" w:hAnsi="Cambria" w:cs="Arial"/>
                                <w:color w:val="0D0D0D"/>
                                <w:szCs w:val="22"/>
                              </w:rPr>
                              <w:t xml:space="preserve">REPORT ON ADMISSIBILITY </w:t>
                            </w:r>
                          </w:p>
                          <w:p w:rsidR="009E02BA" w:rsidRPr="00E560F5" w:rsidRDefault="009E02BA" w:rsidP="009E02BA">
                            <w:pPr>
                              <w:spacing w:line="276" w:lineRule="auto"/>
                              <w:rPr>
                                <w:rFonts w:ascii="Cambria" w:hAnsi="Cambria" w:cs="Arial"/>
                                <w:color w:val="0D0D0D"/>
                                <w:szCs w:val="22"/>
                              </w:rPr>
                            </w:pPr>
                          </w:p>
                          <w:p w:rsidR="009E02BA" w:rsidRPr="00E560F5" w:rsidRDefault="009E02BA" w:rsidP="009E02BA">
                            <w:pPr>
                              <w:spacing w:line="276" w:lineRule="auto"/>
                              <w:rPr>
                                <w:rFonts w:ascii="Cambria" w:hAnsi="Cambria" w:cs="Arial"/>
                                <w:color w:val="0D0D0D"/>
                                <w:szCs w:val="22"/>
                              </w:rPr>
                            </w:pPr>
                          </w:p>
                          <w:p w:rsidR="009E02BA" w:rsidRPr="00BD5A82" w:rsidRDefault="009E02BA" w:rsidP="009E02BA">
                            <w:pPr>
                              <w:spacing w:line="276" w:lineRule="auto"/>
                              <w:rPr>
                                <w:rFonts w:ascii="Cambria" w:hAnsi="Cambria" w:cs="Arial"/>
                                <w:color w:val="0D0D0D"/>
                                <w:szCs w:val="22"/>
                                <w:lang w:val="es-AR"/>
                              </w:rPr>
                            </w:pPr>
                            <w:r>
                              <w:rPr>
                                <w:rFonts w:ascii="Cambria" w:hAnsi="Cambria" w:cs="Arial"/>
                                <w:color w:val="0D0D0D"/>
                                <w:szCs w:val="22"/>
                                <w:lang w:val="es-AR"/>
                              </w:rPr>
                              <w:t>CRISTINA BRITEZ ARCE</w:t>
                            </w:r>
                          </w:p>
                          <w:p w:rsidR="009E02BA" w:rsidRPr="00BD5A82" w:rsidRDefault="009E02BA" w:rsidP="009E02BA">
                            <w:pPr>
                              <w:spacing w:line="276" w:lineRule="auto"/>
                              <w:rPr>
                                <w:rFonts w:ascii="Cambria" w:hAnsi="Cambria" w:cs="Arial"/>
                                <w:color w:val="0D0D0D"/>
                                <w:szCs w:val="22"/>
                                <w:lang w:val="es-AR"/>
                              </w:rPr>
                            </w:pPr>
                            <w:r>
                              <w:rPr>
                                <w:rFonts w:ascii="Cambria" w:hAnsi="Cambria" w:cs="Arial"/>
                                <w:color w:val="0D0D0D"/>
                                <w:szCs w:val="22"/>
                                <w:lang w:val="es-AR"/>
                              </w:rPr>
                              <w:t>ARGENTINA</w:t>
                            </w:r>
                          </w:p>
                          <w:p w:rsidR="009E02BA" w:rsidRPr="00BD5A82" w:rsidRDefault="009E02BA" w:rsidP="009E02BA">
                            <w:pPr>
                              <w:spacing w:line="276" w:lineRule="auto"/>
                              <w:rPr>
                                <w:rFonts w:ascii="Cambria" w:hAnsi="Cambria"/>
                                <w:color w:val="0D0D0D"/>
                                <w:lang w:val="es-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6UPwIAAIAEAAAOAAAAZHJzL2Uyb0RvYy54bWysVEtv2zAMvg/YfxB0X5xn0xlxiqxFhgFB&#10;WyAZelZkKTYmiZqkxO5+/SjZSYNup2EXmRI/Pj/Si7tWK3ISztdgCjoaDCkRhkNZm0NBv+/Wn24p&#10;8YGZkikwoqCvwtO75ccPi8bmYgwVqFI4gk6Mzxtb0CoEm2eZ55XQzA/ACoNKCU6zgFd3yErHGvSu&#10;VTYeDm+yBlxpHXDhPb4+dEq6TP6lFDw8SelFIKqgmFtIp0vnPp7ZcsHyg2O2qnmfBvuHLDSrDQa9&#10;uHpggZGjq/9wpWvuwIMMAw46AylrLlINWM1o+K6abcWsSLVgc7y9tMn/P7f88fTsSF0WdEaJYRop&#10;2ok2kC/QklnsTmN9jqCtRVho8RlZTpV6uwH+wyMku8J0Bh7RsRutdDp+sU6ChkjA66XpMQrHx+lk&#10;MrmdY3SOuvFkNpzPEy3Zm7l1PnwVoEkUCuqQ1ZQCO218iAmw/AyJ0Qysa6USs8qQpqA36DUZXDRo&#10;oUzEijQjvZtYR5d6lEK7b1NnRuc+7KF8xTY46MbIW76uMaMN8+GZOZwbLBB3ITzhIRVgZOglSipw&#10;v/72HvFIJ2opaXAOC+p/HpkTlKhvBon+PJpO4+Cmy3Q2H+PFXWv21xpz1PeAoz7CrbM8iREf1FmU&#10;DvQLrswqRkUVMxxjFzScxfvQbQeuHBerVQLhqFoWNmZr+Zn92O9d+8Kc7UkJyOcjnCeW5e+46bAd&#10;O6tjAFkn4mKfu672Y4RjnvjsVzLu0fU9od5+HMvfAAAA//8DAFBLAwQUAAYACAAAACEAn3zv3d8A&#10;AAAKAQAADwAAAGRycy9kb3ducmV2LnhtbEyPQU/DMAyF70j8h8hI3FhKJ2hXmk4TggsSQhuT0G5e&#10;E5pC45Qk28q/x5zgZD/56fl79XJygziaEHtPCq5nGQhDrdc9dQq2r49XJYiYkDQOnoyCbxNh2Zyf&#10;1Vhpf6K1OW5SJziEYoUKbEpjJWVsrXEYZ340xLd3HxwmlqGTOuCJw90g8yy7lQ574g8WR3NvTfu5&#10;OTgFRbnT9iM8Tdu359WXfRnl8IBSqcuLaXUHIpkp/ZnhF5/RoWGmvT+QjmJgvchu2MpLzpMNZTHn&#10;cnsF8zIvQDa1/F+h+QEAAP//AwBQSwECLQAUAAYACAAAACEAtoM4kv4AAADhAQAAEwAAAAAAAAAA&#10;AAAAAAAAAAAAW0NvbnRlbnRfVHlwZXNdLnhtbFBLAQItABQABgAIAAAAIQA4/SH/1gAAAJQBAAAL&#10;AAAAAAAAAAAAAAAAAC8BAABfcmVscy8ucmVsc1BLAQItABQABgAIAAAAIQD/fl6UPwIAAIAEAAAO&#10;AAAAAAAAAAAAAAAAAC4CAABkcnMvZTJvRG9jLnhtbFBLAQItABQABgAIAAAAIQCffO/d3wAAAAoB&#10;AAAPAAAAAAAAAAAAAAAAAJkEAABkcnMvZG93bnJldi54bWxQSwUGAAAAAAQABADzAAAApQUAAAAA&#10;" filled="f" stroked="f" strokeweight=".5pt">
                <v:path arrowok="t"/>
                <v:textbox>
                  <w:txbxContent>
                    <w:p w:rsidR="009E02BA" w:rsidRPr="00E560F5" w:rsidRDefault="009E02BA" w:rsidP="009E02BA">
                      <w:pPr>
                        <w:spacing w:line="276" w:lineRule="auto"/>
                        <w:rPr>
                          <w:rFonts w:ascii="Cambria" w:hAnsi="Cambria" w:cs="Arial"/>
                          <w:b/>
                          <w:bCs/>
                          <w:color w:val="0D0D0D"/>
                          <w:sz w:val="36"/>
                          <w:szCs w:val="22"/>
                        </w:rPr>
                      </w:pPr>
                      <w:r w:rsidRPr="00E560F5">
                        <w:rPr>
                          <w:rFonts w:ascii="Cambria" w:hAnsi="Cambria" w:cs="Arial"/>
                          <w:b/>
                          <w:bCs/>
                          <w:color w:val="0D0D0D"/>
                          <w:sz w:val="36"/>
                          <w:szCs w:val="22"/>
                        </w:rPr>
                        <w:t xml:space="preserve">REPORT </w:t>
                      </w:r>
                      <w:r w:rsidRPr="00E560F5">
                        <w:rPr>
                          <w:rFonts w:ascii="Cambria" w:hAnsi="Cambria" w:cs="Arial"/>
                          <w:b/>
                          <w:bCs/>
                          <w:color w:val="0D0D0D"/>
                          <w:sz w:val="36"/>
                          <w:szCs w:val="40"/>
                        </w:rPr>
                        <w:t>No.</w:t>
                      </w:r>
                      <w:r>
                        <w:rPr>
                          <w:rFonts w:ascii="Cambria" w:hAnsi="Cambria" w:cs="Arial"/>
                          <w:b/>
                          <w:bCs/>
                          <w:color w:val="0D0D0D"/>
                          <w:sz w:val="36"/>
                          <w:szCs w:val="22"/>
                        </w:rPr>
                        <w:t xml:space="preserve"> </w:t>
                      </w:r>
                      <w:r w:rsidR="008C1FA8">
                        <w:rPr>
                          <w:rFonts w:ascii="Cambria" w:hAnsi="Cambria" w:cs="Arial"/>
                          <w:b/>
                          <w:bCs/>
                          <w:color w:val="0D0D0D"/>
                          <w:sz w:val="36"/>
                          <w:szCs w:val="22"/>
                        </w:rPr>
                        <w:t>46</w:t>
                      </w:r>
                      <w:r w:rsidRPr="00E560F5">
                        <w:rPr>
                          <w:rFonts w:ascii="Cambria" w:hAnsi="Cambria" w:cs="Arial"/>
                          <w:b/>
                          <w:bCs/>
                          <w:color w:val="0D0D0D"/>
                          <w:sz w:val="36"/>
                          <w:szCs w:val="22"/>
                        </w:rPr>
                        <w:t>/15</w:t>
                      </w:r>
                    </w:p>
                    <w:p w:rsidR="009E02BA" w:rsidRPr="00E560F5" w:rsidRDefault="009E02BA" w:rsidP="009E02BA">
                      <w:pPr>
                        <w:spacing w:line="276" w:lineRule="auto"/>
                        <w:rPr>
                          <w:rFonts w:ascii="Cambria" w:hAnsi="Cambria" w:cs="Arial"/>
                          <w:b/>
                          <w:color w:val="0D0D0D"/>
                          <w:sz w:val="36"/>
                          <w:szCs w:val="22"/>
                        </w:rPr>
                      </w:pPr>
                      <w:r>
                        <w:rPr>
                          <w:rFonts w:ascii="Cambria" w:hAnsi="Cambria" w:cs="Arial"/>
                          <w:b/>
                          <w:color w:val="0D0D0D"/>
                          <w:sz w:val="36"/>
                          <w:szCs w:val="22"/>
                        </w:rPr>
                        <w:t>PETITION 315-01</w:t>
                      </w:r>
                    </w:p>
                    <w:p w:rsidR="009E02BA" w:rsidRPr="00E560F5" w:rsidRDefault="009E02BA" w:rsidP="009E02BA">
                      <w:pPr>
                        <w:spacing w:line="276" w:lineRule="auto"/>
                        <w:rPr>
                          <w:rFonts w:ascii="Cambria" w:hAnsi="Cambria" w:cs="Arial"/>
                          <w:color w:val="0D0D0D"/>
                          <w:szCs w:val="22"/>
                        </w:rPr>
                      </w:pPr>
                      <w:r w:rsidRPr="00E560F5">
                        <w:rPr>
                          <w:rFonts w:ascii="Cambria" w:hAnsi="Cambria" w:cs="Arial"/>
                          <w:color w:val="0D0D0D"/>
                          <w:szCs w:val="22"/>
                        </w:rPr>
                        <w:t xml:space="preserve">REPORT ON ADMISSIBILITY </w:t>
                      </w:r>
                    </w:p>
                    <w:p w:rsidR="009E02BA" w:rsidRPr="00E560F5" w:rsidRDefault="009E02BA" w:rsidP="009E02BA">
                      <w:pPr>
                        <w:spacing w:line="276" w:lineRule="auto"/>
                        <w:rPr>
                          <w:rFonts w:ascii="Cambria" w:hAnsi="Cambria" w:cs="Arial"/>
                          <w:color w:val="0D0D0D"/>
                          <w:szCs w:val="22"/>
                        </w:rPr>
                      </w:pPr>
                    </w:p>
                    <w:p w:rsidR="009E02BA" w:rsidRPr="00E560F5" w:rsidRDefault="009E02BA" w:rsidP="009E02BA">
                      <w:pPr>
                        <w:spacing w:line="276" w:lineRule="auto"/>
                        <w:rPr>
                          <w:rFonts w:ascii="Cambria" w:hAnsi="Cambria" w:cs="Arial"/>
                          <w:color w:val="0D0D0D"/>
                          <w:szCs w:val="22"/>
                        </w:rPr>
                      </w:pPr>
                    </w:p>
                    <w:p w:rsidR="009E02BA" w:rsidRPr="00BD5A82" w:rsidRDefault="009E02BA" w:rsidP="009E02BA">
                      <w:pPr>
                        <w:spacing w:line="276" w:lineRule="auto"/>
                        <w:rPr>
                          <w:rFonts w:ascii="Cambria" w:hAnsi="Cambria" w:cs="Arial"/>
                          <w:color w:val="0D0D0D"/>
                          <w:szCs w:val="22"/>
                          <w:lang w:val="es-AR"/>
                        </w:rPr>
                      </w:pPr>
                      <w:r>
                        <w:rPr>
                          <w:rFonts w:ascii="Cambria" w:hAnsi="Cambria" w:cs="Arial"/>
                          <w:color w:val="0D0D0D"/>
                          <w:szCs w:val="22"/>
                          <w:lang w:val="es-AR"/>
                        </w:rPr>
                        <w:t>CRISTINA BRITEZ ARCE</w:t>
                      </w:r>
                    </w:p>
                    <w:p w:rsidR="009E02BA" w:rsidRPr="00BD5A82" w:rsidRDefault="009E02BA" w:rsidP="009E02BA">
                      <w:pPr>
                        <w:spacing w:line="276" w:lineRule="auto"/>
                        <w:rPr>
                          <w:rFonts w:ascii="Cambria" w:hAnsi="Cambria" w:cs="Arial"/>
                          <w:color w:val="0D0D0D"/>
                          <w:szCs w:val="22"/>
                          <w:lang w:val="es-AR"/>
                        </w:rPr>
                      </w:pPr>
                      <w:r>
                        <w:rPr>
                          <w:rFonts w:ascii="Cambria" w:hAnsi="Cambria" w:cs="Arial"/>
                          <w:color w:val="0D0D0D"/>
                          <w:szCs w:val="22"/>
                          <w:lang w:val="es-AR"/>
                        </w:rPr>
                        <w:t>ARGENTINA</w:t>
                      </w:r>
                    </w:p>
                    <w:p w:rsidR="009E02BA" w:rsidRPr="00BD5A82" w:rsidRDefault="009E02BA" w:rsidP="009E02BA">
                      <w:pPr>
                        <w:spacing w:line="276" w:lineRule="auto"/>
                        <w:rPr>
                          <w:rFonts w:ascii="Cambria" w:hAnsi="Cambria"/>
                          <w:color w:val="0D0D0D"/>
                          <w:lang w:val="es-AR"/>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txbx>
                        <w:txbxContent>
                          <w:p w:rsidR="008860E0" w:rsidRPr="00A662F4" w:rsidRDefault="008860E0" w:rsidP="008860E0">
                            <w:pPr>
                              <w:spacing w:line="276" w:lineRule="auto"/>
                              <w:jc w:val="right"/>
                              <w:rPr>
                                <w:rFonts w:asciiTheme="minorHAnsi" w:hAnsiTheme="minorHAnsi"/>
                                <w:color w:val="FFFFFF" w:themeColor="background1"/>
                                <w:sz w:val="22"/>
                                <w:lang w:val="pt-BR"/>
                              </w:rPr>
                            </w:pPr>
                            <w:r w:rsidRPr="00A662F4">
                              <w:rPr>
                                <w:rFonts w:asciiTheme="minorHAnsi" w:hAnsiTheme="minorHAnsi"/>
                                <w:color w:val="FFFFFF" w:themeColor="background1"/>
                                <w:sz w:val="22"/>
                                <w:lang w:val="pt-BR"/>
                              </w:rPr>
                              <w:t>OEA/Ser.L/V/II.155</w:t>
                            </w:r>
                          </w:p>
                          <w:p w:rsidR="009E02BA" w:rsidRPr="00A662F4" w:rsidRDefault="009E02BA" w:rsidP="009E02BA">
                            <w:pPr>
                              <w:spacing w:line="276" w:lineRule="auto"/>
                              <w:jc w:val="right"/>
                              <w:rPr>
                                <w:rFonts w:ascii="Calibri" w:hAnsi="Calibri"/>
                                <w:color w:val="FFFFFF"/>
                                <w:sz w:val="22"/>
                                <w:lang w:val="pt-BR"/>
                              </w:rPr>
                            </w:pPr>
                            <w:r w:rsidRPr="00A662F4">
                              <w:rPr>
                                <w:rFonts w:ascii="Calibri" w:hAnsi="Calibri"/>
                                <w:color w:val="FFFFFF"/>
                                <w:sz w:val="22"/>
                                <w:lang w:val="pt-BR"/>
                              </w:rPr>
                              <w:t xml:space="preserve">Doc. </w:t>
                            </w:r>
                            <w:r w:rsidR="008C1FA8" w:rsidRPr="00A662F4">
                              <w:rPr>
                                <w:rFonts w:ascii="Calibri" w:hAnsi="Calibri"/>
                                <w:color w:val="FFFFFF"/>
                                <w:sz w:val="22"/>
                                <w:lang w:val="pt-BR"/>
                              </w:rPr>
                              <w:t>26</w:t>
                            </w:r>
                          </w:p>
                          <w:p w:rsidR="009E02BA" w:rsidRPr="00501B07" w:rsidRDefault="008C1FA8" w:rsidP="009E02BA">
                            <w:pPr>
                              <w:spacing w:line="276" w:lineRule="auto"/>
                              <w:jc w:val="right"/>
                              <w:rPr>
                                <w:rFonts w:ascii="Calibri" w:hAnsi="Calibri"/>
                                <w:color w:val="FFFFFF"/>
                                <w:sz w:val="22"/>
                              </w:rPr>
                            </w:pPr>
                            <w:r>
                              <w:rPr>
                                <w:rFonts w:ascii="Calibri" w:hAnsi="Calibri"/>
                                <w:color w:val="FFFFFF"/>
                                <w:sz w:val="22"/>
                              </w:rPr>
                              <w:t>28 July</w:t>
                            </w:r>
                            <w:r w:rsidR="009E02BA" w:rsidRPr="00501B07">
                              <w:rPr>
                                <w:rFonts w:ascii="Calibri" w:hAnsi="Calibri"/>
                                <w:color w:val="FFFFFF"/>
                                <w:sz w:val="22"/>
                              </w:rPr>
                              <w:t xml:space="preserve"> 2015</w:t>
                            </w:r>
                          </w:p>
                          <w:p w:rsidR="009E02BA" w:rsidRPr="00F02DFC" w:rsidRDefault="009E02BA" w:rsidP="009E02BA">
                            <w:pPr>
                              <w:jc w:val="right"/>
                              <w:rPr>
                                <w:rFonts w:ascii="Calibri" w:hAnsi="Calibri"/>
                                <w:color w:val="FFFFFF"/>
                                <w:sz w:val="22"/>
                              </w:rPr>
                            </w:pPr>
                            <w:r w:rsidRPr="00F02DFC">
                              <w:rPr>
                                <w:rFonts w:ascii="Calibri" w:hAnsi="Calibri"/>
                                <w:color w:val="FFFFFF"/>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URQQIAAIAEAAAOAAAAZHJzL2Uyb0RvYy54bWysVF1v2jAUfZ+0/2D5fYQQaLuIULFWTJNQ&#10;WwmmPhvHJtFiX882JOzX79oJFHV7mvbi2L7H9+OcezO/71RDjsK6GnRB09GYEqE5lLXeF/T7dvXp&#10;jhLnmS5ZA1oU9CQcvV98/DBvTS4mUEFTCkvQiXZ5awpaeW/yJHG8Eoq5ERih0SjBKubxaPdJaVmL&#10;3lWTTMbjm6QFWxoLXDiHt4+9kS6ifykF989SOuFJU1DMzcfVxnUX1mQxZ/neMlPVfEiD/UMWitUa&#10;g15cPTLPyMHWf7hSNbfgQPoRB5WAlDUXsQasJh2/q2ZTMSNiLUiOMxea3P9zy5+OL5bUZUFRKM0U&#10;SrQVnSdfoCN3gZ3WuBxBG4Mw3+E1qhwrdWYN/IdDSHKF6R84RAc2OmlV+GKdBB+iAKcL6SEKD96y&#10;bJpmM0o42tLs9jZLZyFw8vbcWOe/ClAkbApqUdWYAjuune+hZ0iIpmFVNw3es7zRpC3oTTYbxwcX&#10;CzpvdACI2CODm1BHn3rY+W7XRWYmZx52UJ6QBgt9GznDVzVmtGbOvzCLfYMF4iz4Z1xkAxgZhh0l&#10;Fdhff7sPeJQTrZS02IcFdT8PzApKmm8ahf6cTqehceNhOrud4MFeW3bXFn1QD4CtnuLUGR63Ae+b&#10;81ZaUK84MssQFU1Mc4xdUH/ePvh+OnDkuFguIwhb1TC/1hvDz+oHvrfdK7NmEMWjnk9w7liWv9Om&#10;x/bqLA8eZB2FCzz3rA5thG0epR9GMszR9Tmi3n4ci98AAAD//wMAUEsDBBQABgAIAAAAIQBipJ0X&#10;3wAAAAoBAAAPAAAAZHJzL2Rvd25yZXYueG1sTI/BTsMwDIbvSLxDZCRuWzpQSylNpwnBBQmhjUmI&#10;m9eEptA4Jcm28vZ4Jzja/vT/n+vl5AZxMCH2nhQs5hkIQ63XPXUKtq+PsxJETEgaB09GwY+JsGzO&#10;z2qstD/S2hw2qRMcQrFCBTalsZIyttY4jHM/GuLbhw8OE4+hkzrgkcPdIK+yrJAOe+IGi6O5t6b9&#10;2uydgpvyXdvP8DRt355X3/ZllMMDSqUuL6bVHYhkpvQHw0mf1aFhp53fk45iUDDLy5xRBVwD4gTk&#10;iwLEjhfXxS3Ippb/X2h+AQAA//8DAFBLAQItABQABgAIAAAAIQC2gziS/gAAAOEBAAATAAAAAAAA&#10;AAAAAAAAAAAAAABbQ29udGVudF9UeXBlc10ueG1sUEsBAi0AFAAGAAgAAAAhADj9If/WAAAAlAEA&#10;AAsAAAAAAAAAAAAAAAAALwEAAF9yZWxzLy5yZWxzUEsBAi0AFAAGAAgAAAAhABFKRRFBAgAAgAQA&#10;AA4AAAAAAAAAAAAAAAAALgIAAGRycy9lMm9Eb2MueG1sUEsBAi0AFAAGAAgAAAAhAGKknRffAAAA&#10;CgEAAA8AAAAAAAAAAAAAAAAAmwQAAGRycy9kb3ducmV2LnhtbFBLBQYAAAAABAAEAPMAAACnBQAA&#10;AAA=&#10;" filled="f" stroked="f" strokeweight=".5pt">
                <v:path arrowok="t"/>
                <v:textbox>
                  <w:txbxContent>
                    <w:p w:rsidR="008860E0" w:rsidRPr="008C1FA8" w:rsidRDefault="008860E0" w:rsidP="008860E0">
                      <w:pPr>
                        <w:spacing w:line="276" w:lineRule="auto"/>
                        <w:jc w:val="right"/>
                        <w:rPr>
                          <w:rFonts w:asciiTheme="minorHAnsi" w:hAnsiTheme="minorHAnsi"/>
                          <w:color w:val="FFFFFF" w:themeColor="background1"/>
                          <w:sz w:val="22"/>
                        </w:rPr>
                      </w:pPr>
                      <w:r w:rsidRPr="008C1FA8">
                        <w:rPr>
                          <w:rFonts w:asciiTheme="minorHAnsi" w:hAnsiTheme="minorHAnsi"/>
                          <w:color w:val="FFFFFF" w:themeColor="background1"/>
                          <w:sz w:val="22"/>
                        </w:rPr>
                        <w:t>OEA/</w:t>
                      </w:r>
                      <w:proofErr w:type="spellStart"/>
                      <w:r w:rsidRPr="008C1FA8">
                        <w:rPr>
                          <w:rFonts w:asciiTheme="minorHAnsi" w:hAnsiTheme="minorHAnsi"/>
                          <w:color w:val="FFFFFF" w:themeColor="background1"/>
                          <w:sz w:val="22"/>
                        </w:rPr>
                        <w:t>Ser.L</w:t>
                      </w:r>
                      <w:proofErr w:type="spellEnd"/>
                      <w:r w:rsidRPr="008C1FA8">
                        <w:rPr>
                          <w:rFonts w:asciiTheme="minorHAnsi" w:hAnsiTheme="minorHAnsi"/>
                          <w:color w:val="FFFFFF" w:themeColor="background1"/>
                          <w:sz w:val="22"/>
                        </w:rPr>
                        <w:t>/V/II.155</w:t>
                      </w:r>
                    </w:p>
                    <w:p w:rsidR="009E02BA" w:rsidRPr="008C1FA8" w:rsidRDefault="009E02BA" w:rsidP="009E02BA">
                      <w:pPr>
                        <w:spacing w:line="276" w:lineRule="auto"/>
                        <w:jc w:val="right"/>
                        <w:rPr>
                          <w:rFonts w:ascii="Calibri" w:hAnsi="Calibri"/>
                          <w:color w:val="FFFFFF"/>
                          <w:sz w:val="22"/>
                        </w:rPr>
                      </w:pPr>
                      <w:r w:rsidRPr="008C1FA8">
                        <w:rPr>
                          <w:rFonts w:ascii="Calibri" w:hAnsi="Calibri"/>
                          <w:color w:val="FFFFFF"/>
                          <w:sz w:val="22"/>
                        </w:rPr>
                        <w:t xml:space="preserve">Doc. </w:t>
                      </w:r>
                      <w:r w:rsidR="008C1FA8" w:rsidRPr="008C1FA8">
                        <w:rPr>
                          <w:rFonts w:ascii="Calibri" w:hAnsi="Calibri"/>
                          <w:color w:val="FFFFFF"/>
                          <w:sz w:val="22"/>
                        </w:rPr>
                        <w:t>26</w:t>
                      </w:r>
                    </w:p>
                    <w:p w:rsidR="009E02BA" w:rsidRPr="00501B07" w:rsidRDefault="008C1FA8" w:rsidP="009E02BA">
                      <w:pPr>
                        <w:spacing w:line="276" w:lineRule="auto"/>
                        <w:jc w:val="right"/>
                        <w:rPr>
                          <w:rFonts w:ascii="Calibri" w:hAnsi="Calibri"/>
                          <w:color w:val="FFFFFF"/>
                          <w:sz w:val="22"/>
                        </w:rPr>
                      </w:pPr>
                      <w:r>
                        <w:rPr>
                          <w:rFonts w:ascii="Calibri" w:hAnsi="Calibri"/>
                          <w:color w:val="FFFFFF"/>
                          <w:sz w:val="22"/>
                        </w:rPr>
                        <w:t>28 July</w:t>
                      </w:r>
                      <w:r w:rsidR="009E02BA" w:rsidRPr="00501B07">
                        <w:rPr>
                          <w:rFonts w:ascii="Calibri" w:hAnsi="Calibri"/>
                          <w:color w:val="FFFFFF"/>
                          <w:sz w:val="22"/>
                        </w:rPr>
                        <w:t xml:space="preserve"> 2015</w:t>
                      </w:r>
                    </w:p>
                    <w:p w:rsidR="009E02BA" w:rsidRPr="00F02DFC" w:rsidRDefault="009E02BA" w:rsidP="009E02BA">
                      <w:pPr>
                        <w:jc w:val="right"/>
                        <w:rPr>
                          <w:rFonts w:ascii="Calibri" w:hAnsi="Calibri"/>
                          <w:color w:val="FFFFFF"/>
                          <w:sz w:val="22"/>
                        </w:rPr>
                      </w:pPr>
                      <w:r w:rsidRPr="00F02DFC">
                        <w:rPr>
                          <w:rFonts w:ascii="Calibri" w:hAnsi="Calibri"/>
                          <w:color w:val="FFFFFF"/>
                          <w:sz w:val="22"/>
                        </w:rPr>
                        <w:t>Original: Spanish</w:t>
                      </w:r>
                    </w:p>
                  </w:txbxContent>
                </v:textbox>
              </v:shape>
            </w:pict>
          </mc:Fallback>
        </mc:AlternateContent>
      </w:r>
    </w:p>
    <w:p w:rsidR="009E02BA" w:rsidRPr="00F02DFC" w:rsidRDefault="009E02BA" w:rsidP="009E02BA">
      <w:pPr>
        <w:tabs>
          <w:tab w:val="center" w:pos="5400"/>
        </w:tabs>
        <w:suppressAutoHyphens/>
        <w:jc w:val="center"/>
        <w:rPr>
          <w:rFonts w:ascii="Cambria" w:hAnsi="Cambria"/>
          <w:sz w:val="22"/>
          <w:szCs w:val="22"/>
          <w:lang w:val="es-ES_tradnl"/>
        </w:rPr>
      </w:pPr>
    </w:p>
    <w:p w:rsidR="009E02BA" w:rsidRPr="00F02DFC" w:rsidRDefault="009E02BA" w:rsidP="009E02BA">
      <w:pPr>
        <w:tabs>
          <w:tab w:val="center" w:pos="5400"/>
        </w:tabs>
        <w:suppressAutoHyphens/>
        <w:jc w:val="center"/>
        <w:rPr>
          <w:rFonts w:ascii="Cambria" w:hAnsi="Cambria" w:cs="Arial"/>
          <w:sz w:val="22"/>
          <w:szCs w:val="22"/>
          <w:lang w:val="es-ES_tradnl"/>
        </w:rPr>
      </w:pPr>
    </w:p>
    <w:p w:rsidR="009E02BA" w:rsidRPr="00F02DFC" w:rsidRDefault="009E02BA" w:rsidP="009E02BA">
      <w:pPr>
        <w:tabs>
          <w:tab w:val="center" w:pos="5400"/>
        </w:tabs>
        <w:suppressAutoHyphens/>
        <w:jc w:val="center"/>
        <w:rPr>
          <w:rFonts w:ascii="Cambria" w:hAnsi="Cambria"/>
          <w:sz w:val="22"/>
          <w:szCs w:val="22"/>
          <w:lang w:val="es-ES_tradnl"/>
        </w:rPr>
      </w:pPr>
    </w:p>
    <w:p w:rsidR="009E02BA" w:rsidRPr="00F02DFC" w:rsidRDefault="009E02BA" w:rsidP="009E02BA">
      <w:pPr>
        <w:tabs>
          <w:tab w:val="center" w:pos="5400"/>
        </w:tabs>
        <w:suppressAutoHyphens/>
        <w:jc w:val="center"/>
        <w:rPr>
          <w:rFonts w:ascii="Cambria" w:hAnsi="Cambria"/>
          <w:sz w:val="22"/>
          <w:szCs w:val="22"/>
          <w:lang w:val="es-ES_tradnl"/>
        </w:rPr>
      </w:pPr>
    </w:p>
    <w:p w:rsidR="009E02BA" w:rsidRPr="00F02DFC" w:rsidRDefault="009E02BA" w:rsidP="009E02BA">
      <w:pPr>
        <w:tabs>
          <w:tab w:val="center" w:pos="5400"/>
        </w:tabs>
        <w:suppressAutoHyphens/>
        <w:jc w:val="center"/>
        <w:rPr>
          <w:rFonts w:ascii="Cambria" w:hAnsi="Cambria"/>
          <w:sz w:val="22"/>
          <w:szCs w:val="22"/>
          <w:lang w:val="es-ES_tradnl"/>
        </w:rPr>
      </w:pPr>
    </w:p>
    <w:p w:rsidR="009E02BA" w:rsidRPr="00F02DFC" w:rsidRDefault="009E02BA" w:rsidP="009E02BA">
      <w:pPr>
        <w:tabs>
          <w:tab w:val="center" w:pos="5400"/>
        </w:tabs>
        <w:suppressAutoHyphens/>
        <w:jc w:val="center"/>
        <w:rPr>
          <w:rFonts w:ascii="Cambria" w:hAnsi="Cambria"/>
          <w:sz w:val="22"/>
          <w:szCs w:val="22"/>
          <w:lang w:val="es-ES_tradnl"/>
        </w:rPr>
      </w:pPr>
    </w:p>
    <w:p w:rsidR="009E02BA" w:rsidRPr="00F02DFC" w:rsidRDefault="009E02BA" w:rsidP="009E02BA">
      <w:pPr>
        <w:tabs>
          <w:tab w:val="center" w:pos="5400"/>
        </w:tabs>
        <w:suppressAutoHyphens/>
        <w:jc w:val="center"/>
        <w:rPr>
          <w:rFonts w:ascii="Cambria" w:hAnsi="Cambria"/>
          <w:sz w:val="22"/>
          <w:szCs w:val="22"/>
          <w:lang w:val="es-ES_tradnl"/>
        </w:rPr>
      </w:pPr>
    </w:p>
    <w:p w:rsidR="009E02BA" w:rsidRPr="00F02DFC" w:rsidRDefault="009E02BA" w:rsidP="009E02BA">
      <w:pPr>
        <w:tabs>
          <w:tab w:val="center" w:pos="5400"/>
        </w:tabs>
        <w:suppressAutoHyphens/>
        <w:jc w:val="center"/>
        <w:rPr>
          <w:rFonts w:ascii="Cambria" w:hAnsi="Cambria"/>
          <w:sz w:val="22"/>
          <w:szCs w:val="22"/>
          <w:lang w:val="es-ES_tradnl"/>
        </w:rPr>
      </w:pPr>
    </w:p>
    <w:p w:rsidR="009E02BA" w:rsidRPr="00F02DFC" w:rsidRDefault="009E02BA" w:rsidP="009E02BA">
      <w:pPr>
        <w:tabs>
          <w:tab w:val="center" w:pos="5400"/>
        </w:tabs>
        <w:suppressAutoHyphens/>
        <w:jc w:val="center"/>
        <w:rPr>
          <w:rFonts w:ascii="Cambria" w:hAnsi="Cambria"/>
          <w:sz w:val="22"/>
          <w:szCs w:val="22"/>
          <w:lang w:val="es-ES_tradnl"/>
        </w:rPr>
      </w:pPr>
    </w:p>
    <w:p w:rsidR="009E02BA" w:rsidRPr="00F02DFC" w:rsidRDefault="009E02BA" w:rsidP="009E02BA">
      <w:pPr>
        <w:tabs>
          <w:tab w:val="center" w:pos="5400"/>
        </w:tabs>
        <w:suppressAutoHyphens/>
        <w:jc w:val="center"/>
        <w:rPr>
          <w:rFonts w:ascii="Cambria" w:hAnsi="Cambria"/>
          <w:sz w:val="22"/>
          <w:szCs w:val="22"/>
          <w:lang w:val="es-ES_tradnl"/>
        </w:rPr>
      </w:pPr>
    </w:p>
    <w:p w:rsidR="009E02BA" w:rsidRPr="00F02DFC" w:rsidRDefault="009E02BA" w:rsidP="009E02BA">
      <w:pPr>
        <w:tabs>
          <w:tab w:val="center" w:pos="5400"/>
        </w:tabs>
        <w:suppressAutoHyphens/>
        <w:jc w:val="center"/>
        <w:rPr>
          <w:rFonts w:ascii="Cambria" w:hAnsi="Cambria"/>
          <w:sz w:val="22"/>
          <w:szCs w:val="22"/>
          <w:lang w:val="es-ES_tradnl"/>
        </w:rPr>
      </w:pPr>
    </w:p>
    <w:p w:rsidR="009E02BA" w:rsidRPr="00F02DFC" w:rsidRDefault="009E02BA" w:rsidP="009E02BA">
      <w:pPr>
        <w:tabs>
          <w:tab w:val="center" w:pos="5400"/>
        </w:tabs>
        <w:suppressAutoHyphens/>
        <w:jc w:val="center"/>
        <w:rPr>
          <w:rFonts w:ascii="Cambria" w:hAnsi="Cambria"/>
          <w:sz w:val="22"/>
          <w:szCs w:val="22"/>
          <w:lang w:val="es-ES_tradnl"/>
        </w:rPr>
      </w:pPr>
    </w:p>
    <w:p w:rsidR="009E02BA" w:rsidRPr="00F02DFC" w:rsidRDefault="009E02BA" w:rsidP="009E02BA">
      <w:pPr>
        <w:tabs>
          <w:tab w:val="center" w:pos="5400"/>
        </w:tabs>
        <w:suppressAutoHyphens/>
        <w:jc w:val="center"/>
        <w:rPr>
          <w:rFonts w:ascii="Cambria" w:hAnsi="Cambria"/>
          <w:sz w:val="22"/>
          <w:szCs w:val="22"/>
          <w:lang w:val="es-ES_tradnl"/>
        </w:rPr>
      </w:pPr>
    </w:p>
    <w:p w:rsidR="009E02BA" w:rsidRPr="00F02DFC" w:rsidRDefault="009E02BA" w:rsidP="009E02BA">
      <w:pPr>
        <w:tabs>
          <w:tab w:val="center" w:pos="5400"/>
        </w:tabs>
        <w:suppressAutoHyphens/>
        <w:jc w:val="center"/>
        <w:rPr>
          <w:rFonts w:ascii="Cambria" w:hAnsi="Cambria"/>
          <w:sz w:val="18"/>
          <w:szCs w:val="22"/>
          <w:lang w:val="es-ES_tradnl"/>
        </w:rPr>
      </w:pPr>
    </w:p>
    <w:p w:rsidR="009E02BA" w:rsidRPr="00F02DFC" w:rsidRDefault="009E02BA" w:rsidP="009E02BA">
      <w:pPr>
        <w:tabs>
          <w:tab w:val="center" w:pos="5400"/>
        </w:tabs>
        <w:suppressAutoHyphens/>
        <w:jc w:val="center"/>
        <w:rPr>
          <w:rFonts w:ascii="Cambria" w:hAnsi="Cambria"/>
          <w:sz w:val="18"/>
          <w:szCs w:val="22"/>
          <w:lang w:val="es-ES_tradnl"/>
        </w:rPr>
      </w:pPr>
    </w:p>
    <w:p w:rsidR="009E02BA" w:rsidRPr="00F02DFC" w:rsidRDefault="009E02BA" w:rsidP="009E02BA">
      <w:pPr>
        <w:tabs>
          <w:tab w:val="center" w:pos="5400"/>
        </w:tabs>
        <w:suppressAutoHyphens/>
        <w:jc w:val="center"/>
        <w:rPr>
          <w:rFonts w:ascii="Cambria" w:hAnsi="Cambria"/>
          <w:sz w:val="18"/>
          <w:szCs w:val="22"/>
          <w:lang w:val="es-ES_tradnl"/>
        </w:rPr>
      </w:pPr>
    </w:p>
    <w:p w:rsidR="009E02BA" w:rsidRPr="00F02DFC" w:rsidRDefault="009E02BA" w:rsidP="009E02BA">
      <w:pPr>
        <w:tabs>
          <w:tab w:val="center" w:pos="5400"/>
        </w:tabs>
        <w:suppressAutoHyphens/>
        <w:jc w:val="center"/>
        <w:rPr>
          <w:rFonts w:ascii="Cambria" w:hAnsi="Cambria"/>
          <w:sz w:val="18"/>
          <w:szCs w:val="22"/>
          <w:lang w:val="es-ES_tradnl"/>
        </w:rPr>
      </w:pPr>
    </w:p>
    <w:p w:rsidR="009E02BA" w:rsidRPr="00F02DFC" w:rsidRDefault="009E02BA" w:rsidP="009E02BA">
      <w:pPr>
        <w:tabs>
          <w:tab w:val="center" w:pos="5400"/>
        </w:tabs>
        <w:suppressAutoHyphens/>
        <w:jc w:val="center"/>
        <w:rPr>
          <w:rFonts w:ascii="Cambria" w:hAnsi="Cambria"/>
          <w:sz w:val="18"/>
          <w:szCs w:val="22"/>
          <w:lang w:val="es-ES_tradnl"/>
        </w:rPr>
      </w:pPr>
    </w:p>
    <w:p w:rsidR="009E02BA" w:rsidRPr="00F02DFC" w:rsidRDefault="009E02BA" w:rsidP="009E02BA">
      <w:pPr>
        <w:tabs>
          <w:tab w:val="center" w:pos="5400"/>
        </w:tabs>
        <w:suppressAutoHyphens/>
        <w:jc w:val="center"/>
        <w:rPr>
          <w:rFonts w:ascii="Cambria" w:hAnsi="Cambria"/>
          <w:sz w:val="18"/>
          <w:szCs w:val="22"/>
          <w:lang w:val="es-ES_tradnl"/>
        </w:rPr>
      </w:pPr>
    </w:p>
    <w:p w:rsidR="009E02BA" w:rsidRPr="00F02DFC" w:rsidRDefault="009E02BA" w:rsidP="009E02BA">
      <w:pPr>
        <w:tabs>
          <w:tab w:val="center" w:pos="5400"/>
        </w:tabs>
        <w:suppressAutoHyphens/>
        <w:jc w:val="center"/>
        <w:rPr>
          <w:rFonts w:ascii="Cambria" w:hAnsi="Cambria"/>
          <w:sz w:val="18"/>
          <w:szCs w:val="22"/>
          <w:lang w:val="es-ES_tradnl"/>
        </w:rPr>
      </w:pPr>
    </w:p>
    <w:p w:rsidR="009E02BA" w:rsidRPr="00F02DFC" w:rsidRDefault="009E02BA" w:rsidP="009E02BA">
      <w:pPr>
        <w:tabs>
          <w:tab w:val="center" w:pos="5400"/>
        </w:tabs>
        <w:suppressAutoHyphens/>
        <w:jc w:val="center"/>
        <w:rPr>
          <w:rFonts w:ascii="Cambria" w:hAnsi="Cambria"/>
          <w:sz w:val="18"/>
          <w:szCs w:val="22"/>
          <w:lang w:val="es-ES_tradnl"/>
        </w:rPr>
      </w:pPr>
    </w:p>
    <w:p w:rsidR="009E02BA" w:rsidRPr="00F02DFC" w:rsidRDefault="009E02BA" w:rsidP="009E02BA">
      <w:pPr>
        <w:tabs>
          <w:tab w:val="center" w:pos="5400"/>
        </w:tabs>
        <w:suppressAutoHyphens/>
        <w:jc w:val="center"/>
        <w:rPr>
          <w:rFonts w:ascii="Cambria" w:hAnsi="Cambria"/>
          <w:sz w:val="18"/>
          <w:szCs w:val="22"/>
          <w:lang w:val="es-ES_tradnl"/>
        </w:rPr>
      </w:pPr>
    </w:p>
    <w:p w:rsidR="009E02BA" w:rsidRPr="00F02DFC" w:rsidRDefault="009E02BA" w:rsidP="009E02BA">
      <w:pPr>
        <w:tabs>
          <w:tab w:val="center" w:pos="5400"/>
        </w:tabs>
        <w:suppressAutoHyphens/>
        <w:jc w:val="center"/>
        <w:rPr>
          <w:rFonts w:ascii="Cambria" w:hAnsi="Cambria"/>
          <w:sz w:val="18"/>
          <w:szCs w:val="22"/>
          <w:lang w:val="es-ES_tradnl"/>
        </w:rPr>
      </w:pPr>
    </w:p>
    <w:p w:rsidR="009E02BA" w:rsidRPr="00F02DFC" w:rsidRDefault="009E02BA" w:rsidP="009E02BA">
      <w:pPr>
        <w:tabs>
          <w:tab w:val="center" w:pos="5400"/>
        </w:tabs>
        <w:suppressAutoHyphens/>
        <w:jc w:val="center"/>
        <w:rPr>
          <w:rFonts w:ascii="Cambria" w:hAnsi="Cambria"/>
          <w:sz w:val="18"/>
          <w:szCs w:val="22"/>
          <w:lang w:val="es-ES_tradnl"/>
        </w:rPr>
      </w:pPr>
    </w:p>
    <w:p w:rsidR="009E02BA" w:rsidRPr="00F02DFC" w:rsidRDefault="009E02BA" w:rsidP="009E02BA">
      <w:pPr>
        <w:tabs>
          <w:tab w:val="center" w:pos="5400"/>
        </w:tabs>
        <w:suppressAutoHyphens/>
        <w:jc w:val="center"/>
        <w:rPr>
          <w:rFonts w:ascii="Cambria" w:hAnsi="Cambria"/>
          <w:sz w:val="18"/>
          <w:szCs w:val="22"/>
          <w:lang w:val="es-ES_tradnl"/>
        </w:rPr>
      </w:pPr>
    </w:p>
    <w:p w:rsidR="009E02BA" w:rsidRPr="00F02DFC" w:rsidRDefault="009E02BA" w:rsidP="009E02BA">
      <w:pP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61312" behindDoc="0" locked="0" layoutInCell="1" allowOverlap="1">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txbx>
                        <w:txbxContent>
                          <w:p w:rsidR="009E02BA" w:rsidRPr="00F02DFC" w:rsidRDefault="009E02BA" w:rsidP="009E02BA">
                            <w:pPr>
                              <w:tabs>
                                <w:tab w:val="center" w:pos="5400"/>
                              </w:tabs>
                              <w:suppressAutoHyphens/>
                              <w:spacing w:before="60"/>
                              <w:rPr>
                                <w:rFonts w:ascii="Cambria" w:hAnsi="Cambria"/>
                                <w:color w:val="0D0D0D"/>
                                <w:sz w:val="18"/>
                                <w:szCs w:val="22"/>
                              </w:rPr>
                            </w:pPr>
                            <w:r w:rsidRPr="008860E0">
                              <w:rPr>
                                <w:rFonts w:ascii="Cambria" w:hAnsi="Cambria"/>
                                <w:color w:val="0D0D0D"/>
                                <w:sz w:val="18"/>
                                <w:szCs w:val="20"/>
                              </w:rPr>
                              <w:t xml:space="preserve">Approved by the Commission </w:t>
                            </w:r>
                            <w:r w:rsidR="003B6ACA">
                              <w:rPr>
                                <w:rFonts w:ascii="Cambria" w:hAnsi="Cambria"/>
                                <w:color w:val="0D0D0D"/>
                                <w:sz w:val="18"/>
                                <w:szCs w:val="20"/>
                              </w:rPr>
                              <w:t xml:space="preserve">at its Session No. 2044 held </w:t>
                            </w:r>
                            <w:r w:rsidRPr="008860E0">
                              <w:rPr>
                                <w:rFonts w:ascii="Cambria" w:hAnsi="Cambria"/>
                                <w:color w:val="0D0D0D"/>
                                <w:sz w:val="18"/>
                                <w:szCs w:val="20"/>
                              </w:rPr>
                              <w:t xml:space="preserve">on </w:t>
                            </w:r>
                            <w:r w:rsidR="008C1FA8">
                              <w:rPr>
                                <w:rFonts w:ascii="Cambria" w:hAnsi="Cambria"/>
                                <w:color w:val="0D0D0D"/>
                                <w:sz w:val="18"/>
                                <w:szCs w:val="20"/>
                              </w:rPr>
                              <w:t>July 28</w:t>
                            </w:r>
                            <w:r w:rsidRPr="008860E0">
                              <w:rPr>
                                <w:rFonts w:ascii="Cambria" w:hAnsi="Cambria"/>
                                <w:color w:val="0D0D0D"/>
                                <w:sz w:val="18"/>
                                <w:szCs w:val="20"/>
                              </w:rPr>
                              <w:t xml:space="preserve">, 2015 at its </w:t>
                            </w:r>
                            <w:r w:rsidR="008C1FA8">
                              <w:rPr>
                                <w:rFonts w:ascii="Cambria" w:hAnsi="Cambria"/>
                                <w:color w:val="0D0D0D"/>
                                <w:sz w:val="18"/>
                                <w:szCs w:val="20"/>
                              </w:rPr>
                              <w:t>155</w:t>
                            </w:r>
                            <w:r w:rsidR="008C1FA8" w:rsidRPr="008C1FA8">
                              <w:rPr>
                                <w:rFonts w:ascii="Cambria" w:hAnsi="Cambria"/>
                                <w:color w:val="0D0D0D"/>
                                <w:sz w:val="18"/>
                                <w:szCs w:val="20"/>
                                <w:vertAlign w:val="superscript"/>
                              </w:rPr>
                              <w:t>th</w:t>
                            </w:r>
                            <w:r w:rsidR="008C1FA8">
                              <w:rPr>
                                <w:rFonts w:ascii="Cambria" w:hAnsi="Cambria"/>
                                <w:color w:val="0D0D0D"/>
                                <w:sz w:val="18"/>
                                <w:szCs w:val="20"/>
                              </w:rPr>
                              <w:t xml:space="preserve"> </w:t>
                            </w:r>
                            <w:r w:rsidR="003B6ACA">
                              <w:rPr>
                                <w:rFonts w:ascii="Cambria" w:hAnsi="Cambria" w:cs="Univers"/>
                                <w:color w:val="0D0D0D"/>
                                <w:sz w:val="18"/>
                                <w:szCs w:val="20"/>
                              </w:rPr>
                              <w:t>Period of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RQAIAAH8EAAAOAAAAZHJzL2Uyb0RvYy54bWysVEuP2jAQvlfqf7B8L+GVpUSEFd0VVSW0&#10;uxJUezaOQ6LaHtc2JPTXd+wEFm17qnpxxjOf5/XNZHHfKklOwroadE5HgyElQnMoan3I6ffd+tNn&#10;SpxnumAStMjpWTh6v/z4YdGYTIyhAlkIS9CJdlljclp5b7IkcbwSirkBGKHRWIJVzOPVHpLCsga9&#10;K5mMh8O7pAFbGAtcOIfax85Il9F/WQrun8vSCU9kTjE3H08bz304k+WCZQfLTFXzPg32D1koVmsM&#10;enX1yDwjR1v/4UrV3IKD0g84qATKsuYi1oDVjIbvqtlWzIhYCzbHmWub3P9zy59OL5bURU5nlGim&#10;kKKdaD35Ai2Zhe40xmUI2hqE+RbVyHKs1JkN8B8OIckNpnvgEB260ZZWhS/WSfAhEnC+Nj1E4aic&#10;pvN0Ok8p4Wi7m6eTcRriJm+vjXX+qwBFgpBTi6TGDNhp43wHvUBCMA3rWkrUs0xq0qDTSTqMD64W&#10;dC51AIg4Ir2bUEaXeZB8u29jYyaXNuyhOGMXLHRT5Axf15jRhjn/wiyODdaHq+Cf8SglYGToJUoq&#10;sL/+pg94ZBOtlDQ4hjl1P4/MCkrkN408z0fTaZjbeJmmszFe7K1lf2vRR/UAOOkjXDrDoxjwXl7E&#10;0oJ6xY1ZhahoYppj7Jz6i/jgu+XAjeNitYognFTD/EZvDb+QH/q9a1+ZNT0pHul8gsvAsuwdNx22&#10;Y2d19FDWkbjQ566r/RThlEfq+40Ma3R7j6i3/8byNwAAAP//AwBQSwMEFAAGAAgAAAAhAEbzNffe&#10;AAAACgEAAA8AAABkcnMvZG93bnJldi54bWxMj81OwzAQhO9IvIO1SNyokwhoG+JUFYILEkKUSojb&#10;Nl7igH+C7bbh7VlOcJvZHc1+26wmZ8WBYhqCV1DOChDku6AH3yvYvtxfLECkjF6jDZ4UfFOCVXt6&#10;0mCtw9E/02GTe8ElPtWowOQ81lKmzpDDNAsjed69h+gws4291BGPXO6srIriWjocPF8wONKtoe5z&#10;s3cK5os3bT7iw7R9fVx/madR2juUSp2fTesbEJmm/BeGX3xGh5aZdmHvdRKW/bK44iiLsgLBgWV5&#10;yWLHg6qYg2wb+f+F9gcAAP//AwBQSwECLQAUAAYACAAAACEAtoM4kv4AAADhAQAAEwAAAAAAAAAA&#10;AAAAAAAAAAAAW0NvbnRlbnRfVHlwZXNdLnhtbFBLAQItABQABgAIAAAAIQA4/SH/1gAAAJQBAAAL&#10;AAAAAAAAAAAAAAAAAC8BAABfcmVscy8ucmVsc1BLAQItABQABgAIAAAAIQALfg/RQAIAAH8EAAAO&#10;AAAAAAAAAAAAAAAAAC4CAABkcnMvZTJvRG9jLnhtbFBLAQItABQABgAIAAAAIQBG8zX33gAAAAoB&#10;AAAPAAAAAAAAAAAAAAAAAJoEAABkcnMvZG93bnJldi54bWxQSwUGAAAAAAQABADzAAAApQUAAAAA&#10;" filled="f" stroked="f" strokeweight=".5pt">
                <v:path arrowok="t"/>
                <v:textbox>
                  <w:txbxContent>
                    <w:p w:rsidR="009E02BA" w:rsidRPr="00F02DFC" w:rsidRDefault="009E02BA" w:rsidP="009E02BA">
                      <w:pPr>
                        <w:tabs>
                          <w:tab w:val="center" w:pos="5400"/>
                        </w:tabs>
                        <w:suppressAutoHyphens/>
                        <w:spacing w:before="60"/>
                        <w:rPr>
                          <w:rFonts w:ascii="Cambria" w:hAnsi="Cambria"/>
                          <w:color w:val="0D0D0D"/>
                          <w:sz w:val="18"/>
                          <w:szCs w:val="22"/>
                        </w:rPr>
                      </w:pPr>
                      <w:r w:rsidRPr="008860E0">
                        <w:rPr>
                          <w:rFonts w:ascii="Cambria" w:hAnsi="Cambria"/>
                          <w:color w:val="0D0D0D"/>
                          <w:sz w:val="18"/>
                          <w:szCs w:val="20"/>
                        </w:rPr>
                        <w:t xml:space="preserve">Approved by the Commission </w:t>
                      </w:r>
                      <w:r w:rsidR="003B6ACA">
                        <w:rPr>
                          <w:rFonts w:ascii="Cambria" w:hAnsi="Cambria"/>
                          <w:color w:val="0D0D0D"/>
                          <w:sz w:val="18"/>
                          <w:szCs w:val="20"/>
                        </w:rPr>
                        <w:t xml:space="preserve">at its Session No. 2044 held </w:t>
                      </w:r>
                      <w:r w:rsidRPr="008860E0">
                        <w:rPr>
                          <w:rFonts w:ascii="Cambria" w:hAnsi="Cambria"/>
                          <w:color w:val="0D0D0D"/>
                          <w:sz w:val="18"/>
                          <w:szCs w:val="20"/>
                        </w:rPr>
                        <w:t xml:space="preserve">on </w:t>
                      </w:r>
                      <w:r w:rsidR="008C1FA8">
                        <w:rPr>
                          <w:rFonts w:ascii="Cambria" w:hAnsi="Cambria"/>
                          <w:color w:val="0D0D0D"/>
                          <w:sz w:val="18"/>
                          <w:szCs w:val="20"/>
                        </w:rPr>
                        <w:t>July 28</w:t>
                      </w:r>
                      <w:r w:rsidRPr="008860E0">
                        <w:rPr>
                          <w:rFonts w:ascii="Cambria" w:hAnsi="Cambria"/>
                          <w:color w:val="0D0D0D"/>
                          <w:sz w:val="18"/>
                          <w:szCs w:val="20"/>
                        </w:rPr>
                        <w:t xml:space="preserve">, 2015 at its </w:t>
                      </w:r>
                      <w:r w:rsidR="008C1FA8">
                        <w:rPr>
                          <w:rFonts w:ascii="Cambria" w:hAnsi="Cambria"/>
                          <w:color w:val="0D0D0D"/>
                          <w:sz w:val="18"/>
                          <w:szCs w:val="20"/>
                        </w:rPr>
                        <w:t>155</w:t>
                      </w:r>
                      <w:r w:rsidR="008C1FA8" w:rsidRPr="008C1FA8">
                        <w:rPr>
                          <w:rFonts w:ascii="Cambria" w:hAnsi="Cambria"/>
                          <w:color w:val="0D0D0D"/>
                          <w:sz w:val="18"/>
                          <w:szCs w:val="20"/>
                          <w:vertAlign w:val="superscript"/>
                        </w:rPr>
                        <w:t>th</w:t>
                      </w:r>
                      <w:r w:rsidR="008C1FA8">
                        <w:rPr>
                          <w:rFonts w:ascii="Cambria" w:hAnsi="Cambria"/>
                          <w:color w:val="0D0D0D"/>
                          <w:sz w:val="18"/>
                          <w:szCs w:val="20"/>
                        </w:rPr>
                        <w:t xml:space="preserve"> </w:t>
                      </w:r>
                      <w:r w:rsidR="003B6ACA">
                        <w:rPr>
                          <w:rFonts w:ascii="Cambria" w:hAnsi="Cambria" w:cs="Univers"/>
                          <w:color w:val="0D0D0D"/>
                          <w:sz w:val="18"/>
                          <w:szCs w:val="20"/>
                        </w:rPr>
                        <w:t>Period of Session.</w:t>
                      </w:r>
                    </w:p>
                  </w:txbxContent>
                </v:textbox>
              </v:shape>
            </w:pict>
          </mc:Fallback>
        </mc:AlternateContent>
      </w:r>
    </w:p>
    <w:p w:rsidR="009E02BA" w:rsidRPr="00F02DFC" w:rsidRDefault="009E02BA" w:rsidP="009E02BA">
      <w:pPr>
        <w:tabs>
          <w:tab w:val="center" w:pos="5400"/>
        </w:tabs>
        <w:suppressAutoHyphens/>
        <w:jc w:val="center"/>
        <w:rPr>
          <w:rFonts w:ascii="Cambria" w:hAnsi="Cambria"/>
          <w:sz w:val="18"/>
          <w:szCs w:val="22"/>
          <w:lang w:val="es-ES_tradnl"/>
        </w:rPr>
      </w:pPr>
    </w:p>
    <w:p w:rsidR="009E02BA" w:rsidRPr="00F02DFC" w:rsidRDefault="009E02BA" w:rsidP="009E02BA">
      <w:pPr>
        <w:tabs>
          <w:tab w:val="center" w:pos="5400"/>
        </w:tabs>
        <w:suppressAutoHyphens/>
        <w:jc w:val="center"/>
        <w:rPr>
          <w:rFonts w:ascii="Cambria" w:hAnsi="Cambria"/>
          <w:sz w:val="18"/>
          <w:szCs w:val="22"/>
          <w:lang w:val="es-ES_tradnl"/>
        </w:rPr>
      </w:pPr>
    </w:p>
    <w:p w:rsidR="009E02BA" w:rsidRPr="00F02DFC" w:rsidRDefault="009E02BA" w:rsidP="009E02BA">
      <w:pPr>
        <w:tabs>
          <w:tab w:val="center" w:pos="5400"/>
        </w:tabs>
        <w:suppressAutoHyphens/>
        <w:jc w:val="center"/>
        <w:rPr>
          <w:rFonts w:ascii="Cambria" w:hAnsi="Cambria"/>
          <w:sz w:val="18"/>
          <w:szCs w:val="22"/>
          <w:lang w:val="es-ES_tradnl"/>
        </w:rPr>
      </w:pPr>
    </w:p>
    <w:p w:rsidR="009E02BA" w:rsidRPr="00F02DFC" w:rsidRDefault="009E02BA" w:rsidP="009E02BA">
      <w:pPr>
        <w:tabs>
          <w:tab w:val="center" w:pos="5400"/>
        </w:tabs>
        <w:suppressAutoHyphens/>
        <w:jc w:val="center"/>
        <w:rPr>
          <w:rFonts w:ascii="Cambria" w:hAnsi="Cambria"/>
          <w:sz w:val="18"/>
          <w:szCs w:val="22"/>
          <w:lang w:val="es-ES_tradnl"/>
        </w:rPr>
      </w:pPr>
    </w:p>
    <w:p w:rsidR="009E02BA" w:rsidRPr="00F02DFC" w:rsidRDefault="009E02BA" w:rsidP="009E02BA">
      <w:pP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64384" behindDoc="0" locked="0" layoutInCell="1" allowOverlap="1">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txbx>
                        <w:txbxContent>
                          <w:p w:rsidR="009E02BA" w:rsidRPr="00F02DFC" w:rsidRDefault="009E02BA" w:rsidP="009E02BA">
                            <w:pPr>
                              <w:spacing w:line="276" w:lineRule="auto"/>
                              <w:rPr>
                                <w:rFonts w:ascii="Cambria" w:hAnsi="Cambria"/>
                                <w:color w:val="595959"/>
                                <w:sz w:val="18"/>
                              </w:rPr>
                            </w:pPr>
                            <w:r w:rsidRPr="008860E0">
                              <w:rPr>
                                <w:rFonts w:ascii="Cambria" w:hAnsi="Cambria"/>
                                <w:b/>
                                <w:color w:val="595959"/>
                                <w:sz w:val="18"/>
                              </w:rPr>
                              <w:t xml:space="preserve">Cite as: </w:t>
                            </w:r>
                            <w:r w:rsidRPr="008860E0">
                              <w:rPr>
                                <w:rFonts w:ascii="Cambria" w:hAnsi="Cambria"/>
                                <w:color w:val="595959"/>
                                <w:sz w:val="18"/>
                              </w:rPr>
                              <w:t xml:space="preserve">IACHR, Report No. </w:t>
                            </w:r>
                            <w:r w:rsidR="008C1FA8" w:rsidRPr="008C1FA8">
                              <w:rPr>
                                <w:rFonts w:ascii="Cambria" w:hAnsi="Cambria"/>
                                <w:color w:val="595959"/>
                                <w:sz w:val="18"/>
                              </w:rPr>
                              <w:t>46</w:t>
                            </w:r>
                            <w:r w:rsidRPr="008860E0">
                              <w:rPr>
                                <w:rFonts w:ascii="Cambria" w:hAnsi="Cambria"/>
                                <w:color w:val="595959"/>
                                <w:sz w:val="18"/>
                              </w:rPr>
                              <w:t xml:space="preserve">/15, Petition 315-01. </w:t>
                            </w:r>
                            <w:r w:rsidRPr="008C1FA8">
                              <w:rPr>
                                <w:rFonts w:ascii="Cambria" w:hAnsi="Cambria"/>
                                <w:color w:val="595959"/>
                                <w:sz w:val="18"/>
                              </w:rPr>
                              <w:t>Admissibility. Cristina Britez Arce. Argentina</w:t>
                            </w:r>
                            <w:r w:rsidRPr="008860E0">
                              <w:rPr>
                                <w:rFonts w:ascii="Cambria" w:hAnsi="Cambria"/>
                                <w:color w:val="595959"/>
                                <w:sz w:val="18"/>
                              </w:rPr>
                              <w:t xml:space="preserve">. </w:t>
                            </w:r>
                            <w:r w:rsidR="008C1FA8" w:rsidRPr="008C1FA8">
                              <w:rPr>
                                <w:rFonts w:ascii="Cambria" w:hAnsi="Cambria"/>
                                <w:color w:val="595959"/>
                                <w:sz w:val="18"/>
                              </w:rPr>
                              <w:t>J</w:t>
                            </w:r>
                            <w:r w:rsidR="008C1FA8">
                              <w:rPr>
                                <w:rFonts w:ascii="Cambria" w:hAnsi="Cambria"/>
                                <w:color w:val="595959"/>
                                <w:sz w:val="18"/>
                              </w:rPr>
                              <w:t xml:space="preserve">uly </w:t>
                            </w:r>
                            <w:r w:rsidR="008C1FA8" w:rsidRPr="008C1FA8">
                              <w:rPr>
                                <w:rFonts w:ascii="Cambria" w:hAnsi="Cambria"/>
                                <w:color w:val="595959"/>
                                <w:sz w:val="18"/>
                              </w:rPr>
                              <w:t>28</w:t>
                            </w:r>
                            <w:r w:rsidRPr="008860E0">
                              <w:rPr>
                                <w:rFonts w:ascii="Cambria" w:hAnsi="Cambria"/>
                                <w:color w:val="595959"/>
                                <w:sz w:val="18"/>
                              </w:rPr>
                              <w:t>,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yPgIAAIEEAAAOAAAAZHJzL2Uyb0RvYy54bWysVN9v2jAQfp+0/8Hy+0hggZWIULFWTJNQ&#10;WwmqPhvHJtFin2cbku6v39kJFHV7mvbinH3f/fzusrjtVENOwroadEHHo5QSoTmUtT4U9Hm3/nRD&#10;ifNMl6wBLQr6Khy9XX78sGhNLiZQQVMKS9CJdnlrClp5b/IkcbwSirkRGKFRKcEq5vFqD0lpWYve&#10;VZNM0nSWtGBLY4EL5/D1vlfSZfQvpeD+UUonPGkKirn5eNp47sOZLBcsP1hmqpoPabB/yEKxWmPQ&#10;i6t75hk52voPV6rmFhxIP+KgEpCy5iLWgNWM03fVbCtmRKwFm+PMpU3u/7nlD6cnS+oSucso0Uwh&#10;RzvRefIVOoJP2J/WuBxhW4NA3+E7YmOtzmyA/3AISa4wvYFDdOhHJ60KX6yUoCFS8HppewjD8TG7&#10;mWTpfEoJR90snc/SyEvyZm2s898EKBKEglqkNWbAThvnQ3yWnyEhmIZ13TSR2kaTFp1+nqbR4KJB&#10;i0YHrIhDMrgJZfSZB8l3+y625tKGPZSv2AUL/Rw5w9c1ZrRhzj8xi4OD9eEy+Ec8ZAMYGQaJkgrs&#10;r7+9BzzyiVpKWhzEgrqfR2YFJc13jUzPx1kWJjdesumXCV7stWZ/rdFHdQc462NcO8OjGPC+OYvS&#10;gnrBnVmFqKhimmPsgvqzeOf79cCd42K1iiCcVcP8Rm8NP5Mf+r3rXpg1Ayke6XyA88iy/B03PbZn&#10;Z3X0IOtIXOhz39VhinDOI5/DToZFur5H1NufY/kbAAD//wMAUEsDBBQABgAIAAAAIQDT8Hi83QAA&#10;AAoBAAAPAAAAZHJzL2Rvd25yZXYueG1sTE/LTsMwELwj8Q/WInGjdisKbYhTVQguSAhRKiFu23iJ&#10;A34E223D37Oc4LQ7O6OZ2Xo1eicOlHIfg4bpRIGg0EbTh07D9uX+YgEiFwwGXQyk4ZsyrJrTkxor&#10;E4/hmQ6b0gk2CblCDbaUoZIyt5Y85kkcKDD3HpPHwjB10iQ8srl3cqbUlfTYB06wONCtpfZzs/ca&#10;rhdvxn6kh3H7+rj+sk+DdHcotT4/G9c3IAqN5U8Mv/W5OjTcaRf3wWThGC/VnKW8XPJkwXKuZiB2&#10;fJgyI5ta/n+h+QEAAP//AwBQSwECLQAUAAYACAAAACEAtoM4kv4AAADhAQAAEwAAAAAAAAAAAAAA&#10;AAAAAAAAW0NvbnRlbnRfVHlwZXNdLnhtbFBLAQItABQABgAIAAAAIQA4/SH/1gAAAJQBAAALAAAA&#10;AAAAAAAAAAAAAC8BAABfcmVscy8ucmVsc1BLAQItABQABgAIAAAAIQBeRR/yPgIAAIEEAAAOAAAA&#10;AAAAAAAAAAAAAC4CAABkcnMvZTJvRG9jLnhtbFBLAQItABQABgAIAAAAIQDT8Hi83QAAAAoBAAAP&#10;AAAAAAAAAAAAAAAAAJgEAABkcnMvZG93bnJldi54bWxQSwUGAAAAAAQABADzAAAAogUAAAAA&#10;" filled="f" stroked="f" strokeweight=".5pt">
                <v:path arrowok="t"/>
                <v:textbox>
                  <w:txbxContent>
                    <w:p w:rsidR="009E02BA" w:rsidRPr="00F02DFC" w:rsidRDefault="009E02BA" w:rsidP="009E02BA">
                      <w:pPr>
                        <w:spacing w:line="276" w:lineRule="auto"/>
                        <w:rPr>
                          <w:rFonts w:ascii="Cambria" w:hAnsi="Cambria"/>
                          <w:color w:val="595959"/>
                          <w:sz w:val="18"/>
                        </w:rPr>
                      </w:pPr>
                      <w:r w:rsidRPr="008860E0">
                        <w:rPr>
                          <w:rFonts w:ascii="Cambria" w:hAnsi="Cambria"/>
                          <w:b/>
                          <w:color w:val="595959"/>
                          <w:sz w:val="18"/>
                        </w:rPr>
                        <w:t xml:space="preserve">Cite as: </w:t>
                      </w:r>
                      <w:r w:rsidRPr="008860E0">
                        <w:rPr>
                          <w:rFonts w:ascii="Cambria" w:hAnsi="Cambria"/>
                          <w:color w:val="595959"/>
                          <w:sz w:val="18"/>
                        </w:rPr>
                        <w:t xml:space="preserve">IACHR, Report No. </w:t>
                      </w:r>
                      <w:r w:rsidR="008C1FA8" w:rsidRPr="008C1FA8">
                        <w:rPr>
                          <w:rFonts w:ascii="Cambria" w:hAnsi="Cambria"/>
                          <w:color w:val="595959"/>
                          <w:sz w:val="18"/>
                        </w:rPr>
                        <w:t>46</w:t>
                      </w:r>
                      <w:r w:rsidRPr="008860E0">
                        <w:rPr>
                          <w:rFonts w:ascii="Cambria" w:hAnsi="Cambria"/>
                          <w:color w:val="595959"/>
                          <w:sz w:val="18"/>
                        </w:rPr>
                        <w:t xml:space="preserve">/15, Petition 315-01. </w:t>
                      </w:r>
                      <w:proofErr w:type="gramStart"/>
                      <w:r w:rsidRPr="008C1FA8">
                        <w:rPr>
                          <w:rFonts w:ascii="Cambria" w:hAnsi="Cambria"/>
                          <w:color w:val="595959"/>
                          <w:sz w:val="18"/>
                        </w:rPr>
                        <w:t>Admissibility.</w:t>
                      </w:r>
                      <w:proofErr w:type="gramEnd"/>
                      <w:r w:rsidRPr="008C1FA8">
                        <w:rPr>
                          <w:rFonts w:ascii="Cambria" w:hAnsi="Cambria"/>
                          <w:color w:val="595959"/>
                          <w:sz w:val="18"/>
                        </w:rPr>
                        <w:t xml:space="preserve"> Cristina </w:t>
                      </w:r>
                      <w:proofErr w:type="spellStart"/>
                      <w:r w:rsidRPr="008C1FA8">
                        <w:rPr>
                          <w:rFonts w:ascii="Cambria" w:hAnsi="Cambria"/>
                          <w:color w:val="595959"/>
                          <w:sz w:val="18"/>
                        </w:rPr>
                        <w:t>Britez</w:t>
                      </w:r>
                      <w:proofErr w:type="spellEnd"/>
                      <w:r w:rsidRPr="008C1FA8">
                        <w:rPr>
                          <w:rFonts w:ascii="Cambria" w:hAnsi="Cambria"/>
                          <w:color w:val="595959"/>
                          <w:sz w:val="18"/>
                        </w:rPr>
                        <w:t xml:space="preserve"> Arce. Argentina</w:t>
                      </w:r>
                      <w:r w:rsidRPr="008860E0">
                        <w:rPr>
                          <w:rFonts w:ascii="Cambria" w:hAnsi="Cambria"/>
                          <w:color w:val="595959"/>
                          <w:sz w:val="18"/>
                        </w:rPr>
                        <w:t xml:space="preserve">. </w:t>
                      </w:r>
                      <w:r w:rsidR="008C1FA8" w:rsidRPr="008C1FA8">
                        <w:rPr>
                          <w:rFonts w:ascii="Cambria" w:hAnsi="Cambria"/>
                          <w:color w:val="595959"/>
                          <w:sz w:val="18"/>
                        </w:rPr>
                        <w:t>J</w:t>
                      </w:r>
                      <w:r w:rsidR="008C1FA8">
                        <w:rPr>
                          <w:rFonts w:ascii="Cambria" w:hAnsi="Cambria"/>
                          <w:color w:val="595959"/>
                          <w:sz w:val="18"/>
                        </w:rPr>
                        <w:t xml:space="preserve">uly </w:t>
                      </w:r>
                      <w:r w:rsidR="008C1FA8" w:rsidRPr="008C1FA8">
                        <w:rPr>
                          <w:rFonts w:ascii="Cambria" w:hAnsi="Cambria"/>
                          <w:color w:val="595959"/>
                          <w:sz w:val="18"/>
                        </w:rPr>
                        <w:t>28</w:t>
                      </w:r>
                      <w:r w:rsidRPr="008860E0">
                        <w:rPr>
                          <w:rFonts w:ascii="Cambria" w:hAnsi="Cambria"/>
                          <w:color w:val="595959"/>
                          <w:sz w:val="18"/>
                        </w:rPr>
                        <w:t>, 2015.</w:t>
                      </w:r>
                    </w:p>
                  </w:txbxContent>
                </v:textbox>
              </v:shape>
            </w:pict>
          </mc:Fallback>
        </mc:AlternateContent>
      </w:r>
    </w:p>
    <w:p w:rsidR="009E02BA" w:rsidRPr="00F02DFC" w:rsidRDefault="009E02BA" w:rsidP="009E02BA">
      <w:pPr>
        <w:tabs>
          <w:tab w:val="center" w:pos="5400"/>
        </w:tabs>
        <w:suppressAutoHyphens/>
        <w:jc w:val="center"/>
        <w:rPr>
          <w:rFonts w:ascii="Cambria" w:hAnsi="Cambria"/>
          <w:sz w:val="18"/>
          <w:szCs w:val="22"/>
          <w:lang w:val="es-ES_tradnl"/>
        </w:rPr>
      </w:pPr>
    </w:p>
    <w:p w:rsidR="009E02BA" w:rsidRPr="00F02DFC" w:rsidRDefault="009E02BA" w:rsidP="009E02BA">
      <w:pPr>
        <w:tabs>
          <w:tab w:val="center" w:pos="5400"/>
        </w:tabs>
        <w:suppressAutoHyphens/>
        <w:jc w:val="center"/>
        <w:rPr>
          <w:rFonts w:ascii="Cambria" w:hAnsi="Cambria"/>
          <w:sz w:val="18"/>
          <w:szCs w:val="22"/>
          <w:lang w:val="es-ES_tradnl"/>
        </w:rPr>
      </w:pPr>
    </w:p>
    <w:p w:rsidR="009E02BA" w:rsidRPr="00F02DFC" w:rsidRDefault="009E02BA" w:rsidP="009E02BA">
      <w:pPr>
        <w:tabs>
          <w:tab w:val="center" w:pos="5400"/>
        </w:tabs>
        <w:suppressAutoHyphens/>
        <w:jc w:val="center"/>
        <w:rPr>
          <w:rFonts w:ascii="Cambria" w:hAnsi="Cambria"/>
          <w:sz w:val="18"/>
          <w:szCs w:val="22"/>
        </w:rPr>
      </w:pPr>
    </w:p>
    <w:p w:rsidR="009E02BA" w:rsidRPr="00F02DFC" w:rsidRDefault="009E02BA" w:rsidP="009E02BA">
      <w:pPr>
        <w:tabs>
          <w:tab w:val="center" w:pos="5400"/>
        </w:tabs>
        <w:suppressAutoHyphens/>
        <w:jc w:val="center"/>
        <w:rPr>
          <w:rFonts w:ascii="Cambria" w:hAnsi="Cambria"/>
          <w:sz w:val="18"/>
          <w:szCs w:val="22"/>
        </w:rPr>
      </w:pPr>
      <w:r>
        <w:rPr>
          <w:noProof/>
        </w:rPr>
        <mc:AlternateContent>
          <mc:Choice Requires="wps">
            <w:drawing>
              <wp:anchor distT="0" distB="0" distL="114300" distR="114300" simplePos="0" relativeHeight="251666432" behindDoc="0" locked="0" layoutInCell="1" allowOverlap="1">
                <wp:simplePos x="0" y="0"/>
                <wp:positionH relativeFrom="column">
                  <wp:posOffset>-299085</wp:posOffset>
                </wp:positionH>
                <wp:positionV relativeFrom="paragraph">
                  <wp:posOffset>859155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rsidR="009E02BA" w:rsidRPr="00F02DFC" w:rsidRDefault="009E02BA" w:rsidP="009E02BA">
                            <w:pPr>
                              <w:jc w:val="center"/>
                              <w:rPr>
                                <w:rFonts w:ascii="Calibri" w:hAnsi="Calibri"/>
                                <w:b/>
                                <w:color w:val="FFFFFF"/>
                              </w:rPr>
                            </w:pPr>
                            <w:r w:rsidRPr="00F02DFC">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3.55pt;margin-top:67.6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fsqPwIAAH8EAAAOAAAAZHJzL2Uyb0RvYy54bWysVN9v2jAQfp+0/8Hy+0gClHYRoWKtmCah&#10;thJMfTaOQ6LZPs82JOyv39kJFHV7mvZizrnP9+P77pjfd0qSo7CuAV3QbJRSIjSHstH7gn7frj7d&#10;UeI80yWToEVBT8LR+8XHD/PW5GIMNchSWIJBtMtbU9Dae5MnieO1UMyNwAiNzgqsYh6vdp+UlrUY&#10;XclknKazpAVbGgtcOIdfH3snXcT4VSW4f64qJzyRBcXafDxtPHfhTBZzlu8tM3XDhzLYP1ShWKMx&#10;6SXUI/OMHGzzRyjVcAsOKj/ioBKoqoaL2AN2k6XvutnUzIjYC5LjzIUm9//C8qfjiyVNWdApJZop&#10;lGgrOk++QEemgZ3WuBxBG4Mw3+FnVDl26swa+A+HkOQK0z9wiA5sdJVV4Rf7JPgQBThdSA9ZeIiW&#10;3WVZii6OvslkfDuNqiRvr411/qsARYJRUIuixgrYce18yM/yMyQk07BqpIzCSk3ags4mN2l8cPHg&#10;C6kDVsQRGcKENvrKg+W7XReJmZ1p2EF5QhYs9FPkDF81WNGaOf/CLI4NNoGr4J/xqCRgZhgsSmqw&#10;v/72PeBRTfRS0uIYFtT9PDArKJHfNOr8OZsiH8THy/TmdowXe+3ZXXv0QT0ATnqGS2d4NAPey7NZ&#10;WVCvuDHLkBVdTHPMXVB/Nh98vxy4cVwslxGEk2qYX+uN4WfxA9/b7pVZM4jiUc4nOA8sy99p02N7&#10;dZYHD1UThQs896wOU4RTHvUcNjKs0fU9ot7+Nxa/AQAA//8DAFBLAwQUAAYACAAAACEAPoC6aOAA&#10;AAALAQAADwAAAGRycy9kb3ducmV2LnhtbEyPwU7DMAyG70i8Q2Qkbls6CrSUptOE4IKEEGMS4pY1&#10;pikkTmmyrbw93glutv5Pvz/Xy8k7sccx9oEULOYZCKQ2mJ46BZvXh1kJIiZNRrtAqOAHIyyb05Na&#10;VyYc6AX369QJLqFYaQU2paGSMrYWvY7zMCBx9hFGrxOvYyfNqA9c7p28yLJr6XVPfMHqAe8stl/r&#10;nVdQlO/Gfo6P0+btafVtnwfp7rVU6vxsWt2CSDilPxiO+qwODTttw45MFE7B7LJYMMpBfpWDOBJ5&#10;eQNiy0NZFCCbWv7/ofkFAAD//wMAUEsBAi0AFAAGAAgAAAAhALaDOJL+AAAA4QEAABMAAAAAAAAA&#10;AAAAAAAAAAAAAFtDb250ZW50X1R5cGVzXS54bWxQSwECLQAUAAYACAAAACEAOP0h/9YAAACUAQAA&#10;CwAAAAAAAAAAAAAAAAAvAQAAX3JlbHMvLnJlbHNQSwECLQAUAAYACAAAACEAub37Kj8CAAB/BAAA&#10;DgAAAAAAAAAAAAAAAAAuAgAAZHJzL2Uyb0RvYy54bWxQSwECLQAUAAYACAAAACEAPoC6aOAAAAAL&#10;AQAADwAAAAAAAAAAAAAAAACZBAAAZHJzL2Rvd25yZXYueG1sUEsFBgAAAAAEAAQA8wAAAKYFAAAA&#10;AA==&#10;" filled="f" stroked="f" strokeweight=".5pt">
                <v:path arrowok="t"/>
                <v:textbox>
                  <w:txbxContent>
                    <w:p w:rsidR="009E02BA" w:rsidRPr="00F02DFC" w:rsidRDefault="009E02BA" w:rsidP="009E02BA">
                      <w:pPr>
                        <w:jc w:val="center"/>
                        <w:rPr>
                          <w:rFonts w:ascii="Calibri" w:hAnsi="Calibri"/>
                          <w:b/>
                          <w:color w:val="FFFFFF"/>
                        </w:rPr>
                      </w:pPr>
                      <w:r w:rsidRPr="00F02DFC">
                        <w:rPr>
                          <w:rFonts w:ascii="Calibri" w:hAnsi="Calibri"/>
                          <w:b/>
                          <w:color w:val="FFFFFF"/>
                          <w:lang w:val="pt-BR"/>
                        </w:rPr>
                        <w:t>www.cidh.org</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1208405</wp:posOffset>
                </wp:positionH>
                <wp:positionV relativeFrom="paragraph">
                  <wp:posOffset>722630</wp:posOffset>
                </wp:positionV>
                <wp:extent cx="2085975" cy="4857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ysClr val="window" lastClr="FFFFFF"/>
                        </a:solidFill>
                        <a:ln w="6350">
                          <a:noFill/>
                        </a:ln>
                        <a:effectLst/>
                      </wps:spPr>
                      <wps:txbx>
                        <w:txbxContent>
                          <w:p w:rsidR="009E02BA" w:rsidRDefault="009E02BA" w:rsidP="009E02BA">
                            <w:r>
                              <w:rPr>
                                <w:noProof/>
                              </w:rPr>
                              <w:drawing>
                                <wp:inline distT="0" distB="0" distL="0" distR="0" wp14:anchorId="1D2772DE" wp14:editId="0D6E70D0">
                                  <wp:extent cx="1121410" cy="381635"/>
                                  <wp:effectExtent l="0" t="0" r="2540" b="0"/>
                                  <wp:docPr id="1" name="Picture 1" descr="oe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a-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1410" cy="3816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95.15pt;margin-top:56.9pt;width:164.2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U8XQIAALgEAAAOAAAAZHJzL2Uyb0RvYy54bWysVMFuGjEQvVfqP1i+NwsUAkFZIpqIqhJK&#10;IiVRzsbrDat6Pa5t2KVf32fvktC0p6oczNjzPON582Yvr9pas71yviKT8+HZgDNlJBWVecn50+Pq&#10;04wzH4QphCajcn5Qnl8tPn64bOxcjWhLulCOIYjx88bmfBuCnWeZl1tVC39GVhk4S3K1CNi6l6xw&#10;okH0WmejweA8a8gV1pFU3uP0pnPyRYpflkqGu7L0KjCdc7wtpNWldRPXbHEp5i9O2G0l+2eIf3hF&#10;LSqDpK+hbkQQbOeqP0LVlXTkqQxnkuqMyrKSKtWAaoaDd9U8bIVVqRaQ4+0rTf7/hZW3+3vHqiLn&#10;I86MqNGiR9UG9oVaNorsNNbPAXqwgIUWx+hyqtTbNcnvHpDsBNNd8EBHNtrS1fEfdTJcRAMOr6TH&#10;LBKHo8FscjGdcCbhG88mU9gx6Ntt63z4qqhm0ci5Q1PTC8R+7UMHPUJiMk+6KlaV1mlz8Nfasb1A&#10;/yGbghrOtPABhzlfpV+f7bdr2rAm5+efJ4OUyVCM16XSJsZVSVt9/lh/V3K0QrtpE6PTI38bKg6g&#10;z1EnP2/lqkIpa7zjXjjoDcRghsIdllITMlNvcbYl9/Nv5xEPGcDLWQP95tz/2AmnUN43A4FcDMfj&#10;KPi0GU+mI2zcqWdz6jG7+ppA0RDTamUyIz7oo1k6qp8xasuYFS5hJHLnPBzN69BNFUZVquUygSBx&#10;K8LaPFh5VE1s1GP7LJztuxmgg1s6Kl3M3zW1w0bGDS13gcoqdTzy3LHayw/jkTTTj3Kcv9N9Qr19&#10;cBa/AAAA//8DAFBLAwQUAAYACAAAACEAQsrFmdsAAAALAQAADwAAAGRycy9kb3ducmV2LnhtbExP&#10;y07DMBC8I/EP1iJxo04IoBLiVFDRE5fWUJWjEy9xhB9R7LTh71kkJLjNaEbzqFazs+yIY+yDF5Av&#10;MmDo26B73wl4e91cLYHFpLxWNngU8IURVvX5WaVKHU5+h0eZOkYhPpZKgElpKDmPrUGn4iIM6En7&#10;CKNTiejYcT2qE4U7y6+z7I471XtqMGrAtcH2U05OwN68S5k3xbN92haHzfZFhptpLcTlxfz4ACzh&#10;nP7M8DOfpkNNm5oweR2ZJX6fFWQlkBf0gRy3+ZJA8yvxuuL/P9TfAAAA//8DAFBLAQItABQABgAI&#10;AAAAIQC2gziS/gAAAOEBAAATAAAAAAAAAAAAAAAAAAAAAABbQ29udGVudF9UeXBlc10ueG1sUEsB&#10;Ai0AFAAGAAgAAAAhADj9If/WAAAAlAEAAAsAAAAAAAAAAAAAAAAALwEAAF9yZWxzLy5yZWxzUEsB&#10;Ai0AFAAGAAgAAAAhAIODNTxdAgAAuAQAAA4AAAAAAAAAAAAAAAAALgIAAGRycy9lMm9Eb2MueG1s&#10;UEsBAi0AFAAGAAgAAAAhAELKxZnbAAAACwEAAA8AAAAAAAAAAAAAAAAAtwQAAGRycy9kb3ducmV2&#10;LnhtbFBLBQYAAAAABAAEAPMAAAC/BQAAAAA=&#10;" fillcolor="window" stroked="f" strokeweight=".5pt">
                <v:path arrowok="t"/>
                <v:textbox>
                  <w:txbxContent>
                    <w:p w:rsidR="009E02BA" w:rsidRDefault="009E02BA" w:rsidP="009E02BA">
                      <w:r>
                        <w:rPr>
                          <w:noProof/>
                        </w:rPr>
                        <w:drawing>
                          <wp:inline distT="0" distB="0" distL="0" distR="0" wp14:anchorId="1D2772DE" wp14:editId="0D6E70D0">
                            <wp:extent cx="1121410" cy="381635"/>
                            <wp:effectExtent l="0" t="0" r="2540" b="0"/>
                            <wp:docPr id="1" name="Picture 1" descr="oe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a-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1410" cy="381635"/>
                                    </a:xfrm>
                                    <a:prstGeom prst="rect">
                                      <a:avLst/>
                                    </a:prstGeom>
                                    <a:noFill/>
                                    <a:ln>
                                      <a:noFill/>
                                    </a:ln>
                                  </pic:spPr>
                                </pic:pic>
                              </a:graphicData>
                            </a:graphic>
                          </wp:inline>
                        </w:drawing>
                      </w:r>
                    </w:p>
                  </w:txbxContent>
                </v:textbox>
              </v:shape>
            </w:pict>
          </mc:Fallback>
        </mc:AlternateContent>
      </w:r>
    </w:p>
    <w:p w:rsidR="009E02BA" w:rsidRPr="00501B07" w:rsidRDefault="009E02BA" w:rsidP="009E02BA">
      <w:pPr>
        <w:rPr>
          <w:rFonts w:ascii="Cambria" w:hAnsi="Cambria"/>
          <w:b/>
          <w:sz w:val="20"/>
          <w:szCs w:val="20"/>
        </w:rPr>
      </w:pPr>
    </w:p>
    <w:p w:rsidR="009E02BA" w:rsidRPr="00501B07" w:rsidRDefault="009E02BA" w:rsidP="009E02BA">
      <w:pPr>
        <w:tabs>
          <w:tab w:val="left" w:pos="0"/>
          <w:tab w:val="center" w:pos="5400"/>
        </w:tabs>
        <w:suppressAutoHyphens/>
        <w:jc w:val="center"/>
        <w:rPr>
          <w:rFonts w:ascii="Cambria" w:hAnsi="Cambria"/>
          <w:b/>
          <w:sz w:val="20"/>
          <w:szCs w:val="20"/>
        </w:rPr>
      </w:pPr>
    </w:p>
    <w:p w:rsidR="009E02BA" w:rsidRPr="00501B07" w:rsidRDefault="009E02BA" w:rsidP="009E02BA">
      <w:pPr>
        <w:tabs>
          <w:tab w:val="left" w:pos="0"/>
          <w:tab w:val="center" w:pos="5400"/>
        </w:tabs>
        <w:suppressAutoHyphens/>
        <w:jc w:val="center"/>
        <w:rPr>
          <w:rFonts w:ascii="Cambria" w:hAnsi="Cambria"/>
          <w:b/>
          <w:sz w:val="20"/>
          <w:szCs w:val="20"/>
        </w:rPr>
      </w:pPr>
    </w:p>
    <w:p w:rsidR="009E02BA" w:rsidRPr="00501B07" w:rsidRDefault="009E02BA" w:rsidP="009E02BA">
      <w:pPr>
        <w:tabs>
          <w:tab w:val="left" w:pos="0"/>
          <w:tab w:val="center" w:pos="5400"/>
        </w:tabs>
        <w:suppressAutoHyphens/>
        <w:jc w:val="center"/>
        <w:rPr>
          <w:rFonts w:ascii="Cambria" w:hAnsi="Cambria"/>
          <w:b/>
          <w:sz w:val="20"/>
          <w:szCs w:val="20"/>
        </w:rPr>
      </w:pPr>
    </w:p>
    <w:p w:rsidR="00722C9F" w:rsidRPr="00FD4F59" w:rsidRDefault="00722C9F" w:rsidP="00BC66B5">
      <w:pPr>
        <w:tabs>
          <w:tab w:val="left" w:pos="0"/>
          <w:tab w:val="center" w:pos="5400"/>
        </w:tabs>
        <w:suppressAutoHyphens/>
        <w:jc w:val="center"/>
        <w:rPr>
          <w:rFonts w:asciiTheme="majorHAnsi" w:hAnsiTheme="majorHAnsi"/>
          <w:b/>
          <w:sz w:val="18"/>
          <w:szCs w:val="18"/>
        </w:rPr>
      </w:pPr>
      <w:r>
        <w:rPr>
          <w:rFonts w:asciiTheme="majorHAnsi" w:hAnsiTheme="majorHAnsi"/>
          <w:b/>
          <w:bCs/>
          <w:sz w:val="18"/>
          <w:szCs w:val="18"/>
        </w:rPr>
        <w:lastRenderedPageBreak/>
        <w:t>REPORT No.</w:t>
      </w:r>
      <w:r>
        <w:rPr>
          <w:rFonts w:asciiTheme="majorHAnsi" w:hAnsiTheme="majorHAnsi"/>
          <w:sz w:val="18"/>
          <w:szCs w:val="18"/>
        </w:rPr>
        <w:t xml:space="preserve"> </w:t>
      </w:r>
      <w:r w:rsidR="008C1FA8">
        <w:rPr>
          <w:rFonts w:asciiTheme="majorHAnsi" w:hAnsiTheme="majorHAnsi"/>
          <w:b/>
          <w:bCs/>
          <w:sz w:val="18"/>
          <w:szCs w:val="18"/>
        </w:rPr>
        <w:t>46</w:t>
      </w:r>
      <w:r>
        <w:rPr>
          <w:rFonts w:asciiTheme="majorHAnsi" w:hAnsiTheme="majorHAnsi"/>
          <w:b/>
          <w:bCs/>
          <w:sz w:val="18"/>
          <w:szCs w:val="18"/>
        </w:rPr>
        <w:t>/15</w:t>
      </w:r>
    </w:p>
    <w:p w:rsidR="00722C9F" w:rsidRPr="00FD4F59" w:rsidRDefault="00722C9F" w:rsidP="00BC66B5">
      <w:pPr>
        <w:tabs>
          <w:tab w:val="left" w:pos="0"/>
          <w:tab w:val="center" w:pos="5400"/>
        </w:tabs>
        <w:suppressAutoHyphens/>
        <w:jc w:val="center"/>
        <w:rPr>
          <w:rFonts w:asciiTheme="majorHAnsi" w:hAnsiTheme="majorHAnsi"/>
          <w:b/>
          <w:sz w:val="18"/>
          <w:szCs w:val="18"/>
        </w:rPr>
      </w:pPr>
      <w:r>
        <w:rPr>
          <w:rFonts w:asciiTheme="majorHAnsi" w:hAnsiTheme="majorHAnsi"/>
          <w:b/>
          <w:bCs/>
          <w:sz w:val="18"/>
          <w:szCs w:val="18"/>
        </w:rPr>
        <w:t>PETITION 315-01</w:t>
      </w:r>
    </w:p>
    <w:p w:rsidR="00722C9F" w:rsidRPr="00FD4F59" w:rsidRDefault="00722C9F" w:rsidP="00BC66B5">
      <w:pPr>
        <w:tabs>
          <w:tab w:val="left" w:pos="0"/>
          <w:tab w:val="center" w:pos="5400"/>
        </w:tabs>
        <w:suppressAutoHyphens/>
        <w:jc w:val="center"/>
        <w:rPr>
          <w:rFonts w:asciiTheme="majorHAnsi" w:hAnsiTheme="majorHAnsi"/>
          <w:sz w:val="18"/>
          <w:szCs w:val="18"/>
        </w:rPr>
      </w:pPr>
      <w:r>
        <w:rPr>
          <w:rFonts w:asciiTheme="majorHAnsi" w:hAnsiTheme="majorHAnsi"/>
          <w:sz w:val="18"/>
          <w:szCs w:val="18"/>
        </w:rPr>
        <w:t xml:space="preserve">REPORT ON ADMISSIBILITY </w:t>
      </w:r>
    </w:p>
    <w:p w:rsidR="00722C9F" w:rsidRPr="00FD4F59" w:rsidRDefault="00F66DEE" w:rsidP="00BC66B5">
      <w:pPr>
        <w:tabs>
          <w:tab w:val="left" w:pos="0"/>
          <w:tab w:val="center" w:pos="5400"/>
        </w:tabs>
        <w:suppressAutoHyphens/>
        <w:jc w:val="center"/>
        <w:rPr>
          <w:rFonts w:asciiTheme="majorHAnsi" w:hAnsiTheme="majorHAnsi"/>
          <w:sz w:val="18"/>
          <w:szCs w:val="18"/>
        </w:rPr>
      </w:pPr>
      <w:r>
        <w:rPr>
          <w:rFonts w:asciiTheme="majorHAnsi" w:hAnsiTheme="majorHAnsi"/>
          <w:sz w:val="18"/>
          <w:szCs w:val="18"/>
        </w:rPr>
        <w:t>CRISTINA BRITEZ ARCE</w:t>
      </w:r>
    </w:p>
    <w:p w:rsidR="00722C9F" w:rsidRPr="00FD4F59" w:rsidRDefault="00F66DEE" w:rsidP="00BC66B5">
      <w:pPr>
        <w:tabs>
          <w:tab w:val="left" w:pos="0"/>
          <w:tab w:val="center" w:pos="5400"/>
        </w:tabs>
        <w:suppressAutoHyphens/>
        <w:jc w:val="center"/>
        <w:rPr>
          <w:rFonts w:asciiTheme="majorHAnsi" w:hAnsiTheme="majorHAnsi"/>
          <w:sz w:val="18"/>
          <w:szCs w:val="18"/>
        </w:rPr>
      </w:pPr>
      <w:r>
        <w:rPr>
          <w:rFonts w:asciiTheme="majorHAnsi" w:hAnsiTheme="majorHAnsi"/>
          <w:sz w:val="18"/>
          <w:szCs w:val="18"/>
        </w:rPr>
        <w:t>ARGENTINA</w:t>
      </w:r>
    </w:p>
    <w:p w:rsidR="00722C9F" w:rsidRPr="00FD4F59" w:rsidRDefault="008C1FA8" w:rsidP="00BC66B5">
      <w:pPr>
        <w:tabs>
          <w:tab w:val="left" w:pos="0"/>
          <w:tab w:val="center" w:pos="5400"/>
        </w:tabs>
        <w:suppressAutoHyphens/>
        <w:jc w:val="center"/>
        <w:rPr>
          <w:rFonts w:asciiTheme="majorHAnsi" w:hAnsiTheme="majorHAnsi"/>
          <w:sz w:val="18"/>
          <w:szCs w:val="18"/>
        </w:rPr>
      </w:pPr>
      <w:r>
        <w:rPr>
          <w:rFonts w:asciiTheme="majorHAnsi" w:hAnsiTheme="majorHAnsi"/>
          <w:sz w:val="18"/>
          <w:szCs w:val="18"/>
        </w:rPr>
        <w:t>JULY 28, 2015</w:t>
      </w:r>
    </w:p>
    <w:p w:rsidR="00DF1EC4" w:rsidRPr="00FD4F59" w:rsidRDefault="00DF1EC4" w:rsidP="00FD4F59">
      <w:pPr>
        <w:tabs>
          <w:tab w:val="left" w:pos="0"/>
          <w:tab w:val="center" w:pos="4680"/>
          <w:tab w:val="left" w:pos="6511"/>
        </w:tabs>
        <w:ind w:firstLine="720"/>
        <w:rPr>
          <w:rFonts w:asciiTheme="majorHAnsi" w:hAnsiTheme="majorHAnsi" w:cs="Calibri"/>
          <w:sz w:val="20"/>
          <w:szCs w:val="20"/>
        </w:rPr>
      </w:pPr>
    </w:p>
    <w:p w:rsidR="00FD4F59" w:rsidRPr="00FD4F59" w:rsidRDefault="00FD4F59" w:rsidP="00FD4F59">
      <w:pPr>
        <w:tabs>
          <w:tab w:val="left" w:pos="0"/>
          <w:tab w:val="center" w:pos="4680"/>
          <w:tab w:val="left" w:pos="6511"/>
        </w:tabs>
        <w:ind w:firstLine="720"/>
        <w:rPr>
          <w:rFonts w:asciiTheme="majorHAnsi" w:hAnsiTheme="majorHAnsi" w:cs="Calibri"/>
          <w:sz w:val="20"/>
          <w:szCs w:val="20"/>
        </w:rPr>
      </w:pPr>
    </w:p>
    <w:p w:rsidR="00E21857" w:rsidRDefault="00F66DEE" w:rsidP="00C65AD0">
      <w:pPr>
        <w:pStyle w:val="Heading1"/>
        <w:jc w:val="both"/>
      </w:pPr>
      <w:r>
        <w:rPr>
          <w:lang w:val="en-US"/>
        </w:rPr>
        <w:t>SUMMARY</w:t>
      </w:r>
    </w:p>
    <w:p w:rsidR="00FD4F59" w:rsidRPr="00FD4F59" w:rsidRDefault="00FD4F59" w:rsidP="00C65AD0">
      <w:pPr>
        <w:jc w:val="both"/>
      </w:pPr>
    </w:p>
    <w:p w:rsidR="005162FD" w:rsidRDefault="00E21857"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rPr>
      </w:pPr>
      <w:r>
        <w:rPr>
          <w:rFonts w:asciiTheme="majorHAnsi" w:hAnsiTheme="majorHAnsi"/>
          <w:color w:val="000000"/>
          <w:sz w:val="20"/>
          <w:szCs w:val="20"/>
        </w:rPr>
        <w:t xml:space="preserve">On April 20, 2001, Ezequiel Martín Avaro and Vanina Verónica Avaro (hereinafter, </w:t>
      </w:r>
      <w:r w:rsidR="00E47B04">
        <w:rPr>
          <w:rFonts w:asciiTheme="majorHAnsi" w:hAnsiTheme="majorHAnsi"/>
          <w:color w:val="000000"/>
          <w:sz w:val="20"/>
          <w:szCs w:val="20"/>
        </w:rPr>
        <w:t>“</w:t>
      </w:r>
      <w:r>
        <w:rPr>
          <w:rFonts w:asciiTheme="majorHAnsi" w:hAnsiTheme="majorHAnsi"/>
          <w:color w:val="000000"/>
          <w:sz w:val="20"/>
          <w:szCs w:val="20"/>
        </w:rPr>
        <w:t>the petitioners</w:t>
      </w:r>
      <w:r w:rsidR="00E47B04">
        <w:rPr>
          <w:rFonts w:asciiTheme="majorHAnsi" w:hAnsiTheme="majorHAnsi"/>
          <w:color w:val="000000"/>
          <w:sz w:val="20"/>
          <w:szCs w:val="20"/>
        </w:rPr>
        <w:t>”</w:t>
      </w:r>
      <w:r>
        <w:rPr>
          <w:rFonts w:asciiTheme="majorHAnsi" w:hAnsiTheme="majorHAnsi"/>
          <w:color w:val="000000"/>
          <w:sz w:val="20"/>
          <w:szCs w:val="20"/>
        </w:rPr>
        <w:t xml:space="preserve">) lodged a petition at the Office of the Secretary General of the Organization of American States (hereinafter </w:t>
      </w:r>
      <w:r w:rsidR="00E47B04">
        <w:rPr>
          <w:rFonts w:asciiTheme="majorHAnsi" w:hAnsiTheme="majorHAnsi"/>
          <w:color w:val="000000"/>
          <w:sz w:val="20"/>
          <w:szCs w:val="20"/>
        </w:rPr>
        <w:t>“</w:t>
      </w:r>
      <w:r>
        <w:rPr>
          <w:rFonts w:asciiTheme="majorHAnsi" w:hAnsiTheme="majorHAnsi"/>
          <w:color w:val="000000"/>
          <w:sz w:val="20"/>
          <w:szCs w:val="20"/>
        </w:rPr>
        <w:t>OAS</w:t>
      </w:r>
      <w:r w:rsidR="00E47B04">
        <w:rPr>
          <w:rFonts w:asciiTheme="majorHAnsi" w:hAnsiTheme="majorHAnsi"/>
          <w:color w:val="000000"/>
          <w:sz w:val="20"/>
          <w:szCs w:val="20"/>
        </w:rPr>
        <w:t>”</w:t>
      </w:r>
      <w:r>
        <w:rPr>
          <w:rFonts w:asciiTheme="majorHAnsi" w:hAnsiTheme="majorHAnsi"/>
          <w:color w:val="000000"/>
          <w:sz w:val="20"/>
          <w:szCs w:val="20"/>
        </w:rPr>
        <w:t xml:space="preserve">) in Buenos Aires, Argentina, which was received by the Inter-American Commission on Human Rights (hereinafter also the </w:t>
      </w:r>
      <w:r w:rsidR="00E47B04">
        <w:rPr>
          <w:rFonts w:asciiTheme="majorHAnsi" w:hAnsiTheme="majorHAnsi"/>
          <w:color w:val="000000"/>
          <w:sz w:val="20"/>
          <w:szCs w:val="20"/>
        </w:rPr>
        <w:t>“</w:t>
      </w:r>
      <w:r>
        <w:rPr>
          <w:rFonts w:asciiTheme="majorHAnsi" w:hAnsiTheme="majorHAnsi"/>
          <w:color w:val="000000"/>
          <w:sz w:val="20"/>
          <w:szCs w:val="20"/>
        </w:rPr>
        <w:t>Commission</w:t>
      </w:r>
      <w:r w:rsidR="00E47B04">
        <w:rPr>
          <w:rFonts w:asciiTheme="majorHAnsi" w:hAnsiTheme="majorHAnsi"/>
          <w:color w:val="000000"/>
          <w:sz w:val="20"/>
          <w:szCs w:val="20"/>
        </w:rPr>
        <w:t>”</w:t>
      </w:r>
      <w:r>
        <w:rPr>
          <w:rFonts w:asciiTheme="majorHAnsi" w:hAnsiTheme="majorHAnsi"/>
          <w:color w:val="000000"/>
          <w:sz w:val="20"/>
          <w:szCs w:val="20"/>
        </w:rPr>
        <w:t xml:space="preserve"> or </w:t>
      </w:r>
      <w:r w:rsidR="00E47B04">
        <w:rPr>
          <w:rFonts w:asciiTheme="majorHAnsi" w:hAnsiTheme="majorHAnsi"/>
          <w:color w:val="000000"/>
          <w:sz w:val="20"/>
          <w:szCs w:val="20"/>
        </w:rPr>
        <w:t>“</w:t>
      </w:r>
      <w:r>
        <w:rPr>
          <w:rFonts w:asciiTheme="majorHAnsi" w:hAnsiTheme="majorHAnsi"/>
          <w:color w:val="000000"/>
          <w:sz w:val="20"/>
          <w:szCs w:val="20"/>
        </w:rPr>
        <w:t>IACHR</w:t>
      </w:r>
      <w:r w:rsidR="00E47B04">
        <w:rPr>
          <w:rFonts w:asciiTheme="majorHAnsi" w:hAnsiTheme="majorHAnsi"/>
          <w:color w:val="000000"/>
          <w:sz w:val="20"/>
          <w:szCs w:val="20"/>
        </w:rPr>
        <w:t>”</w:t>
      </w:r>
      <w:r>
        <w:rPr>
          <w:rFonts w:asciiTheme="majorHAnsi" w:hAnsiTheme="majorHAnsi"/>
          <w:color w:val="000000"/>
          <w:sz w:val="20"/>
          <w:szCs w:val="20"/>
        </w:rPr>
        <w:t xml:space="preserve">) on May 10, 2001. The petitioners claimed that the Republic of Argentina (hereinafter </w:t>
      </w:r>
      <w:r w:rsidR="00E47B04">
        <w:rPr>
          <w:rFonts w:asciiTheme="majorHAnsi" w:hAnsiTheme="majorHAnsi"/>
          <w:color w:val="000000"/>
          <w:sz w:val="20"/>
          <w:szCs w:val="20"/>
        </w:rPr>
        <w:t>“</w:t>
      </w:r>
      <w:r>
        <w:rPr>
          <w:rFonts w:asciiTheme="majorHAnsi" w:hAnsiTheme="majorHAnsi"/>
          <w:color w:val="000000"/>
          <w:sz w:val="20"/>
          <w:szCs w:val="20"/>
        </w:rPr>
        <w:t>the State</w:t>
      </w:r>
      <w:r w:rsidR="00E47B04">
        <w:rPr>
          <w:rFonts w:asciiTheme="majorHAnsi" w:hAnsiTheme="majorHAnsi"/>
          <w:color w:val="000000"/>
          <w:sz w:val="20"/>
          <w:szCs w:val="20"/>
        </w:rPr>
        <w:t>”</w:t>
      </w:r>
      <w:r>
        <w:rPr>
          <w:rFonts w:asciiTheme="majorHAnsi" w:hAnsiTheme="majorHAnsi"/>
          <w:color w:val="000000"/>
          <w:sz w:val="20"/>
          <w:szCs w:val="20"/>
        </w:rPr>
        <w:t xml:space="preserve">) bore responsibility for alleged violations of </w:t>
      </w:r>
      <w:r w:rsidR="00963664">
        <w:rPr>
          <w:rFonts w:asciiTheme="majorHAnsi" w:hAnsiTheme="majorHAnsi"/>
          <w:color w:val="000000"/>
          <w:sz w:val="20"/>
          <w:szCs w:val="20"/>
        </w:rPr>
        <w:t xml:space="preserve">the </w:t>
      </w:r>
      <w:r>
        <w:rPr>
          <w:rFonts w:asciiTheme="majorHAnsi" w:hAnsiTheme="majorHAnsi"/>
          <w:color w:val="000000"/>
          <w:sz w:val="20"/>
          <w:szCs w:val="20"/>
        </w:rPr>
        <w:t xml:space="preserve">rights enshrined in </w:t>
      </w:r>
      <w:r w:rsidR="00C64C3F">
        <w:rPr>
          <w:rFonts w:asciiTheme="majorHAnsi" w:hAnsiTheme="majorHAnsi"/>
          <w:color w:val="000000"/>
          <w:sz w:val="20"/>
          <w:szCs w:val="20"/>
        </w:rPr>
        <w:t>article</w:t>
      </w:r>
      <w:r>
        <w:rPr>
          <w:rFonts w:asciiTheme="majorHAnsi" w:hAnsiTheme="majorHAnsi"/>
          <w:color w:val="000000"/>
          <w:sz w:val="20"/>
          <w:szCs w:val="20"/>
        </w:rPr>
        <w:t xml:space="preserve">s 8 and 25 of the American Convention on Human Rights (hereinafter also the </w:t>
      </w:r>
      <w:r w:rsidR="00E47B04">
        <w:rPr>
          <w:rFonts w:asciiTheme="majorHAnsi" w:hAnsiTheme="majorHAnsi"/>
          <w:color w:val="000000"/>
          <w:sz w:val="20"/>
          <w:szCs w:val="20"/>
        </w:rPr>
        <w:t>“</w:t>
      </w:r>
      <w:r>
        <w:rPr>
          <w:rFonts w:asciiTheme="majorHAnsi" w:hAnsiTheme="majorHAnsi"/>
          <w:color w:val="000000"/>
          <w:sz w:val="20"/>
          <w:szCs w:val="20"/>
        </w:rPr>
        <w:t>Convention</w:t>
      </w:r>
      <w:r w:rsidR="00E47B04">
        <w:rPr>
          <w:rFonts w:asciiTheme="majorHAnsi" w:hAnsiTheme="majorHAnsi"/>
          <w:color w:val="000000"/>
          <w:sz w:val="20"/>
          <w:szCs w:val="20"/>
        </w:rPr>
        <w:t>”</w:t>
      </w:r>
      <w:r>
        <w:rPr>
          <w:rFonts w:asciiTheme="majorHAnsi" w:hAnsiTheme="majorHAnsi"/>
          <w:color w:val="000000"/>
          <w:sz w:val="20"/>
          <w:szCs w:val="20"/>
        </w:rPr>
        <w:t xml:space="preserve"> or </w:t>
      </w:r>
      <w:r w:rsidR="00E47B04">
        <w:rPr>
          <w:rFonts w:asciiTheme="majorHAnsi" w:hAnsiTheme="majorHAnsi"/>
          <w:color w:val="000000"/>
          <w:sz w:val="20"/>
          <w:szCs w:val="20"/>
        </w:rPr>
        <w:t>“</w:t>
      </w:r>
      <w:r>
        <w:rPr>
          <w:rFonts w:asciiTheme="majorHAnsi" w:hAnsiTheme="majorHAnsi"/>
          <w:color w:val="000000"/>
          <w:sz w:val="20"/>
          <w:szCs w:val="20"/>
        </w:rPr>
        <w:t>American Convention</w:t>
      </w:r>
      <w:r w:rsidR="00E47B04">
        <w:rPr>
          <w:rFonts w:asciiTheme="majorHAnsi" w:hAnsiTheme="majorHAnsi"/>
          <w:color w:val="000000"/>
          <w:sz w:val="20"/>
          <w:szCs w:val="20"/>
        </w:rPr>
        <w:t>”</w:t>
      </w:r>
      <w:r>
        <w:rPr>
          <w:rFonts w:asciiTheme="majorHAnsi" w:hAnsiTheme="majorHAnsi"/>
          <w:color w:val="000000"/>
          <w:sz w:val="20"/>
          <w:szCs w:val="20"/>
        </w:rPr>
        <w:t xml:space="preserve">) said to have occurred in the context of judicial proceedings conducted in the domestic courts as a result of the death of their mother, Cristina Britez Arce (hereinafter also </w:t>
      </w:r>
      <w:r w:rsidR="00E47B04">
        <w:rPr>
          <w:rFonts w:asciiTheme="majorHAnsi" w:hAnsiTheme="majorHAnsi"/>
          <w:color w:val="000000"/>
          <w:sz w:val="20"/>
          <w:szCs w:val="20"/>
        </w:rPr>
        <w:t>“</w:t>
      </w:r>
      <w:r>
        <w:rPr>
          <w:rFonts w:asciiTheme="majorHAnsi" w:hAnsiTheme="majorHAnsi"/>
          <w:color w:val="000000"/>
          <w:sz w:val="20"/>
          <w:szCs w:val="20"/>
        </w:rPr>
        <w:t>the alleged victim</w:t>
      </w:r>
      <w:r w:rsidR="00E47B04">
        <w:rPr>
          <w:rFonts w:asciiTheme="majorHAnsi" w:hAnsiTheme="majorHAnsi"/>
          <w:color w:val="000000"/>
          <w:sz w:val="20"/>
          <w:szCs w:val="20"/>
        </w:rPr>
        <w:t>”</w:t>
      </w:r>
      <w:r>
        <w:rPr>
          <w:rFonts w:asciiTheme="majorHAnsi" w:hAnsiTheme="majorHAnsi"/>
          <w:color w:val="000000"/>
          <w:sz w:val="20"/>
          <w:szCs w:val="20"/>
        </w:rPr>
        <w:t xml:space="preserve">), who was then pregnant </w:t>
      </w:r>
      <w:r w:rsidR="000336DA">
        <w:rPr>
          <w:rFonts w:asciiTheme="majorHAnsi" w:hAnsiTheme="majorHAnsi"/>
          <w:color w:val="000000"/>
          <w:sz w:val="20"/>
          <w:szCs w:val="20"/>
        </w:rPr>
        <w:t>at the</w:t>
      </w:r>
      <w:r>
        <w:rPr>
          <w:rFonts w:asciiTheme="majorHAnsi" w:hAnsiTheme="majorHAnsi"/>
          <w:color w:val="000000"/>
          <w:sz w:val="20"/>
          <w:szCs w:val="20"/>
        </w:rPr>
        <w:t xml:space="preserve"> </w:t>
      </w:r>
      <w:r w:rsidR="000336DA">
        <w:rPr>
          <w:rFonts w:asciiTheme="majorHAnsi" w:hAnsiTheme="majorHAnsi"/>
          <w:color w:val="000000"/>
          <w:sz w:val="20"/>
          <w:szCs w:val="20"/>
        </w:rPr>
        <w:t>“</w:t>
      </w:r>
      <w:r>
        <w:rPr>
          <w:rFonts w:asciiTheme="majorHAnsi" w:hAnsiTheme="majorHAnsi"/>
          <w:color w:val="000000"/>
          <w:sz w:val="20"/>
          <w:szCs w:val="20"/>
        </w:rPr>
        <w:t>Ramón Sarda</w:t>
      </w:r>
      <w:r w:rsidR="000336DA">
        <w:rPr>
          <w:rFonts w:asciiTheme="majorHAnsi" w:hAnsiTheme="majorHAnsi"/>
          <w:color w:val="000000"/>
          <w:sz w:val="20"/>
          <w:szCs w:val="20"/>
        </w:rPr>
        <w:t>”</w:t>
      </w:r>
      <w:r>
        <w:rPr>
          <w:rFonts w:asciiTheme="majorHAnsi" w:hAnsiTheme="majorHAnsi"/>
          <w:color w:val="000000"/>
          <w:sz w:val="20"/>
          <w:szCs w:val="20"/>
        </w:rPr>
        <w:t xml:space="preserve"> Public Maternity Hospital in </w:t>
      </w:r>
      <w:r w:rsidR="000336DA">
        <w:rPr>
          <w:rFonts w:asciiTheme="majorHAnsi" w:hAnsiTheme="majorHAnsi"/>
          <w:color w:val="000000"/>
          <w:sz w:val="20"/>
          <w:szCs w:val="20"/>
        </w:rPr>
        <w:t xml:space="preserve">the city of </w:t>
      </w:r>
      <w:r>
        <w:rPr>
          <w:rFonts w:asciiTheme="majorHAnsi" w:hAnsiTheme="majorHAnsi"/>
          <w:color w:val="000000"/>
          <w:sz w:val="20"/>
          <w:szCs w:val="20"/>
        </w:rPr>
        <w:t>Buenos Aires.</w:t>
      </w:r>
    </w:p>
    <w:p w:rsidR="00FD4F59" w:rsidRPr="00FD4F59" w:rsidRDefault="005162FD"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hAnsiTheme="majorHAnsi"/>
          <w:color w:val="000000"/>
          <w:sz w:val="20"/>
          <w:szCs w:val="20"/>
        </w:rPr>
      </w:pPr>
      <w:r>
        <w:rPr>
          <w:rFonts w:asciiTheme="majorHAnsi" w:hAnsiTheme="majorHAnsi"/>
          <w:color w:val="000000"/>
          <w:sz w:val="20"/>
          <w:szCs w:val="20"/>
        </w:rPr>
        <w:t xml:space="preserve"> </w:t>
      </w:r>
    </w:p>
    <w:p w:rsidR="00E21857" w:rsidRDefault="00E21857"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rPr>
      </w:pPr>
      <w:r>
        <w:rPr>
          <w:rFonts w:asciiTheme="majorHAnsi" w:hAnsiTheme="majorHAnsi"/>
          <w:color w:val="000000"/>
          <w:sz w:val="20"/>
          <w:szCs w:val="20"/>
        </w:rPr>
        <w:t xml:space="preserve">The State argues that the petition should be declared inadmissible as it did not present a colorable claim of violation under the American Convention. It also argued that domestic remedies had not been exhausted and that the petitioners sought to use the IACHR as a </w:t>
      </w:r>
      <w:r w:rsidR="000336DA">
        <w:rPr>
          <w:rFonts w:asciiTheme="majorHAnsi" w:hAnsiTheme="majorHAnsi"/>
          <w:color w:val="000000"/>
          <w:sz w:val="20"/>
          <w:szCs w:val="20"/>
        </w:rPr>
        <w:t>“</w:t>
      </w:r>
      <w:r>
        <w:rPr>
          <w:rFonts w:asciiTheme="majorHAnsi" w:hAnsiTheme="majorHAnsi"/>
          <w:color w:val="000000"/>
          <w:sz w:val="20"/>
          <w:szCs w:val="20"/>
        </w:rPr>
        <w:t>court of appeal</w:t>
      </w:r>
      <w:r w:rsidR="000336DA">
        <w:rPr>
          <w:rFonts w:asciiTheme="majorHAnsi" w:hAnsiTheme="majorHAnsi"/>
          <w:color w:val="000000"/>
          <w:sz w:val="20"/>
          <w:szCs w:val="20"/>
        </w:rPr>
        <w:t>”</w:t>
      </w:r>
      <w:r>
        <w:rPr>
          <w:rFonts w:asciiTheme="majorHAnsi" w:hAnsiTheme="majorHAnsi"/>
          <w:color w:val="000000"/>
          <w:sz w:val="20"/>
          <w:szCs w:val="20"/>
        </w:rPr>
        <w:t>. The basis for the foregoing was that the judgments in the domestic proceedings were issued by tribunals that acted within their authority and in observance of fair-trial guarantees.</w:t>
      </w:r>
    </w:p>
    <w:p w:rsidR="00FD4F59" w:rsidRPr="00FD4F59" w:rsidRDefault="00FD4F59"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rPr>
      </w:pPr>
    </w:p>
    <w:p w:rsidR="00722C9F" w:rsidRDefault="00342DED"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eastAsia="Cambria" w:hAnsiTheme="majorHAnsi" w:cs="Cambria"/>
          <w:sz w:val="20"/>
          <w:szCs w:val="20"/>
        </w:rPr>
      </w:pPr>
      <w:r>
        <w:rPr>
          <w:rFonts w:asciiTheme="majorHAnsi" w:eastAsia="Cambria" w:hAnsiTheme="majorHAnsi" w:cs="Cambria"/>
          <w:sz w:val="20"/>
          <w:szCs w:val="20"/>
        </w:rPr>
        <w:t xml:space="preserve">Having examined the positions of the parties and </w:t>
      </w:r>
      <w:r w:rsidR="005A2B50">
        <w:rPr>
          <w:rFonts w:asciiTheme="majorHAnsi" w:eastAsia="Cambria" w:hAnsiTheme="majorHAnsi" w:cs="Cambria"/>
          <w:sz w:val="20"/>
          <w:szCs w:val="20"/>
        </w:rPr>
        <w:t>the petition</w:t>
      </w:r>
      <w:r w:rsidR="00E47B04">
        <w:rPr>
          <w:rFonts w:asciiTheme="majorHAnsi" w:eastAsia="Cambria" w:hAnsiTheme="majorHAnsi" w:cs="Cambria"/>
          <w:sz w:val="20"/>
          <w:szCs w:val="20"/>
        </w:rPr>
        <w:t>’</w:t>
      </w:r>
      <w:r w:rsidR="005A2B50">
        <w:rPr>
          <w:rFonts w:asciiTheme="majorHAnsi" w:eastAsia="Cambria" w:hAnsiTheme="majorHAnsi" w:cs="Cambria"/>
          <w:sz w:val="20"/>
          <w:szCs w:val="20"/>
        </w:rPr>
        <w:t xml:space="preserve">s </w:t>
      </w:r>
      <w:r>
        <w:rPr>
          <w:rFonts w:asciiTheme="majorHAnsi" w:eastAsia="Cambria" w:hAnsiTheme="majorHAnsi" w:cs="Cambria"/>
          <w:sz w:val="20"/>
          <w:szCs w:val="20"/>
        </w:rPr>
        <w:t xml:space="preserve">compliance with the requirements </w:t>
      </w:r>
      <w:r w:rsidR="005A2B50">
        <w:rPr>
          <w:rFonts w:asciiTheme="majorHAnsi" w:eastAsia="Cambria" w:hAnsiTheme="majorHAnsi" w:cs="Cambria"/>
          <w:sz w:val="20"/>
          <w:szCs w:val="20"/>
        </w:rPr>
        <w:t>set forth</w:t>
      </w:r>
      <w:r>
        <w:rPr>
          <w:rFonts w:asciiTheme="majorHAnsi" w:eastAsia="Cambria" w:hAnsiTheme="majorHAnsi" w:cs="Cambria"/>
          <w:sz w:val="20"/>
          <w:szCs w:val="20"/>
        </w:rPr>
        <w:t xml:space="preserve"> in </w:t>
      </w:r>
      <w:r w:rsidR="00C64C3F">
        <w:rPr>
          <w:rFonts w:asciiTheme="majorHAnsi" w:eastAsia="Cambria" w:hAnsiTheme="majorHAnsi" w:cs="Cambria"/>
          <w:sz w:val="20"/>
          <w:szCs w:val="20"/>
        </w:rPr>
        <w:t>article</w:t>
      </w:r>
      <w:r>
        <w:rPr>
          <w:rFonts w:asciiTheme="majorHAnsi" w:eastAsia="Cambria" w:hAnsiTheme="majorHAnsi" w:cs="Cambria"/>
          <w:sz w:val="20"/>
          <w:szCs w:val="20"/>
        </w:rPr>
        <w:t xml:space="preserve">s 46 and 47 of the American Convention, the Commission has decided to declare this petition admissible for the purposes of an examination of alleged violations of </w:t>
      </w:r>
      <w:r w:rsidR="00C64C3F">
        <w:rPr>
          <w:rFonts w:asciiTheme="majorHAnsi" w:eastAsia="Cambria" w:hAnsiTheme="majorHAnsi" w:cs="Cambria"/>
          <w:sz w:val="20"/>
          <w:szCs w:val="20"/>
        </w:rPr>
        <w:t>article</w:t>
      </w:r>
      <w:r>
        <w:rPr>
          <w:rFonts w:asciiTheme="majorHAnsi" w:eastAsia="Cambria" w:hAnsiTheme="majorHAnsi" w:cs="Cambria"/>
          <w:sz w:val="20"/>
          <w:szCs w:val="20"/>
        </w:rPr>
        <w:t xml:space="preserve">s 4, 8, and 25 of the American Convention in connection with </w:t>
      </w:r>
      <w:r w:rsidR="00C64C3F">
        <w:rPr>
          <w:rFonts w:asciiTheme="majorHAnsi" w:eastAsia="Cambria" w:hAnsiTheme="majorHAnsi" w:cs="Cambria"/>
          <w:sz w:val="20"/>
          <w:szCs w:val="20"/>
        </w:rPr>
        <w:t>article</w:t>
      </w:r>
      <w:r>
        <w:rPr>
          <w:rFonts w:asciiTheme="majorHAnsi" w:eastAsia="Cambria" w:hAnsiTheme="majorHAnsi" w:cs="Cambria"/>
          <w:sz w:val="20"/>
          <w:szCs w:val="20"/>
        </w:rPr>
        <w:t xml:space="preserve"> 1</w:t>
      </w:r>
      <w:r w:rsidR="003D0613">
        <w:rPr>
          <w:rFonts w:asciiTheme="majorHAnsi" w:eastAsia="Cambria" w:hAnsiTheme="majorHAnsi" w:cs="Cambria"/>
          <w:sz w:val="20"/>
          <w:szCs w:val="20"/>
        </w:rPr>
        <w:t>.</w:t>
      </w:r>
      <w:r>
        <w:rPr>
          <w:rFonts w:asciiTheme="majorHAnsi" w:eastAsia="Cambria" w:hAnsiTheme="majorHAnsi" w:cs="Cambria"/>
          <w:sz w:val="20"/>
          <w:szCs w:val="20"/>
        </w:rPr>
        <w:t>1 of said treaty. It has further decided to notify the parties of this decision, and to publish it and include it in its Annual Report to the OAS General Assembly.</w:t>
      </w:r>
    </w:p>
    <w:p w:rsidR="00FD4F59" w:rsidRPr="00FD4F59" w:rsidRDefault="00FD4F59"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Cambria" w:hAnsiTheme="majorHAnsi" w:cs="Cambria"/>
          <w:sz w:val="20"/>
          <w:szCs w:val="20"/>
        </w:rPr>
      </w:pPr>
    </w:p>
    <w:p w:rsidR="00E21857" w:rsidRDefault="00F66DEE" w:rsidP="00C65AD0">
      <w:pPr>
        <w:pStyle w:val="Heading1"/>
        <w:jc w:val="both"/>
      </w:pPr>
      <w:r>
        <w:rPr>
          <w:lang w:val="en-US"/>
        </w:rPr>
        <w:t>PROCESSING BY THE IACHR</w:t>
      </w:r>
    </w:p>
    <w:p w:rsidR="00FD4F59" w:rsidRPr="00FD4F59" w:rsidRDefault="00FD4F59" w:rsidP="00C65AD0">
      <w:pPr>
        <w:jc w:val="both"/>
      </w:pPr>
    </w:p>
    <w:p w:rsidR="001A5E09" w:rsidRDefault="00F473AE"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rPr>
      </w:pPr>
      <w:r>
        <w:rPr>
          <w:rFonts w:asciiTheme="majorHAnsi" w:hAnsiTheme="majorHAnsi"/>
          <w:color w:val="000000"/>
          <w:sz w:val="20"/>
          <w:szCs w:val="20"/>
        </w:rPr>
        <w:t xml:space="preserve">On April 20, 2001, the petitioners lodged a petition at the Office of the Secretary General of the OAS in Buenos Aires, Argentina, which was received by the IACHR on May 10, 2001, and registered as number 315-01. On August 11, 2003, the petitioners submitted additional information to the IACHR. On January 3, 2005, the pertinent portions of the petition were relayed to the </w:t>
      </w:r>
      <w:r w:rsidR="005A2B50">
        <w:rPr>
          <w:rFonts w:asciiTheme="majorHAnsi" w:hAnsiTheme="majorHAnsi"/>
          <w:color w:val="000000"/>
          <w:sz w:val="20"/>
          <w:szCs w:val="20"/>
        </w:rPr>
        <w:t xml:space="preserve">State for </w:t>
      </w:r>
      <w:r>
        <w:rPr>
          <w:rFonts w:asciiTheme="majorHAnsi" w:hAnsiTheme="majorHAnsi"/>
          <w:color w:val="000000"/>
          <w:sz w:val="20"/>
          <w:szCs w:val="20"/>
        </w:rPr>
        <w:t xml:space="preserve">its comments. </w:t>
      </w:r>
    </w:p>
    <w:p w:rsidR="00FD4F59" w:rsidRPr="00FD4F59" w:rsidRDefault="00FD4F59"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rPr>
      </w:pPr>
    </w:p>
    <w:p w:rsidR="00E21857" w:rsidRDefault="00E21857"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rPr>
      </w:pPr>
      <w:r>
        <w:rPr>
          <w:rFonts w:asciiTheme="majorHAnsi" w:hAnsiTheme="majorHAnsi"/>
          <w:color w:val="000000"/>
          <w:sz w:val="20"/>
          <w:szCs w:val="20"/>
        </w:rPr>
        <w:t xml:space="preserve">The State presented its reply on July 19, 2005, and it was transmitted to the petitioners for comment. Those comments were, in turn, sent to the IACHR on March 30, 2009. On September 22, 2009, the State presented additional observations and requested that processing of the petition be taken as concluded and that it be set aside. That communication was forwarded to the petitioners for their information on December 3, 2009. </w:t>
      </w:r>
    </w:p>
    <w:p w:rsidR="00FD4F59" w:rsidRPr="00FD4F59" w:rsidRDefault="00FD4F59"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rPr>
      </w:pPr>
    </w:p>
    <w:p w:rsidR="00F66DEE" w:rsidRDefault="00F66DEE" w:rsidP="00C65AD0">
      <w:pPr>
        <w:pStyle w:val="Heading1"/>
        <w:jc w:val="both"/>
      </w:pPr>
      <w:r>
        <w:rPr>
          <w:lang w:val="en-US"/>
        </w:rPr>
        <w:t>POSITIONS OF THE PARTIES</w:t>
      </w:r>
    </w:p>
    <w:p w:rsidR="00FD4F59" w:rsidRPr="00FD4F59" w:rsidRDefault="00FD4F59" w:rsidP="00C65AD0">
      <w:pPr>
        <w:jc w:val="both"/>
      </w:pPr>
    </w:p>
    <w:p w:rsidR="00F66DEE" w:rsidRDefault="00F66DEE" w:rsidP="00C65AD0">
      <w:pPr>
        <w:pStyle w:val="Heading2"/>
        <w:tabs>
          <w:tab w:val="left" w:pos="0"/>
        </w:tabs>
        <w:ind w:left="0" w:firstLine="720"/>
        <w:jc w:val="both"/>
        <w:rPr>
          <w:rFonts w:asciiTheme="majorHAnsi" w:hAnsiTheme="majorHAnsi"/>
          <w:b/>
        </w:rPr>
      </w:pPr>
      <w:r>
        <w:rPr>
          <w:rFonts w:asciiTheme="majorHAnsi" w:hAnsiTheme="majorHAnsi"/>
          <w:b/>
          <w:bCs/>
          <w:lang w:val="en-US"/>
        </w:rPr>
        <w:t>The petitioners</w:t>
      </w:r>
    </w:p>
    <w:p w:rsidR="00FD4F59" w:rsidRPr="00FD4F59" w:rsidRDefault="00FD4F59" w:rsidP="00C65AD0">
      <w:pPr>
        <w:jc w:val="both"/>
      </w:pPr>
    </w:p>
    <w:p w:rsidR="00FE5EE5" w:rsidRDefault="00E21857"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rPr>
      </w:pPr>
      <w:r>
        <w:rPr>
          <w:rFonts w:asciiTheme="majorHAnsi" w:hAnsiTheme="majorHAnsi"/>
          <w:color w:val="000000"/>
          <w:sz w:val="20"/>
          <w:szCs w:val="20"/>
        </w:rPr>
        <w:t xml:space="preserve">The petitioners </w:t>
      </w:r>
      <w:r w:rsidR="000336DA">
        <w:rPr>
          <w:rFonts w:asciiTheme="majorHAnsi" w:hAnsiTheme="majorHAnsi"/>
          <w:color w:val="000000"/>
          <w:sz w:val="20"/>
          <w:szCs w:val="20"/>
        </w:rPr>
        <w:t>state</w:t>
      </w:r>
      <w:r>
        <w:rPr>
          <w:rFonts w:asciiTheme="majorHAnsi" w:hAnsiTheme="majorHAnsi"/>
          <w:color w:val="000000"/>
          <w:sz w:val="20"/>
          <w:szCs w:val="20"/>
        </w:rPr>
        <w:t xml:space="preserve"> that on June 1, 1992, medical malpractice on the part of medical staff at Ramón Sarda Public Maternity Hospital in Buenos Aires caused the death of Cristina Britez Arce, who was pregnant at the time. The alleged victim reportedly died from preeclampsia-eclampsia which also led to the loss of the fetus due to intrauterine hypoxia. The petitioners explained that as a result of that incident a series </w:t>
      </w:r>
      <w:r>
        <w:rPr>
          <w:rFonts w:asciiTheme="majorHAnsi" w:hAnsiTheme="majorHAnsi"/>
          <w:color w:val="000000"/>
          <w:sz w:val="20"/>
          <w:szCs w:val="20"/>
        </w:rPr>
        <w:lastRenderedPageBreak/>
        <w:t xml:space="preserve">of interrelated criminal proceedings were instituted in which they claim not to have had access to an independent and impartial tribunal or to a duly reasoned decision, as detailed below. </w:t>
      </w:r>
    </w:p>
    <w:p w:rsidR="00FD4F59" w:rsidRPr="00FD4F59" w:rsidRDefault="00FD4F59"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rPr>
      </w:pPr>
    </w:p>
    <w:p w:rsidR="00FE5EE5" w:rsidRPr="00FD4F59" w:rsidRDefault="00FE5EE5" w:rsidP="00D041CC">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i/>
          <w:sz w:val="20"/>
          <w:szCs w:val="20"/>
        </w:rPr>
      </w:pPr>
      <w:r>
        <w:rPr>
          <w:rFonts w:asciiTheme="majorHAnsi" w:hAnsiTheme="majorHAnsi"/>
          <w:i/>
          <w:iCs/>
          <w:sz w:val="20"/>
          <w:szCs w:val="20"/>
        </w:rPr>
        <w:t>Criminal proceeding for manslaughter (Case</w:t>
      </w:r>
      <w:r>
        <w:rPr>
          <w:rFonts w:asciiTheme="majorHAnsi" w:hAnsiTheme="majorHAnsi"/>
          <w:sz w:val="20"/>
          <w:szCs w:val="20"/>
        </w:rPr>
        <w:t xml:space="preserve"> </w:t>
      </w:r>
      <w:r>
        <w:rPr>
          <w:rFonts w:asciiTheme="majorHAnsi" w:hAnsiTheme="majorHAnsi"/>
          <w:i/>
          <w:iCs/>
          <w:sz w:val="20"/>
          <w:szCs w:val="20"/>
        </w:rPr>
        <w:t>No.</w:t>
      </w:r>
      <w:r>
        <w:rPr>
          <w:rFonts w:asciiTheme="majorHAnsi" w:hAnsiTheme="majorHAnsi"/>
          <w:sz w:val="20"/>
          <w:szCs w:val="20"/>
        </w:rPr>
        <w:t xml:space="preserve"> </w:t>
      </w:r>
      <w:r>
        <w:rPr>
          <w:rFonts w:asciiTheme="majorHAnsi" w:hAnsiTheme="majorHAnsi"/>
          <w:i/>
          <w:iCs/>
          <w:sz w:val="20"/>
          <w:szCs w:val="20"/>
        </w:rPr>
        <w:t>2.391)</w:t>
      </w:r>
      <w:r>
        <w:rPr>
          <w:rStyle w:val="FootnoteReference"/>
          <w:rFonts w:asciiTheme="majorHAnsi" w:hAnsiTheme="majorHAnsi"/>
          <w:sz w:val="20"/>
          <w:szCs w:val="20"/>
        </w:rPr>
        <w:footnoteReference w:id="2"/>
      </w:r>
    </w:p>
    <w:p w:rsidR="00FD4F59" w:rsidRPr="00FD4F59" w:rsidRDefault="00FD4F59"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sz w:val="20"/>
          <w:szCs w:val="20"/>
        </w:rPr>
      </w:pPr>
    </w:p>
    <w:p w:rsidR="0055091F" w:rsidRDefault="00E21857"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rPr>
      </w:pPr>
      <w:r>
        <w:rPr>
          <w:rFonts w:asciiTheme="majorHAnsi" w:hAnsiTheme="majorHAnsi"/>
          <w:color w:val="000000"/>
          <w:sz w:val="20"/>
          <w:szCs w:val="20"/>
        </w:rPr>
        <w:t>The petitioners say that as a result of the alleged victim</w:t>
      </w:r>
      <w:r w:rsidR="00E47B04">
        <w:rPr>
          <w:rFonts w:asciiTheme="majorHAnsi" w:hAnsiTheme="majorHAnsi"/>
          <w:color w:val="000000"/>
          <w:sz w:val="20"/>
          <w:szCs w:val="20"/>
        </w:rPr>
        <w:t>’</w:t>
      </w:r>
      <w:r>
        <w:rPr>
          <w:rFonts w:asciiTheme="majorHAnsi" w:hAnsiTheme="majorHAnsi"/>
          <w:color w:val="000000"/>
          <w:sz w:val="20"/>
          <w:szCs w:val="20"/>
        </w:rPr>
        <w:t>s death, a charge of manslaughter was filed against</w:t>
      </w:r>
      <w:r w:rsidR="00F80ED4">
        <w:rPr>
          <w:rFonts w:asciiTheme="majorHAnsi" w:hAnsiTheme="majorHAnsi"/>
          <w:color w:val="000000"/>
          <w:sz w:val="20"/>
          <w:szCs w:val="20"/>
        </w:rPr>
        <w:t xml:space="preserve"> the</w:t>
      </w:r>
      <w:r>
        <w:rPr>
          <w:rFonts w:asciiTheme="majorHAnsi" w:hAnsiTheme="majorHAnsi"/>
          <w:color w:val="000000"/>
          <w:sz w:val="20"/>
          <w:szCs w:val="20"/>
        </w:rPr>
        <w:t xml:space="preserve"> </w:t>
      </w:r>
      <w:r w:rsidR="00F80ED4">
        <w:rPr>
          <w:rFonts w:asciiTheme="majorHAnsi" w:hAnsiTheme="majorHAnsi"/>
          <w:color w:val="000000"/>
          <w:sz w:val="20"/>
          <w:szCs w:val="20"/>
        </w:rPr>
        <w:t>physicians who attended Cristina Britez</w:t>
      </w:r>
      <w:r w:rsidR="00F80ED4" w:rsidRPr="00F80ED4">
        <w:rPr>
          <w:rFonts w:asciiTheme="majorHAnsi" w:hAnsiTheme="majorHAnsi"/>
          <w:color w:val="000000"/>
          <w:sz w:val="20"/>
          <w:szCs w:val="20"/>
        </w:rPr>
        <w:t xml:space="preserve"> </w:t>
      </w:r>
      <w:r w:rsidR="00F80ED4">
        <w:rPr>
          <w:rFonts w:asciiTheme="majorHAnsi" w:hAnsiTheme="majorHAnsi"/>
          <w:color w:val="000000"/>
          <w:sz w:val="20"/>
          <w:szCs w:val="20"/>
        </w:rPr>
        <w:t xml:space="preserve">Arce at the “Ramón Sarda” Public Maternity Hospital, namely </w:t>
      </w:r>
      <w:r>
        <w:rPr>
          <w:rFonts w:asciiTheme="majorHAnsi" w:hAnsiTheme="majorHAnsi"/>
          <w:color w:val="000000"/>
          <w:sz w:val="20"/>
          <w:szCs w:val="20"/>
        </w:rPr>
        <w:t>Patricia Carmen An</w:t>
      </w:r>
      <w:r w:rsidR="00F80ED4">
        <w:rPr>
          <w:rFonts w:asciiTheme="majorHAnsi" w:hAnsiTheme="majorHAnsi"/>
          <w:color w:val="000000"/>
          <w:sz w:val="20"/>
          <w:szCs w:val="20"/>
        </w:rPr>
        <w:t>ido and Eduardo Mario Negri</w:t>
      </w:r>
      <w:r>
        <w:rPr>
          <w:rFonts w:asciiTheme="majorHAnsi" w:hAnsiTheme="majorHAnsi"/>
          <w:color w:val="000000"/>
          <w:sz w:val="20"/>
          <w:szCs w:val="20"/>
        </w:rPr>
        <w:t xml:space="preserve">. The petitioners reportedly appeared as plaintiffs in the </w:t>
      </w:r>
      <w:r w:rsidR="00C31E61">
        <w:rPr>
          <w:rFonts w:asciiTheme="majorHAnsi" w:hAnsiTheme="majorHAnsi"/>
          <w:color w:val="000000"/>
          <w:sz w:val="20"/>
          <w:szCs w:val="20"/>
        </w:rPr>
        <w:t xml:space="preserve">criminal </w:t>
      </w:r>
      <w:r>
        <w:rPr>
          <w:rFonts w:asciiTheme="majorHAnsi" w:hAnsiTheme="majorHAnsi"/>
          <w:color w:val="000000"/>
          <w:sz w:val="20"/>
          <w:szCs w:val="20"/>
        </w:rPr>
        <w:t xml:space="preserve">proceeding. </w:t>
      </w:r>
    </w:p>
    <w:p w:rsidR="007D4D73" w:rsidRPr="00FD4F59"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rPr>
      </w:pPr>
    </w:p>
    <w:p w:rsidR="00260CC6" w:rsidRDefault="009A04EF"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rPr>
      </w:pPr>
      <w:r>
        <w:rPr>
          <w:rFonts w:asciiTheme="majorHAnsi" w:hAnsiTheme="majorHAnsi"/>
          <w:color w:val="000000"/>
          <w:sz w:val="20"/>
          <w:szCs w:val="20"/>
        </w:rPr>
        <w:t xml:space="preserve">An expert medical opinion was ordered on June 13, 1992, and introduced into the </w:t>
      </w:r>
      <w:r w:rsidR="00C31E61">
        <w:rPr>
          <w:rFonts w:asciiTheme="majorHAnsi" w:hAnsiTheme="majorHAnsi"/>
          <w:color w:val="000000"/>
          <w:sz w:val="20"/>
          <w:szCs w:val="20"/>
        </w:rPr>
        <w:t>file</w:t>
      </w:r>
      <w:r>
        <w:rPr>
          <w:rFonts w:asciiTheme="majorHAnsi" w:hAnsiTheme="majorHAnsi"/>
          <w:color w:val="000000"/>
          <w:sz w:val="20"/>
          <w:szCs w:val="20"/>
        </w:rPr>
        <w:t xml:space="preserve"> a year later, on June 24, 1993, by forensic experts Florencio Casavilla and Carlos Fernando Leoncio Poggi. According to the petitioners, the experts had prepared a </w:t>
      </w:r>
      <w:r w:rsidR="00E47B04">
        <w:rPr>
          <w:rFonts w:asciiTheme="majorHAnsi" w:hAnsiTheme="majorHAnsi"/>
          <w:color w:val="000000"/>
          <w:sz w:val="20"/>
          <w:szCs w:val="20"/>
        </w:rPr>
        <w:t>“</w:t>
      </w:r>
      <w:r>
        <w:rPr>
          <w:rFonts w:asciiTheme="majorHAnsi" w:hAnsiTheme="majorHAnsi"/>
          <w:color w:val="000000"/>
          <w:sz w:val="20"/>
          <w:szCs w:val="20"/>
        </w:rPr>
        <w:t>false</w:t>
      </w:r>
      <w:r w:rsidR="00E47B04">
        <w:rPr>
          <w:rFonts w:asciiTheme="majorHAnsi" w:hAnsiTheme="majorHAnsi"/>
          <w:color w:val="000000"/>
          <w:sz w:val="20"/>
          <w:szCs w:val="20"/>
        </w:rPr>
        <w:t>”</w:t>
      </w:r>
      <w:r>
        <w:rPr>
          <w:rFonts w:asciiTheme="majorHAnsi" w:hAnsiTheme="majorHAnsi"/>
          <w:color w:val="000000"/>
          <w:sz w:val="20"/>
          <w:szCs w:val="20"/>
        </w:rPr>
        <w:t xml:space="preserve"> opinion with the precise intention of covering up the homicide under investigation. The presiding judge allegedly declared the opinion void and, acting ex officio, filed a complaint charging falsification of public documents. That complaint gave rise to the proceeding register</w:t>
      </w:r>
      <w:r w:rsidR="004F0C5E">
        <w:rPr>
          <w:rFonts w:asciiTheme="majorHAnsi" w:hAnsiTheme="majorHAnsi"/>
          <w:color w:val="000000"/>
          <w:sz w:val="20"/>
          <w:szCs w:val="20"/>
        </w:rPr>
        <w:t xml:space="preserve">ed as Case No. 21.375/96, </w:t>
      </w:r>
      <w:r>
        <w:rPr>
          <w:rFonts w:asciiTheme="majorHAnsi" w:hAnsiTheme="majorHAnsi"/>
          <w:color w:val="000000"/>
          <w:sz w:val="20"/>
          <w:szCs w:val="20"/>
        </w:rPr>
        <w:t xml:space="preserve">outlined hereinbelow. </w:t>
      </w:r>
    </w:p>
    <w:p w:rsidR="007D4D73" w:rsidRPr="00FD4F59"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Theme="majorHAnsi" w:hAnsiTheme="majorHAnsi"/>
          <w:color w:val="000000"/>
          <w:sz w:val="20"/>
          <w:szCs w:val="20"/>
        </w:rPr>
      </w:pPr>
    </w:p>
    <w:p w:rsidR="00F121B4" w:rsidRDefault="00BA4509"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color w:val="000000"/>
          <w:sz w:val="20"/>
          <w:szCs w:val="20"/>
        </w:rPr>
      </w:pPr>
      <w:r>
        <w:rPr>
          <w:rFonts w:asciiTheme="majorHAnsi" w:hAnsiTheme="majorHAnsi"/>
          <w:color w:val="000000"/>
          <w:sz w:val="20"/>
          <w:szCs w:val="20"/>
        </w:rPr>
        <w:t xml:space="preserve">Subsequently, a new expert opinion was requested and presented by the experts Héctor Papagani and Horacio Schiavo on April 25, 1995, one day before the statute of limitations on criminal action ran. That expert opinion apparently refuted the findings of the first expert opinion and corroborated that the alleged victim had been a </w:t>
      </w:r>
      <w:r w:rsidR="00E47B04">
        <w:rPr>
          <w:rFonts w:asciiTheme="majorHAnsi" w:hAnsiTheme="majorHAnsi"/>
          <w:color w:val="000000"/>
          <w:sz w:val="20"/>
          <w:szCs w:val="20"/>
        </w:rPr>
        <w:t>“</w:t>
      </w:r>
      <w:r>
        <w:rPr>
          <w:rFonts w:asciiTheme="majorHAnsi" w:hAnsiTheme="majorHAnsi"/>
          <w:color w:val="000000"/>
          <w:sz w:val="20"/>
          <w:szCs w:val="20"/>
        </w:rPr>
        <w:t>high-risk patient</w:t>
      </w:r>
      <w:r w:rsidR="00E47B04">
        <w:rPr>
          <w:rFonts w:asciiTheme="majorHAnsi" w:hAnsiTheme="majorHAnsi"/>
          <w:color w:val="000000"/>
          <w:sz w:val="20"/>
          <w:szCs w:val="20"/>
        </w:rPr>
        <w:t>”</w:t>
      </w:r>
      <w:r>
        <w:rPr>
          <w:rFonts w:asciiTheme="majorHAnsi" w:hAnsiTheme="majorHAnsi"/>
          <w:color w:val="000000"/>
          <w:sz w:val="20"/>
          <w:szCs w:val="20"/>
        </w:rPr>
        <w:t xml:space="preserve"> who had received the wrong treatment, had had to be admitted as a result, and had later died. It was decided, based on the new expert opinion, to charge the physicians with homicide. The petitioners also provided copies of a presentation in which they claimed that the clinical history of the alleged victim had been tampered with during the investigation and that various parts of it had disappeared, including </w:t>
      </w:r>
      <w:r w:rsidR="00C31E61">
        <w:rPr>
          <w:rFonts w:asciiTheme="majorHAnsi" w:hAnsiTheme="majorHAnsi"/>
          <w:color w:val="000000"/>
          <w:sz w:val="20"/>
          <w:szCs w:val="20"/>
        </w:rPr>
        <w:t xml:space="preserve">the original of </w:t>
      </w:r>
      <w:r>
        <w:rPr>
          <w:rFonts w:asciiTheme="majorHAnsi" w:hAnsiTheme="majorHAnsi"/>
          <w:color w:val="000000"/>
          <w:sz w:val="20"/>
          <w:szCs w:val="20"/>
        </w:rPr>
        <w:t xml:space="preserve">an </w:t>
      </w:r>
      <w:r w:rsidR="00C31E61">
        <w:rPr>
          <w:rFonts w:asciiTheme="majorHAnsi" w:hAnsiTheme="majorHAnsi"/>
          <w:color w:val="000000"/>
          <w:sz w:val="20"/>
          <w:szCs w:val="20"/>
        </w:rPr>
        <w:t>e</w:t>
      </w:r>
      <w:r w:rsidR="00E609A4" w:rsidRPr="00E609A4">
        <w:rPr>
          <w:rFonts w:asciiTheme="majorHAnsi" w:hAnsiTheme="majorHAnsi"/>
          <w:color w:val="000000"/>
          <w:sz w:val="20"/>
          <w:szCs w:val="20"/>
        </w:rPr>
        <w:t xml:space="preserve">lectrocardiography </w:t>
      </w:r>
      <w:r>
        <w:rPr>
          <w:rFonts w:asciiTheme="majorHAnsi" w:hAnsiTheme="majorHAnsi"/>
          <w:color w:val="000000"/>
          <w:sz w:val="20"/>
          <w:szCs w:val="20"/>
        </w:rPr>
        <w:t>that reputedly proved that the alleged victim had a heart defect.</w:t>
      </w:r>
    </w:p>
    <w:p w:rsidR="007D4D73" w:rsidRPr="00FD4F59"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Theme="majorHAnsi" w:hAnsiTheme="majorHAnsi"/>
          <w:color w:val="000000"/>
          <w:sz w:val="20"/>
          <w:szCs w:val="20"/>
        </w:rPr>
      </w:pPr>
    </w:p>
    <w:p w:rsidR="009B376F" w:rsidRDefault="00A508B7"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rPr>
      </w:pPr>
      <w:r>
        <w:rPr>
          <w:rFonts w:asciiTheme="majorHAnsi" w:hAnsiTheme="majorHAnsi"/>
          <w:color w:val="000000"/>
          <w:sz w:val="20"/>
          <w:szCs w:val="20"/>
        </w:rPr>
        <w:t>On December 16, 1998, the prosecutor reportedly indicted the accused physicians and sought penalties of three years</w:t>
      </w:r>
      <w:r w:rsidR="00E47B04">
        <w:rPr>
          <w:rFonts w:asciiTheme="majorHAnsi" w:hAnsiTheme="majorHAnsi"/>
          <w:color w:val="000000"/>
          <w:sz w:val="20"/>
          <w:szCs w:val="20"/>
        </w:rPr>
        <w:t>’</w:t>
      </w:r>
      <w:r>
        <w:rPr>
          <w:rFonts w:asciiTheme="majorHAnsi" w:hAnsiTheme="majorHAnsi"/>
          <w:color w:val="000000"/>
          <w:sz w:val="20"/>
          <w:szCs w:val="20"/>
        </w:rPr>
        <w:t xml:space="preserve"> imprisonment and nine years</w:t>
      </w:r>
      <w:r w:rsidR="00E47B04">
        <w:rPr>
          <w:rFonts w:asciiTheme="majorHAnsi" w:hAnsiTheme="majorHAnsi"/>
          <w:color w:val="000000"/>
          <w:sz w:val="20"/>
          <w:szCs w:val="20"/>
        </w:rPr>
        <w:t>’</w:t>
      </w:r>
      <w:r>
        <w:rPr>
          <w:rFonts w:asciiTheme="majorHAnsi" w:hAnsiTheme="majorHAnsi"/>
          <w:color w:val="000000"/>
          <w:sz w:val="20"/>
          <w:szCs w:val="20"/>
        </w:rPr>
        <w:t xml:space="preserve"> disqualification from the practice of medicine. However, on July 18, 2003, the court issued a judgment acquitting Patricia Carmen Anido and Eduardo Mario Negri of all blame and charges. That decision was upheld on appeal. Next, the petitioners say that on December 23, 2003, the date on which they presented a</w:t>
      </w:r>
      <w:r w:rsidR="00004DE8">
        <w:rPr>
          <w:rFonts w:asciiTheme="majorHAnsi" w:hAnsiTheme="majorHAnsi"/>
          <w:color w:val="000000"/>
          <w:sz w:val="20"/>
          <w:szCs w:val="20"/>
        </w:rPr>
        <w:t>n</w:t>
      </w:r>
      <w:r>
        <w:rPr>
          <w:rFonts w:asciiTheme="majorHAnsi" w:hAnsiTheme="majorHAnsi"/>
          <w:color w:val="000000"/>
          <w:sz w:val="20"/>
          <w:szCs w:val="20"/>
        </w:rPr>
        <w:t xml:space="preserve"> </w:t>
      </w:r>
      <w:r w:rsidR="00004DE8">
        <w:rPr>
          <w:rFonts w:asciiTheme="majorHAnsi" w:hAnsiTheme="majorHAnsi"/>
          <w:color w:val="000000"/>
          <w:sz w:val="20"/>
          <w:szCs w:val="20"/>
        </w:rPr>
        <w:t xml:space="preserve">extraordinary </w:t>
      </w:r>
      <w:r w:rsidR="001F654A">
        <w:rPr>
          <w:rFonts w:asciiTheme="majorHAnsi" w:hAnsiTheme="majorHAnsi"/>
          <w:color w:val="000000"/>
          <w:sz w:val="20"/>
          <w:szCs w:val="20"/>
        </w:rPr>
        <w:t xml:space="preserve">federal </w:t>
      </w:r>
      <w:r>
        <w:rPr>
          <w:rFonts w:asciiTheme="majorHAnsi" w:hAnsiTheme="majorHAnsi"/>
          <w:color w:val="000000"/>
          <w:sz w:val="20"/>
          <w:szCs w:val="20"/>
        </w:rPr>
        <w:t>appeal</w:t>
      </w:r>
      <w:r w:rsidR="00004DE8">
        <w:rPr>
          <w:rFonts w:asciiTheme="majorHAnsi" w:hAnsiTheme="majorHAnsi"/>
          <w:color w:val="000000"/>
          <w:sz w:val="20"/>
          <w:szCs w:val="20"/>
        </w:rPr>
        <w:t xml:space="preserve"> (locally referred to as “recurso extraordinario federal”)</w:t>
      </w:r>
      <w:r>
        <w:rPr>
          <w:rFonts w:asciiTheme="majorHAnsi" w:hAnsiTheme="majorHAnsi"/>
          <w:color w:val="000000"/>
          <w:sz w:val="20"/>
          <w:szCs w:val="20"/>
        </w:rPr>
        <w:t xml:space="preserve">, a </w:t>
      </w:r>
      <w:r w:rsidR="00E47B04">
        <w:rPr>
          <w:rFonts w:asciiTheme="majorHAnsi" w:hAnsiTheme="majorHAnsi"/>
          <w:color w:val="000000"/>
          <w:sz w:val="20"/>
          <w:szCs w:val="20"/>
        </w:rPr>
        <w:t>“</w:t>
      </w:r>
      <w:r>
        <w:rPr>
          <w:rFonts w:asciiTheme="majorHAnsi" w:hAnsiTheme="majorHAnsi"/>
          <w:color w:val="000000"/>
          <w:sz w:val="20"/>
          <w:szCs w:val="20"/>
        </w:rPr>
        <w:t>maneuver</w:t>
      </w:r>
      <w:r w:rsidR="00E47B04">
        <w:rPr>
          <w:rFonts w:asciiTheme="majorHAnsi" w:hAnsiTheme="majorHAnsi"/>
          <w:color w:val="000000"/>
          <w:sz w:val="20"/>
          <w:szCs w:val="20"/>
        </w:rPr>
        <w:t>”</w:t>
      </w:r>
      <w:r>
        <w:rPr>
          <w:rFonts w:asciiTheme="majorHAnsi" w:hAnsiTheme="majorHAnsi"/>
          <w:color w:val="000000"/>
          <w:sz w:val="20"/>
          <w:szCs w:val="20"/>
        </w:rPr>
        <w:t xml:space="preserve"> by the court personnel upon taking receipt of the brief resulted in their being denied timely access to the appeal, which was eventually rejected as </w:t>
      </w:r>
      <w:r w:rsidR="00E47B04">
        <w:rPr>
          <w:rFonts w:asciiTheme="majorHAnsi" w:hAnsiTheme="majorHAnsi"/>
          <w:color w:val="000000"/>
          <w:sz w:val="20"/>
          <w:szCs w:val="20"/>
        </w:rPr>
        <w:t>“</w:t>
      </w:r>
      <w:r>
        <w:rPr>
          <w:rFonts w:asciiTheme="majorHAnsi" w:hAnsiTheme="majorHAnsi"/>
          <w:color w:val="000000"/>
          <w:sz w:val="20"/>
          <w:szCs w:val="20"/>
        </w:rPr>
        <w:t>time-barred</w:t>
      </w:r>
      <w:r w:rsidR="00E47B04">
        <w:rPr>
          <w:rFonts w:asciiTheme="majorHAnsi" w:hAnsiTheme="majorHAnsi"/>
          <w:color w:val="000000"/>
          <w:sz w:val="20"/>
          <w:szCs w:val="20"/>
        </w:rPr>
        <w:t>”</w:t>
      </w:r>
      <w:r>
        <w:rPr>
          <w:rFonts w:asciiTheme="majorHAnsi" w:hAnsiTheme="majorHAnsi"/>
          <w:color w:val="000000"/>
          <w:sz w:val="20"/>
          <w:szCs w:val="20"/>
        </w:rPr>
        <w:t xml:space="preserve"> on March 15, 2004.</w:t>
      </w:r>
    </w:p>
    <w:p w:rsidR="007D4D73" w:rsidRPr="00FD4F59"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rPr>
      </w:pPr>
    </w:p>
    <w:p w:rsidR="002440B2" w:rsidRPr="007D4D73" w:rsidRDefault="002440B2" w:rsidP="00D041CC">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i/>
          <w:sz w:val="20"/>
          <w:szCs w:val="20"/>
        </w:rPr>
      </w:pPr>
      <w:r>
        <w:rPr>
          <w:rFonts w:asciiTheme="majorHAnsi" w:hAnsiTheme="majorHAnsi"/>
          <w:i/>
          <w:iCs/>
          <w:sz w:val="20"/>
          <w:szCs w:val="20"/>
        </w:rPr>
        <w:t>Criminal proceeding for falsification of a public instrument (Case</w:t>
      </w:r>
      <w:r>
        <w:rPr>
          <w:rFonts w:asciiTheme="majorHAnsi" w:hAnsiTheme="majorHAnsi"/>
          <w:sz w:val="20"/>
          <w:szCs w:val="20"/>
        </w:rPr>
        <w:t xml:space="preserve"> </w:t>
      </w:r>
      <w:r>
        <w:rPr>
          <w:rFonts w:asciiTheme="majorHAnsi" w:hAnsiTheme="majorHAnsi"/>
          <w:i/>
          <w:iCs/>
          <w:sz w:val="20"/>
          <w:szCs w:val="20"/>
        </w:rPr>
        <w:t>No.</w:t>
      </w:r>
      <w:r>
        <w:rPr>
          <w:rFonts w:asciiTheme="majorHAnsi" w:hAnsiTheme="majorHAnsi"/>
          <w:sz w:val="20"/>
          <w:szCs w:val="20"/>
        </w:rPr>
        <w:t xml:space="preserve"> </w:t>
      </w:r>
      <w:r>
        <w:rPr>
          <w:rFonts w:asciiTheme="majorHAnsi" w:hAnsiTheme="majorHAnsi"/>
          <w:i/>
          <w:iCs/>
          <w:sz w:val="20"/>
          <w:szCs w:val="20"/>
        </w:rPr>
        <w:t>21.375/96)</w:t>
      </w:r>
      <w:r>
        <w:rPr>
          <w:rStyle w:val="FootnoteReference"/>
          <w:rFonts w:asciiTheme="majorHAnsi" w:hAnsiTheme="majorHAnsi"/>
          <w:sz w:val="20"/>
          <w:szCs w:val="20"/>
        </w:rPr>
        <w:footnoteReference w:id="3"/>
      </w:r>
    </w:p>
    <w:p w:rsidR="007D4D73" w:rsidRPr="007D4D73"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i/>
          <w:sz w:val="20"/>
          <w:szCs w:val="20"/>
          <w:highlight w:val="yellow"/>
        </w:rPr>
      </w:pPr>
    </w:p>
    <w:p w:rsidR="00BA4509" w:rsidRDefault="00DF151B"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rPr>
      </w:pPr>
      <w:r>
        <w:rPr>
          <w:rFonts w:asciiTheme="majorHAnsi" w:hAnsiTheme="majorHAnsi"/>
          <w:color w:val="000000"/>
          <w:sz w:val="20"/>
          <w:szCs w:val="20"/>
        </w:rPr>
        <w:t>The ex officio complaint lodged by the judge presiding over the investigation for manslaughter resulted in this case being brought on October 4, 1993. The petitioners reportedly appeared as plaintiffs in th</w:t>
      </w:r>
      <w:r w:rsidR="001F654A">
        <w:rPr>
          <w:rFonts w:asciiTheme="majorHAnsi" w:hAnsiTheme="majorHAnsi"/>
          <w:color w:val="000000"/>
          <w:sz w:val="20"/>
          <w:szCs w:val="20"/>
        </w:rPr>
        <w:t>is</w:t>
      </w:r>
      <w:r>
        <w:rPr>
          <w:rFonts w:asciiTheme="majorHAnsi" w:hAnsiTheme="majorHAnsi"/>
          <w:color w:val="000000"/>
          <w:sz w:val="20"/>
          <w:szCs w:val="20"/>
        </w:rPr>
        <w:t xml:space="preserve"> case </w:t>
      </w:r>
      <w:r w:rsidR="001F654A">
        <w:rPr>
          <w:rFonts w:asciiTheme="majorHAnsi" w:hAnsiTheme="majorHAnsi"/>
          <w:color w:val="000000"/>
          <w:sz w:val="20"/>
          <w:szCs w:val="20"/>
        </w:rPr>
        <w:t>too</w:t>
      </w:r>
      <w:r>
        <w:rPr>
          <w:rFonts w:asciiTheme="majorHAnsi" w:hAnsiTheme="majorHAnsi"/>
          <w:color w:val="000000"/>
          <w:sz w:val="20"/>
          <w:szCs w:val="20"/>
        </w:rPr>
        <w:t xml:space="preserve">. </w:t>
      </w:r>
    </w:p>
    <w:p w:rsidR="007D4D73" w:rsidRPr="00FD4F59"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rPr>
      </w:pPr>
    </w:p>
    <w:p w:rsidR="003D2B17" w:rsidRDefault="004358CC"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rPr>
      </w:pPr>
      <w:r>
        <w:rPr>
          <w:rFonts w:asciiTheme="majorHAnsi" w:hAnsiTheme="majorHAnsi"/>
          <w:color w:val="000000"/>
          <w:sz w:val="20"/>
          <w:szCs w:val="20"/>
        </w:rPr>
        <w:t xml:space="preserve">According to the petitioners, the preliminary inquiry stage of this proceeding lasted more than four years, during which time the presiding judge apparently acquitted the accused experts on five different occasions, with the Fourth Chamber of the </w:t>
      </w:r>
      <w:r w:rsidR="003D0613">
        <w:rPr>
          <w:rFonts w:asciiTheme="majorHAnsi" w:hAnsiTheme="majorHAnsi"/>
          <w:color w:val="000000"/>
          <w:sz w:val="20"/>
          <w:szCs w:val="20"/>
        </w:rPr>
        <w:t>Criminal Court of Appeals</w:t>
      </w:r>
      <w:r>
        <w:rPr>
          <w:rFonts w:asciiTheme="majorHAnsi" w:hAnsiTheme="majorHAnsi"/>
          <w:color w:val="000000"/>
          <w:sz w:val="20"/>
          <w:szCs w:val="20"/>
        </w:rPr>
        <w:t xml:space="preserve"> overturning th</w:t>
      </w:r>
      <w:r w:rsidR="001F654A">
        <w:rPr>
          <w:rFonts w:asciiTheme="majorHAnsi" w:hAnsiTheme="majorHAnsi"/>
          <w:color w:val="000000"/>
          <w:sz w:val="20"/>
          <w:szCs w:val="20"/>
        </w:rPr>
        <w:t>ose</w:t>
      </w:r>
      <w:r>
        <w:rPr>
          <w:rFonts w:asciiTheme="majorHAnsi" w:hAnsiTheme="majorHAnsi"/>
          <w:color w:val="000000"/>
          <w:sz w:val="20"/>
          <w:szCs w:val="20"/>
        </w:rPr>
        <w:t xml:space="preserve"> acquittal</w:t>
      </w:r>
      <w:r w:rsidR="001F654A">
        <w:rPr>
          <w:rFonts w:asciiTheme="majorHAnsi" w:hAnsiTheme="majorHAnsi"/>
          <w:color w:val="000000"/>
          <w:sz w:val="20"/>
          <w:szCs w:val="20"/>
        </w:rPr>
        <w:t>s</w:t>
      </w:r>
      <w:r>
        <w:rPr>
          <w:rFonts w:asciiTheme="majorHAnsi" w:hAnsiTheme="majorHAnsi"/>
          <w:color w:val="000000"/>
          <w:sz w:val="20"/>
          <w:szCs w:val="20"/>
        </w:rPr>
        <w:t xml:space="preserve"> each time. After the fourth acquittal was overturned, the judge hearing the case decided, on February 26, 1997, to request an expert opinion from the plenary of the Forensic Medical Corps of the Supreme Court of Justice of the Nation (hereinafter also the </w:t>
      </w:r>
      <w:r w:rsidR="00E47B04">
        <w:rPr>
          <w:rFonts w:asciiTheme="majorHAnsi" w:hAnsiTheme="majorHAnsi"/>
          <w:color w:val="000000"/>
          <w:sz w:val="20"/>
          <w:szCs w:val="20"/>
        </w:rPr>
        <w:t>“</w:t>
      </w:r>
      <w:r>
        <w:rPr>
          <w:rFonts w:asciiTheme="majorHAnsi" w:hAnsiTheme="majorHAnsi"/>
          <w:color w:val="000000"/>
          <w:sz w:val="20"/>
          <w:szCs w:val="20"/>
        </w:rPr>
        <w:t>Forensic Medical Corps</w:t>
      </w:r>
      <w:r w:rsidR="00E47B04">
        <w:rPr>
          <w:rFonts w:asciiTheme="majorHAnsi" w:hAnsiTheme="majorHAnsi"/>
          <w:color w:val="000000"/>
          <w:sz w:val="20"/>
          <w:szCs w:val="20"/>
        </w:rPr>
        <w:t>”</w:t>
      </w:r>
      <w:r>
        <w:rPr>
          <w:rFonts w:asciiTheme="majorHAnsi" w:hAnsiTheme="majorHAnsi"/>
          <w:color w:val="000000"/>
          <w:sz w:val="20"/>
          <w:szCs w:val="20"/>
        </w:rPr>
        <w:t xml:space="preserve">). On May 21, 1997, the plenary, comprising 31 professionals, issued its opinion, which found, by a majority of 22 votes in favor and </w:t>
      </w:r>
      <w:r w:rsidR="001F654A">
        <w:rPr>
          <w:rFonts w:asciiTheme="majorHAnsi" w:hAnsiTheme="majorHAnsi"/>
          <w:color w:val="000000"/>
          <w:sz w:val="20"/>
          <w:szCs w:val="20"/>
        </w:rPr>
        <w:t>9</w:t>
      </w:r>
      <w:r>
        <w:rPr>
          <w:rFonts w:asciiTheme="majorHAnsi" w:hAnsiTheme="majorHAnsi"/>
          <w:color w:val="000000"/>
          <w:sz w:val="20"/>
          <w:szCs w:val="20"/>
        </w:rPr>
        <w:t xml:space="preserve"> against </w:t>
      </w:r>
      <w:r>
        <w:rPr>
          <w:rFonts w:asciiTheme="majorHAnsi" w:hAnsiTheme="majorHAnsi"/>
          <w:color w:val="000000"/>
          <w:sz w:val="20"/>
          <w:szCs w:val="20"/>
        </w:rPr>
        <w:lastRenderedPageBreak/>
        <w:t xml:space="preserve">that the expert opinion prepared by experts Florencio Casavilla and Carlos Fernando Leoncio Poggi </w:t>
      </w:r>
      <w:r w:rsidR="00E47B04">
        <w:rPr>
          <w:rFonts w:asciiTheme="majorHAnsi" w:hAnsiTheme="majorHAnsi"/>
          <w:color w:val="000000"/>
          <w:sz w:val="20"/>
          <w:szCs w:val="20"/>
        </w:rPr>
        <w:t>“</w:t>
      </w:r>
      <w:r>
        <w:rPr>
          <w:rFonts w:asciiTheme="majorHAnsi" w:hAnsiTheme="majorHAnsi"/>
          <w:color w:val="000000"/>
          <w:sz w:val="20"/>
          <w:szCs w:val="20"/>
        </w:rPr>
        <w:t>had been correct;</w:t>
      </w:r>
      <w:r w:rsidR="00E47B04">
        <w:rPr>
          <w:rFonts w:asciiTheme="majorHAnsi" w:hAnsiTheme="majorHAnsi"/>
          <w:color w:val="000000"/>
          <w:sz w:val="20"/>
          <w:szCs w:val="20"/>
        </w:rPr>
        <w:t>”</w:t>
      </w:r>
      <w:r>
        <w:rPr>
          <w:rFonts w:asciiTheme="majorHAnsi" w:hAnsiTheme="majorHAnsi"/>
          <w:color w:val="000000"/>
          <w:sz w:val="20"/>
          <w:szCs w:val="20"/>
        </w:rPr>
        <w:t xml:space="preserve"> it also ruled out that medical malpractice had been committed. The dissenting votes determined that the expert opinion </w:t>
      </w:r>
      <w:r w:rsidR="001F654A">
        <w:rPr>
          <w:rFonts w:asciiTheme="majorHAnsi" w:hAnsiTheme="majorHAnsi"/>
          <w:color w:val="000000"/>
          <w:sz w:val="20"/>
          <w:szCs w:val="20"/>
        </w:rPr>
        <w:t xml:space="preserve">under study </w:t>
      </w:r>
      <w:r>
        <w:rPr>
          <w:rFonts w:asciiTheme="majorHAnsi" w:hAnsiTheme="majorHAnsi"/>
          <w:color w:val="000000"/>
          <w:sz w:val="20"/>
          <w:szCs w:val="20"/>
        </w:rPr>
        <w:t>was false. That plenary opinion led to the fifth acquittal of the accused, which, likewise, was subsequently overturned.</w:t>
      </w:r>
    </w:p>
    <w:p w:rsidR="007D4D73" w:rsidRPr="00FD4F59"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rPr>
      </w:pPr>
    </w:p>
    <w:p w:rsidR="00E93E94" w:rsidRDefault="00962D9A"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rPr>
      </w:pPr>
      <w:r>
        <w:rPr>
          <w:rFonts w:asciiTheme="majorHAnsi" w:hAnsiTheme="majorHAnsi"/>
          <w:color w:val="000000"/>
          <w:sz w:val="20"/>
          <w:szCs w:val="20"/>
        </w:rPr>
        <w:t xml:space="preserve">According to the petitioners, in the preparation of that plenary opinion a serious act of institutional corruption had occurred that called the Forensic Medical Corps into question—they termed it a </w:t>
      </w:r>
      <w:r w:rsidR="00E47B04">
        <w:rPr>
          <w:rFonts w:asciiTheme="majorHAnsi" w:hAnsiTheme="majorHAnsi"/>
          <w:color w:val="000000"/>
          <w:sz w:val="20"/>
          <w:szCs w:val="20"/>
        </w:rPr>
        <w:t>“</w:t>
      </w:r>
      <w:r>
        <w:rPr>
          <w:rFonts w:asciiTheme="majorHAnsi" w:hAnsiTheme="majorHAnsi"/>
          <w:color w:val="000000"/>
          <w:sz w:val="20"/>
          <w:szCs w:val="20"/>
        </w:rPr>
        <w:t>most serious act with unimagined institutional ramifications</w:t>
      </w:r>
      <w:r w:rsidR="00E47B04">
        <w:rPr>
          <w:rFonts w:asciiTheme="majorHAnsi" w:hAnsiTheme="majorHAnsi"/>
          <w:color w:val="000000"/>
          <w:sz w:val="20"/>
          <w:szCs w:val="20"/>
        </w:rPr>
        <w:t>”</w:t>
      </w:r>
      <w:r>
        <w:rPr>
          <w:rFonts w:asciiTheme="majorHAnsi" w:hAnsiTheme="majorHAnsi"/>
          <w:color w:val="000000"/>
          <w:sz w:val="20"/>
          <w:szCs w:val="20"/>
        </w:rPr>
        <w:t xml:space="preserve">; they alleged that a false plenary opinion had been prepared with the aim of concealing the responsibilities of the professionals implicated in the homicide and in the preparation of the previous false expert opinions. Indeed, according to the petitioners, on September 23, 1997, the Fourth Chamber of the </w:t>
      </w:r>
      <w:r w:rsidR="00D40FBE">
        <w:rPr>
          <w:rFonts w:asciiTheme="majorHAnsi" w:hAnsiTheme="majorHAnsi"/>
          <w:color w:val="000000"/>
          <w:sz w:val="20"/>
          <w:szCs w:val="20"/>
        </w:rPr>
        <w:t xml:space="preserve">Criminal Court of Appeals </w:t>
      </w:r>
      <w:r>
        <w:rPr>
          <w:rFonts w:asciiTheme="majorHAnsi" w:hAnsiTheme="majorHAnsi"/>
          <w:color w:val="000000"/>
          <w:sz w:val="20"/>
          <w:szCs w:val="20"/>
        </w:rPr>
        <w:t xml:space="preserve">invalidated the plenary opinion of the 31 members of the Forensic Medical Corps. The petitioners point out the serious institutional implications of that decision, given that the Argentine judiciary had decided to dispense with the services of the entire Forensic Medical Corps, a body that reported to the Supreme Court of Justice, owing to the </w:t>
      </w:r>
      <w:r w:rsidR="00E47B04">
        <w:rPr>
          <w:rFonts w:asciiTheme="majorHAnsi" w:hAnsiTheme="majorHAnsi"/>
          <w:color w:val="000000"/>
          <w:sz w:val="20"/>
          <w:szCs w:val="20"/>
        </w:rPr>
        <w:t>“</w:t>
      </w:r>
      <w:r>
        <w:rPr>
          <w:rFonts w:asciiTheme="majorHAnsi" w:hAnsiTheme="majorHAnsi"/>
          <w:color w:val="000000"/>
          <w:sz w:val="20"/>
          <w:szCs w:val="20"/>
        </w:rPr>
        <w:t>corrupt</w:t>
      </w:r>
      <w:r w:rsidR="00E47B04">
        <w:rPr>
          <w:rFonts w:asciiTheme="majorHAnsi" w:hAnsiTheme="majorHAnsi"/>
          <w:color w:val="000000"/>
          <w:sz w:val="20"/>
          <w:szCs w:val="20"/>
        </w:rPr>
        <w:t>”</w:t>
      </w:r>
      <w:r>
        <w:rPr>
          <w:rFonts w:asciiTheme="majorHAnsi" w:hAnsiTheme="majorHAnsi"/>
          <w:color w:val="000000"/>
          <w:sz w:val="20"/>
          <w:szCs w:val="20"/>
        </w:rPr>
        <w:t xml:space="preserve"> and </w:t>
      </w:r>
      <w:r w:rsidR="00E47B04">
        <w:rPr>
          <w:rFonts w:asciiTheme="majorHAnsi" w:hAnsiTheme="majorHAnsi"/>
          <w:color w:val="000000"/>
          <w:sz w:val="20"/>
          <w:szCs w:val="20"/>
        </w:rPr>
        <w:t>“</w:t>
      </w:r>
      <w:r>
        <w:rPr>
          <w:rFonts w:asciiTheme="majorHAnsi" w:hAnsiTheme="majorHAnsi"/>
          <w:color w:val="000000"/>
          <w:sz w:val="20"/>
          <w:szCs w:val="20"/>
        </w:rPr>
        <w:t>corporative</w:t>
      </w:r>
      <w:r w:rsidR="00E47B04">
        <w:rPr>
          <w:rFonts w:asciiTheme="majorHAnsi" w:hAnsiTheme="majorHAnsi"/>
          <w:color w:val="000000"/>
          <w:sz w:val="20"/>
          <w:szCs w:val="20"/>
        </w:rPr>
        <w:t>”</w:t>
      </w:r>
      <w:r>
        <w:rPr>
          <w:rFonts w:asciiTheme="majorHAnsi" w:hAnsiTheme="majorHAnsi"/>
          <w:color w:val="000000"/>
          <w:sz w:val="20"/>
          <w:szCs w:val="20"/>
        </w:rPr>
        <w:t xml:space="preserve"> behavior of its members intended to aid and abet their colleagues. </w:t>
      </w:r>
    </w:p>
    <w:p w:rsidR="007D4D73" w:rsidRPr="00FD4F59"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rPr>
      </w:pPr>
    </w:p>
    <w:p w:rsidR="00033630" w:rsidRDefault="00033630"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rPr>
      </w:pPr>
      <w:r>
        <w:rPr>
          <w:rFonts w:asciiTheme="majorHAnsi" w:hAnsiTheme="majorHAnsi"/>
          <w:color w:val="000000"/>
          <w:sz w:val="20"/>
          <w:szCs w:val="20"/>
        </w:rPr>
        <w:t>On November 10, 1997, the judge ordered a new expert opinion, this time entrusting it to the Catholic University of the Province of Córdoba. That institution issued its expert opinion in March 1998, attesting that the alleged victim had died of preeclampsia-eclampsia. Th</w:t>
      </w:r>
      <w:r w:rsidR="00676E1D">
        <w:rPr>
          <w:rFonts w:asciiTheme="majorHAnsi" w:hAnsiTheme="majorHAnsi"/>
          <w:color w:val="000000"/>
          <w:sz w:val="20"/>
          <w:szCs w:val="20"/>
        </w:rPr>
        <w:t>is</w:t>
      </w:r>
      <w:r>
        <w:rPr>
          <w:rFonts w:asciiTheme="majorHAnsi" w:hAnsiTheme="majorHAnsi"/>
          <w:color w:val="000000"/>
          <w:sz w:val="20"/>
          <w:szCs w:val="20"/>
        </w:rPr>
        <w:t xml:space="preserve"> opinion, which was introduced into the record as </w:t>
      </w:r>
      <w:r w:rsidR="00676E1D">
        <w:rPr>
          <w:rFonts w:asciiTheme="majorHAnsi" w:hAnsiTheme="majorHAnsi"/>
          <w:color w:val="000000"/>
          <w:sz w:val="20"/>
          <w:szCs w:val="20"/>
        </w:rPr>
        <w:t xml:space="preserve">expert </w:t>
      </w:r>
      <w:r>
        <w:rPr>
          <w:rFonts w:asciiTheme="majorHAnsi" w:hAnsiTheme="majorHAnsi"/>
          <w:color w:val="000000"/>
          <w:sz w:val="20"/>
          <w:szCs w:val="20"/>
        </w:rPr>
        <w:t xml:space="preserve">evidence, found, </w:t>
      </w:r>
      <w:r>
        <w:rPr>
          <w:rFonts w:asciiTheme="majorHAnsi" w:hAnsiTheme="majorHAnsi"/>
          <w:i/>
          <w:iCs/>
          <w:color w:val="000000"/>
          <w:sz w:val="20"/>
          <w:szCs w:val="20"/>
        </w:rPr>
        <w:t>inter alia</w:t>
      </w:r>
      <w:r>
        <w:rPr>
          <w:rFonts w:asciiTheme="majorHAnsi" w:hAnsiTheme="majorHAnsi"/>
          <w:color w:val="000000"/>
          <w:sz w:val="20"/>
          <w:szCs w:val="20"/>
        </w:rPr>
        <w:t xml:space="preserve">, that the preeclampsia had not been properly diagnosed, that no treatment had been instituted, that the alleged victim had not been offered minimum recommendations, that she had not been correctly evaluated during her antenatal checkups, and that she had not been correctly medicated. The petitioners said that it was </w:t>
      </w:r>
      <w:r w:rsidR="00E47B04">
        <w:rPr>
          <w:rFonts w:asciiTheme="majorHAnsi" w:hAnsiTheme="majorHAnsi"/>
          <w:color w:val="000000"/>
          <w:sz w:val="20"/>
          <w:szCs w:val="20"/>
        </w:rPr>
        <w:t>“</w:t>
      </w:r>
      <w:r>
        <w:rPr>
          <w:rFonts w:asciiTheme="majorHAnsi" w:hAnsiTheme="majorHAnsi"/>
          <w:color w:val="000000"/>
          <w:sz w:val="20"/>
          <w:szCs w:val="20"/>
        </w:rPr>
        <w:t>astounding,</w:t>
      </w:r>
      <w:r w:rsidR="00E47B04">
        <w:rPr>
          <w:rFonts w:asciiTheme="majorHAnsi" w:hAnsiTheme="majorHAnsi"/>
          <w:color w:val="000000"/>
          <w:sz w:val="20"/>
          <w:szCs w:val="20"/>
        </w:rPr>
        <w:t>”</w:t>
      </w:r>
      <w:r>
        <w:rPr>
          <w:rFonts w:asciiTheme="majorHAnsi" w:hAnsiTheme="majorHAnsi"/>
          <w:color w:val="000000"/>
          <w:sz w:val="20"/>
          <w:szCs w:val="20"/>
        </w:rPr>
        <w:t xml:space="preserve"> therefore, that the </w:t>
      </w:r>
      <w:r w:rsidR="00E47B04">
        <w:rPr>
          <w:rFonts w:asciiTheme="majorHAnsi" w:hAnsiTheme="majorHAnsi"/>
          <w:color w:val="000000"/>
          <w:sz w:val="20"/>
          <w:szCs w:val="20"/>
        </w:rPr>
        <w:t>“</w:t>
      </w:r>
      <w:r>
        <w:rPr>
          <w:rFonts w:asciiTheme="majorHAnsi" w:hAnsiTheme="majorHAnsi"/>
          <w:color w:val="000000"/>
          <w:sz w:val="20"/>
          <w:szCs w:val="20"/>
        </w:rPr>
        <w:t>incisive report</w:t>
      </w:r>
      <w:r w:rsidR="00E47B04">
        <w:rPr>
          <w:rFonts w:asciiTheme="majorHAnsi" w:hAnsiTheme="majorHAnsi"/>
          <w:color w:val="000000"/>
          <w:sz w:val="20"/>
          <w:szCs w:val="20"/>
        </w:rPr>
        <w:t>”</w:t>
      </w:r>
      <w:r>
        <w:rPr>
          <w:rFonts w:asciiTheme="majorHAnsi" w:hAnsiTheme="majorHAnsi"/>
          <w:color w:val="000000"/>
          <w:sz w:val="20"/>
          <w:szCs w:val="20"/>
        </w:rPr>
        <w:t xml:space="preserve"> submitted by the Catholic University of Córdoba should have been used as grounds to acquit forensic experts Florencio Casavilla and Carlos Fernando Leoncio Poggi. </w:t>
      </w:r>
      <w:r w:rsidR="00303454">
        <w:rPr>
          <w:rFonts w:asciiTheme="majorHAnsi" w:hAnsiTheme="majorHAnsi"/>
          <w:color w:val="000000"/>
          <w:sz w:val="20"/>
          <w:szCs w:val="20"/>
        </w:rPr>
        <w:t>Petitioners indicate t</w:t>
      </w:r>
      <w:r>
        <w:rPr>
          <w:rFonts w:asciiTheme="majorHAnsi" w:hAnsiTheme="majorHAnsi"/>
          <w:color w:val="000000"/>
          <w:sz w:val="20"/>
          <w:szCs w:val="20"/>
        </w:rPr>
        <w:t xml:space="preserve">hat </w:t>
      </w:r>
      <w:r w:rsidR="00303454">
        <w:rPr>
          <w:rFonts w:asciiTheme="majorHAnsi" w:hAnsiTheme="majorHAnsi"/>
          <w:color w:val="000000"/>
          <w:sz w:val="20"/>
          <w:szCs w:val="20"/>
        </w:rPr>
        <w:t xml:space="preserve">the </w:t>
      </w:r>
      <w:r>
        <w:rPr>
          <w:rFonts w:asciiTheme="majorHAnsi" w:hAnsiTheme="majorHAnsi"/>
          <w:color w:val="000000"/>
          <w:sz w:val="20"/>
          <w:szCs w:val="20"/>
        </w:rPr>
        <w:t xml:space="preserve">decision was upheld by the </w:t>
      </w:r>
      <w:r w:rsidR="00303454">
        <w:rPr>
          <w:rFonts w:asciiTheme="majorHAnsi" w:hAnsiTheme="majorHAnsi"/>
          <w:color w:val="000000"/>
          <w:sz w:val="20"/>
          <w:szCs w:val="20"/>
        </w:rPr>
        <w:t xml:space="preserve">Criminal Court of Appeals </w:t>
      </w:r>
      <w:r>
        <w:rPr>
          <w:rFonts w:asciiTheme="majorHAnsi" w:hAnsiTheme="majorHAnsi"/>
          <w:color w:val="000000"/>
          <w:sz w:val="20"/>
          <w:szCs w:val="20"/>
        </w:rPr>
        <w:t>on October 21, 2002.</w:t>
      </w:r>
    </w:p>
    <w:p w:rsidR="007D4D73" w:rsidRPr="00FD4F59"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rPr>
      </w:pPr>
    </w:p>
    <w:p w:rsidR="00DF151B" w:rsidRPr="008C1FA8" w:rsidRDefault="007A5283"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rPr>
      </w:pPr>
      <w:r>
        <w:rPr>
          <w:rFonts w:asciiTheme="majorHAnsi" w:hAnsiTheme="majorHAnsi"/>
          <w:color w:val="000000"/>
          <w:sz w:val="20"/>
          <w:szCs w:val="20"/>
        </w:rPr>
        <w:t xml:space="preserve">The petitioners pointed out that, contrary to what the State claimed in one of its additional comments to the IACHR, the presiding judge in the case had been recused. That recusal had been interposed on April 13, 1998, owing to </w:t>
      </w:r>
      <w:r w:rsidR="00E47B04">
        <w:rPr>
          <w:rFonts w:asciiTheme="majorHAnsi" w:hAnsiTheme="majorHAnsi"/>
          <w:color w:val="000000"/>
          <w:sz w:val="20"/>
          <w:szCs w:val="20"/>
        </w:rPr>
        <w:t>“</w:t>
      </w:r>
      <w:r w:rsidRPr="008C1FA8">
        <w:rPr>
          <w:rFonts w:asciiTheme="majorHAnsi" w:hAnsiTheme="majorHAnsi"/>
          <w:color w:val="000000"/>
          <w:sz w:val="20"/>
          <w:szCs w:val="20"/>
        </w:rPr>
        <w:t>unwarranted delays</w:t>
      </w:r>
      <w:r w:rsidR="00E47B04" w:rsidRPr="008C1FA8">
        <w:rPr>
          <w:rFonts w:asciiTheme="majorHAnsi" w:hAnsiTheme="majorHAnsi"/>
          <w:color w:val="000000"/>
          <w:sz w:val="20"/>
          <w:szCs w:val="20"/>
        </w:rPr>
        <w:t>”</w:t>
      </w:r>
      <w:r w:rsidRPr="008C1FA8">
        <w:rPr>
          <w:rFonts w:asciiTheme="majorHAnsi" w:hAnsiTheme="majorHAnsi"/>
          <w:color w:val="000000"/>
          <w:sz w:val="20"/>
          <w:szCs w:val="20"/>
        </w:rPr>
        <w:t xml:space="preserve"> that could have resulted in the case being time-barred. They further noted that the judge had failed over the course of 41 months to direct the preliminary inquiry to its conclusion because of </w:t>
      </w:r>
      <w:r w:rsidR="00E47B04" w:rsidRPr="008C1FA8">
        <w:rPr>
          <w:rFonts w:asciiTheme="majorHAnsi" w:hAnsiTheme="majorHAnsi"/>
          <w:color w:val="000000"/>
          <w:sz w:val="20"/>
          <w:szCs w:val="20"/>
        </w:rPr>
        <w:t>“</w:t>
      </w:r>
      <w:r w:rsidRPr="008C1FA8">
        <w:rPr>
          <w:rFonts w:asciiTheme="majorHAnsi" w:hAnsiTheme="majorHAnsi"/>
          <w:color w:val="000000"/>
          <w:sz w:val="20"/>
          <w:szCs w:val="20"/>
        </w:rPr>
        <w:t>the judge</w:t>
      </w:r>
      <w:r w:rsidR="00E47B04" w:rsidRPr="008C1FA8">
        <w:rPr>
          <w:rFonts w:asciiTheme="majorHAnsi" w:hAnsiTheme="majorHAnsi"/>
          <w:color w:val="000000"/>
          <w:sz w:val="20"/>
          <w:szCs w:val="20"/>
        </w:rPr>
        <w:t>’</w:t>
      </w:r>
      <w:r w:rsidRPr="008C1FA8">
        <w:rPr>
          <w:rFonts w:asciiTheme="majorHAnsi" w:hAnsiTheme="majorHAnsi"/>
          <w:color w:val="000000"/>
          <w:sz w:val="20"/>
          <w:szCs w:val="20"/>
        </w:rPr>
        <w:t>s vested interest in the proceeding</w:t>
      </w:r>
      <w:r w:rsidR="00E47B04" w:rsidRPr="008C1FA8">
        <w:rPr>
          <w:rFonts w:asciiTheme="majorHAnsi" w:hAnsiTheme="majorHAnsi"/>
          <w:color w:val="000000"/>
          <w:sz w:val="20"/>
          <w:szCs w:val="20"/>
        </w:rPr>
        <w:t>”</w:t>
      </w:r>
      <w:r w:rsidRPr="008C1FA8">
        <w:rPr>
          <w:rFonts w:asciiTheme="majorHAnsi" w:hAnsiTheme="majorHAnsi"/>
          <w:color w:val="000000"/>
          <w:sz w:val="20"/>
          <w:szCs w:val="20"/>
        </w:rPr>
        <w:t xml:space="preserve"> and because of his </w:t>
      </w:r>
      <w:r w:rsidR="00E47B04" w:rsidRPr="008C1FA8">
        <w:rPr>
          <w:rFonts w:asciiTheme="majorHAnsi" w:hAnsiTheme="majorHAnsi"/>
          <w:color w:val="000000"/>
          <w:sz w:val="20"/>
          <w:szCs w:val="20"/>
        </w:rPr>
        <w:t>“</w:t>
      </w:r>
      <w:r w:rsidRPr="008C1FA8">
        <w:rPr>
          <w:rFonts w:asciiTheme="majorHAnsi" w:hAnsiTheme="majorHAnsi"/>
          <w:color w:val="000000"/>
          <w:sz w:val="20"/>
          <w:szCs w:val="20"/>
        </w:rPr>
        <w:t>prejudgment.</w:t>
      </w:r>
      <w:r w:rsidR="00E47B04" w:rsidRPr="008C1FA8">
        <w:rPr>
          <w:rFonts w:asciiTheme="majorHAnsi" w:hAnsiTheme="majorHAnsi"/>
          <w:color w:val="000000"/>
          <w:sz w:val="20"/>
          <w:szCs w:val="20"/>
        </w:rPr>
        <w:t>”</w:t>
      </w:r>
      <w:r w:rsidRPr="008C1FA8">
        <w:rPr>
          <w:rFonts w:asciiTheme="majorHAnsi" w:hAnsiTheme="majorHAnsi"/>
          <w:color w:val="000000"/>
          <w:sz w:val="20"/>
          <w:szCs w:val="20"/>
        </w:rPr>
        <w:t xml:space="preserve"> They said that said recusal was rejected on June 18, 1998.</w:t>
      </w:r>
    </w:p>
    <w:p w:rsidR="007D4D73" w:rsidRPr="008C1FA8"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rPr>
      </w:pPr>
    </w:p>
    <w:p w:rsidR="00E662B8" w:rsidRPr="008C1FA8" w:rsidRDefault="00B65E59"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rPr>
      </w:pPr>
      <w:r w:rsidRPr="008C1FA8">
        <w:rPr>
          <w:rFonts w:asciiTheme="majorHAnsi" w:hAnsiTheme="majorHAnsi"/>
          <w:color w:val="000000"/>
          <w:sz w:val="20"/>
          <w:szCs w:val="20"/>
        </w:rPr>
        <w:t xml:space="preserve">In that regard, they alleged that there was corporate machinery in place in Argentina that involved the Forensic Medical Corps, which ensured impunity for medical personnel when any of their members were involved in cases such as this. That corrupt machinery had denied the petitioners access to justice in the form of an impartial and duly founded decision. In that same regard, the petitioners add that the foregoing constituted proof that there was indeed external pressure on the judges and a lack of impartiality. Similarly, they said that the unique particularities of this case directly involved the Supreme Court itself, given that in the framework of the aforesaid investigation there had occurred the </w:t>
      </w:r>
      <w:r w:rsidR="00E47B04" w:rsidRPr="008C1FA8">
        <w:rPr>
          <w:rFonts w:asciiTheme="majorHAnsi" w:hAnsiTheme="majorHAnsi"/>
          <w:color w:val="000000"/>
          <w:sz w:val="20"/>
          <w:szCs w:val="20"/>
        </w:rPr>
        <w:t>“</w:t>
      </w:r>
      <w:r w:rsidRPr="008C1FA8">
        <w:rPr>
          <w:rFonts w:asciiTheme="majorHAnsi" w:hAnsiTheme="majorHAnsi"/>
          <w:color w:val="000000"/>
          <w:sz w:val="20"/>
          <w:szCs w:val="20"/>
        </w:rPr>
        <w:t>historic act</w:t>
      </w:r>
      <w:r w:rsidR="00E47B04" w:rsidRPr="008C1FA8">
        <w:rPr>
          <w:rFonts w:asciiTheme="majorHAnsi" w:hAnsiTheme="majorHAnsi"/>
          <w:color w:val="000000"/>
          <w:sz w:val="20"/>
          <w:szCs w:val="20"/>
        </w:rPr>
        <w:t>”</w:t>
      </w:r>
      <w:r w:rsidRPr="008C1FA8">
        <w:rPr>
          <w:rFonts w:asciiTheme="majorHAnsi" w:hAnsiTheme="majorHAnsi"/>
          <w:color w:val="000000"/>
          <w:sz w:val="20"/>
          <w:szCs w:val="20"/>
        </w:rPr>
        <w:t xml:space="preserve"> in which, for the first time in Argentine judicial history, an expert opinion prepared by the plenary of the forensic corps of the country</w:t>
      </w:r>
      <w:r w:rsidR="00E47B04" w:rsidRPr="008C1FA8">
        <w:rPr>
          <w:rFonts w:asciiTheme="majorHAnsi" w:hAnsiTheme="majorHAnsi"/>
          <w:color w:val="000000"/>
          <w:sz w:val="20"/>
          <w:szCs w:val="20"/>
        </w:rPr>
        <w:t>’</w:t>
      </w:r>
      <w:r w:rsidRPr="008C1FA8">
        <w:rPr>
          <w:rFonts w:asciiTheme="majorHAnsi" w:hAnsiTheme="majorHAnsi"/>
          <w:color w:val="000000"/>
          <w:sz w:val="20"/>
          <w:szCs w:val="20"/>
        </w:rPr>
        <w:t xml:space="preserve">s highest tribunal had been invalidated. </w:t>
      </w:r>
    </w:p>
    <w:p w:rsidR="007D4D73" w:rsidRPr="008C1FA8"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rPr>
      </w:pPr>
    </w:p>
    <w:p w:rsidR="00AB1796" w:rsidRPr="008C1FA8" w:rsidRDefault="003102BD"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themeColor="text1"/>
          <w:sz w:val="20"/>
          <w:szCs w:val="20"/>
        </w:rPr>
      </w:pPr>
      <w:r w:rsidRPr="008C1FA8">
        <w:rPr>
          <w:rFonts w:asciiTheme="majorHAnsi" w:hAnsiTheme="majorHAnsi"/>
          <w:color w:val="000000" w:themeColor="text1"/>
          <w:sz w:val="20"/>
          <w:szCs w:val="20"/>
        </w:rPr>
        <w:t xml:space="preserve">Finally, the petitioners say that </w:t>
      </w:r>
      <w:r w:rsidR="00A42724" w:rsidRPr="008C1FA8">
        <w:rPr>
          <w:rFonts w:asciiTheme="majorHAnsi" w:hAnsiTheme="majorHAnsi"/>
          <w:color w:val="000000" w:themeColor="text1"/>
          <w:sz w:val="20"/>
          <w:szCs w:val="20"/>
        </w:rPr>
        <w:t>al</w:t>
      </w:r>
      <w:r w:rsidRPr="008C1FA8">
        <w:rPr>
          <w:rFonts w:asciiTheme="majorHAnsi" w:hAnsiTheme="majorHAnsi"/>
          <w:color w:val="000000" w:themeColor="text1"/>
          <w:sz w:val="20"/>
          <w:szCs w:val="20"/>
        </w:rPr>
        <w:t>though the expert opinion offered by the plenary of the Forensic Medical Corps was declared void due to the corruption of its members, a number of proceedings and decisions were based on that evidence</w:t>
      </w:r>
      <w:r w:rsidR="00303454" w:rsidRPr="008C1FA8">
        <w:rPr>
          <w:rFonts w:asciiTheme="majorHAnsi" w:hAnsiTheme="majorHAnsi"/>
          <w:color w:val="000000" w:themeColor="text1"/>
          <w:sz w:val="20"/>
          <w:szCs w:val="20"/>
        </w:rPr>
        <w:t>—</w:t>
      </w:r>
      <w:r w:rsidRPr="008C1FA8">
        <w:rPr>
          <w:rFonts w:asciiTheme="majorHAnsi" w:hAnsiTheme="majorHAnsi"/>
          <w:color w:val="000000" w:themeColor="text1"/>
          <w:sz w:val="20"/>
          <w:szCs w:val="20"/>
        </w:rPr>
        <w:t xml:space="preserve">and on other </w:t>
      </w:r>
      <w:r w:rsidR="00303454" w:rsidRPr="008C1FA8">
        <w:rPr>
          <w:rFonts w:asciiTheme="majorHAnsi" w:hAnsiTheme="majorHAnsi"/>
          <w:color w:val="000000" w:themeColor="text1"/>
          <w:sz w:val="20"/>
          <w:szCs w:val="20"/>
        </w:rPr>
        <w:t>pieces of evidence</w:t>
      </w:r>
      <w:r w:rsidRPr="008C1FA8">
        <w:rPr>
          <w:rFonts w:asciiTheme="majorHAnsi" w:hAnsiTheme="majorHAnsi"/>
          <w:color w:val="000000" w:themeColor="text1"/>
          <w:sz w:val="20"/>
          <w:szCs w:val="20"/>
        </w:rPr>
        <w:t xml:space="preserve"> that </w:t>
      </w:r>
      <w:r w:rsidR="00303454" w:rsidRPr="008C1FA8">
        <w:rPr>
          <w:rFonts w:asciiTheme="majorHAnsi" w:hAnsiTheme="majorHAnsi"/>
          <w:color w:val="000000" w:themeColor="text1"/>
          <w:sz w:val="20"/>
          <w:szCs w:val="20"/>
        </w:rPr>
        <w:t xml:space="preserve">had </w:t>
      </w:r>
      <w:r w:rsidRPr="008C1FA8">
        <w:rPr>
          <w:rFonts w:asciiTheme="majorHAnsi" w:hAnsiTheme="majorHAnsi"/>
          <w:color w:val="000000" w:themeColor="text1"/>
          <w:sz w:val="20"/>
          <w:szCs w:val="20"/>
        </w:rPr>
        <w:t xml:space="preserve">also </w:t>
      </w:r>
      <w:r w:rsidR="00303454" w:rsidRPr="008C1FA8">
        <w:rPr>
          <w:rFonts w:asciiTheme="majorHAnsi" w:hAnsiTheme="majorHAnsi"/>
          <w:color w:val="000000" w:themeColor="text1"/>
          <w:sz w:val="20"/>
          <w:szCs w:val="20"/>
        </w:rPr>
        <w:t xml:space="preserve">been </w:t>
      </w:r>
      <w:r w:rsidRPr="008C1FA8">
        <w:rPr>
          <w:rFonts w:asciiTheme="majorHAnsi" w:hAnsiTheme="majorHAnsi"/>
          <w:color w:val="000000" w:themeColor="text1"/>
          <w:sz w:val="20"/>
          <w:szCs w:val="20"/>
        </w:rPr>
        <w:t>challenged</w:t>
      </w:r>
      <w:r w:rsidR="00303454" w:rsidRPr="008C1FA8">
        <w:rPr>
          <w:rFonts w:asciiTheme="majorHAnsi" w:hAnsiTheme="majorHAnsi"/>
          <w:color w:val="000000" w:themeColor="text1"/>
          <w:sz w:val="20"/>
          <w:szCs w:val="20"/>
        </w:rPr>
        <w:t>—</w:t>
      </w:r>
      <w:r w:rsidRPr="008C1FA8">
        <w:rPr>
          <w:rFonts w:asciiTheme="majorHAnsi" w:hAnsiTheme="majorHAnsi"/>
          <w:color w:val="000000" w:themeColor="text1"/>
          <w:sz w:val="20"/>
          <w:szCs w:val="20"/>
        </w:rPr>
        <w:t>, which constituted use of unlawfully obtained proof. They also say that influence was brought to bear on all of the judicial decisions connected with that plenary opinion in related cases in order to obtain dismissals and acquittals for the members of the Forensic Medical Corps.</w:t>
      </w:r>
    </w:p>
    <w:p w:rsidR="00AB1796" w:rsidRPr="00FD4F59" w:rsidRDefault="00AB1796"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themeColor="text1"/>
          <w:sz w:val="20"/>
          <w:szCs w:val="20"/>
        </w:rPr>
      </w:pPr>
    </w:p>
    <w:p w:rsidR="00DF151B" w:rsidRPr="00EA5BD3" w:rsidRDefault="00326F64" w:rsidP="00D041CC">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i/>
          <w:sz w:val="20"/>
          <w:szCs w:val="20"/>
        </w:rPr>
      </w:pPr>
      <w:r>
        <w:rPr>
          <w:rFonts w:asciiTheme="majorHAnsi" w:hAnsiTheme="majorHAnsi"/>
          <w:i/>
          <w:iCs/>
          <w:sz w:val="20"/>
          <w:szCs w:val="20"/>
        </w:rPr>
        <w:t>Criminal proceeding for aiding and abetting after the fact (Case</w:t>
      </w:r>
      <w:r>
        <w:rPr>
          <w:rFonts w:asciiTheme="majorHAnsi" w:hAnsiTheme="majorHAnsi"/>
          <w:sz w:val="20"/>
          <w:szCs w:val="20"/>
        </w:rPr>
        <w:t xml:space="preserve"> </w:t>
      </w:r>
      <w:r>
        <w:rPr>
          <w:rFonts w:asciiTheme="majorHAnsi" w:hAnsiTheme="majorHAnsi"/>
          <w:i/>
          <w:iCs/>
          <w:sz w:val="20"/>
          <w:szCs w:val="20"/>
        </w:rPr>
        <w:t>No.</w:t>
      </w:r>
      <w:r>
        <w:rPr>
          <w:rFonts w:asciiTheme="majorHAnsi" w:hAnsiTheme="majorHAnsi"/>
          <w:sz w:val="20"/>
          <w:szCs w:val="20"/>
        </w:rPr>
        <w:t xml:space="preserve"> </w:t>
      </w:r>
      <w:r>
        <w:rPr>
          <w:rFonts w:asciiTheme="majorHAnsi" w:hAnsiTheme="majorHAnsi"/>
          <w:i/>
          <w:iCs/>
          <w:sz w:val="20"/>
          <w:szCs w:val="20"/>
        </w:rPr>
        <w:t>43.321/97)</w:t>
      </w:r>
    </w:p>
    <w:p w:rsidR="007D4D73" w:rsidRPr="007D4D73"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sz w:val="20"/>
          <w:szCs w:val="20"/>
        </w:rPr>
      </w:pPr>
    </w:p>
    <w:p w:rsidR="007A3B7B" w:rsidRDefault="00900F9F"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rPr>
      </w:pPr>
      <w:r>
        <w:rPr>
          <w:rFonts w:asciiTheme="majorHAnsi" w:hAnsiTheme="majorHAnsi"/>
          <w:color w:val="000000"/>
          <w:sz w:val="20"/>
          <w:szCs w:val="20"/>
        </w:rPr>
        <w:t xml:space="preserve">The petitioners say that their lawyers had received an anonymous tip off that was brought to the attention of the judicial authorities, as a result of which, on May 23, 1997, an investigation was initiated </w:t>
      </w:r>
      <w:r>
        <w:rPr>
          <w:rFonts w:asciiTheme="majorHAnsi" w:hAnsiTheme="majorHAnsi"/>
          <w:color w:val="000000"/>
          <w:sz w:val="20"/>
          <w:szCs w:val="20"/>
        </w:rPr>
        <w:lastRenderedPageBreak/>
        <w:t>for aiding and abetting after the fact. The petitioners say that in the context of that investigation testimony was received from one of the dissenting medical doctors in the plenary opinion in case 21.375/96, who allegedly declared that there had been no deliberation whatsoever in drawing up the aforementioned plenary expert opinion, that it had been prepared with the answers already written, and that pressure had been put on other forensic experts to sign the concealing answers.</w:t>
      </w:r>
    </w:p>
    <w:p w:rsidR="007D4D73" w:rsidRPr="00FD4F59"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rPr>
      </w:pPr>
    </w:p>
    <w:p w:rsidR="00900F9F" w:rsidRDefault="007A3B7B"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rPr>
      </w:pPr>
      <w:r>
        <w:rPr>
          <w:rFonts w:asciiTheme="majorHAnsi" w:hAnsiTheme="majorHAnsi"/>
          <w:color w:val="000000"/>
          <w:sz w:val="20"/>
          <w:szCs w:val="20"/>
        </w:rPr>
        <w:t>According to the petitioners, the investigation had been dismissed for lack of a prosecutor</w:t>
      </w:r>
      <w:r w:rsidR="00E47B04">
        <w:rPr>
          <w:rFonts w:asciiTheme="majorHAnsi" w:hAnsiTheme="majorHAnsi"/>
          <w:color w:val="000000"/>
          <w:sz w:val="20"/>
          <w:szCs w:val="20"/>
        </w:rPr>
        <w:t>’</w:t>
      </w:r>
      <w:r>
        <w:rPr>
          <w:rFonts w:asciiTheme="majorHAnsi" w:hAnsiTheme="majorHAnsi"/>
          <w:color w:val="000000"/>
          <w:sz w:val="20"/>
          <w:szCs w:val="20"/>
        </w:rPr>
        <w:t xml:space="preserve">s summons, as was confirmed by </w:t>
      </w:r>
      <w:r w:rsidR="00864809">
        <w:rPr>
          <w:rFonts w:asciiTheme="majorHAnsi" w:hAnsiTheme="majorHAnsi"/>
          <w:color w:val="000000"/>
          <w:sz w:val="20"/>
          <w:szCs w:val="20"/>
        </w:rPr>
        <w:t xml:space="preserve">the First </w:t>
      </w:r>
      <w:r>
        <w:rPr>
          <w:rFonts w:asciiTheme="majorHAnsi" w:hAnsiTheme="majorHAnsi"/>
          <w:color w:val="000000"/>
          <w:sz w:val="20"/>
          <w:szCs w:val="20"/>
        </w:rPr>
        <w:t xml:space="preserve">Chamber of the </w:t>
      </w:r>
      <w:r w:rsidR="00864809">
        <w:rPr>
          <w:rFonts w:asciiTheme="majorHAnsi" w:hAnsiTheme="majorHAnsi"/>
          <w:color w:val="000000"/>
          <w:sz w:val="20"/>
          <w:szCs w:val="20"/>
        </w:rPr>
        <w:t xml:space="preserve">Criminal Court of Appeals </w:t>
      </w:r>
      <w:r>
        <w:rPr>
          <w:rFonts w:asciiTheme="majorHAnsi" w:hAnsiTheme="majorHAnsi"/>
          <w:color w:val="000000"/>
          <w:sz w:val="20"/>
          <w:szCs w:val="20"/>
        </w:rPr>
        <w:t>on September 17, 1997.</w:t>
      </w:r>
    </w:p>
    <w:p w:rsidR="007D4D73" w:rsidRPr="00FD4F59"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rPr>
      </w:pPr>
    </w:p>
    <w:p w:rsidR="00393ADF" w:rsidRPr="00EA5BD3" w:rsidRDefault="00900F9F" w:rsidP="00D041CC">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i/>
          <w:sz w:val="20"/>
          <w:szCs w:val="20"/>
        </w:rPr>
      </w:pPr>
      <w:r>
        <w:rPr>
          <w:rFonts w:asciiTheme="majorHAnsi" w:hAnsiTheme="majorHAnsi"/>
          <w:i/>
          <w:iCs/>
          <w:sz w:val="20"/>
          <w:szCs w:val="20"/>
        </w:rPr>
        <w:t>Criminal proceeding for perjury (Case</w:t>
      </w:r>
      <w:r>
        <w:rPr>
          <w:rFonts w:asciiTheme="majorHAnsi" w:hAnsiTheme="majorHAnsi"/>
          <w:sz w:val="20"/>
          <w:szCs w:val="20"/>
        </w:rPr>
        <w:t xml:space="preserve"> </w:t>
      </w:r>
      <w:r>
        <w:rPr>
          <w:rFonts w:asciiTheme="majorHAnsi" w:hAnsiTheme="majorHAnsi"/>
          <w:i/>
          <w:iCs/>
          <w:sz w:val="20"/>
          <w:szCs w:val="20"/>
        </w:rPr>
        <w:t>No.</w:t>
      </w:r>
      <w:r>
        <w:rPr>
          <w:rFonts w:asciiTheme="majorHAnsi" w:hAnsiTheme="majorHAnsi"/>
          <w:sz w:val="20"/>
          <w:szCs w:val="20"/>
        </w:rPr>
        <w:t xml:space="preserve"> </w:t>
      </w:r>
      <w:r>
        <w:rPr>
          <w:rFonts w:asciiTheme="majorHAnsi" w:hAnsiTheme="majorHAnsi"/>
          <w:i/>
          <w:iCs/>
          <w:sz w:val="20"/>
          <w:szCs w:val="20"/>
        </w:rPr>
        <w:t>27.985/98)</w:t>
      </w:r>
      <w:r>
        <w:rPr>
          <w:rStyle w:val="FootnoteReference"/>
          <w:rFonts w:asciiTheme="majorHAnsi" w:hAnsiTheme="majorHAnsi"/>
          <w:sz w:val="20"/>
          <w:szCs w:val="20"/>
        </w:rPr>
        <w:footnoteReference w:id="4"/>
      </w:r>
    </w:p>
    <w:p w:rsidR="007D4D73" w:rsidRPr="007D4D73"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i/>
          <w:sz w:val="20"/>
          <w:szCs w:val="20"/>
        </w:rPr>
      </w:pPr>
    </w:p>
    <w:p w:rsidR="00F403B0" w:rsidRDefault="0070078A"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rPr>
      </w:pPr>
      <w:r>
        <w:rPr>
          <w:rFonts w:asciiTheme="majorHAnsi" w:hAnsiTheme="majorHAnsi"/>
          <w:color w:val="000000"/>
          <w:sz w:val="20"/>
          <w:szCs w:val="20"/>
        </w:rPr>
        <w:t>The petitioners say that on April 1, 1998, they filed a criminal complaint</w:t>
      </w:r>
      <w:r w:rsidR="00272F8E">
        <w:rPr>
          <w:rStyle w:val="FootnoteReference"/>
          <w:rFonts w:asciiTheme="majorHAnsi" w:hAnsiTheme="majorHAnsi"/>
          <w:color w:val="000000"/>
          <w:sz w:val="20"/>
          <w:szCs w:val="20"/>
        </w:rPr>
        <w:footnoteReference w:id="5"/>
      </w:r>
      <w:r>
        <w:rPr>
          <w:rFonts w:asciiTheme="majorHAnsi" w:hAnsiTheme="majorHAnsi"/>
          <w:color w:val="000000"/>
          <w:sz w:val="20"/>
          <w:szCs w:val="20"/>
        </w:rPr>
        <w:t xml:space="preserve"> for perjury against all 31 members of the Medical Corps. In that case, the alleged corrupt and corporative behavior of the Forensic Medical Corps in falsifying the plenary</w:t>
      </w:r>
      <w:r w:rsidR="00E47B04">
        <w:rPr>
          <w:rFonts w:asciiTheme="majorHAnsi" w:hAnsiTheme="majorHAnsi"/>
          <w:color w:val="000000"/>
          <w:sz w:val="20"/>
          <w:szCs w:val="20"/>
        </w:rPr>
        <w:t>’</w:t>
      </w:r>
      <w:r>
        <w:rPr>
          <w:rFonts w:asciiTheme="majorHAnsi" w:hAnsiTheme="majorHAnsi"/>
          <w:color w:val="000000"/>
          <w:sz w:val="20"/>
          <w:szCs w:val="20"/>
        </w:rPr>
        <w:t xml:space="preserve">s opinion and aiding and abetting their colleagues was purportedly investigated. The petitioners informed that on April 12, 1999, the presiding judge decided to acquit all 31 doctors implicated in the case. </w:t>
      </w:r>
    </w:p>
    <w:p w:rsidR="007D4D73" w:rsidRPr="00FD4F59"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rPr>
      </w:pPr>
    </w:p>
    <w:p w:rsidR="00F403B0" w:rsidRDefault="00A8682D"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rPr>
      </w:pPr>
      <w:r>
        <w:rPr>
          <w:rFonts w:asciiTheme="majorHAnsi" w:hAnsiTheme="majorHAnsi"/>
          <w:color w:val="000000"/>
          <w:sz w:val="20"/>
          <w:szCs w:val="20"/>
        </w:rPr>
        <w:t xml:space="preserve">Upon appealing that decision, the petitioners said that they were denied consideration of evidence and that the facts that were the subject of the case </w:t>
      </w:r>
      <w:r w:rsidR="005170BE">
        <w:rPr>
          <w:rFonts w:asciiTheme="majorHAnsi" w:hAnsiTheme="majorHAnsi"/>
          <w:color w:val="000000"/>
          <w:sz w:val="20"/>
          <w:szCs w:val="20"/>
        </w:rPr>
        <w:t>had been</w:t>
      </w:r>
      <w:r>
        <w:rPr>
          <w:rFonts w:asciiTheme="majorHAnsi" w:hAnsiTheme="majorHAnsi"/>
          <w:color w:val="000000"/>
          <w:sz w:val="20"/>
          <w:szCs w:val="20"/>
        </w:rPr>
        <w:t xml:space="preserve"> distorted. They also mentioned serious flaws in the supporting arguments and reasoning in the ruling adopted, which, they allege, deprived them of a duly founded decision. The First </w:t>
      </w:r>
      <w:r w:rsidR="00D40FBE">
        <w:rPr>
          <w:rFonts w:asciiTheme="majorHAnsi" w:hAnsiTheme="majorHAnsi"/>
          <w:color w:val="000000"/>
          <w:sz w:val="20"/>
          <w:szCs w:val="20"/>
        </w:rPr>
        <w:t xml:space="preserve">Chamber of the </w:t>
      </w:r>
      <w:r>
        <w:rPr>
          <w:rFonts w:asciiTheme="majorHAnsi" w:hAnsiTheme="majorHAnsi"/>
          <w:color w:val="000000"/>
          <w:sz w:val="20"/>
          <w:szCs w:val="20"/>
        </w:rPr>
        <w:t xml:space="preserve">Criminal </w:t>
      </w:r>
      <w:r w:rsidR="00D40FBE">
        <w:rPr>
          <w:rFonts w:asciiTheme="majorHAnsi" w:hAnsiTheme="majorHAnsi"/>
          <w:color w:val="000000"/>
          <w:sz w:val="20"/>
          <w:szCs w:val="20"/>
        </w:rPr>
        <w:t xml:space="preserve">Court of Appeals </w:t>
      </w:r>
      <w:r>
        <w:rPr>
          <w:rFonts w:asciiTheme="majorHAnsi" w:hAnsiTheme="majorHAnsi"/>
          <w:color w:val="000000"/>
          <w:sz w:val="20"/>
          <w:szCs w:val="20"/>
        </w:rPr>
        <w:t xml:space="preserve">reportedly upheld the decision of the court of first instance on August 6, 1999. </w:t>
      </w:r>
    </w:p>
    <w:p w:rsidR="007D4D73" w:rsidRPr="00FD4F59"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rPr>
      </w:pPr>
    </w:p>
    <w:p w:rsidR="009B376F" w:rsidRDefault="00F403B0"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rPr>
      </w:pPr>
      <w:r>
        <w:rPr>
          <w:rFonts w:asciiTheme="majorHAnsi" w:hAnsiTheme="majorHAnsi"/>
          <w:color w:val="000000"/>
          <w:sz w:val="20"/>
          <w:szCs w:val="20"/>
        </w:rPr>
        <w:t xml:space="preserve">The petitioners filed a cassation appeal against that decision </w:t>
      </w:r>
      <w:r w:rsidR="00251D04">
        <w:rPr>
          <w:rFonts w:asciiTheme="majorHAnsi" w:hAnsiTheme="majorHAnsi"/>
          <w:color w:val="000000"/>
          <w:sz w:val="20"/>
          <w:szCs w:val="20"/>
        </w:rPr>
        <w:t>which</w:t>
      </w:r>
      <w:r>
        <w:rPr>
          <w:rFonts w:asciiTheme="majorHAnsi" w:hAnsiTheme="majorHAnsi"/>
          <w:color w:val="000000"/>
          <w:sz w:val="20"/>
          <w:szCs w:val="20"/>
        </w:rPr>
        <w:t xml:space="preserve"> was refused on October 20, 1999. They then filed a motion for reconsideration of dismissal of appeal, which was rejected on March 30, 2000. In that regard, the petitioners argued that they had been denied access to a comprehensive review of the judgment under the terms of </w:t>
      </w:r>
      <w:r w:rsidR="00C64C3F">
        <w:rPr>
          <w:rFonts w:asciiTheme="majorHAnsi" w:hAnsiTheme="majorHAnsi"/>
          <w:color w:val="000000"/>
          <w:sz w:val="20"/>
          <w:szCs w:val="20"/>
        </w:rPr>
        <w:t>article</w:t>
      </w:r>
      <w:r>
        <w:rPr>
          <w:rFonts w:asciiTheme="majorHAnsi" w:hAnsiTheme="majorHAnsi"/>
          <w:color w:val="000000"/>
          <w:sz w:val="20"/>
          <w:szCs w:val="20"/>
        </w:rPr>
        <w:t xml:space="preserve"> 8</w:t>
      </w:r>
      <w:r w:rsidR="003D0613">
        <w:rPr>
          <w:rFonts w:asciiTheme="majorHAnsi" w:hAnsiTheme="majorHAnsi"/>
          <w:color w:val="000000"/>
          <w:sz w:val="20"/>
          <w:szCs w:val="20"/>
        </w:rPr>
        <w:t>.</w:t>
      </w:r>
      <w:r>
        <w:rPr>
          <w:rFonts w:asciiTheme="majorHAnsi" w:hAnsiTheme="majorHAnsi"/>
          <w:color w:val="000000"/>
          <w:sz w:val="20"/>
          <w:szCs w:val="20"/>
        </w:rPr>
        <w:t>2</w:t>
      </w:r>
      <w:r w:rsidR="003D0613">
        <w:rPr>
          <w:rFonts w:asciiTheme="majorHAnsi" w:hAnsiTheme="majorHAnsi"/>
          <w:color w:val="000000"/>
          <w:sz w:val="20"/>
          <w:szCs w:val="20"/>
        </w:rPr>
        <w:t>.</w:t>
      </w:r>
      <w:r>
        <w:rPr>
          <w:rFonts w:asciiTheme="majorHAnsi" w:hAnsiTheme="majorHAnsi"/>
          <w:color w:val="000000"/>
          <w:sz w:val="20"/>
          <w:szCs w:val="20"/>
        </w:rPr>
        <w:t>h of the Convention.</w:t>
      </w:r>
    </w:p>
    <w:p w:rsidR="007D4D73" w:rsidRPr="00FD4F59"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rPr>
      </w:pPr>
    </w:p>
    <w:p w:rsidR="00E21857" w:rsidRDefault="00E21857"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rPr>
      </w:pPr>
      <w:r>
        <w:rPr>
          <w:rFonts w:asciiTheme="majorHAnsi" w:hAnsiTheme="majorHAnsi"/>
          <w:color w:val="000000"/>
          <w:sz w:val="20"/>
          <w:szCs w:val="20"/>
        </w:rPr>
        <w:t>They said that subsequently they filed a</w:t>
      </w:r>
      <w:r w:rsidR="00004DE8">
        <w:rPr>
          <w:rFonts w:asciiTheme="majorHAnsi" w:hAnsiTheme="majorHAnsi"/>
          <w:color w:val="000000"/>
          <w:sz w:val="20"/>
          <w:szCs w:val="20"/>
        </w:rPr>
        <w:t>n</w:t>
      </w:r>
      <w:r>
        <w:rPr>
          <w:rFonts w:asciiTheme="majorHAnsi" w:hAnsiTheme="majorHAnsi"/>
          <w:color w:val="000000"/>
          <w:sz w:val="20"/>
          <w:szCs w:val="20"/>
        </w:rPr>
        <w:t xml:space="preserve"> </w:t>
      </w:r>
      <w:r w:rsidR="00004DE8">
        <w:rPr>
          <w:rFonts w:asciiTheme="majorHAnsi" w:hAnsiTheme="majorHAnsi"/>
          <w:color w:val="000000"/>
          <w:sz w:val="20"/>
          <w:szCs w:val="20"/>
        </w:rPr>
        <w:t xml:space="preserve">extraordinary federal </w:t>
      </w:r>
      <w:r>
        <w:rPr>
          <w:rFonts w:asciiTheme="majorHAnsi" w:hAnsiTheme="majorHAnsi"/>
          <w:color w:val="000000"/>
          <w:sz w:val="20"/>
          <w:szCs w:val="20"/>
        </w:rPr>
        <w:t xml:space="preserve">appeal for arbitrariness and serious misconduct by a government institution with the Supreme Court of Justice of the Nation on May 8, 2000. In that filing, they claimed that the procedural platform had been substituted, decisive evidence had been disregarded, and that said evidence had even been tampered with. They said that that appeal was also rejected and that they were notified as much on October 19, 2000. </w:t>
      </w:r>
    </w:p>
    <w:p w:rsidR="007D4D73" w:rsidRPr="00FD4F59"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rPr>
      </w:pPr>
    </w:p>
    <w:p w:rsidR="00E21857" w:rsidRDefault="00F66DEE" w:rsidP="00C65AD0">
      <w:pPr>
        <w:pStyle w:val="Heading2"/>
        <w:numPr>
          <w:ilvl w:val="0"/>
          <w:numId w:val="0"/>
        </w:numPr>
        <w:tabs>
          <w:tab w:val="left" w:pos="0"/>
        </w:tabs>
        <w:ind w:firstLine="720"/>
        <w:jc w:val="both"/>
        <w:rPr>
          <w:rFonts w:asciiTheme="majorHAnsi" w:hAnsiTheme="majorHAnsi"/>
          <w:b/>
        </w:rPr>
      </w:pPr>
      <w:r>
        <w:rPr>
          <w:rFonts w:asciiTheme="majorHAnsi" w:hAnsiTheme="majorHAnsi"/>
          <w:b/>
          <w:bCs/>
          <w:lang w:val="en-US"/>
        </w:rPr>
        <w:t>B.</w:t>
      </w:r>
      <w:r>
        <w:rPr>
          <w:rFonts w:asciiTheme="majorHAnsi" w:hAnsiTheme="majorHAnsi"/>
          <w:b/>
          <w:bCs/>
          <w:lang w:val="en-US"/>
        </w:rPr>
        <w:tab/>
        <w:t>The State</w:t>
      </w:r>
    </w:p>
    <w:p w:rsidR="007D4D73" w:rsidRPr="007D4D73" w:rsidRDefault="007D4D73" w:rsidP="00C65AD0">
      <w:pPr>
        <w:jc w:val="both"/>
      </w:pPr>
    </w:p>
    <w:p w:rsidR="00E21857" w:rsidRDefault="00E21857"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rPr>
      </w:pPr>
      <w:r>
        <w:rPr>
          <w:rFonts w:asciiTheme="majorHAnsi" w:hAnsiTheme="majorHAnsi"/>
          <w:color w:val="000000"/>
          <w:sz w:val="20"/>
          <w:szCs w:val="20"/>
        </w:rPr>
        <w:t>The State holds that the petition is inadmissible, given that in none of the cases were the remedies available under domestic law exhausted in the requisite manner. It also argues that the petition does not present a colorable claim of violation of rights ensured by the American Convention and that the petitioners</w:t>
      </w:r>
      <w:r w:rsidR="00E47B04">
        <w:rPr>
          <w:rFonts w:asciiTheme="majorHAnsi" w:hAnsiTheme="majorHAnsi"/>
          <w:color w:val="000000"/>
          <w:sz w:val="20"/>
          <w:szCs w:val="20"/>
        </w:rPr>
        <w:t>’</w:t>
      </w:r>
      <w:r>
        <w:rPr>
          <w:rFonts w:asciiTheme="majorHAnsi" w:hAnsiTheme="majorHAnsi"/>
          <w:color w:val="000000"/>
          <w:sz w:val="20"/>
          <w:szCs w:val="20"/>
        </w:rPr>
        <w:t xml:space="preserve"> intention is to use the IACHR as a </w:t>
      </w:r>
      <w:r w:rsidR="00E47B04">
        <w:rPr>
          <w:rFonts w:asciiTheme="majorHAnsi" w:hAnsiTheme="majorHAnsi"/>
          <w:color w:val="000000"/>
          <w:sz w:val="20"/>
          <w:szCs w:val="20"/>
        </w:rPr>
        <w:t>“</w:t>
      </w:r>
      <w:r>
        <w:rPr>
          <w:rFonts w:asciiTheme="majorHAnsi" w:hAnsiTheme="majorHAnsi"/>
          <w:color w:val="000000"/>
          <w:sz w:val="20"/>
          <w:szCs w:val="20"/>
        </w:rPr>
        <w:t>fourth instance</w:t>
      </w:r>
      <w:r w:rsidR="00E47B04">
        <w:rPr>
          <w:rFonts w:asciiTheme="majorHAnsi" w:hAnsiTheme="majorHAnsi"/>
          <w:color w:val="000000"/>
          <w:sz w:val="20"/>
          <w:szCs w:val="20"/>
        </w:rPr>
        <w:t>”</w:t>
      </w:r>
      <w:r>
        <w:rPr>
          <w:rFonts w:asciiTheme="majorHAnsi" w:hAnsiTheme="majorHAnsi"/>
          <w:color w:val="000000"/>
          <w:sz w:val="20"/>
          <w:szCs w:val="20"/>
        </w:rPr>
        <w:t xml:space="preserve"> to review the judgments as to fact and law made by the domestic judges and tribunals.</w:t>
      </w:r>
    </w:p>
    <w:p w:rsidR="003F6C0B" w:rsidRPr="00FD4F59" w:rsidRDefault="003F6C0B"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rPr>
      </w:pPr>
    </w:p>
    <w:p w:rsidR="00E21857" w:rsidRDefault="00287638"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rPr>
      </w:pPr>
      <w:r>
        <w:rPr>
          <w:rFonts w:asciiTheme="majorHAnsi" w:hAnsiTheme="majorHAnsi"/>
          <w:color w:val="000000"/>
          <w:sz w:val="20"/>
          <w:szCs w:val="20"/>
        </w:rPr>
        <w:t>The State argues that the alleged criminal responsibility of the medical personnel who treated the alleged victim was investigated in the proceeding for manslaughter.</w:t>
      </w:r>
      <w:r>
        <w:rPr>
          <w:rStyle w:val="FootnoteReference"/>
          <w:rFonts w:asciiTheme="majorHAnsi" w:hAnsiTheme="majorHAnsi"/>
          <w:color w:val="000000"/>
          <w:sz w:val="20"/>
          <w:szCs w:val="20"/>
        </w:rPr>
        <w:footnoteReference w:id="6"/>
      </w:r>
      <w:r>
        <w:rPr>
          <w:rFonts w:asciiTheme="majorHAnsi" w:hAnsiTheme="majorHAnsi"/>
          <w:color w:val="000000"/>
          <w:sz w:val="20"/>
          <w:szCs w:val="20"/>
        </w:rPr>
        <w:t xml:space="preserve"> The State mentions that on July 18, 2003, the magistrate</w:t>
      </w:r>
      <w:r w:rsidR="00E47B04">
        <w:rPr>
          <w:rFonts w:asciiTheme="majorHAnsi" w:hAnsiTheme="majorHAnsi"/>
          <w:color w:val="000000"/>
          <w:sz w:val="20"/>
          <w:szCs w:val="20"/>
        </w:rPr>
        <w:t>’</w:t>
      </w:r>
      <w:r>
        <w:rPr>
          <w:rFonts w:asciiTheme="majorHAnsi" w:hAnsiTheme="majorHAnsi"/>
          <w:color w:val="000000"/>
          <w:sz w:val="20"/>
          <w:szCs w:val="20"/>
        </w:rPr>
        <w:t xml:space="preserve">s court </w:t>
      </w:r>
      <w:r w:rsidR="00251D04">
        <w:rPr>
          <w:rFonts w:asciiTheme="majorHAnsi" w:hAnsiTheme="majorHAnsi"/>
          <w:color w:val="000000"/>
          <w:sz w:val="20"/>
          <w:szCs w:val="20"/>
        </w:rPr>
        <w:t>decided to</w:t>
      </w:r>
      <w:r>
        <w:rPr>
          <w:rFonts w:asciiTheme="majorHAnsi" w:hAnsiTheme="majorHAnsi"/>
          <w:color w:val="000000"/>
          <w:sz w:val="20"/>
          <w:szCs w:val="20"/>
        </w:rPr>
        <w:t xml:space="preserve"> acquit Patricia Carmen Anido and Eduardo Mario Negri, the accused in the case, of all blame and charges. That judgment was appealed by the office of the prosecutor assigned to the case and upheld at second instance by the Criminal </w:t>
      </w:r>
      <w:r w:rsidR="003D0613">
        <w:rPr>
          <w:rFonts w:asciiTheme="majorHAnsi" w:hAnsiTheme="majorHAnsi"/>
          <w:color w:val="000000"/>
          <w:sz w:val="20"/>
          <w:szCs w:val="20"/>
        </w:rPr>
        <w:t xml:space="preserve">Court of Appeals </w:t>
      </w:r>
      <w:r>
        <w:rPr>
          <w:rFonts w:asciiTheme="majorHAnsi" w:hAnsiTheme="majorHAnsi"/>
          <w:color w:val="000000"/>
          <w:sz w:val="20"/>
          <w:szCs w:val="20"/>
        </w:rPr>
        <w:t xml:space="preserve">on November 27, 2003. </w:t>
      </w:r>
      <w:r>
        <w:rPr>
          <w:rFonts w:asciiTheme="majorHAnsi" w:hAnsiTheme="majorHAnsi"/>
          <w:color w:val="000000"/>
          <w:sz w:val="20"/>
          <w:szCs w:val="20"/>
        </w:rPr>
        <w:lastRenderedPageBreak/>
        <w:t>The State also says that the petitioners filed a</w:t>
      </w:r>
      <w:r w:rsidR="00004DE8">
        <w:rPr>
          <w:rFonts w:asciiTheme="majorHAnsi" w:hAnsiTheme="majorHAnsi"/>
          <w:color w:val="000000"/>
          <w:sz w:val="20"/>
          <w:szCs w:val="20"/>
        </w:rPr>
        <w:t xml:space="preserve">n extraordinary federal </w:t>
      </w:r>
      <w:r>
        <w:rPr>
          <w:rFonts w:asciiTheme="majorHAnsi" w:hAnsiTheme="majorHAnsi"/>
          <w:color w:val="000000"/>
          <w:sz w:val="20"/>
          <w:szCs w:val="20"/>
        </w:rPr>
        <w:t xml:space="preserve">appeal, which was rejected as </w:t>
      </w:r>
      <w:r w:rsidR="00C207B0">
        <w:rPr>
          <w:rFonts w:asciiTheme="majorHAnsi" w:hAnsiTheme="majorHAnsi"/>
          <w:color w:val="000000"/>
          <w:sz w:val="20"/>
          <w:szCs w:val="20"/>
        </w:rPr>
        <w:t>“</w:t>
      </w:r>
      <w:r>
        <w:rPr>
          <w:rFonts w:asciiTheme="majorHAnsi" w:hAnsiTheme="majorHAnsi"/>
          <w:color w:val="000000"/>
          <w:sz w:val="20"/>
          <w:szCs w:val="20"/>
        </w:rPr>
        <w:t>time-barred</w:t>
      </w:r>
      <w:r w:rsidR="00C207B0">
        <w:rPr>
          <w:rFonts w:asciiTheme="majorHAnsi" w:hAnsiTheme="majorHAnsi"/>
          <w:color w:val="000000"/>
          <w:sz w:val="20"/>
          <w:szCs w:val="20"/>
        </w:rPr>
        <w:t>”</w:t>
      </w:r>
      <w:r>
        <w:rPr>
          <w:rFonts w:asciiTheme="majorHAnsi" w:hAnsiTheme="majorHAnsi"/>
          <w:color w:val="000000"/>
          <w:sz w:val="20"/>
          <w:szCs w:val="20"/>
        </w:rPr>
        <w:t xml:space="preserve"> by the</w:t>
      </w:r>
      <w:r w:rsidR="003D0613">
        <w:rPr>
          <w:rFonts w:asciiTheme="majorHAnsi" w:hAnsiTheme="majorHAnsi"/>
          <w:color w:val="000000"/>
          <w:sz w:val="20"/>
          <w:szCs w:val="20"/>
        </w:rPr>
        <w:t xml:space="preserve"> Criminal Court of</w:t>
      </w:r>
      <w:r>
        <w:rPr>
          <w:rFonts w:asciiTheme="majorHAnsi" w:hAnsiTheme="majorHAnsi"/>
          <w:color w:val="000000"/>
          <w:sz w:val="20"/>
          <w:szCs w:val="20"/>
        </w:rPr>
        <w:t xml:space="preserve"> Appeals on March 15, 2004. </w:t>
      </w:r>
    </w:p>
    <w:p w:rsidR="007D4D73" w:rsidRPr="00FD4F59"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rPr>
      </w:pPr>
    </w:p>
    <w:p w:rsidR="00E21857" w:rsidRDefault="00E21857"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rPr>
      </w:pPr>
      <w:r>
        <w:rPr>
          <w:rFonts w:asciiTheme="majorHAnsi" w:hAnsiTheme="majorHAnsi"/>
          <w:color w:val="000000"/>
          <w:sz w:val="20"/>
          <w:szCs w:val="20"/>
        </w:rPr>
        <w:t xml:space="preserve">The </w:t>
      </w:r>
      <w:r w:rsidR="00302E29">
        <w:rPr>
          <w:rFonts w:asciiTheme="majorHAnsi" w:hAnsiTheme="majorHAnsi"/>
          <w:color w:val="000000"/>
          <w:sz w:val="20"/>
          <w:szCs w:val="20"/>
        </w:rPr>
        <w:t>S</w:t>
      </w:r>
      <w:r>
        <w:rPr>
          <w:rFonts w:asciiTheme="majorHAnsi" w:hAnsiTheme="majorHAnsi"/>
          <w:color w:val="000000"/>
          <w:sz w:val="20"/>
          <w:szCs w:val="20"/>
        </w:rPr>
        <w:t>tate also indicates that in the case brought ex officio for falsification of a public instrument,</w:t>
      </w:r>
      <w:r>
        <w:rPr>
          <w:rStyle w:val="FootnoteReference"/>
          <w:rFonts w:asciiTheme="majorHAnsi" w:hAnsiTheme="majorHAnsi"/>
          <w:color w:val="000000"/>
          <w:sz w:val="20"/>
          <w:szCs w:val="20"/>
        </w:rPr>
        <w:footnoteReference w:id="7"/>
      </w:r>
      <w:r>
        <w:rPr>
          <w:rFonts w:asciiTheme="majorHAnsi" w:hAnsiTheme="majorHAnsi"/>
          <w:color w:val="000000"/>
          <w:sz w:val="20"/>
          <w:szCs w:val="20"/>
        </w:rPr>
        <w:t xml:space="preserve"> the court that was assigned the case investigated the suspected criminal responsibility of forensic experts Florencio Casavilla and Carlos Fernando Leoncio Poggi for alleged falsification of an expert opinion with the intention of concealing the criminal responsibility of Patricia Carmen Anido and Eduardo Mario Negri for the death of Cristina Britez Arce. In that regard, a plenary was convened of the Forensic Medical Corps, which issued its opinion on May 21 1997. According to the State, that plenary opinion </w:t>
      </w:r>
      <w:r w:rsidR="00E47B04">
        <w:rPr>
          <w:rFonts w:asciiTheme="majorHAnsi" w:hAnsiTheme="majorHAnsi"/>
          <w:color w:val="000000"/>
          <w:sz w:val="20"/>
          <w:szCs w:val="20"/>
        </w:rPr>
        <w:t>“</w:t>
      </w:r>
      <w:r>
        <w:rPr>
          <w:rFonts w:asciiTheme="majorHAnsi" w:hAnsiTheme="majorHAnsi"/>
          <w:color w:val="000000"/>
          <w:sz w:val="20"/>
          <w:szCs w:val="20"/>
        </w:rPr>
        <w:t>was invalidated</w:t>
      </w:r>
      <w:r w:rsidR="00E47B04">
        <w:rPr>
          <w:rFonts w:asciiTheme="majorHAnsi" w:hAnsiTheme="majorHAnsi"/>
          <w:color w:val="000000"/>
          <w:sz w:val="20"/>
          <w:szCs w:val="20"/>
        </w:rPr>
        <w:t>”</w:t>
      </w:r>
      <w:r>
        <w:rPr>
          <w:rFonts w:asciiTheme="majorHAnsi" w:hAnsiTheme="majorHAnsi"/>
          <w:color w:val="000000"/>
          <w:sz w:val="20"/>
          <w:szCs w:val="20"/>
        </w:rPr>
        <w:t xml:space="preserve"> by the Fourth Chamber of the Criminal </w:t>
      </w:r>
      <w:r w:rsidR="00106A81">
        <w:rPr>
          <w:rFonts w:asciiTheme="majorHAnsi" w:hAnsiTheme="majorHAnsi"/>
          <w:color w:val="000000"/>
          <w:sz w:val="20"/>
          <w:szCs w:val="20"/>
        </w:rPr>
        <w:t>Court of Appeals</w:t>
      </w:r>
      <w:r>
        <w:rPr>
          <w:rFonts w:asciiTheme="majorHAnsi" w:hAnsiTheme="majorHAnsi"/>
          <w:color w:val="000000"/>
          <w:sz w:val="20"/>
          <w:szCs w:val="20"/>
        </w:rPr>
        <w:t xml:space="preserve">, for which reason another expert opinion was ordered, which was prepared by the Catholic University of the Province of Córdoba. The State holds that the lower court acquitted both forensic experts, a decision that was upheld by the </w:t>
      </w:r>
      <w:r w:rsidR="00106A81">
        <w:rPr>
          <w:rFonts w:asciiTheme="majorHAnsi" w:hAnsiTheme="majorHAnsi"/>
          <w:color w:val="000000"/>
          <w:sz w:val="20"/>
          <w:szCs w:val="20"/>
        </w:rPr>
        <w:t xml:space="preserve">Court of Appeals </w:t>
      </w:r>
      <w:r>
        <w:rPr>
          <w:rFonts w:asciiTheme="majorHAnsi" w:hAnsiTheme="majorHAnsi"/>
          <w:color w:val="000000"/>
          <w:sz w:val="20"/>
          <w:szCs w:val="20"/>
        </w:rPr>
        <w:t xml:space="preserve">on October 21, 2002. </w:t>
      </w:r>
    </w:p>
    <w:p w:rsidR="007D4D73" w:rsidRPr="00FD4F59"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rPr>
      </w:pPr>
    </w:p>
    <w:p w:rsidR="00E21857" w:rsidRDefault="009B0EB6"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rPr>
      </w:pPr>
      <w:r>
        <w:rPr>
          <w:rFonts w:asciiTheme="majorHAnsi" w:hAnsiTheme="majorHAnsi"/>
          <w:color w:val="000000"/>
          <w:sz w:val="20"/>
          <w:szCs w:val="20"/>
        </w:rPr>
        <w:t xml:space="preserve">The </w:t>
      </w:r>
      <w:r w:rsidR="00302E29">
        <w:rPr>
          <w:rFonts w:asciiTheme="majorHAnsi" w:hAnsiTheme="majorHAnsi"/>
          <w:color w:val="000000"/>
          <w:sz w:val="20"/>
          <w:szCs w:val="20"/>
        </w:rPr>
        <w:t>S</w:t>
      </w:r>
      <w:r>
        <w:rPr>
          <w:rFonts w:asciiTheme="majorHAnsi" w:hAnsiTheme="majorHAnsi"/>
          <w:color w:val="000000"/>
          <w:sz w:val="20"/>
          <w:szCs w:val="20"/>
        </w:rPr>
        <w:t>tate also said that</w:t>
      </w:r>
      <w:r w:rsidR="00F153EA">
        <w:rPr>
          <w:rFonts w:asciiTheme="majorHAnsi" w:hAnsiTheme="majorHAnsi"/>
          <w:color w:val="000000"/>
          <w:sz w:val="20"/>
          <w:szCs w:val="20"/>
        </w:rPr>
        <w:t>,</w:t>
      </w:r>
      <w:r>
        <w:rPr>
          <w:rFonts w:asciiTheme="majorHAnsi" w:hAnsiTheme="majorHAnsi"/>
          <w:color w:val="000000"/>
          <w:sz w:val="20"/>
          <w:szCs w:val="20"/>
        </w:rPr>
        <w:t xml:space="preserve"> </w:t>
      </w:r>
      <w:r w:rsidR="00302E29">
        <w:rPr>
          <w:rFonts w:asciiTheme="majorHAnsi" w:hAnsiTheme="majorHAnsi"/>
          <w:color w:val="000000"/>
          <w:sz w:val="20"/>
          <w:szCs w:val="20"/>
        </w:rPr>
        <w:t xml:space="preserve">in </w:t>
      </w:r>
      <w:r>
        <w:rPr>
          <w:rFonts w:asciiTheme="majorHAnsi" w:hAnsiTheme="majorHAnsi"/>
          <w:color w:val="000000"/>
          <w:sz w:val="20"/>
          <w:szCs w:val="20"/>
        </w:rPr>
        <w:t xml:space="preserve">response to the complaint filed by the father of the petitioners, the alleged responsibility of 31 doctors belonging to the </w:t>
      </w:r>
      <w:r w:rsidR="00CC37CA">
        <w:rPr>
          <w:rFonts w:asciiTheme="majorHAnsi" w:hAnsiTheme="majorHAnsi"/>
          <w:color w:val="000000"/>
          <w:sz w:val="20"/>
          <w:szCs w:val="20"/>
        </w:rPr>
        <w:t>Forensic Medical Corps</w:t>
      </w:r>
      <w:r>
        <w:rPr>
          <w:rFonts w:asciiTheme="majorHAnsi" w:hAnsiTheme="majorHAnsi"/>
          <w:color w:val="000000"/>
          <w:sz w:val="20"/>
          <w:szCs w:val="20"/>
        </w:rPr>
        <w:t xml:space="preserve"> alleged to have falsified the plenary expert opinion drawn up in the proceeding for falsification of a public instrument (Case No. 21.3</w:t>
      </w:r>
      <w:r w:rsidR="00106A81">
        <w:rPr>
          <w:rFonts w:asciiTheme="majorHAnsi" w:hAnsiTheme="majorHAnsi"/>
          <w:color w:val="000000"/>
          <w:sz w:val="20"/>
          <w:szCs w:val="20"/>
        </w:rPr>
        <w:t>75/96),</w:t>
      </w:r>
      <w:r>
        <w:rPr>
          <w:rFonts w:asciiTheme="majorHAnsi" w:hAnsiTheme="majorHAnsi"/>
          <w:color w:val="000000"/>
          <w:sz w:val="20"/>
          <w:szCs w:val="20"/>
        </w:rPr>
        <w:t xml:space="preserve"> </w:t>
      </w:r>
      <w:r w:rsidR="00106A81">
        <w:rPr>
          <w:rFonts w:asciiTheme="majorHAnsi" w:hAnsiTheme="majorHAnsi"/>
          <w:color w:val="000000"/>
          <w:sz w:val="20"/>
          <w:szCs w:val="20"/>
        </w:rPr>
        <w:t xml:space="preserve">was </w:t>
      </w:r>
      <w:r w:rsidR="00F153EA">
        <w:rPr>
          <w:rFonts w:asciiTheme="majorHAnsi" w:hAnsiTheme="majorHAnsi"/>
          <w:color w:val="000000"/>
          <w:sz w:val="20"/>
          <w:szCs w:val="20"/>
        </w:rPr>
        <w:t xml:space="preserve">duly </w:t>
      </w:r>
      <w:r w:rsidR="00106A81">
        <w:rPr>
          <w:rFonts w:asciiTheme="majorHAnsi" w:hAnsiTheme="majorHAnsi"/>
          <w:color w:val="000000"/>
          <w:sz w:val="20"/>
          <w:szCs w:val="20"/>
        </w:rPr>
        <w:t>investigated.</w:t>
      </w:r>
      <w:r w:rsidR="00302E29">
        <w:rPr>
          <w:rStyle w:val="FootnoteReference"/>
          <w:rFonts w:asciiTheme="majorHAnsi" w:hAnsiTheme="majorHAnsi"/>
          <w:color w:val="000000"/>
          <w:sz w:val="20"/>
          <w:szCs w:val="20"/>
        </w:rPr>
        <w:footnoteReference w:id="8"/>
      </w:r>
      <w:r w:rsidR="00106A81">
        <w:rPr>
          <w:rFonts w:asciiTheme="majorHAnsi" w:hAnsiTheme="majorHAnsi"/>
          <w:color w:val="000000"/>
          <w:sz w:val="20"/>
          <w:szCs w:val="20"/>
        </w:rPr>
        <w:t xml:space="preserve"> </w:t>
      </w:r>
      <w:r>
        <w:rPr>
          <w:rFonts w:asciiTheme="majorHAnsi" w:hAnsiTheme="majorHAnsi"/>
          <w:color w:val="000000"/>
          <w:sz w:val="20"/>
          <w:szCs w:val="20"/>
        </w:rPr>
        <w:t xml:space="preserve">The State explains that on April 12, 1999, the lower court decided to acquit all 31 accused doctors. That decision was appealed by the petitioners and upheld by the </w:t>
      </w:r>
      <w:r w:rsidR="00106A81">
        <w:rPr>
          <w:rFonts w:asciiTheme="majorHAnsi" w:hAnsiTheme="majorHAnsi"/>
          <w:color w:val="000000"/>
          <w:sz w:val="20"/>
          <w:szCs w:val="20"/>
        </w:rPr>
        <w:t xml:space="preserve">Criminal Court of Appeals </w:t>
      </w:r>
      <w:r>
        <w:rPr>
          <w:rFonts w:asciiTheme="majorHAnsi" w:hAnsiTheme="majorHAnsi"/>
          <w:color w:val="000000"/>
          <w:sz w:val="20"/>
          <w:szCs w:val="20"/>
        </w:rPr>
        <w:t xml:space="preserve">on August 6, 1999. The petitioners filed a cassation appeal against that decision, which was refused on October 20, 1999. Subsequently, on March 30, 2000, the National </w:t>
      </w:r>
      <w:r w:rsidR="00106A81">
        <w:rPr>
          <w:rFonts w:asciiTheme="majorHAnsi" w:hAnsiTheme="majorHAnsi"/>
          <w:color w:val="000000"/>
          <w:sz w:val="20"/>
          <w:szCs w:val="20"/>
        </w:rPr>
        <w:t>Court of</w:t>
      </w:r>
      <w:r>
        <w:rPr>
          <w:rFonts w:asciiTheme="majorHAnsi" w:hAnsiTheme="majorHAnsi"/>
          <w:color w:val="000000"/>
          <w:sz w:val="20"/>
          <w:szCs w:val="20"/>
        </w:rPr>
        <w:t xml:space="preserve"> Cassation rejected a motion for reconsideration of dismissal of appeal. The petitioners reportedly filed a </w:t>
      </w:r>
      <w:r w:rsidR="00004DE8">
        <w:rPr>
          <w:rFonts w:asciiTheme="majorHAnsi" w:hAnsiTheme="majorHAnsi"/>
          <w:color w:val="000000"/>
          <w:sz w:val="20"/>
          <w:szCs w:val="20"/>
        </w:rPr>
        <w:t>extraordinary federal</w:t>
      </w:r>
      <w:r>
        <w:rPr>
          <w:rFonts w:asciiTheme="majorHAnsi" w:hAnsiTheme="majorHAnsi"/>
          <w:color w:val="000000"/>
          <w:sz w:val="20"/>
          <w:szCs w:val="20"/>
        </w:rPr>
        <w:t xml:space="preserve"> appeal against that decision, which was ruled inadmissible on October 17, 2000, a fact of which the petitioners were notified on October 19 that year.</w:t>
      </w:r>
    </w:p>
    <w:p w:rsidR="007D4D73" w:rsidRPr="00FD4F59"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rPr>
      </w:pPr>
    </w:p>
    <w:p w:rsidR="00EC0AD4" w:rsidRDefault="00EC0AD4"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rPr>
      </w:pPr>
      <w:r>
        <w:rPr>
          <w:rFonts w:asciiTheme="majorHAnsi" w:hAnsiTheme="majorHAnsi"/>
          <w:color w:val="000000"/>
          <w:sz w:val="20"/>
          <w:szCs w:val="20"/>
        </w:rPr>
        <w:t xml:space="preserve">As a subsidiary matter, the State argues that a careful analysis of the domestic proceedings reveals </w:t>
      </w:r>
      <w:r w:rsidR="004F0C5E">
        <w:rPr>
          <w:rFonts w:asciiTheme="majorHAnsi" w:hAnsiTheme="majorHAnsi"/>
          <w:color w:val="000000"/>
          <w:sz w:val="20"/>
          <w:szCs w:val="20"/>
        </w:rPr>
        <w:t xml:space="preserve">clearly </w:t>
      </w:r>
      <w:r>
        <w:rPr>
          <w:rFonts w:asciiTheme="majorHAnsi" w:hAnsiTheme="majorHAnsi"/>
          <w:color w:val="000000"/>
          <w:sz w:val="20"/>
          <w:szCs w:val="20"/>
        </w:rPr>
        <w:t xml:space="preserve">that the actions pursued against the accused doctors were conducted in accordance with the guarantees of legal due process, in keeping with the standards required by international human rights law and </w:t>
      </w:r>
      <w:r w:rsidR="00C64C3F">
        <w:rPr>
          <w:rFonts w:asciiTheme="majorHAnsi" w:hAnsiTheme="majorHAnsi"/>
          <w:color w:val="000000"/>
          <w:sz w:val="20"/>
          <w:szCs w:val="20"/>
        </w:rPr>
        <w:t>article</w:t>
      </w:r>
      <w:r>
        <w:rPr>
          <w:rFonts w:asciiTheme="majorHAnsi" w:hAnsiTheme="majorHAnsi"/>
          <w:color w:val="000000"/>
          <w:sz w:val="20"/>
          <w:szCs w:val="20"/>
        </w:rPr>
        <w:t xml:space="preserve"> 8.1 of the American Convention. In that regard, it said that there is nothing in the records to support the claim of a lack of independence and impartiality on the part of the judges or tribunals that acquitted the accused doctors. The State says that the petitioners, as plaintiffs, never recused the presiding judges, invariably enjoyed in full the possibility of making such submissions as they deemed pertinent by proposing measures intended to establish the alleged responsibility of the accused doctors, and presented all such challenges as they deemed appropriate by means of the procedural remedies provided by domestic law.</w:t>
      </w:r>
    </w:p>
    <w:p w:rsidR="007D4D73" w:rsidRPr="00FD4F59"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rPr>
      </w:pPr>
    </w:p>
    <w:p w:rsidR="00EC0AD4" w:rsidRDefault="00EC0AD4"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rPr>
      </w:pPr>
      <w:r>
        <w:rPr>
          <w:rFonts w:asciiTheme="majorHAnsi" w:hAnsiTheme="majorHAnsi"/>
          <w:color w:val="000000"/>
          <w:sz w:val="20"/>
          <w:szCs w:val="20"/>
        </w:rPr>
        <w:t xml:space="preserve">The State also argues that the petitioners did not provide evidence that demonstrated the existence of external pressures on the judges and tribunals involved such as to cast serious doubts on their independence; nor did they offer compelling evidence to show any bias, either subjective or objective, on their part. The State argues that the petitioners refer in general terms to </w:t>
      </w:r>
      <w:r w:rsidR="005D3FDF">
        <w:rPr>
          <w:rFonts w:asciiTheme="majorHAnsi" w:hAnsiTheme="majorHAnsi"/>
          <w:color w:val="000000"/>
          <w:sz w:val="20"/>
          <w:szCs w:val="20"/>
        </w:rPr>
        <w:t>“</w:t>
      </w:r>
      <w:r>
        <w:rPr>
          <w:rFonts w:asciiTheme="majorHAnsi" w:hAnsiTheme="majorHAnsi"/>
          <w:color w:val="000000"/>
          <w:sz w:val="20"/>
          <w:szCs w:val="20"/>
        </w:rPr>
        <w:t>a lack of independence</w:t>
      </w:r>
      <w:r w:rsidR="005D3FDF">
        <w:rPr>
          <w:rFonts w:asciiTheme="majorHAnsi" w:hAnsiTheme="majorHAnsi"/>
          <w:color w:val="000000"/>
          <w:sz w:val="20"/>
          <w:szCs w:val="20"/>
        </w:rPr>
        <w:t>”</w:t>
      </w:r>
      <w:r>
        <w:rPr>
          <w:rFonts w:asciiTheme="majorHAnsi" w:hAnsiTheme="majorHAnsi"/>
          <w:color w:val="000000"/>
          <w:sz w:val="20"/>
          <w:szCs w:val="20"/>
        </w:rPr>
        <w:t>, but do not specify or concretely demonstrate the existence of any actual external pressures that impaired the independence of the judges and tribunals involved in the domestic jurisdiction. Therefore, according to the State, it is fair to conclude that the judgments in the domestic proceedings were issued by domestic tribunals that acted within their authority and in observance of fair-trial guarantees.</w:t>
      </w:r>
    </w:p>
    <w:p w:rsidR="007D4D73" w:rsidRPr="00FD4F59"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rPr>
      </w:pPr>
    </w:p>
    <w:p w:rsidR="003A66ED" w:rsidRDefault="00EC0AD4"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rPr>
      </w:pPr>
      <w:r>
        <w:rPr>
          <w:rFonts w:asciiTheme="majorHAnsi" w:hAnsiTheme="majorHAnsi"/>
          <w:color w:val="000000"/>
          <w:sz w:val="20"/>
          <w:szCs w:val="20"/>
        </w:rPr>
        <w:t xml:space="preserve">The State adds that the allegations of the petitioners regarding violation of their right to a hearing, the lack of basic procedural guarantees and of independent and impartial tribunals, and the absence of reasoned decisions, are general in nature and they lack evidence to support their submissions. According to the State, the petitioners merely mention that the rulings issued by the various judicial organs were </w:t>
      </w:r>
      <w:r w:rsidR="00E47B04">
        <w:rPr>
          <w:rFonts w:asciiTheme="majorHAnsi" w:hAnsiTheme="majorHAnsi"/>
          <w:color w:val="000000"/>
          <w:sz w:val="20"/>
          <w:szCs w:val="20"/>
        </w:rPr>
        <w:t>“</w:t>
      </w:r>
      <w:r>
        <w:rPr>
          <w:rFonts w:asciiTheme="majorHAnsi" w:hAnsiTheme="majorHAnsi"/>
          <w:color w:val="000000"/>
          <w:sz w:val="20"/>
          <w:szCs w:val="20"/>
        </w:rPr>
        <w:t xml:space="preserve">incorrect in their </w:t>
      </w:r>
      <w:r w:rsidR="002B092B">
        <w:rPr>
          <w:rFonts w:asciiTheme="majorHAnsi" w:hAnsiTheme="majorHAnsi"/>
          <w:color w:val="000000"/>
          <w:sz w:val="20"/>
          <w:szCs w:val="20"/>
        </w:rPr>
        <w:t>reasoning</w:t>
      </w:r>
      <w:r w:rsidR="00E47B04">
        <w:rPr>
          <w:rFonts w:asciiTheme="majorHAnsi" w:hAnsiTheme="majorHAnsi"/>
          <w:color w:val="000000"/>
          <w:sz w:val="20"/>
          <w:szCs w:val="20"/>
        </w:rPr>
        <w:t>”</w:t>
      </w:r>
      <w:r>
        <w:rPr>
          <w:rFonts w:asciiTheme="majorHAnsi" w:hAnsiTheme="majorHAnsi"/>
          <w:color w:val="000000"/>
          <w:sz w:val="20"/>
          <w:szCs w:val="20"/>
        </w:rPr>
        <w:t xml:space="preserve"> and that they failed to take into account essential facts and proof to </w:t>
      </w:r>
      <w:r>
        <w:rPr>
          <w:rFonts w:asciiTheme="majorHAnsi" w:hAnsiTheme="majorHAnsi"/>
          <w:color w:val="000000"/>
          <w:sz w:val="20"/>
          <w:szCs w:val="20"/>
        </w:rPr>
        <w:lastRenderedPageBreak/>
        <w:t>demonstrate the criminal responsibility of the accused. In light of the foregoing, the State considers that if the IACHR were to admit this petition, it would be acting as a fourth instance.</w:t>
      </w:r>
    </w:p>
    <w:p w:rsidR="007D4D73" w:rsidRDefault="007D4D73" w:rsidP="00C65AD0">
      <w:pPr>
        <w:pStyle w:val="ListParagraph"/>
        <w:jc w:val="both"/>
        <w:rPr>
          <w:rFonts w:asciiTheme="majorHAnsi" w:hAnsiTheme="majorHAnsi"/>
          <w:sz w:val="20"/>
          <w:szCs w:val="20"/>
        </w:rPr>
      </w:pPr>
    </w:p>
    <w:p w:rsidR="00FE705C" w:rsidRDefault="002656BC"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rPr>
      </w:pPr>
      <w:r>
        <w:rPr>
          <w:rFonts w:asciiTheme="majorHAnsi" w:hAnsiTheme="majorHAnsi"/>
          <w:color w:val="000000"/>
          <w:sz w:val="20"/>
          <w:szCs w:val="20"/>
        </w:rPr>
        <w:t xml:space="preserve">By way of </w:t>
      </w:r>
      <w:r w:rsidR="00E47B04">
        <w:rPr>
          <w:rFonts w:asciiTheme="majorHAnsi" w:hAnsiTheme="majorHAnsi"/>
          <w:color w:val="000000"/>
          <w:sz w:val="20"/>
          <w:szCs w:val="20"/>
        </w:rPr>
        <w:t>“</w:t>
      </w:r>
      <w:r>
        <w:rPr>
          <w:rFonts w:asciiTheme="majorHAnsi" w:hAnsiTheme="majorHAnsi"/>
          <w:color w:val="000000"/>
          <w:sz w:val="20"/>
          <w:szCs w:val="20"/>
        </w:rPr>
        <w:t>final considerations,</w:t>
      </w:r>
      <w:r w:rsidR="00E47B04">
        <w:rPr>
          <w:rFonts w:asciiTheme="majorHAnsi" w:hAnsiTheme="majorHAnsi"/>
          <w:color w:val="000000"/>
          <w:sz w:val="20"/>
          <w:szCs w:val="20"/>
        </w:rPr>
        <w:t>”</w:t>
      </w:r>
      <w:r>
        <w:rPr>
          <w:rFonts w:asciiTheme="majorHAnsi" w:hAnsiTheme="majorHAnsi"/>
          <w:color w:val="000000"/>
          <w:sz w:val="20"/>
          <w:szCs w:val="20"/>
        </w:rPr>
        <w:t xml:space="preserve"> the State says that the series of expert opinions, which the petitioners argue were falsified in order to aid and abet medical personnel, were invalidated in the domestic jurisdiction. The last of those expert opinions—the one prepared by the Forensic Medical Corps—was disqualified by the Criminal </w:t>
      </w:r>
      <w:r w:rsidR="00F153EA">
        <w:rPr>
          <w:rFonts w:asciiTheme="majorHAnsi" w:hAnsiTheme="majorHAnsi"/>
          <w:color w:val="000000"/>
          <w:sz w:val="20"/>
          <w:szCs w:val="20"/>
        </w:rPr>
        <w:t>Court of Appeals</w:t>
      </w:r>
      <w:r>
        <w:rPr>
          <w:rFonts w:asciiTheme="majorHAnsi" w:hAnsiTheme="majorHAnsi"/>
          <w:color w:val="000000"/>
          <w:sz w:val="20"/>
          <w:szCs w:val="20"/>
        </w:rPr>
        <w:t xml:space="preserve">, after which a </w:t>
      </w:r>
      <w:r w:rsidR="00F153EA">
        <w:rPr>
          <w:rFonts w:asciiTheme="majorHAnsi" w:hAnsiTheme="majorHAnsi"/>
          <w:color w:val="000000"/>
          <w:sz w:val="20"/>
          <w:szCs w:val="20"/>
        </w:rPr>
        <w:t xml:space="preserve">new expert opinion was ordered. This new expert opinion had not been challenged by the </w:t>
      </w:r>
      <w:r>
        <w:rPr>
          <w:rFonts w:asciiTheme="majorHAnsi" w:hAnsiTheme="majorHAnsi"/>
          <w:color w:val="000000"/>
          <w:sz w:val="20"/>
          <w:szCs w:val="20"/>
        </w:rPr>
        <w:t>petitioners, at least not in the record of the proceedings. Finally, it added that the mere fact that the medical personnel who were the subject of the petitioners</w:t>
      </w:r>
      <w:r w:rsidR="00E47B04">
        <w:rPr>
          <w:rFonts w:asciiTheme="majorHAnsi" w:hAnsiTheme="majorHAnsi"/>
          <w:color w:val="000000"/>
          <w:sz w:val="20"/>
          <w:szCs w:val="20"/>
        </w:rPr>
        <w:t>’</w:t>
      </w:r>
      <w:r>
        <w:rPr>
          <w:rFonts w:asciiTheme="majorHAnsi" w:hAnsiTheme="majorHAnsi"/>
          <w:color w:val="000000"/>
          <w:sz w:val="20"/>
          <w:szCs w:val="20"/>
        </w:rPr>
        <w:t xml:space="preserve"> complaint were not convicted of the offenses with which they were charged, did not of itself mean that there were violations of fair-trial guarantees, insofar and inasmuch as the judges involved </w:t>
      </w:r>
      <w:r w:rsidR="00E47B04">
        <w:rPr>
          <w:rFonts w:asciiTheme="majorHAnsi" w:hAnsiTheme="majorHAnsi"/>
          <w:color w:val="000000"/>
          <w:sz w:val="20"/>
          <w:szCs w:val="20"/>
        </w:rPr>
        <w:t>“</w:t>
      </w:r>
      <w:r>
        <w:rPr>
          <w:rFonts w:asciiTheme="majorHAnsi" w:hAnsiTheme="majorHAnsi"/>
          <w:color w:val="000000"/>
          <w:sz w:val="20"/>
          <w:szCs w:val="20"/>
        </w:rPr>
        <w:t>have concluded that there was insufficient evidence to submit the aforementioned forensic experts for trial.</w:t>
      </w:r>
      <w:r w:rsidR="00E47B04">
        <w:rPr>
          <w:rFonts w:asciiTheme="majorHAnsi" w:hAnsiTheme="majorHAnsi"/>
          <w:color w:val="000000"/>
          <w:sz w:val="20"/>
          <w:szCs w:val="20"/>
        </w:rPr>
        <w:t>”</w:t>
      </w:r>
      <w:r>
        <w:rPr>
          <w:rFonts w:asciiTheme="majorHAnsi" w:hAnsiTheme="majorHAnsi"/>
          <w:color w:val="000000"/>
          <w:sz w:val="20"/>
          <w:szCs w:val="20"/>
        </w:rPr>
        <w:t xml:space="preserve"> </w:t>
      </w:r>
    </w:p>
    <w:p w:rsidR="007D4D73" w:rsidRPr="00FD4F59"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rPr>
      </w:pPr>
    </w:p>
    <w:p w:rsidR="008F6D64" w:rsidRPr="007D4D73" w:rsidRDefault="008F6D64" w:rsidP="00C65AD0">
      <w:pPr>
        <w:pStyle w:val="Heading1"/>
        <w:jc w:val="both"/>
      </w:pPr>
      <w:r>
        <w:rPr>
          <w:lang w:val="en-US"/>
        </w:rPr>
        <w:t>ANALYSIS</w:t>
      </w:r>
    </w:p>
    <w:p w:rsidR="007D4D73" w:rsidRPr="007D4D73" w:rsidRDefault="007D4D73" w:rsidP="00C65AD0">
      <w:pPr>
        <w:jc w:val="both"/>
      </w:pPr>
    </w:p>
    <w:p w:rsidR="00E21857" w:rsidRDefault="008F6D64" w:rsidP="00C65AD0">
      <w:pPr>
        <w:pStyle w:val="Heading2"/>
        <w:tabs>
          <w:tab w:val="left" w:pos="0"/>
        </w:tabs>
        <w:ind w:left="0" w:firstLine="720"/>
        <w:jc w:val="both"/>
        <w:rPr>
          <w:rFonts w:asciiTheme="majorHAnsi" w:hAnsiTheme="majorHAnsi"/>
          <w:b/>
        </w:rPr>
      </w:pPr>
      <w:r>
        <w:rPr>
          <w:rFonts w:asciiTheme="majorHAnsi" w:hAnsiTheme="majorHAnsi"/>
          <w:b/>
          <w:bCs/>
          <w:lang w:val="en-US"/>
        </w:rPr>
        <w:t>Competence</w:t>
      </w:r>
      <w:r>
        <w:rPr>
          <w:rFonts w:asciiTheme="majorHAnsi" w:hAnsiTheme="majorHAnsi"/>
          <w:lang w:val="en-US"/>
        </w:rPr>
        <w:t xml:space="preserve"> </w:t>
      </w:r>
    </w:p>
    <w:p w:rsidR="007D4D73" w:rsidRPr="007D4D73" w:rsidRDefault="007D4D73" w:rsidP="00C65AD0">
      <w:pPr>
        <w:jc w:val="both"/>
      </w:pPr>
    </w:p>
    <w:p w:rsidR="00E21857" w:rsidRDefault="00E21857"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rPr>
      </w:pPr>
      <w:r>
        <w:rPr>
          <w:rFonts w:asciiTheme="majorHAnsi" w:hAnsiTheme="majorHAnsi"/>
          <w:color w:val="000000"/>
          <w:sz w:val="20"/>
          <w:szCs w:val="20"/>
        </w:rPr>
        <w:t xml:space="preserve">The petitioners have standing to lodge petitions with the Commission under </w:t>
      </w:r>
      <w:r w:rsidR="00C64C3F">
        <w:rPr>
          <w:rFonts w:asciiTheme="majorHAnsi" w:hAnsiTheme="majorHAnsi"/>
          <w:color w:val="000000"/>
          <w:sz w:val="20"/>
          <w:szCs w:val="20"/>
        </w:rPr>
        <w:t>article</w:t>
      </w:r>
      <w:r>
        <w:rPr>
          <w:rFonts w:asciiTheme="majorHAnsi" w:hAnsiTheme="majorHAnsi"/>
          <w:color w:val="000000"/>
          <w:sz w:val="20"/>
          <w:szCs w:val="20"/>
        </w:rPr>
        <w:t xml:space="preserve"> 44 of the American Convention and </w:t>
      </w:r>
      <w:r w:rsidR="00C64C3F">
        <w:rPr>
          <w:rFonts w:asciiTheme="majorHAnsi" w:hAnsiTheme="majorHAnsi"/>
          <w:color w:val="000000"/>
          <w:sz w:val="20"/>
          <w:szCs w:val="20"/>
        </w:rPr>
        <w:t>article</w:t>
      </w:r>
      <w:r>
        <w:rPr>
          <w:rFonts w:asciiTheme="majorHAnsi" w:hAnsiTheme="majorHAnsi"/>
          <w:color w:val="000000"/>
          <w:sz w:val="20"/>
          <w:szCs w:val="20"/>
        </w:rPr>
        <w:t xml:space="preserve"> 23 of the Commission</w:t>
      </w:r>
      <w:r w:rsidR="00E47B04">
        <w:rPr>
          <w:rFonts w:asciiTheme="majorHAnsi" w:hAnsiTheme="majorHAnsi"/>
          <w:color w:val="000000"/>
          <w:sz w:val="20"/>
          <w:szCs w:val="20"/>
        </w:rPr>
        <w:t>’</w:t>
      </w:r>
      <w:r>
        <w:rPr>
          <w:rFonts w:asciiTheme="majorHAnsi" w:hAnsiTheme="majorHAnsi"/>
          <w:color w:val="000000"/>
          <w:sz w:val="20"/>
          <w:szCs w:val="20"/>
        </w:rPr>
        <w:t xml:space="preserve">s Rules of Procedure. The petition names as alleged victim an individual in respect of whom the State undertook to observe and ensure the rights recognized in the American Convention on September 5, 1984, the date on which Argentina deposited its instrument of ratification. Therefore, the Commission is competent </w:t>
      </w:r>
      <w:r>
        <w:rPr>
          <w:rFonts w:asciiTheme="majorHAnsi" w:hAnsiTheme="majorHAnsi"/>
          <w:i/>
          <w:iCs/>
          <w:color w:val="000000"/>
          <w:sz w:val="20"/>
          <w:szCs w:val="20"/>
        </w:rPr>
        <w:t>ratione personae</w:t>
      </w:r>
      <w:r>
        <w:rPr>
          <w:rFonts w:asciiTheme="majorHAnsi" w:hAnsiTheme="majorHAnsi"/>
          <w:color w:val="000000"/>
          <w:sz w:val="20"/>
          <w:szCs w:val="20"/>
        </w:rPr>
        <w:t xml:space="preserve"> to examine the petition.</w:t>
      </w:r>
    </w:p>
    <w:p w:rsidR="007D4D73" w:rsidRPr="00FD4F59"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rPr>
      </w:pPr>
    </w:p>
    <w:p w:rsidR="00E21857" w:rsidRDefault="00E21857"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rPr>
      </w:pPr>
      <w:r>
        <w:rPr>
          <w:rFonts w:asciiTheme="majorHAnsi" w:hAnsiTheme="majorHAnsi"/>
          <w:color w:val="000000"/>
          <w:sz w:val="20"/>
          <w:szCs w:val="20"/>
        </w:rPr>
        <w:t xml:space="preserve">The Commission has competence </w:t>
      </w:r>
      <w:r>
        <w:rPr>
          <w:rFonts w:asciiTheme="majorHAnsi" w:hAnsiTheme="majorHAnsi"/>
          <w:i/>
          <w:iCs/>
          <w:color w:val="000000"/>
          <w:sz w:val="20"/>
          <w:szCs w:val="20"/>
        </w:rPr>
        <w:t>ratione loci</w:t>
      </w:r>
      <w:r>
        <w:rPr>
          <w:rFonts w:asciiTheme="majorHAnsi" w:hAnsiTheme="majorHAnsi"/>
          <w:color w:val="000000"/>
          <w:sz w:val="20"/>
          <w:szCs w:val="20"/>
        </w:rPr>
        <w:t xml:space="preserve"> to examine petitions concerning facts alleged to have occurred within the jurisdiction of a state party to the American Convention. The Commission is also competent </w:t>
      </w:r>
      <w:r>
        <w:rPr>
          <w:rFonts w:asciiTheme="majorHAnsi" w:hAnsiTheme="majorHAnsi"/>
          <w:i/>
          <w:iCs/>
          <w:color w:val="000000"/>
          <w:sz w:val="20"/>
          <w:szCs w:val="20"/>
        </w:rPr>
        <w:t>ratione temporis</w:t>
      </w:r>
      <w:r>
        <w:rPr>
          <w:rFonts w:asciiTheme="majorHAnsi" w:hAnsiTheme="majorHAnsi"/>
          <w:color w:val="000000"/>
          <w:sz w:val="20"/>
          <w:szCs w:val="20"/>
        </w:rPr>
        <w:t xml:space="preserve"> to examine this petition under the American Convention because the alleged facts occurred after the ratification of the American Convention. Finally, the Commission has competence </w:t>
      </w:r>
      <w:r>
        <w:rPr>
          <w:rFonts w:asciiTheme="majorHAnsi" w:hAnsiTheme="majorHAnsi"/>
          <w:i/>
          <w:iCs/>
          <w:color w:val="000000"/>
          <w:sz w:val="20"/>
          <w:szCs w:val="20"/>
        </w:rPr>
        <w:t>ratione materiae</w:t>
      </w:r>
      <w:r>
        <w:rPr>
          <w:rFonts w:asciiTheme="majorHAnsi" w:hAnsiTheme="majorHAnsi"/>
          <w:color w:val="000000"/>
          <w:sz w:val="20"/>
          <w:szCs w:val="20"/>
        </w:rPr>
        <w:t xml:space="preserve"> because the facts alleged suggest possible violations of rights protected by the American Convention.</w:t>
      </w:r>
    </w:p>
    <w:p w:rsidR="007D4D73" w:rsidRPr="00FD4F59"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rPr>
      </w:pPr>
    </w:p>
    <w:p w:rsidR="00E21857" w:rsidRDefault="0023306D" w:rsidP="00C65AD0">
      <w:pPr>
        <w:pStyle w:val="Heading2"/>
        <w:numPr>
          <w:ilvl w:val="0"/>
          <w:numId w:val="0"/>
        </w:numPr>
        <w:tabs>
          <w:tab w:val="left" w:pos="0"/>
        </w:tabs>
        <w:ind w:firstLine="720"/>
        <w:jc w:val="both"/>
        <w:rPr>
          <w:rFonts w:asciiTheme="majorHAnsi" w:hAnsiTheme="majorHAnsi"/>
          <w:b/>
        </w:rPr>
      </w:pPr>
      <w:r>
        <w:rPr>
          <w:rFonts w:asciiTheme="majorHAnsi" w:hAnsiTheme="majorHAnsi"/>
          <w:b/>
          <w:bCs/>
          <w:lang w:val="en-US"/>
        </w:rPr>
        <w:t>B.</w:t>
      </w:r>
      <w:r>
        <w:rPr>
          <w:rFonts w:asciiTheme="majorHAnsi" w:hAnsiTheme="majorHAnsi"/>
          <w:b/>
          <w:bCs/>
          <w:lang w:val="en-US"/>
        </w:rPr>
        <w:tab/>
        <w:t>Admissibility requirements</w:t>
      </w:r>
    </w:p>
    <w:p w:rsidR="007D4D73" w:rsidRPr="007D4D73" w:rsidRDefault="007D4D73" w:rsidP="00C65AD0">
      <w:pPr>
        <w:jc w:val="both"/>
      </w:pPr>
    </w:p>
    <w:p w:rsidR="0023306D" w:rsidRDefault="0023306D" w:rsidP="00C65AD0">
      <w:pPr>
        <w:pStyle w:val="Heading3"/>
        <w:tabs>
          <w:tab w:val="clear" w:pos="720"/>
          <w:tab w:val="left" w:pos="0"/>
        </w:tabs>
        <w:ind w:left="0" w:firstLine="720"/>
        <w:jc w:val="both"/>
        <w:rPr>
          <w:rFonts w:asciiTheme="majorHAnsi" w:hAnsiTheme="majorHAnsi"/>
          <w:b/>
        </w:rPr>
      </w:pPr>
      <w:r>
        <w:rPr>
          <w:rFonts w:asciiTheme="majorHAnsi" w:hAnsiTheme="majorHAnsi"/>
          <w:b/>
          <w:bCs/>
          <w:lang w:val="en-US"/>
        </w:rPr>
        <w:t>Exhaustion of domestic remedies</w:t>
      </w:r>
    </w:p>
    <w:p w:rsidR="007D4D73" w:rsidRPr="007D4D73" w:rsidRDefault="007D4D73" w:rsidP="00C65AD0">
      <w:pPr>
        <w:jc w:val="both"/>
      </w:pPr>
    </w:p>
    <w:p w:rsidR="00E21857" w:rsidRDefault="00FF5FCF"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80"/>
          <w:tab w:val="num" w:pos="1440"/>
        </w:tabs>
        <w:ind w:left="0" w:firstLine="720"/>
        <w:jc w:val="both"/>
        <w:rPr>
          <w:rFonts w:asciiTheme="majorHAnsi" w:hAnsiTheme="majorHAnsi"/>
          <w:color w:val="000000"/>
          <w:sz w:val="20"/>
          <w:szCs w:val="20"/>
        </w:rPr>
      </w:pPr>
      <w:r>
        <w:rPr>
          <w:rFonts w:asciiTheme="majorHAnsi" w:hAnsiTheme="majorHAnsi"/>
          <w:color w:val="000000"/>
          <w:sz w:val="20"/>
          <w:szCs w:val="20"/>
        </w:rPr>
        <w:t>Article 46</w:t>
      </w:r>
      <w:r w:rsidR="003D0613">
        <w:rPr>
          <w:rFonts w:asciiTheme="majorHAnsi" w:hAnsiTheme="majorHAnsi"/>
          <w:color w:val="000000"/>
          <w:sz w:val="20"/>
          <w:szCs w:val="20"/>
        </w:rPr>
        <w:t>.</w:t>
      </w:r>
      <w:r>
        <w:rPr>
          <w:rFonts w:asciiTheme="majorHAnsi" w:hAnsiTheme="majorHAnsi"/>
          <w:color w:val="000000"/>
          <w:sz w:val="20"/>
          <w:szCs w:val="20"/>
        </w:rPr>
        <w:t>1</w:t>
      </w:r>
      <w:r w:rsidR="003D0613">
        <w:rPr>
          <w:rFonts w:asciiTheme="majorHAnsi" w:hAnsiTheme="majorHAnsi"/>
          <w:color w:val="000000"/>
          <w:sz w:val="20"/>
          <w:szCs w:val="20"/>
        </w:rPr>
        <w:t>.</w:t>
      </w:r>
      <w:r>
        <w:rPr>
          <w:rFonts w:asciiTheme="majorHAnsi" w:hAnsiTheme="majorHAnsi"/>
          <w:color w:val="000000"/>
          <w:sz w:val="20"/>
          <w:szCs w:val="20"/>
        </w:rPr>
        <w:t>a of the American Convention provides that in order for a petition to be admitted by the Commission, it will be required that the remedies under domestic law have been pursued and exhausted in accordance with generally recognized principles of international law.</w:t>
      </w:r>
    </w:p>
    <w:p w:rsidR="007D4D73" w:rsidRPr="00FD4F59"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rPr>
          <w:rFonts w:asciiTheme="majorHAnsi" w:hAnsiTheme="majorHAnsi"/>
          <w:color w:val="000000"/>
          <w:sz w:val="20"/>
          <w:szCs w:val="20"/>
        </w:rPr>
      </w:pPr>
    </w:p>
    <w:p w:rsidR="00FF5FCF" w:rsidRPr="007D4D73" w:rsidRDefault="006E0CCF"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ind w:left="0" w:firstLine="720"/>
        <w:jc w:val="both"/>
        <w:rPr>
          <w:rFonts w:asciiTheme="majorHAnsi" w:hAnsiTheme="majorHAnsi" w:cs="Calibri"/>
          <w:snapToGrid w:val="0"/>
          <w:sz w:val="20"/>
          <w:szCs w:val="20"/>
        </w:rPr>
      </w:pPr>
      <w:r>
        <w:rPr>
          <w:rFonts w:asciiTheme="majorHAnsi" w:hAnsiTheme="majorHAnsi"/>
          <w:sz w:val="20"/>
          <w:szCs w:val="20"/>
        </w:rPr>
        <w:t xml:space="preserve">To begin with, therefore, the Commission must clarify which domestic remedies need to be exhausted in the instant case for the petition to be admitted. The Commission notes that the subject matter of this petition concerns </w:t>
      </w:r>
      <w:r w:rsidR="00C00946">
        <w:rPr>
          <w:rFonts w:asciiTheme="majorHAnsi" w:hAnsiTheme="majorHAnsi"/>
          <w:sz w:val="20"/>
          <w:szCs w:val="20"/>
        </w:rPr>
        <w:t xml:space="preserve">the </w:t>
      </w:r>
      <w:r>
        <w:rPr>
          <w:rFonts w:asciiTheme="majorHAnsi" w:hAnsiTheme="majorHAnsi"/>
          <w:sz w:val="20"/>
          <w:szCs w:val="20"/>
        </w:rPr>
        <w:t xml:space="preserve">suspected negligence by medical staff at </w:t>
      </w:r>
      <w:r w:rsidR="00C00946">
        <w:rPr>
          <w:rFonts w:asciiTheme="majorHAnsi" w:hAnsiTheme="majorHAnsi"/>
          <w:sz w:val="20"/>
          <w:szCs w:val="20"/>
        </w:rPr>
        <w:t xml:space="preserve">the </w:t>
      </w:r>
      <w:r w:rsidR="00563A61">
        <w:rPr>
          <w:rFonts w:asciiTheme="majorHAnsi" w:hAnsiTheme="majorHAnsi"/>
          <w:sz w:val="20"/>
          <w:szCs w:val="20"/>
        </w:rPr>
        <w:t>“</w:t>
      </w:r>
      <w:r>
        <w:rPr>
          <w:rFonts w:asciiTheme="majorHAnsi" w:hAnsiTheme="majorHAnsi"/>
          <w:color w:val="000000"/>
          <w:sz w:val="20"/>
          <w:szCs w:val="20"/>
        </w:rPr>
        <w:t>Ramón Sarda</w:t>
      </w:r>
      <w:r w:rsidR="00563A61">
        <w:rPr>
          <w:rFonts w:asciiTheme="majorHAnsi" w:hAnsiTheme="majorHAnsi"/>
          <w:color w:val="000000"/>
          <w:sz w:val="20"/>
          <w:szCs w:val="20"/>
        </w:rPr>
        <w:t>”</w:t>
      </w:r>
      <w:r>
        <w:rPr>
          <w:rFonts w:asciiTheme="majorHAnsi" w:hAnsiTheme="majorHAnsi"/>
          <w:color w:val="000000"/>
          <w:sz w:val="20"/>
          <w:szCs w:val="20"/>
        </w:rPr>
        <w:t xml:space="preserve"> Public Maternity Hospital in </w:t>
      </w:r>
      <w:r w:rsidR="00C00946">
        <w:rPr>
          <w:rFonts w:asciiTheme="majorHAnsi" w:hAnsiTheme="majorHAnsi"/>
          <w:color w:val="000000"/>
          <w:sz w:val="20"/>
          <w:szCs w:val="20"/>
        </w:rPr>
        <w:t xml:space="preserve">the city of </w:t>
      </w:r>
      <w:r>
        <w:rPr>
          <w:rFonts w:asciiTheme="majorHAnsi" w:hAnsiTheme="majorHAnsi"/>
          <w:color w:val="000000"/>
          <w:sz w:val="20"/>
          <w:szCs w:val="20"/>
        </w:rPr>
        <w:t>Buenos Aires</w:t>
      </w:r>
      <w:r w:rsidR="00C00946">
        <w:rPr>
          <w:rFonts w:asciiTheme="majorHAnsi" w:hAnsiTheme="majorHAnsi"/>
          <w:color w:val="000000"/>
          <w:sz w:val="20"/>
          <w:szCs w:val="20"/>
        </w:rPr>
        <w:t>,</w:t>
      </w:r>
      <w:r>
        <w:rPr>
          <w:rFonts w:asciiTheme="majorHAnsi" w:hAnsiTheme="majorHAnsi"/>
          <w:color w:val="000000"/>
          <w:sz w:val="20"/>
          <w:szCs w:val="20"/>
        </w:rPr>
        <w:t xml:space="preserve"> </w:t>
      </w:r>
      <w:r w:rsidR="00C00946">
        <w:rPr>
          <w:rFonts w:asciiTheme="majorHAnsi" w:hAnsiTheme="majorHAnsi"/>
          <w:color w:val="000000"/>
          <w:sz w:val="20"/>
          <w:szCs w:val="20"/>
        </w:rPr>
        <w:t>re</w:t>
      </w:r>
      <w:r>
        <w:rPr>
          <w:rFonts w:asciiTheme="majorHAnsi" w:hAnsiTheme="majorHAnsi"/>
          <w:color w:val="000000"/>
          <w:sz w:val="20"/>
          <w:szCs w:val="20"/>
        </w:rPr>
        <w:t>ported to have caused the death of Cristina Britez Arce, as well as alleged violations of the rights to a fair trial and judicial protection</w:t>
      </w:r>
      <w:r w:rsidR="00C00946">
        <w:rPr>
          <w:rFonts w:asciiTheme="majorHAnsi" w:hAnsiTheme="majorHAnsi"/>
          <w:color w:val="000000"/>
          <w:sz w:val="20"/>
          <w:szCs w:val="20"/>
        </w:rPr>
        <w:t>,</w:t>
      </w:r>
      <w:r>
        <w:rPr>
          <w:rFonts w:asciiTheme="majorHAnsi" w:hAnsiTheme="majorHAnsi"/>
          <w:color w:val="000000"/>
          <w:sz w:val="20"/>
          <w:szCs w:val="20"/>
        </w:rPr>
        <w:t xml:space="preserve"> said to have occurred in the course of the judicial proceedings conducted to elucidate the reasons for her death.</w:t>
      </w:r>
      <w:r w:rsidR="00563A61">
        <w:rPr>
          <w:rFonts w:asciiTheme="majorHAnsi" w:hAnsiTheme="majorHAnsi"/>
          <w:color w:val="000000"/>
          <w:sz w:val="20"/>
          <w:szCs w:val="20"/>
        </w:rPr>
        <w:t xml:space="preserve"> </w:t>
      </w:r>
      <w:r>
        <w:rPr>
          <w:rFonts w:asciiTheme="majorHAnsi" w:hAnsiTheme="majorHAnsi"/>
          <w:sz w:val="20"/>
          <w:szCs w:val="20"/>
        </w:rPr>
        <w:t>In that regard, the precedents established by the Commission indicate that when a publicly actionable offense is alleged to have been committed, the State has the obligation to institute criminal proceedings and pursue them to their conclusion</w:t>
      </w:r>
      <w:r w:rsidR="00CC37CA">
        <w:rPr>
          <w:rFonts w:asciiTheme="majorHAnsi" w:hAnsiTheme="majorHAnsi"/>
          <w:sz w:val="20"/>
          <w:szCs w:val="20"/>
        </w:rPr>
        <w:t>,</w:t>
      </w:r>
      <w:r>
        <w:rPr>
          <w:rStyle w:val="FootnoteReference"/>
          <w:rFonts w:asciiTheme="majorHAnsi" w:hAnsiTheme="majorHAnsi"/>
          <w:sz w:val="20"/>
          <w:szCs w:val="20"/>
        </w:rPr>
        <w:footnoteReference w:id="9"/>
      </w:r>
      <w:r>
        <w:rPr>
          <w:rFonts w:asciiTheme="majorHAnsi" w:hAnsiTheme="majorHAnsi"/>
          <w:sz w:val="20"/>
          <w:szCs w:val="20"/>
        </w:rPr>
        <w:t xml:space="preserve"> and that those proceedings are the suitable means to clarify the facts, </w:t>
      </w:r>
      <w:r w:rsidR="00C00946">
        <w:rPr>
          <w:rFonts w:asciiTheme="majorHAnsi" w:hAnsiTheme="majorHAnsi"/>
          <w:sz w:val="20"/>
          <w:szCs w:val="20"/>
        </w:rPr>
        <w:t xml:space="preserve">to </w:t>
      </w:r>
      <w:r>
        <w:rPr>
          <w:rFonts w:asciiTheme="majorHAnsi" w:hAnsiTheme="majorHAnsi"/>
          <w:sz w:val="20"/>
          <w:szCs w:val="20"/>
        </w:rPr>
        <w:t xml:space="preserve">try those responsible, </w:t>
      </w:r>
      <w:r>
        <w:rPr>
          <w:rFonts w:asciiTheme="majorHAnsi" w:hAnsiTheme="majorHAnsi"/>
          <w:sz w:val="20"/>
          <w:szCs w:val="20"/>
        </w:rPr>
        <w:lastRenderedPageBreak/>
        <w:t xml:space="preserve">and </w:t>
      </w:r>
      <w:r w:rsidR="00C00946">
        <w:rPr>
          <w:rFonts w:asciiTheme="majorHAnsi" w:hAnsiTheme="majorHAnsi"/>
          <w:sz w:val="20"/>
          <w:szCs w:val="20"/>
        </w:rPr>
        <w:t xml:space="preserve">to </w:t>
      </w:r>
      <w:r>
        <w:rPr>
          <w:rFonts w:asciiTheme="majorHAnsi" w:hAnsiTheme="majorHAnsi"/>
          <w:sz w:val="20"/>
          <w:szCs w:val="20"/>
        </w:rPr>
        <w:t>establish appropriate criminal penalties, in addition to enabling other forms of financial reparation.</w:t>
      </w:r>
      <w:r>
        <w:rPr>
          <w:rStyle w:val="FootnoteReference"/>
          <w:rFonts w:asciiTheme="majorHAnsi" w:hAnsiTheme="majorHAnsi"/>
          <w:sz w:val="20"/>
          <w:szCs w:val="20"/>
        </w:rPr>
        <w:footnoteReference w:id="10"/>
      </w:r>
      <w:r w:rsidR="00CC37CA">
        <w:rPr>
          <w:rFonts w:asciiTheme="majorHAnsi" w:hAnsiTheme="majorHAnsi"/>
          <w:sz w:val="20"/>
          <w:szCs w:val="20"/>
        </w:rPr>
        <w:t xml:space="preserve"> </w:t>
      </w:r>
      <w:r>
        <w:rPr>
          <w:rFonts w:asciiTheme="majorHAnsi" w:hAnsiTheme="majorHAnsi"/>
          <w:color w:val="000000"/>
          <w:sz w:val="20"/>
          <w:szCs w:val="20"/>
        </w:rPr>
        <w:t>In view of the fact that the petitioners allege</w:t>
      </w:r>
      <w:r w:rsidR="00C00946">
        <w:rPr>
          <w:rFonts w:asciiTheme="majorHAnsi" w:hAnsiTheme="majorHAnsi"/>
          <w:color w:val="000000"/>
          <w:sz w:val="20"/>
          <w:szCs w:val="20"/>
        </w:rPr>
        <w:t>d</w:t>
      </w:r>
      <w:r>
        <w:rPr>
          <w:rFonts w:asciiTheme="majorHAnsi" w:hAnsiTheme="majorHAnsi"/>
          <w:color w:val="000000"/>
          <w:sz w:val="20"/>
          <w:szCs w:val="20"/>
        </w:rPr>
        <w:t xml:space="preserve"> the commission of an offense that is classified </w:t>
      </w:r>
      <w:r w:rsidR="002B092B">
        <w:rPr>
          <w:rFonts w:asciiTheme="majorHAnsi" w:hAnsiTheme="majorHAnsi"/>
          <w:color w:val="000000"/>
          <w:sz w:val="20"/>
          <w:szCs w:val="20"/>
        </w:rPr>
        <w:t>in</w:t>
      </w:r>
      <w:r>
        <w:rPr>
          <w:rFonts w:asciiTheme="majorHAnsi" w:hAnsiTheme="majorHAnsi"/>
          <w:color w:val="000000"/>
          <w:sz w:val="20"/>
          <w:szCs w:val="20"/>
        </w:rPr>
        <w:t xml:space="preserve"> the domestic system of laws as manslaughter, which is a criminal offense pursuable ex officio, the procedure under domestic law to be exhausted in this case was a criminal investigation, which the State itself was required to initiate and </w:t>
      </w:r>
      <w:r w:rsidR="002B092B">
        <w:rPr>
          <w:rFonts w:asciiTheme="majorHAnsi" w:hAnsiTheme="majorHAnsi"/>
          <w:color w:val="000000"/>
          <w:sz w:val="20"/>
          <w:szCs w:val="20"/>
        </w:rPr>
        <w:t>move</w:t>
      </w:r>
      <w:r>
        <w:rPr>
          <w:rFonts w:asciiTheme="majorHAnsi" w:hAnsiTheme="majorHAnsi"/>
          <w:color w:val="000000"/>
          <w:sz w:val="20"/>
          <w:szCs w:val="20"/>
        </w:rPr>
        <w:t xml:space="preserve"> forward. </w:t>
      </w:r>
    </w:p>
    <w:p w:rsidR="007D4D73" w:rsidRPr="00FD4F59"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rPr>
          <w:rFonts w:asciiTheme="majorHAnsi" w:hAnsiTheme="majorHAnsi" w:cs="Calibri"/>
          <w:snapToGrid w:val="0"/>
          <w:sz w:val="20"/>
          <w:szCs w:val="20"/>
        </w:rPr>
      </w:pPr>
    </w:p>
    <w:p w:rsidR="00612D38" w:rsidRPr="007D4D73" w:rsidRDefault="00612D38"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rPr>
      </w:pPr>
      <w:r>
        <w:rPr>
          <w:rFonts w:asciiTheme="majorHAnsi" w:hAnsiTheme="majorHAnsi"/>
          <w:color w:val="000000"/>
          <w:sz w:val="20"/>
          <w:szCs w:val="20"/>
        </w:rPr>
        <w:t xml:space="preserve">To begin with, it is worth noting that by the time the petition was filed with the Inter-American Commission on April 20, 2001, almost 9 years had already elapsed </w:t>
      </w:r>
      <w:r w:rsidR="00590577">
        <w:rPr>
          <w:rFonts w:asciiTheme="majorHAnsi" w:hAnsiTheme="majorHAnsi"/>
          <w:color w:val="000000"/>
          <w:sz w:val="20"/>
          <w:szCs w:val="20"/>
        </w:rPr>
        <w:t xml:space="preserve">without there being a first instance </w:t>
      </w:r>
      <w:r>
        <w:rPr>
          <w:rFonts w:asciiTheme="majorHAnsi" w:hAnsiTheme="majorHAnsi"/>
          <w:color w:val="000000"/>
          <w:sz w:val="20"/>
          <w:szCs w:val="20"/>
        </w:rPr>
        <w:t xml:space="preserve">judgment in the proceeding for manslaughter, a case that began to be processed on June 15, 1992. The Commission finds that the fact that a ruling at first instance was still pending in the investigation at that time constitutes, </w:t>
      </w:r>
      <w:r>
        <w:rPr>
          <w:rFonts w:asciiTheme="majorHAnsi" w:hAnsiTheme="majorHAnsi"/>
          <w:i/>
          <w:iCs/>
          <w:color w:val="000000"/>
          <w:sz w:val="20"/>
          <w:szCs w:val="20"/>
        </w:rPr>
        <w:t>prima facie</w:t>
      </w:r>
      <w:r>
        <w:rPr>
          <w:rFonts w:asciiTheme="majorHAnsi" w:hAnsiTheme="majorHAnsi"/>
          <w:color w:val="000000"/>
          <w:sz w:val="20"/>
          <w:szCs w:val="20"/>
        </w:rPr>
        <w:t xml:space="preserve">, an unwarranted delay under the terms of </w:t>
      </w:r>
      <w:r w:rsidR="00C64C3F">
        <w:rPr>
          <w:rFonts w:asciiTheme="majorHAnsi" w:hAnsiTheme="majorHAnsi"/>
          <w:color w:val="000000"/>
          <w:sz w:val="20"/>
          <w:szCs w:val="20"/>
        </w:rPr>
        <w:t>article</w:t>
      </w:r>
      <w:r>
        <w:rPr>
          <w:rFonts w:asciiTheme="majorHAnsi" w:hAnsiTheme="majorHAnsi"/>
          <w:color w:val="000000"/>
          <w:sz w:val="20"/>
          <w:szCs w:val="20"/>
        </w:rPr>
        <w:t xml:space="preserve"> 46</w:t>
      </w:r>
      <w:r w:rsidR="003D0613">
        <w:rPr>
          <w:rFonts w:asciiTheme="majorHAnsi" w:hAnsiTheme="majorHAnsi"/>
          <w:color w:val="000000"/>
          <w:sz w:val="20"/>
          <w:szCs w:val="20"/>
        </w:rPr>
        <w:t>.</w:t>
      </w:r>
      <w:r>
        <w:rPr>
          <w:rFonts w:asciiTheme="majorHAnsi" w:hAnsiTheme="majorHAnsi"/>
          <w:color w:val="000000"/>
          <w:sz w:val="20"/>
          <w:szCs w:val="20"/>
        </w:rPr>
        <w:t>2</w:t>
      </w:r>
      <w:r w:rsidR="003D0613">
        <w:rPr>
          <w:rFonts w:asciiTheme="majorHAnsi" w:hAnsiTheme="majorHAnsi"/>
          <w:color w:val="000000"/>
          <w:sz w:val="20"/>
          <w:szCs w:val="20"/>
        </w:rPr>
        <w:t>.</w:t>
      </w:r>
      <w:r>
        <w:rPr>
          <w:rFonts w:asciiTheme="majorHAnsi" w:hAnsiTheme="majorHAnsi"/>
          <w:color w:val="000000"/>
          <w:sz w:val="20"/>
          <w:szCs w:val="20"/>
        </w:rPr>
        <w:t xml:space="preserve">c of the Convention, and is, therefore, grounds for an exception to the rule of prior exhaustion of domestic remedies. However, the Commission notes that after the petition was lodged the proceeding continued, as it </w:t>
      </w:r>
      <w:r w:rsidR="004A6039">
        <w:rPr>
          <w:rFonts w:asciiTheme="majorHAnsi" w:hAnsiTheme="majorHAnsi"/>
          <w:color w:val="000000"/>
          <w:sz w:val="20"/>
          <w:szCs w:val="20"/>
        </w:rPr>
        <w:t xml:space="preserve">is </w:t>
      </w:r>
      <w:r>
        <w:rPr>
          <w:rFonts w:asciiTheme="majorHAnsi" w:hAnsiTheme="majorHAnsi"/>
          <w:color w:val="000000"/>
          <w:sz w:val="20"/>
          <w:szCs w:val="20"/>
        </w:rPr>
        <w:t>describe</w:t>
      </w:r>
      <w:r w:rsidR="004A6039">
        <w:rPr>
          <w:rFonts w:asciiTheme="majorHAnsi" w:hAnsiTheme="majorHAnsi"/>
          <w:color w:val="000000"/>
          <w:sz w:val="20"/>
          <w:szCs w:val="20"/>
        </w:rPr>
        <w:t>d</w:t>
      </w:r>
      <w:r>
        <w:rPr>
          <w:rFonts w:asciiTheme="majorHAnsi" w:hAnsiTheme="majorHAnsi"/>
          <w:color w:val="000000"/>
          <w:sz w:val="20"/>
          <w:szCs w:val="20"/>
        </w:rPr>
        <w:t xml:space="preserve"> below.</w:t>
      </w:r>
    </w:p>
    <w:p w:rsidR="007D4D73" w:rsidRPr="00FD4F59"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rPr>
      </w:pPr>
    </w:p>
    <w:p w:rsidR="00845296" w:rsidRDefault="00E21857"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rPr>
      </w:pPr>
      <w:r>
        <w:rPr>
          <w:rFonts w:asciiTheme="majorHAnsi" w:hAnsiTheme="majorHAnsi"/>
          <w:color w:val="000000"/>
          <w:sz w:val="20"/>
          <w:szCs w:val="20"/>
        </w:rPr>
        <w:t>Based on information presented by the parties, the Commission finds that the complaint filed by the petitioners on June 1, 1992, prompted a criminal proceeding for manslaughter to be opened.</w:t>
      </w:r>
      <w:r>
        <w:rPr>
          <w:rStyle w:val="FootnoteReference"/>
          <w:rFonts w:asciiTheme="majorHAnsi" w:hAnsiTheme="majorHAnsi"/>
          <w:color w:val="000000"/>
          <w:sz w:val="20"/>
          <w:szCs w:val="20"/>
        </w:rPr>
        <w:footnoteReference w:id="11"/>
      </w:r>
      <w:r>
        <w:rPr>
          <w:rFonts w:asciiTheme="majorHAnsi" w:hAnsiTheme="majorHAnsi"/>
          <w:color w:val="000000"/>
          <w:sz w:val="20"/>
          <w:szCs w:val="20"/>
        </w:rPr>
        <w:t xml:space="preserve"> </w:t>
      </w:r>
      <w:r w:rsidR="004A6039">
        <w:rPr>
          <w:rFonts w:asciiTheme="majorHAnsi" w:hAnsiTheme="majorHAnsi"/>
          <w:color w:val="000000"/>
          <w:sz w:val="20"/>
          <w:szCs w:val="20"/>
        </w:rPr>
        <w:t>Eleven</w:t>
      </w:r>
      <w:r>
        <w:rPr>
          <w:rFonts w:asciiTheme="majorHAnsi" w:hAnsiTheme="majorHAnsi"/>
          <w:color w:val="000000"/>
          <w:sz w:val="20"/>
          <w:szCs w:val="20"/>
        </w:rPr>
        <w:t xml:space="preserve"> years later, on July 18, 2003, the court of first instance reportedly acquitted the accused in the case of all blame and charges. That judgment was appealed by the prosecutor assigned to the case and later upheld by the </w:t>
      </w:r>
      <w:r w:rsidR="004A6039">
        <w:rPr>
          <w:rFonts w:asciiTheme="majorHAnsi" w:hAnsiTheme="majorHAnsi"/>
          <w:color w:val="000000"/>
          <w:sz w:val="20"/>
          <w:szCs w:val="20"/>
        </w:rPr>
        <w:t>Criminal Court of Appeals</w:t>
      </w:r>
      <w:r>
        <w:rPr>
          <w:rFonts w:asciiTheme="majorHAnsi" w:hAnsiTheme="majorHAnsi"/>
          <w:color w:val="000000"/>
          <w:sz w:val="20"/>
          <w:szCs w:val="20"/>
        </w:rPr>
        <w:t xml:space="preserve"> on November 27, 2003. The petitioners are said to have filed a</w:t>
      </w:r>
      <w:r w:rsidR="00004DE8">
        <w:rPr>
          <w:rFonts w:asciiTheme="majorHAnsi" w:hAnsiTheme="majorHAnsi"/>
          <w:color w:val="000000"/>
          <w:sz w:val="20"/>
          <w:szCs w:val="20"/>
        </w:rPr>
        <w:t xml:space="preserve">n extraordinary federal </w:t>
      </w:r>
      <w:r>
        <w:rPr>
          <w:rFonts w:asciiTheme="majorHAnsi" w:hAnsiTheme="majorHAnsi"/>
          <w:color w:val="000000"/>
          <w:sz w:val="20"/>
          <w:szCs w:val="20"/>
        </w:rPr>
        <w:t xml:space="preserve">appeal against that decision, which was rejected on March 15, 2004, by the </w:t>
      </w:r>
      <w:r w:rsidR="00030C9C">
        <w:rPr>
          <w:rFonts w:asciiTheme="majorHAnsi" w:hAnsiTheme="majorHAnsi"/>
          <w:color w:val="000000"/>
          <w:sz w:val="20"/>
          <w:szCs w:val="20"/>
        </w:rPr>
        <w:t>Court of Appeals</w:t>
      </w:r>
      <w:r>
        <w:rPr>
          <w:rFonts w:asciiTheme="majorHAnsi" w:hAnsiTheme="majorHAnsi"/>
          <w:color w:val="000000"/>
          <w:sz w:val="20"/>
          <w:szCs w:val="20"/>
        </w:rPr>
        <w:t xml:space="preserve"> </w:t>
      </w:r>
      <w:r w:rsidR="00030C9C">
        <w:rPr>
          <w:rFonts w:asciiTheme="majorHAnsi" w:hAnsiTheme="majorHAnsi"/>
          <w:color w:val="000000"/>
          <w:sz w:val="20"/>
          <w:szCs w:val="20"/>
        </w:rPr>
        <w:t xml:space="preserve">under the argument that is was </w:t>
      </w:r>
      <w:r w:rsidR="00E47B04">
        <w:rPr>
          <w:rFonts w:asciiTheme="majorHAnsi" w:hAnsiTheme="majorHAnsi"/>
          <w:color w:val="000000"/>
          <w:sz w:val="20"/>
          <w:szCs w:val="20"/>
        </w:rPr>
        <w:t>“</w:t>
      </w:r>
      <w:r>
        <w:rPr>
          <w:rFonts w:asciiTheme="majorHAnsi" w:hAnsiTheme="majorHAnsi"/>
          <w:color w:val="000000"/>
          <w:sz w:val="20"/>
          <w:szCs w:val="20"/>
        </w:rPr>
        <w:t>time-barred.</w:t>
      </w:r>
      <w:r w:rsidR="00E47B04">
        <w:rPr>
          <w:rFonts w:asciiTheme="majorHAnsi" w:hAnsiTheme="majorHAnsi"/>
          <w:color w:val="000000"/>
          <w:sz w:val="20"/>
          <w:szCs w:val="20"/>
        </w:rPr>
        <w:t>”</w:t>
      </w:r>
    </w:p>
    <w:p w:rsidR="007D4D73" w:rsidRPr="00FD4F59"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rPr>
      </w:pPr>
    </w:p>
    <w:p w:rsidR="00691969" w:rsidRDefault="008D25CD"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rPr>
      </w:pPr>
      <w:r>
        <w:rPr>
          <w:rFonts w:asciiTheme="majorHAnsi" w:hAnsiTheme="majorHAnsi"/>
          <w:color w:val="000000"/>
          <w:sz w:val="20"/>
          <w:szCs w:val="20"/>
        </w:rPr>
        <w:t xml:space="preserve">The State, for its part, argued that the petitioners had failed properly to exhaust domestic remedies because the fact that the </w:t>
      </w:r>
      <w:r w:rsidR="008F3B70">
        <w:rPr>
          <w:rFonts w:asciiTheme="majorHAnsi" w:hAnsiTheme="majorHAnsi"/>
          <w:color w:val="000000"/>
          <w:sz w:val="20"/>
          <w:szCs w:val="20"/>
        </w:rPr>
        <w:t>extraordinary federal</w:t>
      </w:r>
      <w:r>
        <w:rPr>
          <w:rFonts w:asciiTheme="majorHAnsi" w:hAnsiTheme="majorHAnsi"/>
          <w:color w:val="000000"/>
          <w:sz w:val="20"/>
          <w:szCs w:val="20"/>
        </w:rPr>
        <w:t xml:space="preserve"> appeal that they filed was time-barred impeded the case from being examined by the Supreme Court of Justice of the Nation. Therefore, it said that </w:t>
      </w:r>
      <w:r w:rsidR="00E47B04">
        <w:rPr>
          <w:rFonts w:asciiTheme="majorHAnsi" w:hAnsiTheme="majorHAnsi"/>
          <w:color w:val="000000"/>
          <w:sz w:val="20"/>
          <w:szCs w:val="20"/>
        </w:rPr>
        <w:t>“</w:t>
      </w:r>
      <w:r>
        <w:rPr>
          <w:rFonts w:asciiTheme="majorHAnsi" w:hAnsiTheme="majorHAnsi"/>
          <w:color w:val="000000"/>
          <w:sz w:val="20"/>
          <w:szCs w:val="20"/>
        </w:rPr>
        <w:t>that circumstance makes applicable the decision of the IACHR in case 10.382,</w:t>
      </w:r>
      <w:r w:rsidR="00E47B04">
        <w:rPr>
          <w:rFonts w:asciiTheme="majorHAnsi" w:hAnsiTheme="majorHAnsi"/>
          <w:color w:val="000000"/>
          <w:sz w:val="20"/>
          <w:szCs w:val="20"/>
        </w:rPr>
        <w:t>”</w:t>
      </w:r>
      <w:r>
        <w:rPr>
          <w:rFonts w:asciiTheme="majorHAnsi" w:hAnsiTheme="majorHAnsi"/>
          <w:color w:val="000000"/>
          <w:sz w:val="20"/>
          <w:szCs w:val="20"/>
        </w:rPr>
        <w:t xml:space="preserve"> in which it said that:</w:t>
      </w:r>
    </w:p>
    <w:p w:rsidR="007D4D73" w:rsidRPr="00FD4F59"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rPr>
      </w:pPr>
    </w:p>
    <w:p w:rsidR="00691969" w:rsidRPr="003B6ACA" w:rsidRDefault="00691969"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810"/>
        <w:jc w:val="both"/>
        <w:rPr>
          <w:rFonts w:asciiTheme="majorHAnsi" w:hAnsiTheme="majorHAnsi"/>
          <w:color w:val="000000"/>
          <w:sz w:val="20"/>
          <w:szCs w:val="20"/>
        </w:rPr>
      </w:pPr>
      <w:r w:rsidRPr="003B6ACA">
        <w:rPr>
          <w:rFonts w:asciiTheme="majorHAnsi" w:hAnsiTheme="majorHAnsi"/>
          <w:color w:val="000000"/>
          <w:sz w:val="20"/>
          <w:szCs w:val="20"/>
        </w:rPr>
        <w:t>[I]f the highest court of the land has stated that an apparent lack of procedural expertise on the part of the petitioner made it impossible for him to secure a review of the penalty imposed on him, it is not for the Commission to try to determine or assess whether the Court was mistaken. The rules that govern procedural law reflect methodological criteria intended to ensure the orderly use of judicial actions and to make the work of the courts more efficient and effective.</w:t>
      </w:r>
      <w:r w:rsidRPr="003B6ACA">
        <w:rPr>
          <w:rStyle w:val="FootnoteReference"/>
          <w:rFonts w:asciiTheme="majorHAnsi" w:hAnsiTheme="majorHAnsi"/>
          <w:color w:val="000000"/>
          <w:sz w:val="20"/>
          <w:szCs w:val="20"/>
        </w:rPr>
        <w:footnoteReference w:id="12"/>
      </w:r>
    </w:p>
    <w:p w:rsidR="003F6C0B" w:rsidRPr="00FD4F59" w:rsidRDefault="003F6C0B"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810"/>
        <w:jc w:val="both"/>
        <w:rPr>
          <w:rFonts w:asciiTheme="majorHAnsi" w:hAnsiTheme="majorHAnsi"/>
          <w:color w:val="000000"/>
          <w:sz w:val="20"/>
          <w:szCs w:val="20"/>
        </w:rPr>
      </w:pPr>
    </w:p>
    <w:p w:rsidR="00691969" w:rsidRDefault="00095A18"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rPr>
      </w:pPr>
      <w:r>
        <w:rPr>
          <w:rFonts w:asciiTheme="majorHAnsi" w:hAnsiTheme="majorHAnsi"/>
          <w:color w:val="000000"/>
          <w:sz w:val="20"/>
          <w:szCs w:val="20"/>
        </w:rPr>
        <w:t xml:space="preserve">The petitioners offered two different arguments on that point. On one hand, they pointed to the existence of a </w:t>
      </w:r>
      <w:r w:rsidR="00E47B04">
        <w:rPr>
          <w:rFonts w:asciiTheme="majorHAnsi" w:hAnsiTheme="majorHAnsi"/>
          <w:color w:val="000000"/>
          <w:sz w:val="20"/>
          <w:szCs w:val="20"/>
        </w:rPr>
        <w:t>“</w:t>
      </w:r>
      <w:r>
        <w:rPr>
          <w:rFonts w:asciiTheme="majorHAnsi" w:hAnsiTheme="majorHAnsi"/>
          <w:color w:val="000000"/>
          <w:sz w:val="20"/>
          <w:szCs w:val="20"/>
        </w:rPr>
        <w:t>maneuver</w:t>
      </w:r>
      <w:r w:rsidR="00E47B04">
        <w:rPr>
          <w:rFonts w:asciiTheme="majorHAnsi" w:hAnsiTheme="majorHAnsi"/>
          <w:color w:val="000000"/>
          <w:sz w:val="20"/>
          <w:szCs w:val="20"/>
        </w:rPr>
        <w:t>”</w:t>
      </w:r>
      <w:r>
        <w:rPr>
          <w:rFonts w:asciiTheme="majorHAnsi" w:hAnsiTheme="majorHAnsi"/>
          <w:color w:val="000000"/>
          <w:sz w:val="20"/>
          <w:szCs w:val="20"/>
        </w:rPr>
        <w:t xml:space="preserve"> that prevented them from lodging the remedy in time. They say that the deadline for filing the appeal expired on December 23, 2003, at 9:30 a.m.</w:t>
      </w:r>
      <w:r>
        <w:rPr>
          <w:rStyle w:val="FootnoteReference"/>
          <w:rFonts w:asciiTheme="majorHAnsi" w:hAnsiTheme="majorHAnsi"/>
          <w:color w:val="000000"/>
          <w:sz w:val="20"/>
          <w:szCs w:val="20"/>
        </w:rPr>
        <w:footnoteReference w:id="13"/>
      </w:r>
      <w:r>
        <w:rPr>
          <w:rFonts w:asciiTheme="majorHAnsi" w:hAnsiTheme="majorHAnsi"/>
          <w:color w:val="000000"/>
          <w:sz w:val="20"/>
          <w:szCs w:val="20"/>
        </w:rPr>
        <w:t xml:space="preserve"> and that at the time that it was filed, instead of </w:t>
      </w:r>
      <w:r w:rsidR="00165B93">
        <w:rPr>
          <w:rFonts w:asciiTheme="majorHAnsi" w:hAnsiTheme="majorHAnsi"/>
          <w:color w:val="000000"/>
          <w:sz w:val="20"/>
          <w:szCs w:val="20"/>
        </w:rPr>
        <w:t>indicating</w:t>
      </w:r>
      <w:r>
        <w:rPr>
          <w:rFonts w:asciiTheme="majorHAnsi" w:hAnsiTheme="majorHAnsi"/>
          <w:color w:val="000000"/>
          <w:sz w:val="20"/>
          <w:szCs w:val="20"/>
        </w:rPr>
        <w:t xml:space="preserve"> the actual time at which it was filed (9:29 a.m.) with the official date stamp</w:t>
      </w:r>
      <w:r w:rsidR="00165B93">
        <w:rPr>
          <w:rFonts w:asciiTheme="majorHAnsi" w:hAnsiTheme="majorHAnsi"/>
          <w:color w:val="000000"/>
          <w:sz w:val="20"/>
          <w:szCs w:val="20"/>
        </w:rPr>
        <w:t xml:space="preserve"> device</w:t>
      </w:r>
      <w:r>
        <w:rPr>
          <w:rFonts w:asciiTheme="majorHAnsi" w:hAnsiTheme="majorHAnsi"/>
          <w:color w:val="000000"/>
          <w:sz w:val="20"/>
          <w:szCs w:val="20"/>
        </w:rPr>
        <w:t xml:space="preserve">, personnel of the Fifth </w:t>
      </w:r>
      <w:r w:rsidR="00165B93">
        <w:rPr>
          <w:rFonts w:asciiTheme="majorHAnsi" w:hAnsiTheme="majorHAnsi"/>
          <w:color w:val="000000"/>
          <w:sz w:val="20"/>
          <w:szCs w:val="20"/>
        </w:rPr>
        <w:t>Chamber</w:t>
      </w:r>
      <w:r>
        <w:rPr>
          <w:rFonts w:asciiTheme="majorHAnsi" w:hAnsiTheme="majorHAnsi"/>
          <w:color w:val="000000"/>
          <w:sz w:val="20"/>
          <w:szCs w:val="20"/>
        </w:rPr>
        <w:t xml:space="preserve"> of the </w:t>
      </w:r>
      <w:r w:rsidR="00165B93">
        <w:rPr>
          <w:rFonts w:asciiTheme="majorHAnsi" w:hAnsiTheme="majorHAnsi"/>
          <w:color w:val="000000"/>
          <w:sz w:val="20"/>
          <w:szCs w:val="20"/>
        </w:rPr>
        <w:t xml:space="preserve">Court </w:t>
      </w:r>
      <w:r>
        <w:rPr>
          <w:rFonts w:asciiTheme="majorHAnsi" w:hAnsiTheme="majorHAnsi"/>
          <w:color w:val="000000"/>
          <w:sz w:val="20"/>
          <w:szCs w:val="20"/>
        </w:rPr>
        <w:t xml:space="preserve">wrote </w:t>
      </w:r>
      <w:r w:rsidR="00E47B04">
        <w:rPr>
          <w:rFonts w:asciiTheme="majorHAnsi" w:hAnsiTheme="majorHAnsi"/>
          <w:color w:val="000000"/>
          <w:sz w:val="20"/>
          <w:szCs w:val="20"/>
        </w:rPr>
        <w:t>“</w:t>
      </w:r>
      <w:r>
        <w:rPr>
          <w:rFonts w:asciiTheme="majorHAnsi" w:hAnsiTheme="majorHAnsi"/>
          <w:color w:val="000000"/>
          <w:sz w:val="20"/>
          <w:szCs w:val="20"/>
        </w:rPr>
        <w:t>9:32</w:t>
      </w:r>
      <w:r w:rsidR="00E47B04">
        <w:rPr>
          <w:rFonts w:asciiTheme="majorHAnsi" w:hAnsiTheme="majorHAnsi"/>
          <w:color w:val="000000"/>
          <w:sz w:val="20"/>
          <w:szCs w:val="20"/>
        </w:rPr>
        <w:t>”</w:t>
      </w:r>
      <w:r>
        <w:rPr>
          <w:rFonts w:asciiTheme="majorHAnsi" w:hAnsiTheme="majorHAnsi"/>
          <w:color w:val="000000"/>
          <w:sz w:val="20"/>
          <w:szCs w:val="20"/>
        </w:rPr>
        <w:t xml:space="preserve"> by hand and with that </w:t>
      </w:r>
      <w:r w:rsidR="00E47B04">
        <w:rPr>
          <w:rFonts w:asciiTheme="majorHAnsi" w:hAnsiTheme="majorHAnsi"/>
          <w:color w:val="000000"/>
          <w:sz w:val="20"/>
          <w:szCs w:val="20"/>
        </w:rPr>
        <w:t>“</w:t>
      </w:r>
      <w:r>
        <w:rPr>
          <w:rFonts w:asciiTheme="majorHAnsi" w:hAnsiTheme="majorHAnsi"/>
          <w:color w:val="000000"/>
          <w:sz w:val="20"/>
          <w:szCs w:val="20"/>
        </w:rPr>
        <w:t>maneuver</w:t>
      </w:r>
      <w:r w:rsidR="00165B93">
        <w:rPr>
          <w:rFonts w:asciiTheme="majorHAnsi" w:hAnsiTheme="majorHAnsi"/>
          <w:color w:val="000000"/>
          <w:sz w:val="20"/>
          <w:szCs w:val="20"/>
        </w:rPr>
        <w:t>”</w:t>
      </w:r>
      <w:r>
        <w:rPr>
          <w:rFonts w:asciiTheme="majorHAnsi" w:hAnsiTheme="majorHAnsi"/>
          <w:color w:val="000000"/>
          <w:sz w:val="20"/>
          <w:szCs w:val="20"/>
        </w:rPr>
        <w:t xml:space="preserve"> access to the Supreme Court was prevented </w:t>
      </w:r>
      <w:r w:rsidR="00E47B04">
        <w:rPr>
          <w:rFonts w:asciiTheme="majorHAnsi" w:hAnsiTheme="majorHAnsi"/>
          <w:color w:val="000000"/>
          <w:sz w:val="20"/>
          <w:szCs w:val="20"/>
        </w:rPr>
        <w:t>“</w:t>
      </w:r>
      <w:r>
        <w:rPr>
          <w:rFonts w:asciiTheme="majorHAnsi" w:hAnsiTheme="majorHAnsi"/>
          <w:color w:val="000000"/>
          <w:sz w:val="20"/>
          <w:szCs w:val="20"/>
        </w:rPr>
        <w:t>by two minutes.</w:t>
      </w:r>
      <w:r w:rsidR="00E47B04">
        <w:rPr>
          <w:rFonts w:asciiTheme="majorHAnsi" w:hAnsiTheme="majorHAnsi"/>
          <w:color w:val="000000"/>
          <w:sz w:val="20"/>
          <w:szCs w:val="20"/>
        </w:rPr>
        <w:t>”</w:t>
      </w:r>
      <w:r>
        <w:rPr>
          <w:rFonts w:asciiTheme="majorHAnsi" w:hAnsiTheme="majorHAnsi"/>
          <w:color w:val="000000"/>
          <w:sz w:val="20"/>
          <w:szCs w:val="20"/>
        </w:rPr>
        <w:t xml:space="preserve"> The petitioners also presented a submission claiming the futility of the </w:t>
      </w:r>
      <w:r w:rsidR="00004DE8">
        <w:rPr>
          <w:rFonts w:asciiTheme="majorHAnsi" w:hAnsiTheme="majorHAnsi"/>
          <w:color w:val="000000"/>
          <w:sz w:val="20"/>
          <w:szCs w:val="20"/>
        </w:rPr>
        <w:t>extraordinary</w:t>
      </w:r>
      <w:r>
        <w:rPr>
          <w:rFonts w:asciiTheme="majorHAnsi" w:hAnsiTheme="majorHAnsi"/>
          <w:color w:val="000000"/>
          <w:sz w:val="20"/>
          <w:szCs w:val="20"/>
        </w:rPr>
        <w:t xml:space="preserve"> federal appeal</w:t>
      </w:r>
      <w:r w:rsidR="00165B93">
        <w:rPr>
          <w:rFonts w:asciiTheme="majorHAnsi" w:hAnsiTheme="majorHAnsi"/>
          <w:color w:val="000000"/>
          <w:sz w:val="20"/>
          <w:szCs w:val="20"/>
        </w:rPr>
        <w:t xml:space="preserve"> in the instant case</w:t>
      </w:r>
      <w:r>
        <w:rPr>
          <w:rFonts w:asciiTheme="majorHAnsi" w:hAnsiTheme="majorHAnsi"/>
          <w:color w:val="000000"/>
          <w:sz w:val="20"/>
          <w:szCs w:val="20"/>
        </w:rPr>
        <w:t xml:space="preserve">, arguing that a complaint to the Supreme Court </w:t>
      </w:r>
      <w:r>
        <w:rPr>
          <w:rFonts w:asciiTheme="majorHAnsi" w:hAnsiTheme="majorHAnsi"/>
          <w:color w:val="000000"/>
          <w:sz w:val="20"/>
          <w:szCs w:val="20"/>
        </w:rPr>
        <w:lastRenderedPageBreak/>
        <w:t xml:space="preserve">of Justice that involved the body of expert witnesses that reported to it, as well as with senior officers of the judiciary, would never have succeeded, hence </w:t>
      </w:r>
      <w:r w:rsidR="00E47B04">
        <w:rPr>
          <w:rFonts w:asciiTheme="majorHAnsi" w:hAnsiTheme="majorHAnsi"/>
          <w:color w:val="000000"/>
          <w:sz w:val="20"/>
          <w:szCs w:val="20"/>
        </w:rPr>
        <w:t>“</w:t>
      </w:r>
      <w:r>
        <w:rPr>
          <w:rFonts w:asciiTheme="majorHAnsi" w:hAnsiTheme="majorHAnsi"/>
          <w:color w:val="000000"/>
          <w:sz w:val="20"/>
          <w:szCs w:val="20"/>
        </w:rPr>
        <w:t>the reasonableness of resorting to the Inter-American Commission on Human Rights.</w:t>
      </w:r>
      <w:r w:rsidR="00E47B04">
        <w:rPr>
          <w:rFonts w:asciiTheme="majorHAnsi" w:hAnsiTheme="majorHAnsi"/>
          <w:color w:val="000000"/>
          <w:sz w:val="20"/>
          <w:szCs w:val="20"/>
        </w:rPr>
        <w:t>”</w:t>
      </w:r>
      <w:r>
        <w:rPr>
          <w:rFonts w:asciiTheme="majorHAnsi" w:hAnsiTheme="majorHAnsi"/>
          <w:color w:val="000000"/>
          <w:sz w:val="20"/>
          <w:szCs w:val="20"/>
        </w:rPr>
        <w:t xml:space="preserve"> </w:t>
      </w:r>
    </w:p>
    <w:p w:rsidR="007D4D73" w:rsidRPr="00FD4F59"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rPr>
      </w:pPr>
    </w:p>
    <w:p w:rsidR="00AF03B4" w:rsidRDefault="004D42E4"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rPr>
      </w:pPr>
      <w:r>
        <w:rPr>
          <w:rFonts w:asciiTheme="majorHAnsi" w:hAnsiTheme="majorHAnsi"/>
          <w:color w:val="000000"/>
          <w:sz w:val="20"/>
          <w:szCs w:val="20"/>
        </w:rPr>
        <w:t>The Commission offers the following observations with respect to this point. In first place, regarding the State</w:t>
      </w:r>
      <w:r w:rsidR="00E47B04">
        <w:rPr>
          <w:rFonts w:asciiTheme="majorHAnsi" w:hAnsiTheme="majorHAnsi"/>
          <w:color w:val="000000"/>
          <w:sz w:val="20"/>
          <w:szCs w:val="20"/>
        </w:rPr>
        <w:t>’</w:t>
      </w:r>
      <w:r>
        <w:rPr>
          <w:rFonts w:asciiTheme="majorHAnsi" w:hAnsiTheme="majorHAnsi"/>
          <w:color w:val="000000"/>
          <w:sz w:val="20"/>
          <w:szCs w:val="20"/>
        </w:rPr>
        <w:t xml:space="preserve">s argument concerning the application of the precedent set in </w:t>
      </w:r>
      <w:r w:rsidR="00BB43A1">
        <w:rPr>
          <w:rFonts w:asciiTheme="majorHAnsi" w:hAnsiTheme="majorHAnsi"/>
          <w:color w:val="000000"/>
          <w:sz w:val="20"/>
          <w:szCs w:val="20"/>
        </w:rPr>
        <w:t>c</w:t>
      </w:r>
      <w:r>
        <w:rPr>
          <w:rFonts w:asciiTheme="majorHAnsi" w:hAnsiTheme="majorHAnsi"/>
          <w:color w:val="000000"/>
          <w:sz w:val="20"/>
          <w:szCs w:val="20"/>
        </w:rPr>
        <w:t>ase 10.382, the Commission point</w:t>
      </w:r>
      <w:r w:rsidR="00BB43A1">
        <w:rPr>
          <w:rFonts w:asciiTheme="majorHAnsi" w:hAnsiTheme="majorHAnsi"/>
          <w:color w:val="000000"/>
          <w:sz w:val="20"/>
          <w:szCs w:val="20"/>
        </w:rPr>
        <w:t>s</w:t>
      </w:r>
      <w:r>
        <w:rPr>
          <w:rFonts w:asciiTheme="majorHAnsi" w:hAnsiTheme="majorHAnsi"/>
          <w:color w:val="000000"/>
          <w:sz w:val="20"/>
          <w:szCs w:val="20"/>
        </w:rPr>
        <w:t xml:space="preserve"> out that the facts and nature of the proceeding at the domestic level in that case differ from the case under examination here. Specifically, </w:t>
      </w:r>
      <w:r w:rsidR="00BB43A1">
        <w:rPr>
          <w:rFonts w:asciiTheme="majorHAnsi" w:hAnsiTheme="majorHAnsi"/>
          <w:color w:val="000000"/>
          <w:sz w:val="20"/>
          <w:szCs w:val="20"/>
        </w:rPr>
        <w:t>c</w:t>
      </w:r>
      <w:r>
        <w:rPr>
          <w:rFonts w:asciiTheme="majorHAnsi" w:hAnsiTheme="majorHAnsi"/>
          <w:color w:val="000000"/>
          <w:sz w:val="20"/>
          <w:szCs w:val="20"/>
        </w:rPr>
        <w:t xml:space="preserve">ase 10.382 concerned alleged violations of the American Convention by reason of </w:t>
      </w:r>
      <w:r w:rsidR="00364A53">
        <w:rPr>
          <w:rFonts w:asciiTheme="majorHAnsi" w:hAnsiTheme="majorHAnsi"/>
          <w:color w:val="000000"/>
          <w:sz w:val="20"/>
          <w:szCs w:val="20"/>
        </w:rPr>
        <w:t xml:space="preserve">a </w:t>
      </w:r>
      <w:r>
        <w:rPr>
          <w:rFonts w:asciiTheme="majorHAnsi" w:hAnsiTheme="majorHAnsi"/>
          <w:color w:val="000000"/>
          <w:sz w:val="20"/>
          <w:szCs w:val="20"/>
        </w:rPr>
        <w:t>decision by a judicial body to order payment of a sum of money that was not a sanction but a complementary indemnification to the opposing party in a mortgage foreclosure procedure,</w:t>
      </w:r>
      <w:r>
        <w:rPr>
          <w:rStyle w:val="FootnoteReference"/>
          <w:rFonts w:asciiTheme="majorHAnsi" w:hAnsiTheme="majorHAnsi"/>
          <w:color w:val="000000"/>
          <w:sz w:val="20"/>
          <w:szCs w:val="20"/>
        </w:rPr>
        <w:footnoteReference w:id="14"/>
      </w:r>
      <w:r>
        <w:rPr>
          <w:rFonts w:asciiTheme="majorHAnsi" w:hAnsiTheme="majorHAnsi"/>
          <w:color w:val="000000"/>
          <w:sz w:val="20"/>
          <w:szCs w:val="20"/>
        </w:rPr>
        <w:t xml:space="preserve"> a process governed by the principle under which the </w:t>
      </w:r>
      <w:r w:rsidR="00BB43A1">
        <w:rPr>
          <w:rFonts w:asciiTheme="majorHAnsi" w:hAnsiTheme="majorHAnsi"/>
          <w:color w:val="000000"/>
          <w:sz w:val="20"/>
          <w:szCs w:val="20"/>
        </w:rPr>
        <w:t xml:space="preserve">private interests of the </w:t>
      </w:r>
      <w:r>
        <w:rPr>
          <w:rFonts w:asciiTheme="majorHAnsi" w:hAnsiTheme="majorHAnsi"/>
          <w:color w:val="000000"/>
          <w:sz w:val="20"/>
          <w:szCs w:val="20"/>
        </w:rPr>
        <w:t xml:space="preserve">parties delimit the scope </w:t>
      </w:r>
      <w:r w:rsidR="00BB43A1">
        <w:rPr>
          <w:rFonts w:asciiTheme="majorHAnsi" w:hAnsiTheme="majorHAnsi"/>
          <w:color w:val="000000"/>
          <w:sz w:val="20"/>
          <w:szCs w:val="20"/>
        </w:rPr>
        <w:t xml:space="preserve">and extent </w:t>
      </w:r>
      <w:r>
        <w:rPr>
          <w:rFonts w:asciiTheme="majorHAnsi" w:hAnsiTheme="majorHAnsi"/>
          <w:color w:val="000000"/>
          <w:sz w:val="20"/>
          <w:szCs w:val="20"/>
        </w:rPr>
        <w:t>of the proceedings</w:t>
      </w:r>
      <w:r w:rsidR="00BB43A1">
        <w:rPr>
          <w:rFonts w:asciiTheme="majorHAnsi" w:hAnsiTheme="majorHAnsi"/>
          <w:color w:val="000000"/>
          <w:sz w:val="20"/>
          <w:szCs w:val="20"/>
        </w:rPr>
        <w:t xml:space="preserve"> (a principle locally referred to as “principio dispositivo”)</w:t>
      </w:r>
      <w:r>
        <w:rPr>
          <w:rFonts w:asciiTheme="majorHAnsi" w:hAnsiTheme="majorHAnsi"/>
          <w:color w:val="000000"/>
          <w:sz w:val="20"/>
          <w:szCs w:val="20"/>
        </w:rPr>
        <w:t xml:space="preserve">. The petition in this instance, by contrast, involves a criminal proceeding originated by a complaint filed in connection with a publicly actionable offense, the responsibility for the investigation of which fell, as </w:t>
      </w:r>
      <w:r w:rsidR="003356F3">
        <w:rPr>
          <w:rFonts w:asciiTheme="majorHAnsi" w:hAnsiTheme="majorHAnsi"/>
          <w:color w:val="000000"/>
          <w:sz w:val="20"/>
          <w:szCs w:val="20"/>
        </w:rPr>
        <w:t>stated above</w:t>
      </w:r>
      <w:r>
        <w:rPr>
          <w:rFonts w:asciiTheme="majorHAnsi" w:hAnsiTheme="majorHAnsi"/>
          <w:color w:val="000000"/>
          <w:sz w:val="20"/>
          <w:szCs w:val="20"/>
        </w:rPr>
        <w:t xml:space="preserve">, to the State. </w:t>
      </w:r>
    </w:p>
    <w:p w:rsidR="007D4D73" w:rsidRPr="00FD4F59"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rPr>
      </w:pPr>
    </w:p>
    <w:p w:rsidR="006C5008" w:rsidRDefault="004D42E4"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sz w:val="20"/>
          <w:szCs w:val="20"/>
        </w:rPr>
      </w:pPr>
      <w:r>
        <w:rPr>
          <w:rFonts w:asciiTheme="majorHAnsi" w:hAnsiTheme="majorHAnsi"/>
          <w:color w:val="000000"/>
          <w:sz w:val="20"/>
          <w:szCs w:val="20"/>
        </w:rPr>
        <w:t>It is worth notin</w:t>
      </w:r>
      <w:r w:rsidR="005F4ED6">
        <w:rPr>
          <w:rFonts w:asciiTheme="majorHAnsi" w:hAnsiTheme="majorHAnsi"/>
          <w:color w:val="000000"/>
          <w:sz w:val="20"/>
          <w:szCs w:val="20"/>
        </w:rPr>
        <w:t>g, therefore, the different</w:t>
      </w:r>
      <w:r>
        <w:rPr>
          <w:rFonts w:asciiTheme="majorHAnsi" w:hAnsiTheme="majorHAnsi"/>
          <w:color w:val="000000"/>
          <w:sz w:val="20"/>
          <w:szCs w:val="20"/>
        </w:rPr>
        <w:t xml:space="preserve"> standard of appreciation in assessing exhaustion of domestic remedies that, in keeping with the precedents set by this Commission, applies in cases where the specific duty to advance the proceedings belongs to the State, as well as the degree of responsibility that individuals have in the progress of criminal investigations. Indeed, the IACHR has also held that </w:t>
      </w:r>
      <w:r>
        <w:rPr>
          <w:rFonts w:asciiTheme="majorHAnsi" w:hAnsiTheme="majorHAnsi"/>
          <w:sz w:val="20"/>
          <w:szCs w:val="20"/>
        </w:rPr>
        <w:t xml:space="preserve">in procedural regimes where the victim or their relatives have standing to </w:t>
      </w:r>
      <w:r w:rsidR="00272F8E">
        <w:rPr>
          <w:rFonts w:asciiTheme="majorHAnsi" w:hAnsiTheme="majorHAnsi"/>
          <w:sz w:val="20"/>
          <w:szCs w:val="20"/>
        </w:rPr>
        <w:t>take part in a</w:t>
      </w:r>
      <w:r>
        <w:rPr>
          <w:rFonts w:asciiTheme="majorHAnsi" w:hAnsiTheme="majorHAnsi"/>
          <w:sz w:val="20"/>
          <w:szCs w:val="20"/>
        </w:rPr>
        <w:t xml:space="preserve"> criminal suit, its exercise is not compulsory, but optional and </w:t>
      </w:r>
      <w:r w:rsidR="00AC52A8" w:rsidRPr="001E4C94">
        <w:rPr>
          <w:rFonts w:asciiTheme="majorHAnsi" w:hAnsiTheme="majorHAnsi"/>
          <w:color w:val="000000"/>
          <w:sz w:val="20"/>
          <w:szCs w:val="20"/>
        </w:rPr>
        <w:t>in no way is a substitute for the State’s actions</w:t>
      </w:r>
      <w:r>
        <w:rPr>
          <w:rFonts w:asciiTheme="majorHAnsi" w:hAnsiTheme="majorHAnsi"/>
          <w:sz w:val="20"/>
          <w:szCs w:val="20"/>
        </w:rPr>
        <w:t>.</w:t>
      </w:r>
      <w:r>
        <w:rPr>
          <w:rStyle w:val="FootnoteReference"/>
          <w:rFonts w:asciiTheme="majorHAnsi" w:hAnsiTheme="majorHAnsi"/>
          <w:sz w:val="20"/>
          <w:szCs w:val="20"/>
        </w:rPr>
        <w:footnoteReference w:id="15"/>
      </w:r>
      <w:r>
        <w:rPr>
          <w:rFonts w:asciiTheme="majorHAnsi" w:hAnsiTheme="majorHAnsi"/>
          <w:color w:val="000000"/>
          <w:sz w:val="20"/>
          <w:szCs w:val="20"/>
        </w:rPr>
        <w:t xml:space="preserve"> </w:t>
      </w:r>
      <w:r>
        <w:rPr>
          <w:rFonts w:asciiTheme="majorHAnsi" w:hAnsiTheme="majorHAnsi"/>
          <w:sz w:val="20"/>
          <w:szCs w:val="20"/>
        </w:rPr>
        <w:t xml:space="preserve">In other words, as the Commission has concluded, neither victims nor their relatives can be required to </w:t>
      </w:r>
      <w:r w:rsidR="008E0F56">
        <w:rPr>
          <w:rFonts w:asciiTheme="majorHAnsi" w:hAnsiTheme="majorHAnsi"/>
          <w:sz w:val="20"/>
          <w:szCs w:val="20"/>
        </w:rPr>
        <w:t xml:space="preserve">assume </w:t>
      </w:r>
      <w:r>
        <w:rPr>
          <w:rFonts w:asciiTheme="majorHAnsi" w:hAnsiTheme="majorHAnsi"/>
          <w:sz w:val="20"/>
          <w:szCs w:val="20"/>
        </w:rPr>
        <w:t>the task of e</w:t>
      </w:r>
      <w:r w:rsidR="00CA473B">
        <w:rPr>
          <w:rFonts w:asciiTheme="majorHAnsi" w:hAnsiTheme="majorHAnsi"/>
          <w:sz w:val="20"/>
          <w:szCs w:val="20"/>
        </w:rPr>
        <w:t>xhausting domestic remedies where that</w:t>
      </w:r>
      <w:r>
        <w:rPr>
          <w:rFonts w:asciiTheme="majorHAnsi" w:hAnsiTheme="majorHAnsi"/>
          <w:sz w:val="20"/>
          <w:szCs w:val="20"/>
        </w:rPr>
        <w:t xml:space="preserve"> obligation pertains to the State.</w:t>
      </w:r>
      <w:r>
        <w:rPr>
          <w:rStyle w:val="FootnoteReference"/>
          <w:rFonts w:asciiTheme="majorHAnsi" w:hAnsiTheme="majorHAnsi"/>
          <w:sz w:val="20"/>
          <w:szCs w:val="20"/>
        </w:rPr>
        <w:footnoteReference w:id="16"/>
      </w:r>
      <w:r>
        <w:rPr>
          <w:rFonts w:asciiTheme="majorHAnsi" w:hAnsiTheme="majorHAnsi"/>
          <w:sz w:val="20"/>
          <w:szCs w:val="20"/>
        </w:rPr>
        <w:t xml:space="preserve"> </w:t>
      </w:r>
      <w:r>
        <w:rPr>
          <w:rFonts w:asciiTheme="majorHAnsi" w:hAnsiTheme="majorHAnsi"/>
          <w:color w:val="000000"/>
          <w:sz w:val="20"/>
          <w:szCs w:val="20"/>
        </w:rPr>
        <w:t xml:space="preserve">The foregoing notwithstanding, the IACHR notes the persistence of the relatives of Cristina Britez Arce in seeking full clarification of the facts to the extent of their possibilities </w:t>
      </w:r>
      <w:r w:rsidR="008E0F56">
        <w:rPr>
          <w:rFonts w:asciiTheme="majorHAnsi" w:hAnsiTheme="majorHAnsi"/>
          <w:color w:val="000000"/>
          <w:sz w:val="20"/>
          <w:szCs w:val="20"/>
        </w:rPr>
        <w:t xml:space="preserve">by </w:t>
      </w:r>
      <w:r>
        <w:rPr>
          <w:rFonts w:asciiTheme="majorHAnsi" w:hAnsiTheme="majorHAnsi"/>
          <w:color w:val="000000"/>
          <w:sz w:val="20"/>
          <w:szCs w:val="20"/>
        </w:rPr>
        <w:t>participati</w:t>
      </w:r>
      <w:r w:rsidR="008E0F56">
        <w:rPr>
          <w:rFonts w:asciiTheme="majorHAnsi" w:hAnsiTheme="majorHAnsi"/>
          <w:color w:val="000000"/>
          <w:sz w:val="20"/>
          <w:szCs w:val="20"/>
        </w:rPr>
        <w:t xml:space="preserve">ng and </w:t>
      </w:r>
      <w:r>
        <w:rPr>
          <w:rFonts w:asciiTheme="majorHAnsi" w:hAnsiTheme="majorHAnsi"/>
          <w:color w:val="000000"/>
          <w:sz w:val="20"/>
          <w:szCs w:val="20"/>
        </w:rPr>
        <w:t xml:space="preserve">filing of appeals in the criminal proceeding for manslaughter as well as in the various criminal proceedings that were instituted thereafter. </w:t>
      </w:r>
    </w:p>
    <w:p w:rsidR="007D4D73" w:rsidRPr="00FD4F59"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rPr>
      </w:pPr>
    </w:p>
    <w:p w:rsidR="00DC265D" w:rsidRPr="007D4D73" w:rsidRDefault="004F2EAD"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80"/>
        </w:tabs>
        <w:ind w:left="0" w:firstLine="720"/>
        <w:jc w:val="both"/>
        <w:rPr>
          <w:rFonts w:asciiTheme="majorHAnsi" w:hAnsiTheme="majorHAnsi"/>
          <w:color w:val="000000"/>
          <w:sz w:val="20"/>
          <w:szCs w:val="20"/>
        </w:rPr>
      </w:pPr>
      <w:r>
        <w:rPr>
          <w:rFonts w:asciiTheme="majorHAnsi" w:hAnsiTheme="majorHAnsi"/>
          <w:color w:val="000000"/>
          <w:sz w:val="20"/>
          <w:szCs w:val="20"/>
        </w:rPr>
        <w:t xml:space="preserve">Secondly, it should be borne in mind that the Commission has already held that the </w:t>
      </w:r>
      <w:r w:rsidR="00004DE8">
        <w:rPr>
          <w:rFonts w:asciiTheme="majorHAnsi" w:hAnsiTheme="majorHAnsi"/>
          <w:color w:val="000000"/>
          <w:sz w:val="20"/>
          <w:szCs w:val="20"/>
        </w:rPr>
        <w:t>extraordinary</w:t>
      </w:r>
      <w:r>
        <w:rPr>
          <w:rFonts w:asciiTheme="majorHAnsi" w:hAnsiTheme="majorHAnsi"/>
          <w:color w:val="000000"/>
          <w:sz w:val="20"/>
          <w:szCs w:val="20"/>
        </w:rPr>
        <w:t xml:space="preserve"> federal appeal available in the Argentine legal system—the </w:t>
      </w:r>
      <w:r w:rsidR="00775A6E">
        <w:rPr>
          <w:rFonts w:asciiTheme="majorHAnsi" w:hAnsiTheme="majorHAnsi"/>
          <w:color w:val="000000"/>
          <w:sz w:val="20"/>
          <w:szCs w:val="20"/>
        </w:rPr>
        <w:t>remedy</w:t>
      </w:r>
      <w:r>
        <w:rPr>
          <w:rFonts w:asciiTheme="majorHAnsi" w:hAnsiTheme="majorHAnsi"/>
          <w:color w:val="000000"/>
          <w:sz w:val="20"/>
          <w:szCs w:val="20"/>
        </w:rPr>
        <w:t xml:space="preserve"> to which the State refers—is an extraordinary remedy and its exercise is exceptional and discretionary.</w:t>
      </w:r>
      <w:r>
        <w:rPr>
          <w:rStyle w:val="FootnoteReference"/>
          <w:rFonts w:asciiTheme="majorHAnsi" w:hAnsiTheme="majorHAnsi"/>
          <w:color w:val="000000"/>
          <w:sz w:val="20"/>
          <w:szCs w:val="20"/>
        </w:rPr>
        <w:footnoteReference w:id="17"/>
      </w:r>
      <w:r>
        <w:rPr>
          <w:rFonts w:asciiTheme="majorHAnsi" w:hAnsiTheme="majorHAnsi"/>
          <w:color w:val="000000"/>
          <w:sz w:val="20"/>
          <w:szCs w:val="20"/>
        </w:rPr>
        <w:t xml:space="preserve"> As such, it is not a procedural level that is added on to every trial, but rather it operates as a new but reduced and partial procedural level that exists to ensure constitutional supremacy and whose propriety is interpreted within a restricted scope.</w:t>
      </w:r>
      <w:r>
        <w:rPr>
          <w:rStyle w:val="FootnoteReference"/>
          <w:rFonts w:asciiTheme="majorHAnsi" w:hAnsiTheme="majorHAnsi"/>
          <w:color w:val="000000"/>
          <w:sz w:val="20"/>
          <w:szCs w:val="20"/>
        </w:rPr>
        <w:footnoteReference w:id="18"/>
      </w:r>
      <w:r>
        <w:rPr>
          <w:rFonts w:asciiTheme="majorHAnsi" w:hAnsiTheme="majorHAnsi"/>
          <w:color w:val="000000"/>
          <w:sz w:val="20"/>
          <w:szCs w:val="20"/>
        </w:rPr>
        <w:t xml:space="preserve"> Therefore, the Commission does not necessarily require its exhaustion;</w:t>
      </w:r>
      <w:r>
        <w:rPr>
          <w:rStyle w:val="FootnoteReference"/>
          <w:rFonts w:asciiTheme="majorHAnsi" w:hAnsiTheme="majorHAnsi"/>
          <w:color w:val="000000"/>
          <w:sz w:val="20"/>
          <w:szCs w:val="20"/>
        </w:rPr>
        <w:footnoteReference w:id="19"/>
      </w:r>
      <w:r>
        <w:rPr>
          <w:rFonts w:asciiTheme="majorHAnsi" w:hAnsiTheme="majorHAnsi"/>
          <w:color w:val="000000"/>
          <w:sz w:val="20"/>
          <w:szCs w:val="20"/>
        </w:rPr>
        <w:t xml:space="preserve"> indeed, depending on the circumstances in each instance, a large number of petitions have been declared admissible in the past without that remedy having been </w:t>
      </w:r>
      <w:r w:rsidR="00C00003">
        <w:rPr>
          <w:rFonts w:asciiTheme="majorHAnsi" w:hAnsiTheme="majorHAnsi"/>
          <w:color w:val="000000"/>
          <w:sz w:val="20"/>
          <w:szCs w:val="20"/>
        </w:rPr>
        <w:t>filed</w:t>
      </w:r>
      <w:r>
        <w:rPr>
          <w:rFonts w:asciiTheme="majorHAnsi" w:hAnsiTheme="majorHAnsi"/>
          <w:color w:val="000000"/>
          <w:sz w:val="20"/>
          <w:szCs w:val="20"/>
        </w:rPr>
        <w:t>.</w:t>
      </w:r>
      <w:r>
        <w:rPr>
          <w:rStyle w:val="FootnoteReference"/>
          <w:rFonts w:asciiTheme="majorHAnsi" w:hAnsiTheme="majorHAnsi"/>
          <w:color w:val="000000"/>
          <w:sz w:val="20"/>
          <w:szCs w:val="20"/>
        </w:rPr>
        <w:footnoteReference w:id="20"/>
      </w:r>
      <w:r>
        <w:rPr>
          <w:rFonts w:asciiTheme="majorHAnsi" w:hAnsiTheme="majorHAnsi"/>
          <w:color w:val="000000"/>
          <w:sz w:val="20"/>
          <w:szCs w:val="20"/>
        </w:rPr>
        <w:t xml:space="preserve"> In this case, that appeal was filed but the alleged circumstances that supposedly prevented its exhaustion are part of the supporting arguments of the petition.</w:t>
      </w:r>
    </w:p>
    <w:p w:rsidR="007D4D73" w:rsidRPr="00FD4F59"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sz w:val="20"/>
          <w:szCs w:val="20"/>
        </w:rPr>
      </w:pPr>
    </w:p>
    <w:p w:rsidR="0078760B" w:rsidRDefault="008119B3"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
          <w:tab w:val="num" w:pos="1440"/>
        </w:tabs>
        <w:ind w:left="0" w:firstLine="720"/>
        <w:jc w:val="both"/>
        <w:rPr>
          <w:rFonts w:asciiTheme="majorHAnsi" w:hAnsiTheme="majorHAnsi"/>
          <w:color w:val="000000"/>
          <w:sz w:val="20"/>
          <w:szCs w:val="20"/>
        </w:rPr>
      </w:pPr>
      <w:r>
        <w:rPr>
          <w:rFonts w:asciiTheme="majorHAnsi" w:hAnsiTheme="majorHAnsi"/>
          <w:color w:val="000000"/>
          <w:sz w:val="20"/>
          <w:szCs w:val="20"/>
        </w:rPr>
        <w:t>The Commission recalls a previous case in which, upon deciding on the a</w:t>
      </w:r>
      <w:r w:rsidR="00C64C3F">
        <w:rPr>
          <w:rFonts w:asciiTheme="majorHAnsi" w:hAnsiTheme="majorHAnsi"/>
          <w:color w:val="000000"/>
          <w:sz w:val="20"/>
          <w:szCs w:val="20"/>
        </w:rPr>
        <w:t>dmissibility of petition 920-03—</w:t>
      </w:r>
      <w:r>
        <w:rPr>
          <w:rFonts w:asciiTheme="majorHAnsi" w:hAnsiTheme="majorHAnsi"/>
          <w:color w:val="000000"/>
          <w:sz w:val="20"/>
          <w:szCs w:val="20"/>
        </w:rPr>
        <w:t>also against Argentina</w:t>
      </w:r>
      <w:r w:rsidR="00C64C3F">
        <w:rPr>
          <w:rFonts w:asciiTheme="majorHAnsi" w:hAnsiTheme="majorHAnsi"/>
          <w:color w:val="000000"/>
          <w:sz w:val="20"/>
          <w:szCs w:val="20"/>
        </w:rPr>
        <w:t>—</w:t>
      </w:r>
      <w:r>
        <w:rPr>
          <w:rFonts w:asciiTheme="majorHAnsi" w:hAnsiTheme="majorHAnsi"/>
          <w:color w:val="000000"/>
          <w:sz w:val="20"/>
          <w:szCs w:val="20"/>
        </w:rPr>
        <w:t xml:space="preserve">the IACHR had to examine a very similar situation concerning exhaustion of domestic remedies. Specifically, in that petition, the </w:t>
      </w:r>
      <w:r w:rsidR="00C64C3F">
        <w:rPr>
          <w:rFonts w:asciiTheme="majorHAnsi" w:hAnsiTheme="majorHAnsi"/>
          <w:color w:val="000000"/>
          <w:sz w:val="20"/>
          <w:szCs w:val="20"/>
        </w:rPr>
        <w:t>extraordinary federal</w:t>
      </w:r>
      <w:r>
        <w:rPr>
          <w:rFonts w:asciiTheme="majorHAnsi" w:hAnsiTheme="majorHAnsi"/>
          <w:color w:val="000000"/>
          <w:sz w:val="20"/>
          <w:szCs w:val="20"/>
        </w:rPr>
        <w:t xml:space="preserve"> appeal lodged by the petitioners had been declared </w:t>
      </w:r>
      <w:r w:rsidR="003D0613">
        <w:rPr>
          <w:rFonts w:asciiTheme="majorHAnsi" w:hAnsiTheme="majorHAnsi"/>
          <w:color w:val="000000"/>
          <w:sz w:val="20"/>
          <w:szCs w:val="20"/>
        </w:rPr>
        <w:t>“time-barred”</w:t>
      </w:r>
      <w:r>
        <w:rPr>
          <w:rFonts w:asciiTheme="majorHAnsi" w:hAnsiTheme="majorHAnsi"/>
          <w:color w:val="000000"/>
          <w:sz w:val="20"/>
          <w:szCs w:val="20"/>
        </w:rPr>
        <w:t xml:space="preserve"> because it was filed 10 minutes after the established deadline, as results of which the petitioners argued that the authorities were </w:t>
      </w:r>
      <w:r w:rsidR="00E47B04">
        <w:rPr>
          <w:rFonts w:asciiTheme="majorHAnsi" w:hAnsiTheme="majorHAnsi"/>
          <w:color w:val="000000"/>
          <w:sz w:val="20"/>
          <w:szCs w:val="20"/>
        </w:rPr>
        <w:t>“</w:t>
      </w:r>
      <w:r>
        <w:rPr>
          <w:rFonts w:asciiTheme="majorHAnsi" w:hAnsiTheme="majorHAnsi"/>
          <w:color w:val="000000"/>
          <w:sz w:val="20"/>
          <w:szCs w:val="20"/>
        </w:rPr>
        <w:t>excessively formal</w:t>
      </w:r>
      <w:r w:rsidR="00E47B04">
        <w:rPr>
          <w:rFonts w:asciiTheme="majorHAnsi" w:hAnsiTheme="majorHAnsi"/>
          <w:color w:val="000000"/>
          <w:sz w:val="20"/>
          <w:szCs w:val="20"/>
        </w:rPr>
        <w:t>”</w:t>
      </w:r>
      <w:r>
        <w:rPr>
          <w:rFonts w:asciiTheme="majorHAnsi" w:hAnsiTheme="majorHAnsi"/>
          <w:color w:val="000000"/>
          <w:sz w:val="20"/>
          <w:szCs w:val="20"/>
        </w:rPr>
        <w:t xml:space="preserve"> in declaring that the remedy was presented late.</w:t>
      </w:r>
      <w:r>
        <w:rPr>
          <w:rStyle w:val="FootnoteReference"/>
          <w:rFonts w:asciiTheme="majorHAnsi" w:hAnsiTheme="majorHAnsi"/>
          <w:color w:val="000000"/>
          <w:sz w:val="20"/>
          <w:szCs w:val="20"/>
        </w:rPr>
        <w:footnoteReference w:id="21"/>
      </w:r>
      <w:r>
        <w:rPr>
          <w:rFonts w:asciiTheme="majorHAnsi" w:hAnsiTheme="majorHAnsi"/>
          <w:color w:val="000000"/>
          <w:sz w:val="20"/>
          <w:szCs w:val="20"/>
        </w:rPr>
        <w:t xml:space="preserve"> </w:t>
      </w:r>
      <w:r w:rsidR="00C64C3F">
        <w:rPr>
          <w:rFonts w:asciiTheme="majorHAnsi" w:hAnsiTheme="majorHAnsi"/>
          <w:color w:val="000000"/>
          <w:sz w:val="20"/>
          <w:szCs w:val="20"/>
        </w:rPr>
        <w:t>I</w:t>
      </w:r>
      <w:r>
        <w:rPr>
          <w:rFonts w:asciiTheme="majorHAnsi" w:hAnsiTheme="majorHAnsi"/>
          <w:color w:val="000000"/>
          <w:sz w:val="20"/>
          <w:szCs w:val="20"/>
        </w:rPr>
        <w:t>n light of the fact that the petitioners argued that that excessive insistence on formality had violated their right to a fair trial, the Commission took the view that the examination of that circumstance belonged in the merits stage and, therefore, took as exhausted the remedies under domestic law.</w:t>
      </w:r>
      <w:r>
        <w:rPr>
          <w:rStyle w:val="FootnoteReference"/>
          <w:rFonts w:asciiTheme="majorHAnsi" w:hAnsiTheme="majorHAnsi"/>
          <w:color w:val="000000"/>
          <w:sz w:val="20"/>
          <w:szCs w:val="20"/>
        </w:rPr>
        <w:footnoteReference w:id="22"/>
      </w:r>
      <w:r>
        <w:rPr>
          <w:rFonts w:asciiTheme="majorHAnsi" w:hAnsiTheme="majorHAnsi"/>
          <w:color w:val="000000"/>
          <w:sz w:val="20"/>
          <w:szCs w:val="20"/>
        </w:rPr>
        <w:t xml:space="preserve"> </w:t>
      </w:r>
    </w:p>
    <w:p w:rsidR="007D4D73" w:rsidRPr="00FD4F59"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hAnsiTheme="majorHAnsi"/>
          <w:color w:val="000000"/>
          <w:sz w:val="20"/>
          <w:szCs w:val="20"/>
        </w:rPr>
      </w:pPr>
    </w:p>
    <w:p w:rsidR="00B03F4B" w:rsidRDefault="00C857BE"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
          <w:tab w:val="num" w:pos="1440"/>
        </w:tabs>
        <w:ind w:left="0" w:firstLine="720"/>
        <w:jc w:val="both"/>
        <w:rPr>
          <w:rFonts w:asciiTheme="majorHAnsi" w:hAnsiTheme="majorHAnsi"/>
          <w:color w:val="000000"/>
          <w:sz w:val="20"/>
          <w:szCs w:val="20"/>
        </w:rPr>
      </w:pPr>
      <w:r>
        <w:rPr>
          <w:rFonts w:asciiTheme="majorHAnsi" w:hAnsiTheme="majorHAnsi"/>
          <w:color w:val="000000"/>
          <w:sz w:val="20"/>
          <w:szCs w:val="20"/>
        </w:rPr>
        <w:t xml:space="preserve">Under that same logic, the Commission finds that the allegations regarding the </w:t>
      </w:r>
      <w:r w:rsidR="00E47B04">
        <w:rPr>
          <w:rFonts w:asciiTheme="majorHAnsi" w:hAnsiTheme="majorHAnsi"/>
          <w:color w:val="000000"/>
          <w:sz w:val="20"/>
          <w:szCs w:val="20"/>
        </w:rPr>
        <w:t>“</w:t>
      </w:r>
      <w:r>
        <w:rPr>
          <w:rFonts w:asciiTheme="majorHAnsi" w:hAnsiTheme="majorHAnsi"/>
          <w:color w:val="000000"/>
          <w:sz w:val="20"/>
          <w:szCs w:val="20"/>
        </w:rPr>
        <w:t>maneuver</w:t>
      </w:r>
      <w:r w:rsidR="00E47B04">
        <w:rPr>
          <w:rFonts w:asciiTheme="majorHAnsi" w:hAnsiTheme="majorHAnsi"/>
          <w:color w:val="000000"/>
          <w:sz w:val="20"/>
          <w:szCs w:val="20"/>
        </w:rPr>
        <w:t>”</w:t>
      </w:r>
      <w:r>
        <w:rPr>
          <w:rFonts w:asciiTheme="majorHAnsi" w:hAnsiTheme="majorHAnsi"/>
          <w:color w:val="000000"/>
          <w:sz w:val="20"/>
          <w:szCs w:val="20"/>
        </w:rPr>
        <w:t xml:space="preserve"> by which the petitioners were prevented from filing the </w:t>
      </w:r>
      <w:r w:rsidR="003D0613">
        <w:rPr>
          <w:rFonts w:asciiTheme="majorHAnsi" w:hAnsiTheme="majorHAnsi"/>
          <w:color w:val="000000"/>
          <w:sz w:val="20"/>
          <w:szCs w:val="20"/>
        </w:rPr>
        <w:t>extraordinary federal</w:t>
      </w:r>
      <w:r>
        <w:rPr>
          <w:rFonts w:asciiTheme="majorHAnsi" w:hAnsiTheme="majorHAnsi"/>
          <w:color w:val="000000"/>
          <w:sz w:val="20"/>
          <w:szCs w:val="20"/>
        </w:rPr>
        <w:t xml:space="preserve"> appeal could be examined by the Commission in the merits stage. The reason for the foregoing is that said circumst</w:t>
      </w:r>
      <w:r w:rsidR="00AB4A31">
        <w:rPr>
          <w:rFonts w:asciiTheme="majorHAnsi" w:hAnsiTheme="majorHAnsi"/>
          <w:color w:val="000000"/>
          <w:sz w:val="20"/>
          <w:szCs w:val="20"/>
        </w:rPr>
        <w:t xml:space="preserve">ance is part of the concrete </w:t>
      </w:r>
      <w:r>
        <w:rPr>
          <w:rFonts w:asciiTheme="majorHAnsi" w:hAnsiTheme="majorHAnsi"/>
          <w:color w:val="000000"/>
          <w:sz w:val="20"/>
          <w:szCs w:val="20"/>
        </w:rPr>
        <w:t xml:space="preserve">submissions advanced by the petitioners in this case in relation to the alleged violation of </w:t>
      </w:r>
      <w:r w:rsidR="00C64C3F">
        <w:rPr>
          <w:rFonts w:asciiTheme="majorHAnsi" w:hAnsiTheme="majorHAnsi"/>
          <w:color w:val="000000"/>
          <w:sz w:val="20"/>
          <w:szCs w:val="20"/>
        </w:rPr>
        <w:t>article</w:t>
      </w:r>
      <w:r>
        <w:rPr>
          <w:rFonts w:asciiTheme="majorHAnsi" w:hAnsiTheme="majorHAnsi"/>
          <w:color w:val="000000"/>
          <w:sz w:val="20"/>
          <w:szCs w:val="20"/>
        </w:rPr>
        <w:t xml:space="preserve"> 8 of the Convention. To </w:t>
      </w:r>
      <w:r w:rsidR="00AB4A31">
        <w:rPr>
          <w:rFonts w:asciiTheme="majorHAnsi" w:hAnsiTheme="majorHAnsi"/>
          <w:color w:val="000000"/>
          <w:sz w:val="20"/>
          <w:szCs w:val="20"/>
        </w:rPr>
        <w:t xml:space="preserve">undertake </w:t>
      </w:r>
      <w:r>
        <w:rPr>
          <w:rFonts w:asciiTheme="majorHAnsi" w:hAnsiTheme="majorHAnsi"/>
          <w:color w:val="000000"/>
          <w:sz w:val="20"/>
          <w:szCs w:val="20"/>
        </w:rPr>
        <w:t>such an examination in the admissibility stage would be improper.</w:t>
      </w:r>
    </w:p>
    <w:p w:rsidR="007D4D73" w:rsidRPr="00FD4F59"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hAnsiTheme="majorHAnsi"/>
          <w:color w:val="000000"/>
          <w:sz w:val="20"/>
          <w:szCs w:val="20"/>
        </w:rPr>
      </w:pPr>
    </w:p>
    <w:p w:rsidR="00E21857" w:rsidRDefault="008D4FEA"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270"/>
          <w:tab w:val="num" w:pos="1440"/>
        </w:tabs>
        <w:ind w:left="0" w:firstLine="720"/>
        <w:jc w:val="both"/>
        <w:rPr>
          <w:rFonts w:asciiTheme="majorHAnsi" w:hAnsiTheme="majorHAnsi"/>
          <w:color w:val="000000"/>
          <w:sz w:val="20"/>
          <w:szCs w:val="20"/>
        </w:rPr>
      </w:pPr>
      <w:r>
        <w:rPr>
          <w:rFonts w:asciiTheme="majorHAnsi" w:hAnsiTheme="majorHAnsi"/>
          <w:color w:val="000000"/>
          <w:sz w:val="20"/>
          <w:szCs w:val="20"/>
        </w:rPr>
        <w:t xml:space="preserve">Based on the foregoing, the IACHR considers that domestic remedies have been sufficiently exhausted by the petitioners for the purposes of the admissibility stage and, therefore, the provisions of </w:t>
      </w:r>
      <w:r w:rsidR="00C64C3F">
        <w:rPr>
          <w:rFonts w:asciiTheme="majorHAnsi" w:hAnsiTheme="majorHAnsi"/>
          <w:color w:val="000000"/>
          <w:sz w:val="20"/>
          <w:szCs w:val="20"/>
        </w:rPr>
        <w:t>article</w:t>
      </w:r>
      <w:r>
        <w:rPr>
          <w:rFonts w:asciiTheme="majorHAnsi" w:hAnsiTheme="majorHAnsi"/>
          <w:color w:val="000000"/>
          <w:sz w:val="20"/>
          <w:szCs w:val="20"/>
        </w:rPr>
        <w:t xml:space="preserve"> 46</w:t>
      </w:r>
      <w:r w:rsidR="003D0613">
        <w:rPr>
          <w:rFonts w:asciiTheme="majorHAnsi" w:hAnsiTheme="majorHAnsi"/>
          <w:color w:val="000000"/>
          <w:sz w:val="20"/>
          <w:szCs w:val="20"/>
        </w:rPr>
        <w:t>.</w:t>
      </w:r>
      <w:r>
        <w:rPr>
          <w:rFonts w:asciiTheme="majorHAnsi" w:hAnsiTheme="majorHAnsi"/>
          <w:color w:val="000000"/>
          <w:sz w:val="20"/>
          <w:szCs w:val="20"/>
        </w:rPr>
        <w:t>1</w:t>
      </w:r>
      <w:r w:rsidR="003D0613">
        <w:rPr>
          <w:rFonts w:asciiTheme="majorHAnsi" w:hAnsiTheme="majorHAnsi"/>
          <w:color w:val="000000"/>
          <w:sz w:val="20"/>
          <w:szCs w:val="20"/>
        </w:rPr>
        <w:t>.</w:t>
      </w:r>
      <w:r>
        <w:rPr>
          <w:rFonts w:asciiTheme="majorHAnsi" w:hAnsiTheme="majorHAnsi"/>
          <w:color w:val="000000"/>
          <w:sz w:val="20"/>
          <w:szCs w:val="20"/>
        </w:rPr>
        <w:t>a of the Convention have been met.</w:t>
      </w:r>
    </w:p>
    <w:p w:rsidR="007D4D73" w:rsidRPr="00FD4F59"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rPr>
          <w:rFonts w:asciiTheme="majorHAnsi" w:hAnsiTheme="majorHAnsi"/>
          <w:color w:val="000000"/>
          <w:sz w:val="20"/>
          <w:szCs w:val="20"/>
        </w:rPr>
      </w:pPr>
    </w:p>
    <w:p w:rsidR="00E21857" w:rsidRDefault="0023306D" w:rsidP="00C65AD0">
      <w:pPr>
        <w:pStyle w:val="Heading3"/>
        <w:tabs>
          <w:tab w:val="clear" w:pos="720"/>
          <w:tab w:val="left" w:pos="270"/>
        </w:tabs>
        <w:ind w:left="0" w:firstLine="720"/>
        <w:jc w:val="both"/>
        <w:rPr>
          <w:rFonts w:asciiTheme="majorHAnsi" w:hAnsiTheme="majorHAnsi"/>
          <w:b/>
        </w:rPr>
      </w:pPr>
      <w:r>
        <w:rPr>
          <w:rFonts w:asciiTheme="majorHAnsi" w:hAnsiTheme="majorHAnsi"/>
          <w:b/>
          <w:bCs/>
          <w:lang w:val="en-US"/>
        </w:rPr>
        <w:t>Timeliness of the petition</w:t>
      </w:r>
    </w:p>
    <w:p w:rsidR="007D4D73" w:rsidRPr="007D4D73" w:rsidRDefault="007D4D73" w:rsidP="00C65AD0">
      <w:pPr>
        <w:jc w:val="both"/>
      </w:pPr>
    </w:p>
    <w:p w:rsidR="0084245B" w:rsidRPr="007D4D73" w:rsidRDefault="00FD5A42"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270"/>
          <w:tab w:val="num" w:pos="1440"/>
        </w:tabs>
        <w:ind w:left="0" w:firstLine="720"/>
        <w:jc w:val="both"/>
        <w:rPr>
          <w:rFonts w:asciiTheme="majorHAnsi" w:hAnsiTheme="majorHAnsi"/>
          <w:sz w:val="20"/>
          <w:szCs w:val="20"/>
        </w:rPr>
      </w:pPr>
      <w:r>
        <w:rPr>
          <w:rFonts w:asciiTheme="majorHAnsi" w:eastAsia="Cambria" w:hAnsiTheme="majorHAnsi" w:cs="Cambria"/>
          <w:sz w:val="20"/>
          <w:szCs w:val="20"/>
        </w:rPr>
        <w:t>Article 46</w:t>
      </w:r>
      <w:r w:rsidR="003D0613">
        <w:rPr>
          <w:rFonts w:asciiTheme="majorHAnsi" w:eastAsia="Cambria" w:hAnsiTheme="majorHAnsi" w:cs="Cambria"/>
          <w:sz w:val="20"/>
          <w:szCs w:val="20"/>
        </w:rPr>
        <w:t>.</w:t>
      </w:r>
      <w:r>
        <w:rPr>
          <w:rFonts w:asciiTheme="majorHAnsi" w:eastAsia="Cambria" w:hAnsiTheme="majorHAnsi" w:cs="Cambria"/>
          <w:sz w:val="20"/>
          <w:szCs w:val="20"/>
        </w:rPr>
        <w:t>1</w:t>
      </w:r>
      <w:r w:rsidR="003D0613">
        <w:rPr>
          <w:rFonts w:asciiTheme="majorHAnsi" w:eastAsia="Cambria" w:hAnsiTheme="majorHAnsi" w:cs="Cambria"/>
          <w:sz w:val="20"/>
          <w:szCs w:val="20"/>
        </w:rPr>
        <w:t>.</w:t>
      </w:r>
      <w:r>
        <w:rPr>
          <w:rFonts w:asciiTheme="majorHAnsi" w:eastAsia="Cambria" w:hAnsiTheme="majorHAnsi" w:cs="Cambria"/>
          <w:sz w:val="20"/>
          <w:szCs w:val="20"/>
        </w:rPr>
        <w:t xml:space="preserve">b of the American Convention provides that for a petition to be admissible, it must be presented within six months of the date on which the party alleging violation of rights was notified of the final judgment. </w:t>
      </w:r>
    </w:p>
    <w:p w:rsidR="007D4D73" w:rsidRPr="00FD4F59"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rPr>
          <w:rFonts w:asciiTheme="majorHAnsi" w:hAnsiTheme="majorHAnsi"/>
          <w:sz w:val="20"/>
          <w:szCs w:val="20"/>
        </w:rPr>
      </w:pPr>
    </w:p>
    <w:p w:rsidR="00FD5A42" w:rsidRPr="00EA5BD3" w:rsidRDefault="0008304F"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270"/>
          <w:tab w:val="num" w:pos="1440"/>
        </w:tabs>
        <w:ind w:left="0" w:firstLine="720"/>
        <w:jc w:val="both"/>
        <w:rPr>
          <w:rFonts w:asciiTheme="majorHAnsi" w:eastAsia="Cambria" w:hAnsiTheme="majorHAnsi" w:cs="Cambria"/>
          <w:sz w:val="20"/>
          <w:szCs w:val="20"/>
        </w:rPr>
      </w:pPr>
      <w:r>
        <w:rPr>
          <w:rFonts w:asciiTheme="majorHAnsi" w:hAnsiTheme="majorHAnsi"/>
          <w:sz w:val="20"/>
          <w:szCs w:val="20"/>
        </w:rPr>
        <w:t>The facts in this case thus show that exhaustion of domestic remedies occurred while the case was being examined for admissibility. Under those circumstances, the Commission has consistently taken the view that fulfillment of the requirement regarding the time period for lodging the petition is intrinsically linked to the exhaustion of domestic remedies and should therefore be regarded as complied with.</w:t>
      </w:r>
      <w:r>
        <w:rPr>
          <w:rStyle w:val="FootnoteReference"/>
          <w:rFonts w:asciiTheme="majorHAnsi" w:hAnsiTheme="majorHAnsi"/>
          <w:sz w:val="20"/>
          <w:szCs w:val="20"/>
        </w:rPr>
        <w:footnoteReference w:id="23"/>
      </w:r>
    </w:p>
    <w:p w:rsidR="00EA5BD3" w:rsidRPr="00FD4F59" w:rsidRDefault="00EA5BD3"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rPr>
          <w:rFonts w:asciiTheme="majorHAnsi" w:eastAsia="Cambria" w:hAnsiTheme="majorHAnsi" w:cs="Cambria"/>
          <w:sz w:val="20"/>
          <w:szCs w:val="20"/>
        </w:rPr>
      </w:pPr>
    </w:p>
    <w:p w:rsidR="00FD5A42" w:rsidRDefault="00FD5A42"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eastAsia="Cambria" w:hAnsiTheme="majorHAnsi" w:cs="Cambria"/>
          <w:sz w:val="20"/>
          <w:szCs w:val="20"/>
        </w:rPr>
      </w:pPr>
      <w:r>
        <w:rPr>
          <w:rFonts w:asciiTheme="majorHAnsi" w:eastAsia="Cambria" w:hAnsiTheme="majorHAnsi" w:cs="Cambria"/>
          <w:sz w:val="20"/>
          <w:szCs w:val="20"/>
        </w:rPr>
        <w:t xml:space="preserve">Therefore, in light of the context and characteristics of this petition, the Commission considers that the petition was lodged within a reasonable time and that the admissibility requirement regarding the timeliness of its presentation must be deemed met. </w:t>
      </w:r>
    </w:p>
    <w:p w:rsidR="007D4D73" w:rsidRPr="00FD4F59"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Cambria" w:hAnsiTheme="majorHAnsi" w:cs="Cambria"/>
          <w:sz w:val="20"/>
          <w:szCs w:val="20"/>
        </w:rPr>
      </w:pPr>
    </w:p>
    <w:p w:rsidR="00FD5A42" w:rsidRDefault="00FD5A42" w:rsidP="00C65AD0">
      <w:pPr>
        <w:pStyle w:val="Heading3"/>
        <w:tabs>
          <w:tab w:val="clear" w:pos="720"/>
          <w:tab w:val="left" w:pos="0"/>
        </w:tabs>
        <w:ind w:left="0" w:firstLine="720"/>
        <w:jc w:val="both"/>
        <w:rPr>
          <w:rFonts w:asciiTheme="majorHAnsi" w:hAnsiTheme="majorHAnsi"/>
          <w:b/>
        </w:rPr>
      </w:pPr>
      <w:r>
        <w:rPr>
          <w:rFonts w:asciiTheme="majorHAnsi" w:hAnsiTheme="majorHAnsi"/>
          <w:b/>
          <w:bCs/>
          <w:lang w:val="en-US"/>
        </w:rPr>
        <w:t>Duplication of international proceedings</w:t>
      </w:r>
    </w:p>
    <w:p w:rsidR="007D4D73" w:rsidRPr="007D4D73" w:rsidRDefault="007D4D73" w:rsidP="00C65AD0">
      <w:pPr>
        <w:jc w:val="both"/>
      </w:pPr>
    </w:p>
    <w:p w:rsidR="00FD5A42" w:rsidRDefault="00FD5A42"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eastAsia="Cambria" w:hAnsiTheme="majorHAnsi" w:cs="Cambria"/>
          <w:sz w:val="20"/>
          <w:szCs w:val="20"/>
        </w:rPr>
      </w:pPr>
      <w:r>
        <w:rPr>
          <w:rFonts w:asciiTheme="majorHAnsi" w:eastAsia="Cambria" w:hAnsiTheme="majorHAnsi" w:cs="Cambria"/>
          <w:sz w:val="20"/>
          <w:szCs w:val="20"/>
        </w:rPr>
        <w:t xml:space="preserve">There is nothing in the record to suggest that the subject matter of the petition is pending in another international proceeding for settlement or that it is has been previously studied by the Inter-American Commission. Therefore, the IACHR concludes that the exceptions provided at </w:t>
      </w:r>
      <w:r w:rsidR="00C64C3F">
        <w:rPr>
          <w:rFonts w:asciiTheme="majorHAnsi" w:eastAsia="Cambria" w:hAnsiTheme="majorHAnsi" w:cs="Cambria"/>
          <w:sz w:val="20"/>
          <w:szCs w:val="20"/>
        </w:rPr>
        <w:t>article</w:t>
      </w:r>
      <w:r>
        <w:rPr>
          <w:rFonts w:asciiTheme="majorHAnsi" w:eastAsia="Cambria" w:hAnsiTheme="majorHAnsi" w:cs="Cambria"/>
          <w:sz w:val="20"/>
          <w:szCs w:val="20"/>
        </w:rPr>
        <w:t>s 46</w:t>
      </w:r>
      <w:r w:rsidR="003D0613">
        <w:rPr>
          <w:rFonts w:asciiTheme="majorHAnsi" w:eastAsia="Cambria" w:hAnsiTheme="majorHAnsi" w:cs="Cambria"/>
          <w:sz w:val="20"/>
          <w:szCs w:val="20"/>
        </w:rPr>
        <w:t>.</w:t>
      </w:r>
      <w:r>
        <w:rPr>
          <w:rFonts w:asciiTheme="majorHAnsi" w:eastAsia="Cambria" w:hAnsiTheme="majorHAnsi" w:cs="Cambria"/>
          <w:sz w:val="20"/>
          <w:szCs w:val="20"/>
        </w:rPr>
        <w:t>1</w:t>
      </w:r>
      <w:r w:rsidR="003D0613">
        <w:rPr>
          <w:rFonts w:asciiTheme="majorHAnsi" w:eastAsia="Cambria" w:hAnsiTheme="majorHAnsi" w:cs="Cambria"/>
          <w:sz w:val="20"/>
          <w:szCs w:val="20"/>
        </w:rPr>
        <w:t>.</w:t>
      </w:r>
      <w:r>
        <w:rPr>
          <w:rFonts w:asciiTheme="majorHAnsi" w:eastAsia="Cambria" w:hAnsiTheme="majorHAnsi" w:cs="Cambria"/>
          <w:sz w:val="20"/>
          <w:szCs w:val="20"/>
        </w:rPr>
        <w:t>d and 47</w:t>
      </w:r>
      <w:r w:rsidR="003D0613">
        <w:rPr>
          <w:rFonts w:asciiTheme="majorHAnsi" w:eastAsia="Cambria" w:hAnsiTheme="majorHAnsi" w:cs="Cambria"/>
          <w:sz w:val="20"/>
          <w:szCs w:val="20"/>
        </w:rPr>
        <w:t>.</w:t>
      </w:r>
      <w:r>
        <w:rPr>
          <w:rFonts w:asciiTheme="majorHAnsi" w:eastAsia="Cambria" w:hAnsiTheme="majorHAnsi" w:cs="Cambria"/>
          <w:sz w:val="20"/>
          <w:szCs w:val="20"/>
        </w:rPr>
        <w:t xml:space="preserve">d of the American Convention are not applicable. </w:t>
      </w:r>
    </w:p>
    <w:p w:rsidR="00C64C3F" w:rsidRDefault="00C64C3F"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eastAsia="Cambria" w:hAnsiTheme="majorHAnsi" w:cs="Cambria"/>
          <w:sz w:val="20"/>
          <w:szCs w:val="20"/>
        </w:rPr>
      </w:pPr>
    </w:p>
    <w:p w:rsidR="00C64C3F" w:rsidRDefault="00C64C3F"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eastAsia="Cambria" w:hAnsiTheme="majorHAnsi" w:cs="Cambria"/>
          <w:sz w:val="20"/>
          <w:szCs w:val="20"/>
        </w:rPr>
      </w:pPr>
    </w:p>
    <w:p w:rsidR="007D4D73" w:rsidRPr="00FD4F59"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Cambria" w:hAnsiTheme="majorHAnsi" w:cs="Cambria"/>
          <w:sz w:val="20"/>
          <w:szCs w:val="20"/>
        </w:rPr>
      </w:pPr>
    </w:p>
    <w:p w:rsidR="00FD5A42" w:rsidRPr="008C1FA8" w:rsidRDefault="00FD5A42" w:rsidP="00C65AD0">
      <w:pPr>
        <w:pStyle w:val="Heading3"/>
        <w:tabs>
          <w:tab w:val="clear" w:pos="720"/>
          <w:tab w:val="left" w:pos="0"/>
        </w:tabs>
        <w:ind w:left="0" w:firstLine="720"/>
        <w:jc w:val="both"/>
        <w:rPr>
          <w:rFonts w:asciiTheme="majorHAnsi" w:hAnsiTheme="majorHAnsi"/>
          <w:b/>
        </w:rPr>
      </w:pPr>
      <w:r w:rsidRPr="008C1FA8">
        <w:rPr>
          <w:rFonts w:asciiTheme="majorHAnsi" w:hAnsiTheme="majorHAnsi"/>
          <w:b/>
          <w:bCs/>
          <w:lang w:val="en-US"/>
        </w:rPr>
        <w:t>Colorable claim</w:t>
      </w:r>
    </w:p>
    <w:p w:rsidR="007D4D73" w:rsidRPr="008C1FA8" w:rsidRDefault="007D4D73" w:rsidP="00C65AD0">
      <w:pPr>
        <w:jc w:val="both"/>
      </w:pPr>
    </w:p>
    <w:p w:rsidR="00F3497C" w:rsidRPr="008C1FA8" w:rsidRDefault="00F3497C" w:rsidP="00F349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eastAsia="Times New Roman" w:hAnsiTheme="majorHAnsi"/>
          <w:iCs/>
          <w:sz w:val="20"/>
          <w:szCs w:val="20"/>
          <w:bdr w:val="none" w:sz="0" w:space="0" w:color="auto"/>
        </w:rPr>
      </w:pPr>
      <w:r w:rsidRPr="008C1FA8">
        <w:rPr>
          <w:rFonts w:asciiTheme="majorHAnsi" w:eastAsia="Times New Roman" w:hAnsiTheme="majorHAnsi"/>
          <w:sz w:val="20"/>
          <w:szCs w:val="20"/>
          <w:bdr w:val="none" w:sz="0" w:space="0" w:color="auto"/>
        </w:rPr>
        <w:t xml:space="preserve">For admissibility purposes, the Commission must decide whether the petition states facts that tend to establish a violation, as stipulated in Article 47(b) of the American Convention, and whether the petition is “manifestly groundless” or “obviously out of order,” in accordance with paragraph (c) of the same article. The standard for assessing these points is different from that required to rule on the merits of a complaint. The Commission must perform a </w:t>
      </w:r>
      <w:r w:rsidRPr="008C1FA8">
        <w:rPr>
          <w:rFonts w:asciiTheme="majorHAnsi" w:eastAsia="Times New Roman" w:hAnsiTheme="majorHAnsi"/>
          <w:i/>
          <w:sz w:val="20"/>
          <w:szCs w:val="20"/>
          <w:bdr w:val="none" w:sz="0" w:space="0" w:color="auto"/>
        </w:rPr>
        <w:t>prima facie</w:t>
      </w:r>
      <w:r w:rsidRPr="008C1FA8">
        <w:rPr>
          <w:rFonts w:asciiTheme="majorHAnsi" w:eastAsia="Times New Roman" w:hAnsiTheme="majorHAnsi"/>
          <w:sz w:val="20"/>
          <w:szCs w:val="20"/>
          <w:bdr w:val="none" w:sz="0" w:space="0" w:color="auto"/>
        </w:rPr>
        <w:t xml:space="preserve"> evaluation to examine whether the complaint provides the basis for the apparent or potential violation of a right guaranteed by the Convention and not to establish the existence of a violation. Such examination is a summary analysis and does not imply a prejudgment or advance opinion on the merits.</w:t>
      </w:r>
    </w:p>
    <w:p w:rsidR="00F3497C" w:rsidRPr="008C1FA8" w:rsidRDefault="00F3497C" w:rsidP="00F3497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eastAsia="Cambria" w:hAnsiTheme="majorHAnsi" w:cs="Cambria"/>
          <w:sz w:val="20"/>
          <w:szCs w:val="20"/>
        </w:rPr>
      </w:pPr>
    </w:p>
    <w:p w:rsidR="00FD5A42" w:rsidRPr="008C1FA8" w:rsidRDefault="00F3497C"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eastAsia="Cambria" w:hAnsiTheme="majorHAnsi" w:cs="Cambria"/>
          <w:sz w:val="20"/>
          <w:szCs w:val="20"/>
        </w:rPr>
      </w:pPr>
      <w:r w:rsidRPr="008C1FA8">
        <w:rPr>
          <w:rFonts w:asciiTheme="majorHAnsi" w:eastAsia="Times New Roman" w:hAnsiTheme="majorHAnsi"/>
          <w:sz w:val="20"/>
          <w:szCs w:val="20"/>
          <w:bdr w:val="none" w:sz="0" w:space="0" w:color="auto"/>
        </w:rPr>
        <w:t>Ne</w:t>
      </w:r>
      <w:r w:rsidR="00FD5A42" w:rsidRPr="008C1FA8">
        <w:rPr>
          <w:rFonts w:asciiTheme="majorHAnsi" w:eastAsia="Times New Roman" w:hAnsiTheme="majorHAnsi"/>
          <w:sz w:val="20"/>
          <w:szCs w:val="20"/>
          <w:bdr w:val="none" w:sz="0" w:space="0" w:color="auto"/>
        </w:rPr>
        <w:t xml:space="preserve">ither the American Convention nor the Rules of Procedure of the IACHR require that the petition identify the specific rights allegedly violated by the State in a matter submitted to the Commission, though the petitioners may do so. It is up to the Commission, based on the case-law of the system, to determine in its admissibility reports which provision of the relevant inter-American instruments is applicable or could be established as having been violated, if the facts alleged are sufficiently proven. </w:t>
      </w:r>
    </w:p>
    <w:p w:rsidR="007D4D73" w:rsidRPr="008C1FA8"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Cambria" w:hAnsiTheme="majorHAnsi" w:cs="Cambria"/>
          <w:sz w:val="20"/>
          <w:szCs w:val="20"/>
        </w:rPr>
      </w:pPr>
    </w:p>
    <w:p w:rsidR="00FD5A42" w:rsidRPr="008C1FA8" w:rsidRDefault="00FD5A42"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eastAsia="Cambria" w:hAnsiTheme="majorHAnsi" w:cs="Cambria"/>
          <w:sz w:val="20"/>
          <w:szCs w:val="20"/>
        </w:rPr>
      </w:pPr>
      <w:r w:rsidRPr="008C1FA8">
        <w:rPr>
          <w:rFonts w:asciiTheme="majorHAnsi" w:eastAsia="Cambria" w:hAnsiTheme="majorHAnsi" w:cs="Cambria"/>
          <w:sz w:val="20"/>
          <w:szCs w:val="20"/>
        </w:rPr>
        <w:t>In light of the arguments of fact and of law presented by the parties and the nature of the matter before it, the IACHR finds that the petitioners</w:t>
      </w:r>
      <w:r w:rsidR="00E47B04" w:rsidRPr="008C1FA8">
        <w:rPr>
          <w:rFonts w:asciiTheme="majorHAnsi" w:eastAsia="Cambria" w:hAnsiTheme="majorHAnsi" w:cs="Cambria"/>
          <w:sz w:val="20"/>
          <w:szCs w:val="20"/>
        </w:rPr>
        <w:t>’</w:t>
      </w:r>
      <w:r w:rsidRPr="008C1FA8">
        <w:rPr>
          <w:rFonts w:asciiTheme="majorHAnsi" w:eastAsia="Cambria" w:hAnsiTheme="majorHAnsi" w:cs="Cambria"/>
          <w:sz w:val="20"/>
          <w:szCs w:val="20"/>
        </w:rPr>
        <w:t xml:space="preserve"> submissions regarding</w:t>
      </w:r>
      <w:r w:rsidR="00F3497C" w:rsidRPr="008C1FA8">
        <w:rPr>
          <w:rFonts w:asciiTheme="majorHAnsi" w:eastAsia="Cambria" w:hAnsiTheme="majorHAnsi" w:cs="Cambria"/>
          <w:sz w:val="20"/>
          <w:szCs w:val="20"/>
        </w:rPr>
        <w:t xml:space="preserve"> the alleged </w:t>
      </w:r>
      <w:r w:rsidR="00000B72" w:rsidRPr="008C1FA8">
        <w:rPr>
          <w:rFonts w:asciiTheme="majorHAnsi" w:eastAsia="Cambria" w:hAnsiTheme="majorHAnsi" w:cs="Cambria"/>
          <w:sz w:val="20"/>
          <w:szCs w:val="20"/>
        </w:rPr>
        <w:t xml:space="preserve">duration of the proceedings; the alleged tampering, removal and/or elimination of key evidence in the file; the alleged use of false and unlawful evidence; the alleged </w:t>
      </w:r>
      <w:r w:rsidR="00F3497C" w:rsidRPr="008C1FA8">
        <w:rPr>
          <w:rFonts w:asciiTheme="majorHAnsi" w:eastAsia="Cambria" w:hAnsiTheme="majorHAnsi" w:cs="Cambria"/>
          <w:sz w:val="20"/>
          <w:szCs w:val="20"/>
        </w:rPr>
        <w:t>lack of independence and impartiality of the judges in charge of domestic proceedings</w:t>
      </w:r>
      <w:r w:rsidR="00000B72" w:rsidRPr="008C1FA8">
        <w:rPr>
          <w:rFonts w:asciiTheme="majorHAnsi" w:eastAsia="Cambria" w:hAnsiTheme="majorHAnsi" w:cs="Cambria"/>
          <w:sz w:val="20"/>
          <w:szCs w:val="20"/>
        </w:rPr>
        <w:t>;</w:t>
      </w:r>
      <w:r w:rsidR="00F3497C" w:rsidRPr="008C1FA8">
        <w:rPr>
          <w:rFonts w:asciiTheme="majorHAnsi" w:eastAsia="Cambria" w:hAnsiTheme="majorHAnsi" w:cs="Cambria"/>
          <w:sz w:val="20"/>
          <w:szCs w:val="20"/>
        </w:rPr>
        <w:t xml:space="preserve"> the alleged violation of the right to have a </w:t>
      </w:r>
      <w:r w:rsidR="00000B72" w:rsidRPr="008C1FA8">
        <w:rPr>
          <w:rFonts w:asciiTheme="majorHAnsi" w:eastAsia="Cambria" w:hAnsiTheme="majorHAnsi" w:cs="Cambria"/>
          <w:sz w:val="20"/>
          <w:szCs w:val="20"/>
        </w:rPr>
        <w:t xml:space="preserve">duly reasoned judicial decision; as well as </w:t>
      </w:r>
      <w:r w:rsidR="00BF7C6A" w:rsidRPr="008C1FA8">
        <w:rPr>
          <w:rFonts w:asciiTheme="majorHAnsi" w:eastAsia="Cambria" w:hAnsiTheme="majorHAnsi" w:cs="Cambria"/>
          <w:sz w:val="20"/>
          <w:szCs w:val="20"/>
        </w:rPr>
        <w:t xml:space="preserve">the alleged inexistence of a comprehensive review by the Court of Cassation, </w:t>
      </w:r>
      <w:r w:rsidR="00B61363" w:rsidRPr="008C1FA8">
        <w:rPr>
          <w:rFonts w:asciiTheme="majorHAnsi" w:eastAsia="Cambria" w:hAnsiTheme="majorHAnsi" w:cs="Cambria"/>
          <w:sz w:val="20"/>
          <w:szCs w:val="20"/>
        </w:rPr>
        <w:t xml:space="preserve">could tend to establish violations of the </w:t>
      </w:r>
      <w:r w:rsidRPr="008C1FA8">
        <w:rPr>
          <w:rFonts w:asciiTheme="majorHAnsi" w:eastAsia="Cambria" w:hAnsiTheme="majorHAnsi" w:cs="Cambria"/>
          <w:sz w:val="20"/>
          <w:szCs w:val="20"/>
        </w:rPr>
        <w:t xml:space="preserve">rights to a fair trial and judicial protection </w:t>
      </w:r>
      <w:r w:rsidR="00B61363" w:rsidRPr="008C1FA8">
        <w:rPr>
          <w:rFonts w:asciiTheme="majorHAnsi" w:eastAsia="Cambria" w:hAnsiTheme="majorHAnsi" w:cs="Cambria"/>
          <w:sz w:val="20"/>
          <w:szCs w:val="20"/>
        </w:rPr>
        <w:t xml:space="preserve">respectively </w:t>
      </w:r>
      <w:r w:rsidR="00B705AD" w:rsidRPr="008C1FA8">
        <w:rPr>
          <w:rFonts w:asciiTheme="majorHAnsi" w:eastAsia="Cambria" w:hAnsiTheme="majorHAnsi" w:cs="Cambria"/>
          <w:sz w:val="20"/>
          <w:szCs w:val="20"/>
        </w:rPr>
        <w:t xml:space="preserve">set forth </w:t>
      </w:r>
      <w:r w:rsidRPr="008C1FA8">
        <w:rPr>
          <w:rFonts w:asciiTheme="majorHAnsi" w:eastAsia="Cambria" w:hAnsiTheme="majorHAnsi" w:cs="Cambria"/>
          <w:sz w:val="20"/>
          <w:szCs w:val="20"/>
        </w:rPr>
        <w:t xml:space="preserve">in </w:t>
      </w:r>
      <w:r w:rsidR="00B705AD" w:rsidRPr="008C1FA8">
        <w:rPr>
          <w:rFonts w:asciiTheme="majorHAnsi" w:eastAsia="Cambria" w:hAnsiTheme="majorHAnsi" w:cs="Cambria"/>
          <w:sz w:val="20"/>
          <w:szCs w:val="20"/>
        </w:rPr>
        <w:t>A</w:t>
      </w:r>
      <w:r w:rsidR="00C64C3F" w:rsidRPr="008C1FA8">
        <w:rPr>
          <w:rFonts w:asciiTheme="majorHAnsi" w:eastAsia="Cambria" w:hAnsiTheme="majorHAnsi" w:cs="Cambria"/>
          <w:sz w:val="20"/>
          <w:szCs w:val="20"/>
        </w:rPr>
        <w:t>rticle</w:t>
      </w:r>
      <w:r w:rsidRPr="008C1FA8">
        <w:rPr>
          <w:rFonts w:asciiTheme="majorHAnsi" w:eastAsia="Cambria" w:hAnsiTheme="majorHAnsi" w:cs="Cambria"/>
          <w:sz w:val="20"/>
          <w:szCs w:val="20"/>
        </w:rPr>
        <w:t xml:space="preserve">s 8 and 25 of the American Convention, taken in conjunction with </w:t>
      </w:r>
      <w:r w:rsidR="00C64C3F" w:rsidRPr="008C1FA8">
        <w:rPr>
          <w:rFonts w:asciiTheme="majorHAnsi" w:eastAsia="Cambria" w:hAnsiTheme="majorHAnsi" w:cs="Cambria"/>
          <w:sz w:val="20"/>
          <w:szCs w:val="20"/>
        </w:rPr>
        <w:t>a</w:t>
      </w:r>
      <w:r w:rsidRPr="008C1FA8">
        <w:rPr>
          <w:rFonts w:asciiTheme="majorHAnsi" w:eastAsia="Cambria" w:hAnsiTheme="majorHAnsi" w:cs="Cambria"/>
          <w:sz w:val="20"/>
          <w:szCs w:val="20"/>
        </w:rPr>
        <w:t>rticle 1</w:t>
      </w:r>
      <w:r w:rsidR="003D0613" w:rsidRPr="008C1FA8">
        <w:rPr>
          <w:rFonts w:asciiTheme="majorHAnsi" w:eastAsia="Cambria" w:hAnsiTheme="majorHAnsi" w:cs="Cambria"/>
          <w:sz w:val="20"/>
          <w:szCs w:val="20"/>
        </w:rPr>
        <w:t>.</w:t>
      </w:r>
      <w:r w:rsidRPr="008C1FA8">
        <w:rPr>
          <w:rFonts w:asciiTheme="majorHAnsi" w:eastAsia="Cambria" w:hAnsiTheme="majorHAnsi" w:cs="Cambria"/>
          <w:sz w:val="20"/>
          <w:szCs w:val="20"/>
        </w:rPr>
        <w:t xml:space="preserve">1 thereof, to the </w:t>
      </w:r>
      <w:r w:rsidR="00B52308" w:rsidRPr="008C1FA8">
        <w:rPr>
          <w:rFonts w:asciiTheme="majorHAnsi" w:eastAsia="Cambria" w:hAnsiTheme="majorHAnsi" w:cs="Cambria"/>
          <w:sz w:val="20"/>
          <w:szCs w:val="20"/>
        </w:rPr>
        <w:t xml:space="preserve">detriment of the </w:t>
      </w:r>
      <w:r w:rsidRPr="008C1FA8">
        <w:rPr>
          <w:rFonts w:asciiTheme="majorHAnsi" w:eastAsia="Cambria" w:hAnsiTheme="majorHAnsi" w:cs="Cambria"/>
          <w:sz w:val="20"/>
          <w:szCs w:val="20"/>
        </w:rPr>
        <w:t xml:space="preserve">relatives of Cristina Britez Arce. In addition, if the </w:t>
      </w:r>
      <w:r w:rsidR="00B705AD" w:rsidRPr="008C1FA8">
        <w:rPr>
          <w:rFonts w:asciiTheme="majorHAnsi" w:eastAsia="Cambria" w:hAnsiTheme="majorHAnsi" w:cs="Cambria"/>
          <w:sz w:val="20"/>
          <w:szCs w:val="20"/>
        </w:rPr>
        <w:t>allegations regarding the medical treatment afforded in a public hospital which are part of the factual framework of this petition</w:t>
      </w:r>
      <w:r w:rsidRPr="008C1FA8">
        <w:rPr>
          <w:rFonts w:asciiTheme="majorHAnsi" w:eastAsia="Cambria" w:hAnsiTheme="majorHAnsi" w:cs="Cambria"/>
          <w:sz w:val="20"/>
          <w:szCs w:val="20"/>
        </w:rPr>
        <w:t xml:space="preserve"> </w:t>
      </w:r>
      <w:r w:rsidR="000A222D" w:rsidRPr="008C1FA8">
        <w:rPr>
          <w:rFonts w:asciiTheme="majorHAnsi" w:eastAsia="Cambria" w:hAnsiTheme="majorHAnsi" w:cs="Cambria"/>
          <w:sz w:val="20"/>
          <w:szCs w:val="20"/>
        </w:rPr>
        <w:t xml:space="preserve">are corroborated, </w:t>
      </w:r>
      <w:r w:rsidRPr="008C1FA8">
        <w:rPr>
          <w:rFonts w:asciiTheme="majorHAnsi" w:eastAsia="Cambria" w:hAnsiTheme="majorHAnsi" w:cs="Cambria"/>
          <w:sz w:val="20"/>
          <w:szCs w:val="20"/>
        </w:rPr>
        <w:t xml:space="preserve">a violation could exist of </w:t>
      </w:r>
      <w:r w:rsidR="00B705AD" w:rsidRPr="008C1FA8">
        <w:rPr>
          <w:rFonts w:asciiTheme="majorHAnsi" w:eastAsia="Cambria" w:hAnsiTheme="majorHAnsi" w:cs="Cambria"/>
          <w:sz w:val="20"/>
          <w:szCs w:val="20"/>
        </w:rPr>
        <w:t>A</w:t>
      </w:r>
      <w:r w:rsidR="00C64C3F" w:rsidRPr="008C1FA8">
        <w:rPr>
          <w:rFonts w:asciiTheme="majorHAnsi" w:eastAsia="Cambria" w:hAnsiTheme="majorHAnsi" w:cs="Cambria"/>
          <w:sz w:val="20"/>
          <w:szCs w:val="20"/>
        </w:rPr>
        <w:t>rticle</w:t>
      </w:r>
      <w:r w:rsidRPr="008C1FA8">
        <w:rPr>
          <w:rFonts w:asciiTheme="majorHAnsi" w:eastAsia="Cambria" w:hAnsiTheme="majorHAnsi" w:cs="Cambria"/>
          <w:sz w:val="20"/>
          <w:szCs w:val="20"/>
        </w:rPr>
        <w:t xml:space="preserve"> 4 of the Convention, likewise in connection with </w:t>
      </w:r>
      <w:r w:rsidR="00C64C3F" w:rsidRPr="008C1FA8">
        <w:rPr>
          <w:rFonts w:asciiTheme="majorHAnsi" w:eastAsia="Cambria" w:hAnsiTheme="majorHAnsi" w:cs="Cambria"/>
          <w:sz w:val="20"/>
          <w:szCs w:val="20"/>
        </w:rPr>
        <w:t>article</w:t>
      </w:r>
      <w:r w:rsidRPr="008C1FA8">
        <w:rPr>
          <w:rFonts w:asciiTheme="majorHAnsi" w:eastAsia="Cambria" w:hAnsiTheme="majorHAnsi" w:cs="Cambria"/>
          <w:sz w:val="20"/>
          <w:szCs w:val="20"/>
        </w:rPr>
        <w:t xml:space="preserve"> 1</w:t>
      </w:r>
      <w:r w:rsidR="003D0613" w:rsidRPr="008C1FA8">
        <w:rPr>
          <w:rFonts w:asciiTheme="majorHAnsi" w:eastAsia="Cambria" w:hAnsiTheme="majorHAnsi" w:cs="Cambria"/>
          <w:sz w:val="20"/>
          <w:szCs w:val="20"/>
        </w:rPr>
        <w:t>.</w:t>
      </w:r>
      <w:r w:rsidRPr="008C1FA8">
        <w:rPr>
          <w:rFonts w:asciiTheme="majorHAnsi" w:eastAsia="Cambria" w:hAnsiTheme="majorHAnsi" w:cs="Cambria"/>
          <w:sz w:val="20"/>
          <w:szCs w:val="20"/>
        </w:rPr>
        <w:t>1 of that instrument, to the detriment of Cristina Britez Arce.</w:t>
      </w:r>
    </w:p>
    <w:p w:rsidR="007D4D73" w:rsidRPr="008C1FA8"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Cambria" w:hAnsiTheme="majorHAnsi" w:cs="Cambria"/>
          <w:sz w:val="20"/>
          <w:szCs w:val="20"/>
        </w:rPr>
      </w:pPr>
    </w:p>
    <w:p w:rsidR="009131BE" w:rsidRPr="008C1FA8" w:rsidRDefault="00FD5A42" w:rsidP="00C65AD0">
      <w:pPr>
        <w:pStyle w:val="Heading1"/>
        <w:jc w:val="both"/>
      </w:pPr>
      <w:r w:rsidRPr="008C1FA8">
        <w:rPr>
          <w:lang w:val="en-US"/>
        </w:rPr>
        <w:t>CONCLUSIONS</w:t>
      </w:r>
    </w:p>
    <w:p w:rsidR="007D4D73" w:rsidRPr="007D4D73" w:rsidRDefault="007D4D73" w:rsidP="00C65AD0">
      <w:pPr>
        <w:jc w:val="both"/>
      </w:pPr>
    </w:p>
    <w:p w:rsidR="00FD5A42" w:rsidRPr="007D4D73" w:rsidRDefault="0098722E" w:rsidP="00C65A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eastAsia="Cambria" w:hAnsiTheme="majorHAnsi" w:cs="Cambria"/>
          <w:sz w:val="20"/>
          <w:szCs w:val="20"/>
        </w:rPr>
      </w:pPr>
      <w:r>
        <w:rPr>
          <w:rFonts w:asciiTheme="majorHAnsi" w:eastAsia="Cambria" w:hAnsiTheme="majorHAnsi" w:cs="Cambria"/>
          <w:sz w:val="20"/>
          <w:szCs w:val="20"/>
        </w:rPr>
        <w:t xml:space="preserve">Based on the above legal and factual considerations and without prejudging the merits of the matter, the Commission concludes that this case meets the admissibility requirements set forth in </w:t>
      </w:r>
      <w:r w:rsidR="00C64C3F">
        <w:rPr>
          <w:rFonts w:asciiTheme="majorHAnsi" w:eastAsia="Cambria" w:hAnsiTheme="majorHAnsi" w:cs="Cambria"/>
          <w:sz w:val="20"/>
          <w:szCs w:val="20"/>
        </w:rPr>
        <w:t>article</w:t>
      </w:r>
      <w:r>
        <w:rPr>
          <w:rFonts w:asciiTheme="majorHAnsi" w:eastAsia="Cambria" w:hAnsiTheme="majorHAnsi" w:cs="Cambria"/>
          <w:sz w:val="20"/>
          <w:szCs w:val="20"/>
        </w:rPr>
        <w:t>s 46 and 47 of the American Convention and, therefore,</w:t>
      </w:r>
    </w:p>
    <w:p w:rsidR="007D4D73" w:rsidRPr="00FD4F59" w:rsidRDefault="007D4D73" w:rsidP="00C65A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Cambria" w:hAnsiTheme="majorHAnsi" w:cs="Cambria"/>
          <w:sz w:val="20"/>
          <w:szCs w:val="20"/>
        </w:rPr>
      </w:pPr>
    </w:p>
    <w:p w:rsidR="003B6ACA" w:rsidRDefault="00FD5A42" w:rsidP="003B6ACA">
      <w:pPr>
        <w:tabs>
          <w:tab w:val="left" w:pos="0"/>
        </w:tabs>
        <w:jc w:val="center"/>
        <w:rPr>
          <w:rFonts w:asciiTheme="majorHAnsi" w:eastAsia="Cambria" w:hAnsiTheme="majorHAnsi" w:cs="Cambria"/>
          <w:sz w:val="20"/>
          <w:szCs w:val="20"/>
        </w:rPr>
      </w:pPr>
      <w:r>
        <w:rPr>
          <w:rFonts w:asciiTheme="majorHAnsi" w:eastAsia="Cambria" w:hAnsiTheme="majorHAnsi" w:cs="Cambria"/>
          <w:b/>
          <w:bCs/>
          <w:sz w:val="20"/>
          <w:szCs w:val="20"/>
        </w:rPr>
        <w:t>THE INTER-AMERICAN COMMISSION ON HUMAN RIGHTS</w:t>
      </w:r>
      <w:r w:rsidR="00A662F4">
        <w:rPr>
          <w:rFonts w:asciiTheme="majorHAnsi" w:eastAsia="Cambria" w:hAnsiTheme="majorHAnsi" w:cs="Cambria"/>
          <w:sz w:val="20"/>
          <w:szCs w:val="20"/>
        </w:rPr>
        <w:t>,</w:t>
      </w:r>
    </w:p>
    <w:p w:rsidR="00FD5A42" w:rsidRPr="00A662F4" w:rsidRDefault="00FD5A42" w:rsidP="003B6ACA">
      <w:pPr>
        <w:tabs>
          <w:tab w:val="left" w:pos="0"/>
        </w:tabs>
        <w:rPr>
          <w:rFonts w:asciiTheme="majorHAnsi" w:eastAsia="Cambria" w:hAnsiTheme="majorHAnsi" w:cs="Cambria"/>
          <w:sz w:val="20"/>
          <w:szCs w:val="20"/>
        </w:rPr>
      </w:pPr>
      <w:r>
        <w:rPr>
          <w:rFonts w:asciiTheme="majorHAnsi" w:eastAsia="Cambria" w:hAnsiTheme="majorHAnsi" w:cs="Cambria"/>
          <w:b/>
          <w:bCs/>
          <w:sz w:val="20"/>
          <w:szCs w:val="20"/>
        </w:rPr>
        <w:t>DECIDES</w:t>
      </w:r>
      <w:r>
        <w:rPr>
          <w:rFonts w:asciiTheme="majorHAnsi" w:eastAsia="Cambria" w:hAnsiTheme="majorHAnsi" w:cs="Cambria"/>
          <w:sz w:val="20"/>
          <w:szCs w:val="20"/>
        </w:rPr>
        <w:t xml:space="preserve">: </w:t>
      </w:r>
    </w:p>
    <w:p w:rsidR="007D4D73" w:rsidRPr="00FD4F59" w:rsidRDefault="007D4D73" w:rsidP="00C65AD0">
      <w:pPr>
        <w:tabs>
          <w:tab w:val="left" w:pos="0"/>
        </w:tabs>
        <w:jc w:val="both"/>
        <w:rPr>
          <w:rFonts w:asciiTheme="majorHAnsi" w:eastAsia="Cambria" w:hAnsiTheme="majorHAnsi" w:cs="Cambria"/>
          <w:b/>
          <w:bCs/>
          <w:sz w:val="20"/>
          <w:szCs w:val="20"/>
        </w:rPr>
      </w:pPr>
    </w:p>
    <w:p w:rsidR="00FD5A42" w:rsidRDefault="00FD5A42" w:rsidP="00D041CC">
      <w:pPr>
        <w:pStyle w:val="ListParagraph"/>
        <w:numPr>
          <w:ilvl w:val="0"/>
          <w:numId w:val="57"/>
        </w:numPr>
        <w:tabs>
          <w:tab w:val="left" w:pos="0"/>
        </w:tabs>
        <w:ind w:left="0" w:firstLine="720"/>
        <w:jc w:val="both"/>
        <w:rPr>
          <w:rFonts w:asciiTheme="majorHAnsi" w:hAnsiTheme="majorHAnsi"/>
          <w:sz w:val="20"/>
          <w:szCs w:val="20"/>
        </w:rPr>
      </w:pPr>
      <w:r>
        <w:rPr>
          <w:rFonts w:asciiTheme="majorHAnsi" w:hAnsiTheme="majorHAnsi"/>
          <w:sz w:val="20"/>
          <w:szCs w:val="20"/>
        </w:rPr>
        <w:t xml:space="preserve">To declare this petition admissible in relation to </w:t>
      </w:r>
      <w:r w:rsidR="00C64C3F">
        <w:rPr>
          <w:rFonts w:asciiTheme="majorHAnsi" w:hAnsiTheme="majorHAnsi"/>
          <w:sz w:val="20"/>
          <w:szCs w:val="20"/>
        </w:rPr>
        <w:t>article</w:t>
      </w:r>
      <w:r>
        <w:rPr>
          <w:rFonts w:asciiTheme="majorHAnsi" w:hAnsiTheme="majorHAnsi"/>
          <w:sz w:val="20"/>
          <w:szCs w:val="20"/>
        </w:rPr>
        <w:t xml:space="preserve">s 4, 8, and 25 of the American Convention taken in conjunction with </w:t>
      </w:r>
      <w:r w:rsidR="00C64C3F">
        <w:rPr>
          <w:rFonts w:asciiTheme="majorHAnsi" w:hAnsiTheme="majorHAnsi"/>
          <w:sz w:val="20"/>
          <w:szCs w:val="20"/>
        </w:rPr>
        <w:t>a</w:t>
      </w:r>
      <w:r>
        <w:rPr>
          <w:rFonts w:asciiTheme="majorHAnsi" w:hAnsiTheme="majorHAnsi"/>
          <w:sz w:val="20"/>
          <w:szCs w:val="20"/>
        </w:rPr>
        <w:t>rticle 1</w:t>
      </w:r>
      <w:r w:rsidR="003D0613">
        <w:rPr>
          <w:rFonts w:asciiTheme="majorHAnsi" w:hAnsiTheme="majorHAnsi"/>
          <w:sz w:val="20"/>
          <w:szCs w:val="20"/>
        </w:rPr>
        <w:t>.</w:t>
      </w:r>
      <w:r>
        <w:rPr>
          <w:rFonts w:asciiTheme="majorHAnsi" w:hAnsiTheme="majorHAnsi"/>
          <w:sz w:val="20"/>
          <w:szCs w:val="20"/>
        </w:rPr>
        <w:t>1 thereof.</w:t>
      </w:r>
    </w:p>
    <w:p w:rsidR="007D4D73" w:rsidRPr="007D4D73" w:rsidRDefault="007D4D73" w:rsidP="00C65AD0">
      <w:pPr>
        <w:tabs>
          <w:tab w:val="left" w:pos="0"/>
        </w:tabs>
        <w:jc w:val="both"/>
        <w:rPr>
          <w:rFonts w:asciiTheme="majorHAnsi" w:hAnsiTheme="majorHAnsi"/>
          <w:sz w:val="20"/>
          <w:szCs w:val="20"/>
        </w:rPr>
      </w:pPr>
    </w:p>
    <w:p w:rsidR="00FD5A42" w:rsidRDefault="00FD5A42" w:rsidP="00D041CC">
      <w:pPr>
        <w:pStyle w:val="ListParagraph"/>
        <w:numPr>
          <w:ilvl w:val="0"/>
          <w:numId w:val="57"/>
        </w:numPr>
        <w:tabs>
          <w:tab w:val="left" w:pos="0"/>
        </w:tabs>
        <w:ind w:left="0" w:firstLine="720"/>
        <w:jc w:val="both"/>
        <w:rPr>
          <w:rFonts w:asciiTheme="majorHAnsi" w:hAnsiTheme="majorHAnsi"/>
          <w:sz w:val="20"/>
          <w:szCs w:val="20"/>
        </w:rPr>
      </w:pPr>
      <w:r>
        <w:rPr>
          <w:rFonts w:asciiTheme="majorHAnsi" w:hAnsiTheme="majorHAnsi"/>
          <w:sz w:val="20"/>
          <w:szCs w:val="20"/>
        </w:rPr>
        <w:t>To notify the State and the petitioners of this decision.</w:t>
      </w:r>
    </w:p>
    <w:p w:rsidR="007D4D73" w:rsidRPr="007D4D73" w:rsidRDefault="007D4D73" w:rsidP="00C65AD0">
      <w:pPr>
        <w:tabs>
          <w:tab w:val="left" w:pos="0"/>
        </w:tabs>
        <w:jc w:val="both"/>
        <w:rPr>
          <w:rFonts w:asciiTheme="majorHAnsi" w:hAnsiTheme="majorHAnsi"/>
          <w:sz w:val="20"/>
          <w:szCs w:val="20"/>
        </w:rPr>
      </w:pPr>
    </w:p>
    <w:p w:rsidR="00FD5A42" w:rsidRDefault="00FD5A42" w:rsidP="00D041CC">
      <w:pPr>
        <w:pStyle w:val="ListParagraph"/>
        <w:numPr>
          <w:ilvl w:val="0"/>
          <w:numId w:val="57"/>
        </w:numPr>
        <w:tabs>
          <w:tab w:val="left" w:pos="0"/>
        </w:tabs>
        <w:ind w:left="0" w:firstLine="720"/>
        <w:jc w:val="both"/>
        <w:rPr>
          <w:rFonts w:asciiTheme="majorHAnsi" w:hAnsiTheme="majorHAnsi"/>
          <w:sz w:val="20"/>
          <w:szCs w:val="20"/>
        </w:rPr>
      </w:pPr>
      <w:r>
        <w:rPr>
          <w:rFonts w:asciiTheme="majorHAnsi" w:hAnsiTheme="majorHAnsi"/>
          <w:sz w:val="20"/>
          <w:szCs w:val="20"/>
        </w:rPr>
        <w:t>To proceed with its analysis of merits in the matter.</w:t>
      </w:r>
    </w:p>
    <w:p w:rsidR="007D4D73" w:rsidRPr="007D4D73" w:rsidRDefault="007D4D73" w:rsidP="00C65AD0">
      <w:pPr>
        <w:tabs>
          <w:tab w:val="left" w:pos="0"/>
        </w:tabs>
        <w:jc w:val="both"/>
        <w:rPr>
          <w:rFonts w:asciiTheme="majorHAnsi" w:hAnsiTheme="majorHAnsi"/>
          <w:sz w:val="20"/>
          <w:szCs w:val="20"/>
        </w:rPr>
      </w:pPr>
    </w:p>
    <w:p w:rsidR="00A33BCC" w:rsidRDefault="00FD5A42" w:rsidP="00D041CC">
      <w:pPr>
        <w:pStyle w:val="ListParagraph"/>
        <w:numPr>
          <w:ilvl w:val="0"/>
          <w:numId w:val="57"/>
        </w:numPr>
        <w:tabs>
          <w:tab w:val="left" w:pos="0"/>
        </w:tabs>
        <w:ind w:left="0" w:firstLine="720"/>
        <w:jc w:val="both"/>
        <w:rPr>
          <w:rFonts w:asciiTheme="majorHAnsi" w:hAnsiTheme="majorHAnsi"/>
          <w:sz w:val="20"/>
          <w:szCs w:val="20"/>
        </w:rPr>
      </w:pPr>
      <w:r>
        <w:rPr>
          <w:rFonts w:asciiTheme="majorHAnsi" w:hAnsiTheme="majorHAnsi"/>
          <w:sz w:val="20"/>
          <w:szCs w:val="20"/>
        </w:rPr>
        <w:t>To publish this decision and include it in its Annual Report to the OAS General Assembly.</w:t>
      </w:r>
    </w:p>
    <w:p w:rsidR="00A662F4" w:rsidRPr="00A662F4" w:rsidRDefault="00A662F4" w:rsidP="00A662F4">
      <w:pPr>
        <w:pStyle w:val="ListParagraph"/>
        <w:rPr>
          <w:rFonts w:asciiTheme="majorHAnsi" w:hAnsiTheme="majorHAnsi"/>
          <w:sz w:val="20"/>
          <w:szCs w:val="20"/>
        </w:rPr>
      </w:pPr>
    </w:p>
    <w:p w:rsidR="00A662F4" w:rsidRPr="003035DA" w:rsidRDefault="00A662F4" w:rsidP="003B6ACA">
      <w:pPr>
        <w:ind w:firstLine="720"/>
        <w:jc w:val="both"/>
        <w:rPr>
          <w:rFonts w:ascii="Cambria" w:hAnsi="Cambria"/>
          <w:spacing w:val="-2"/>
          <w:sz w:val="20"/>
          <w:szCs w:val="20"/>
        </w:rPr>
      </w:pPr>
      <w:r w:rsidRPr="00874A5A">
        <w:rPr>
          <w:rFonts w:ascii="Cambria" w:hAnsi="Cambria"/>
          <w:spacing w:val="-2"/>
          <w:sz w:val="20"/>
          <w:szCs w:val="20"/>
        </w:rPr>
        <w:t>Done and signed in the cit</w:t>
      </w:r>
      <w:r>
        <w:rPr>
          <w:rFonts w:ascii="Cambria" w:hAnsi="Cambria"/>
          <w:spacing w:val="-2"/>
          <w:sz w:val="20"/>
          <w:szCs w:val="20"/>
        </w:rPr>
        <w:t>y of Washington, D.C., on the 28</w:t>
      </w:r>
      <w:r>
        <w:rPr>
          <w:rFonts w:ascii="Cambria" w:hAnsi="Cambria"/>
          <w:spacing w:val="-2"/>
          <w:sz w:val="20"/>
          <w:szCs w:val="20"/>
          <w:vertAlign w:val="superscript"/>
        </w:rPr>
        <w:t>th</w:t>
      </w:r>
      <w:r w:rsidRPr="00874A5A">
        <w:rPr>
          <w:rFonts w:ascii="Cambria" w:hAnsi="Cambria"/>
          <w:spacing w:val="-2"/>
          <w:sz w:val="20"/>
          <w:szCs w:val="20"/>
        </w:rPr>
        <w:t xml:space="preserve"> day of the month of </w:t>
      </w:r>
      <w:r>
        <w:rPr>
          <w:rFonts w:ascii="Cambria" w:hAnsi="Cambria"/>
          <w:spacing w:val="-2"/>
          <w:sz w:val="20"/>
          <w:szCs w:val="20"/>
        </w:rPr>
        <w:t>July</w:t>
      </w:r>
      <w:r w:rsidRPr="00874A5A">
        <w:rPr>
          <w:rFonts w:ascii="Cambria" w:hAnsi="Cambria"/>
          <w:spacing w:val="-2"/>
          <w:sz w:val="20"/>
          <w:szCs w:val="20"/>
        </w:rPr>
        <w:t xml:space="preserve">, 2015. (Signed):  </w:t>
      </w:r>
      <w:r w:rsidRPr="00874A5A">
        <w:rPr>
          <w:rFonts w:ascii="Cambria" w:hAnsi="Cambria" w:cs="Arial"/>
          <w:noProof/>
          <w:spacing w:val="-2"/>
          <w:sz w:val="20"/>
          <w:szCs w:val="20"/>
        </w:rPr>
        <w:t>Rose-Marie Belle Antoine,</w:t>
      </w:r>
      <w:r w:rsidRPr="00874A5A">
        <w:rPr>
          <w:rFonts w:ascii="Cambria" w:hAnsi="Cambria"/>
          <w:sz w:val="20"/>
          <w:szCs w:val="20"/>
        </w:rPr>
        <w:t xml:space="preserve"> President; </w:t>
      </w:r>
      <w:r w:rsidRPr="00874A5A">
        <w:rPr>
          <w:rFonts w:ascii="Cambria" w:hAnsi="Cambria" w:cs="Arial"/>
          <w:noProof/>
          <w:spacing w:val="-2"/>
          <w:sz w:val="20"/>
          <w:szCs w:val="20"/>
        </w:rPr>
        <w:t>James L. Cavallaro</w:t>
      </w:r>
      <w:r w:rsidRPr="00874A5A">
        <w:rPr>
          <w:rFonts w:ascii="Cambria" w:hAnsi="Cambria"/>
          <w:sz w:val="20"/>
          <w:szCs w:val="20"/>
        </w:rPr>
        <w:t xml:space="preserve">, </w:t>
      </w:r>
      <w:r w:rsidRPr="00874A5A">
        <w:rPr>
          <w:rFonts w:ascii="Cambria" w:hAnsi="Cambria"/>
          <w:spacing w:val="-2"/>
          <w:sz w:val="20"/>
          <w:szCs w:val="20"/>
        </w:rPr>
        <w:t>First Vice President;</w:t>
      </w:r>
      <w:r w:rsidRPr="00874A5A">
        <w:rPr>
          <w:rFonts w:ascii="Cambria" w:hAnsi="Cambria" w:cs="Arial"/>
          <w:noProof/>
          <w:spacing w:val="-2"/>
          <w:sz w:val="20"/>
          <w:szCs w:val="20"/>
        </w:rPr>
        <w:t xml:space="preserve"> José de Jesús Orozco Henríquez</w:t>
      </w:r>
      <w:r w:rsidRPr="00874A5A">
        <w:rPr>
          <w:rFonts w:ascii="Cambria" w:hAnsi="Cambria"/>
          <w:spacing w:val="-2"/>
          <w:sz w:val="20"/>
          <w:szCs w:val="20"/>
        </w:rPr>
        <w:t xml:space="preserve">, </w:t>
      </w:r>
      <w:r w:rsidRPr="00874A5A">
        <w:rPr>
          <w:rFonts w:ascii="Cambria" w:hAnsi="Cambria" w:cs="Arial"/>
          <w:noProof/>
          <w:spacing w:val="-2"/>
          <w:sz w:val="20"/>
          <w:szCs w:val="20"/>
        </w:rPr>
        <w:t>Second Vice President; Felipe González, R</w:t>
      </w:r>
      <w:r>
        <w:rPr>
          <w:rFonts w:ascii="Cambria" w:hAnsi="Cambria" w:cs="Arial"/>
          <w:noProof/>
          <w:spacing w:val="-2"/>
          <w:sz w:val="20"/>
          <w:szCs w:val="20"/>
        </w:rPr>
        <w:t>osa María Ortiz and</w:t>
      </w:r>
      <w:r w:rsidRPr="00874A5A">
        <w:rPr>
          <w:rFonts w:ascii="Cambria" w:hAnsi="Cambria" w:cs="Arial"/>
          <w:noProof/>
          <w:spacing w:val="-2"/>
          <w:sz w:val="20"/>
          <w:szCs w:val="20"/>
        </w:rPr>
        <w:t xml:space="preserve"> </w:t>
      </w:r>
      <w:r w:rsidRPr="00874A5A">
        <w:rPr>
          <w:rFonts w:ascii="Cambria" w:hAnsi="Cambria"/>
          <w:sz w:val="20"/>
          <w:szCs w:val="20"/>
        </w:rPr>
        <w:t>Tracy Robinson</w:t>
      </w:r>
      <w:r w:rsidRPr="00874A5A">
        <w:rPr>
          <w:rFonts w:ascii="Cambria" w:hAnsi="Cambria" w:cs="Arial"/>
          <w:noProof/>
          <w:spacing w:val="-2"/>
          <w:sz w:val="20"/>
          <w:szCs w:val="20"/>
        </w:rPr>
        <w:t xml:space="preserve"> </w:t>
      </w:r>
      <w:r w:rsidRPr="00874A5A">
        <w:rPr>
          <w:rFonts w:ascii="Cambria" w:hAnsi="Cambria"/>
          <w:spacing w:val="-2"/>
          <w:sz w:val="20"/>
          <w:szCs w:val="20"/>
        </w:rPr>
        <w:t>Commissioners</w:t>
      </w:r>
      <w:r>
        <w:rPr>
          <w:rFonts w:ascii="Cambria" w:hAnsi="Cambria" w:cs="Tahoma"/>
          <w:color w:val="333333"/>
          <w:sz w:val="20"/>
          <w:szCs w:val="20"/>
        </w:rPr>
        <w:t>.</w:t>
      </w:r>
    </w:p>
    <w:sectPr w:rsidR="00A662F4" w:rsidRPr="003035DA" w:rsidSect="009E02BA">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F29" w:rsidRDefault="00496F29">
      <w:r>
        <w:separator/>
      </w:r>
    </w:p>
  </w:endnote>
  <w:endnote w:type="continuationSeparator" w:id="0">
    <w:p w:rsidR="00496F29" w:rsidRDefault="0049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1F2" w:rsidRDefault="008E31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8B676A" w:rsidRPr="00934A2C" w:rsidRDefault="008B676A">
        <w:pPr>
          <w:pStyle w:val="Footer"/>
          <w:jc w:val="center"/>
          <w:rPr>
            <w:sz w:val="16"/>
            <w:szCs w:val="22"/>
          </w:rPr>
        </w:pPr>
        <w:r>
          <w:rPr>
            <w:sz w:val="16"/>
            <w:szCs w:val="22"/>
          </w:rPr>
          <w:fldChar w:fldCharType="begin"/>
        </w:r>
        <w:r>
          <w:rPr>
            <w:sz w:val="16"/>
            <w:szCs w:val="22"/>
          </w:rPr>
          <w:instrText xml:space="preserve"> PAGE   \* MERGEFORMAT </w:instrText>
        </w:r>
        <w:r>
          <w:rPr>
            <w:sz w:val="16"/>
            <w:szCs w:val="22"/>
          </w:rPr>
          <w:fldChar w:fldCharType="separate"/>
        </w:r>
        <w:r w:rsidR="008E31F2">
          <w:rPr>
            <w:noProof/>
            <w:sz w:val="16"/>
            <w:szCs w:val="22"/>
          </w:rPr>
          <w:t>2</w:t>
        </w:r>
        <w:r>
          <w:rPr>
            <w:noProof/>
            <w:sz w:val="16"/>
            <w:szCs w:val="22"/>
          </w:rPr>
          <w:fldChar w:fldCharType="end"/>
        </w:r>
      </w:p>
    </w:sdtContent>
  </w:sdt>
  <w:p w:rsidR="008B676A" w:rsidRDefault="008B67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76A" w:rsidRPr="00934A2C" w:rsidRDefault="008B676A">
    <w:pPr>
      <w:pStyle w:val="Footer"/>
      <w:jc w:val="center"/>
      <w:rPr>
        <w:sz w:val="16"/>
        <w:szCs w:val="22"/>
      </w:rPr>
    </w:pPr>
  </w:p>
  <w:p w:rsidR="008B676A" w:rsidRDefault="008B6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F29" w:rsidRPr="000F35ED" w:rsidRDefault="00496F29">
      <w:pPr>
        <w:rPr>
          <w:rFonts w:asciiTheme="majorHAnsi" w:hAnsiTheme="majorHAnsi"/>
          <w:sz w:val="16"/>
          <w:szCs w:val="16"/>
        </w:rPr>
      </w:pPr>
      <w:r>
        <w:rPr>
          <w:rFonts w:asciiTheme="majorHAnsi" w:hAnsiTheme="majorHAnsi"/>
          <w:sz w:val="16"/>
          <w:szCs w:val="16"/>
        </w:rPr>
        <w:separator/>
      </w:r>
    </w:p>
  </w:footnote>
  <w:footnote w:type="continuationSeparator" w:id="0">
    <w:p w:rsidR="00496F29" w:rsidRPr="000F35ED" w:rsidRDefault="00496F29" w:rsidP="000F35ED">
      <w:pPr>
        <w:rPr>
          <w:rFonts w:asciiTheme="majorHAnsi" w:hAnsiTheme="majorHAnsi"/>
          <w:sz w:val="16"/>
          <w:szCs w:val="16"/>
        </w:rPr>
      </w:pPr>
      <w:r>
        <w:rPr>
          <w:rFonts w:asciiTheme="majorHAnsi" w:hAnsiTheme="majorHAnsi"/>
          <w:sz w:val="16"/>
          <w:szCs w:val="16"/>
        </w:rPr>
        <w:separator/>
      </w:r>
    </w:p>
    <w:p w:rsidR="00496F29" w:rsidRPr="000F35ED" w:rsidRDefault="00496F29" w:rsidP="000F35ED">
      <w:pPr>
        <w:pStyle w:val="Footer"/>
        <w:rPr>
          <w:rFonts w:asciiTheme="majorHAnsi" w:hAnsiTheme="majorHAnsi"/>
          <w:sz w:val="16"/>
          <w:szCs w:val="16"/>
        </w:rPr>
      </w:pPr>
      <w:r>
        <w:rPr>
          <w:rFonts w:asciiTheme="majorHAnsi" w:hAnsiTheme="majorHAnsi"/>
          <w:sz w:val="16"/>
          <w:szCs w:val="16"/>
        </w:rPr>
        <w:t>[… continues]</w:t>
      </w:r>
    </w:p>
  </w:footnote>
  <w:footnote w:type="continuationNotice" w:id="1">
    <w:p w:rsidR="00496F29" w:rsidRPr="000F35ED" w:rsidRDefault="00496F29" w:rsidP="000F35ED">
      <w:pPr>
        <w:jc w:val="right"/>
        <w:rPr>
          <w:rFonts w:asciiTheme="majorHAnsi" w:hAnsiTheme="majorHAnsi"/>
          <w:sz w:val="16"/>
          <w:szCs w:val="16"/>
        </w:rPr>
      </w:pPr>
      <w:r>
        <w:rPr>
          <w:rFonts w:asciiTheme="majorHAnsi" w:hAnsiTheme="majorHAnsi"/>
          <w:sz w:val="16"/>
          <w:szCs w:val="16"/>
        </w:rPr>
        <w:t>[continued…]</w:t>
      </w:r>
    </w:p>
  </w:footnote>
  <w:footnote w:id="2">
    <w:p w:rsidR="008B676A" w:rsidRPr="00C36276" w:rsidRDefault="008B676A" w:rsidP="00C36276">
      <w:pPr>
        <w:pStyle w:val="FootnoteText"/>
        <w:spacing w:after="120"/>
        <w:ind w:firstLine="720"/>
        <w:jc w:val="both"/>
        <w:rPr>
          <w:rFonts w:asciiTheme="majorHAnsi" w:hAnsiTheme="majorHAnsi"/>
          <w:sz w:val="16"/>
          <w:szCs w:val="16"/>
        </w:rPr>
      </w:pPr>
      <w:r w:rsidRPr="00C36276">
        <w:rPr>
          <w:rStyle w:val="FootnoteReference"/>
          <w:rFonts w:asciiTheme="majorHAnsi" w:hAnsiTheme="majorHAnsi"/>
          <w:sz w:val="16"/>
          <w:szCs w:val="16"/>
        </w:rPr>
        <w:footnoteRef/>
      </w:r>
      <w:r w:rsidRPr="00C36276">
        <w:rPr>
          <w:rFonts w:asciiTheme="majorHAnsi" w:hAnsiTheme="majorHAnsi"/>
          <w:sz w:val="16"/>
          <w:szCs w:val="16"/>
        </w:rPr>
        <w:t xml:space="preserve"> Magistrate</w:t>
      </w:r>
      <w:r w:rsidR="00E47B04" w:rsidRPr="00C36276">
        <w:rPr>
          <w:rFonts w:asciiTheme="majorHAnsi" w:hAnsiTheme="majorHAnsi"/>
          <w:sz w:val="16"/>
          <w:szCs w:val="16"/>
        </w:rPr>
        <w:t>’</w:t>
      </w:r>
      <w:r w:rsidRPr="00C36276">
        <w:rPr>
          <w:rFonts w:asciiTheme="majorHAnsi" w:hAnsiTheme="majorHAnsi"/>
          <w:sz w:val="16"/>
          <w:szCs w:val="16"/>
        </w:rPr>
        <w:t xml:space="preserve">s Court No. 8 (Secretariat 63), </w:t>
      </w:r>
      <w:r w:rsidR="00E47B04" w:rsidRPr="00C36276">
        <w:rPr>
          <w:rFonts w:asciiTheme="majorHAnsi" w:hAnsiTheme="majorHAnsi"/>
          <w:sz w:val="16"/>
          <w:szCs w:val="16"/>
        </w:rPr>
        <w:t>“</w:t>
      </w:r>
      <w:r w:rsidRPr="00C36276">
        <w:rPr>
          <w:rFonts w:asciiTheme="majorHAnsi" w:hAnsiTheme="majorHAnsi"/>
          <w:sz w:val="16"/>
          <w:szCs w:val="16"/>
        </w:rPr>
        <w:t>BRITEZ ARCE, Cristina - Manslaughter.</w:t>
      </w:r>
      <w:r w:rsidR="00E47B04" w:rsidRPr="00C36276">
        <w:rPr>
          <w:rFonts w:asciiTheme="majorHAnsi" w:hAnsiTheme="majorHAnsi"/>
          <w:sz w:val="16"/>
          <w:szCs w:val="16"/>
        </w:rPr>
        <w:t>”</w:t>
      </w:r>
      <w:r w:rsidRPr="00C36276">
        <w:rPr>
          <w:rFonts w:asciiTheme="majorHAnsi" w:hAnsiTheme="majorHAnsi"/>
          <w:sz w:val="16"/>
          <w:szCs w:val="16"/>
        </w:rPr>
        <w:t xml:space="preserve"> Case No. 2.391. The petitioners also refer to this case as </w:t>
      </w:r>
      <w:r w:rsidR="00E47B04" w:rsidRPr="00C36276">
        <w:rPr>
          <w:rFonts w:asciiTheme="majorHAnsi" w:hAnsiTheme="majorHAnsi"/>
          <w:sz w:val="16"/>
          <w:szCs w:val="16"/>
        </w:rPr>
        <w:t>“</w:t>
      </w:r>
      <w:r w:rsidRPr="00C36276">
        <w:rPr>
          <w:rFonts w:asciiTheme="majorHAnsi" w:hAnsiTheme="majorHAnsi"/>
          <w:sz w:val="16"/>
          <w:szCs w:val="16"/>
        </w:rPr>
        <w:t>BRITEZ ARCE, Cristina - Homicide Art. 43. Criminal</w:t>
      </w:r>
      <w:r w:rsidR="00236E63" w:rsidRPr="00C36276">
        <w:rPr>
          <w:rFonts w:asciiTheme="majorHAnsi" w:hAnsiTheme="majorHAnsi"/>
          <w:sz w:val="16"/>
          <w:szCs w:val="16"/>
        </w:rPr>
        <w:t xml:space="preserve"> Code</w:t>
      </w:r>
      <w:r w:rsidRPr="00C36276">
        <w:rPr>
          <w:rFonts w:asciiTheme="majorHAnsi" w:hAnsiTheme="majorHAnsi"/>
          <w:sz w:val="16"/>
          <w:szCs w:val="16"/>
        </w:rPr>
        <w:t>.</w:t>
      </w:r>
      <w:r w:rsidR="00E47B04" w:rsidRPr="00C36276">
        <w:rPr>
          <w:rFonts w:asciiTheme="majorHAnsi" w:hAnsiTheme="majorHAnsi"/>
          <w:sz w:val="16"/>
          <w:szCs w:val="16"/>
        </w:rPr>
        <w:t>”</w:t>
      </w:r>
    </w:p>
  </w:footnote>
  <w:footnote w:id="3">
    <w:p w:rsidR="008B676A" w:rsidRPr="00C36276" w:rsidRDefault="008B676A" w:rsidP="00C36276">
      <w:pPr>
        <w:pStyle w:val="FootnoteText"/>
        <w:spacing w:after="120"/>
        <w:ind w:firstLine="720"/>
        <w:jc w:val="both"/>
        <w:rPr>
          <w:rFonts w:asciiTheme="majorHAnsi" w:hAnsiTheme="majorHAnsi"/>
          <w:sz w:val="16"/>
          <w:szCs w:val="16"/>
        </w:rPr>
      </w:pPr>
      <w:r w:rsidRPr="00C36276">
        <w:rPr>
          <w:rStyle w:val="FootnoteReference"/>
          <w:rFonts w:asciiTheme="majorHAnsi" w:hAnsiTheme="majorHAnsi"/>
          <w:sz w:val="16"/>
          <w:szCs w:val="16"/>
        </w:rPr>
        <w:footnoteRef/>
      </w:r>
      <w:r w:rsidRPr="00C36276">
        <w:rPr>
          <w:rFonts w:asciiTheme="majorHAnsi" w:hAnsiTheme="majorHAnsi"/>
          <w:sz w:val="16"/>
          <w:szCs w:val="16"/>
        </w:rPr>
        <w:t xml:space="preserve"> Criminal Court of First Instance No. 3 (Secretariat 110), </w:t>
      </w:r>
      <w:r w:rsidR="00E47B04" w:rsidRPr="00C36276">
        <w:rPr>
          <w:rFonts w:asciiTheme="majorHAnsi" w:hAnsiTheme="majorHAnsi"/>
          <w:sz w:val="16"/>
          <w:szCs w:val="16"/>
        </w:rPr>
        <w:t>“</w:t>
      </w:r>
      <w:r w:rsidRPr="00C36276">
        <w:rPr>
          <w:rFonts w:asciiTheme="majorHAnsi" w:hAnsiTheme="majorHAnsi"/>
          <w:sz w:val="16"/>
          <w:szCs w:val="16"/>
        </w:rPr>
        <w:t>CASAVILLA, Florencio et al. - Falsification of a public document.</w:t>
      </w:r>
      <w:r w:rsidR="00E47B04" w:rsidRPr="00C36276">
        <w:rPr>
          <w:rFonts w:asciiTheme="majorHAnsi" w:hAnsiTheme="majorHAnsi"/>
          <w:sz w:val="16"/>
          <w:szCs w:val="16"/>
        </w:rPr>
        <w:t>”</w:t>
      </w:r>
      <w:r w:rsidRPr="00C36276">
        <w:rPr>
          <w:rFonts w:asciiTheme="majorHAnsi" w:hAnsiTheme="majorHAnsi"/>
          <w:sz w:val="16"/>
          <w:szCs w:val="16"/>
        </w:rPr>
        <w:t xml:space="preserve"> Case No. 21.375/96 (during processing at second instance by the </w:t>
      </w:r>
      <w:r w:rsidR="003D0613">
        <w:rPr>
          <w:rFonts w:asciiTheme="majorHAnsi" w:hAnsiTheme="majorHAnsi"/>
          <w:sz w:val="16"/>
          <w:szCs w:val="16"/>
        </w:rPr>
        <w:t>Criminal Court of Appeals</w:t>
      </w:r>
      <w:r w:rsidRPr="00C36276">
        <w:rPr>
          <w:rFonts w:asciiTheme="majorHAnsi" w:hAnsiTheme="majorHAnsi"/>
          <w:sz w:val="16"/>
          <w:szCs w:val="16"/>
        </w:rPr>
        <w:t>, this case was numbered 18.668).</w:t>
      </w:r>
    </w:p>
  </w:footnote>
  <w:footnote w:id="4">
    <w:p w:rsidR="008B676A" w:rsidRPr="00C36276" w:rsidRDefault="008B676A" w:rsidP="00C36276">
      <w:pPr>
        <w:pStyle w:val="FootnoteText"/>
        <w:spacing w:after="120"/>
        <w:ind w:firstLine="720"/>
        <w:jc w:val="both"/>
        <w:rPr>
          <w:rFonts w:asciiTheme="majorHAnsi" w:hAnsiTheme="majorHAnsi"/>
          <w:sz w:val="16"/>
          <w:szCs w:val="16"/>
        </w:rPr>
      </w:pPr>
      <w:r w:rsidRPr="00C36276">
        <w:rPr>
          <w:rStyle w:val="FootnoteReference"/>
          <w:rFonts w:asciiTheme="majorHAnsi" w:hAnsiTheme="majorHAnsi"/>
          <w:sz w:val="16"/>
          <w:szCs w:val="16"/>
        </w:rPr>
        <w:footnoteRef/>
      </w:r>
      <w:r w:rsidRPr="00C36276">
        <w:rPr>
          <w:rFonts w:asciiTheme="majorHAnsi" w:hAnsiTheme="majorHAnsi"/>
          <w:sz w:val="16"/>
          <w:szCs w:val="16"/>
        </w:rPr>
        <w:t xml:space="preserve"> Criminal Court of First Instance No. 4 (Secretariat 113), </w:t>
      </w:r>
      <w:r w:rsidR="00E47B04" w:rsidRPr="00C36276">
        <w:rPr>
          <w:rFonts w:asciiTheme="majorHAnsi" w:hAnsiTheme="majorHAnsi"/>
          <w:sz w:val="16"/>
          <w:szCs w:val="16"/>
        </w:rPr>
        <w:t>“</w:t>
      </w:r>
      <w:r w:rsidRPr="00C36276">
        <w:rPr>
          <w:rFonts w:asciiTheme="majorHAnsi" w:hAnsiTheme="majorHAnsi"/>
          <w:sz w:val="16"/>
          <w:szCs w:val="16"/>
        </w:rPr>
        <w:t>FORENSIC MEDICAL CORPS - Perjury.</w:t>
      </w:r>
      <w:r w:rsidR="00E47B04" w:rsidRPr="00C36276">
        <w:rPr>
          <w:rFonts w:asciiTheme="majorHAnsi" w:hAnsiTheme="majorHAnsi"/>
          <w:sz w:val="16"/>
          <w:szCs w:val="16"/>
        </w:rPr>
        <w:t>”</w:t>
      </w:r>
      <w:r w:rsidRPr="00C36276">
        <w:rPr>
          <w:rFonts w:asciiTheme="majorHAnsi" w:hAnsiTheme="majorHAnsi"/>
          <w:sz w:val="16"/>
          <w:szCs w:val="16"/>
        </w:rPr>
        <w:t xml:space="preserve"> Case No. 27.985/98. The petitioners also referred to this case as </w:t>
      </w:r>
      <w:r w:rsidR="00E47B04" w:rsidRPr="00C36276">
        <w:rPr>
          <w:rFonts w:asciiTheme="majorHAnsi" w:hAnsiTheme="majorHAnsi"/>
          <w:sz w:val="16"/>
          <w:szCs w:val="16"/>
        </w:rPr>
        <w:t>“</w:t>
      </w:r>
      <w:r w:rsidRPr="00C36276">
        <w:rPr>
          <w:rFonts w:asciiTheme="majorHAnsi" w:hAnsiTheme="majorHAnsi"/>
          <w:sz w:val="16"/>
          <w:szCs w:val="16"/>
        </w:rPr>
        <w:t>FORENSIC MEDICAL CORPS - False expert opinion.</w:t>
      </w:r>
      <w:r w:rsidR="00E47B04" w:rsidRPr="00C36276">
        <w:rPr>
          <w:rFonts w:asciiTheme="majorHAnsi" w:hAnsiTheme="majorHAnsi"/>
          <w:sz w:val="16"/>
          <w:szCs w:val="16"/>
        </w:rPr>
        <w:t>”</w:t>
      </w:r>
    </w:p>
  </w:footnote>
  <w:footnote w:id="5">
    <w:p w:rsidR="00272F8E" w:rsidRPr="00C36276" w:rsidRDefault="00272F8E" w:rsidP="00C36276">
      <w:pPr>
        <w:pStyle w:val="FootnoteText"/>
        <w:spacing w:after="120"/>
        <w:ind w:firstLine="720"/>
        <w:jc w:val="both"/>
        <w:rPr>
          <w:rFonts w:asciiTheme="majorHAnsi" w:hAnsiTheme="majorHAnsi"/>
          <w:sz w:val="16"/>
          <w:szCs w:val="16"/>
        </w:rPr>
      </w:pPr>
      <w:r w:rsidRPr="00C36276">
        <w:rPr>
          <w:rStyle w:val="FootnoteReference"/>
          <w:rFonts w:asciiTheme="majorHAnsi" w:hAnsiTheme="majorHAnsi"/>
          <w:sz w:val="16"/>
          <w:szCs w:val="16"/>
        </w:rPr>
        <w:footnoteRef/>
      </w:r>
      <w:r w:rsidRPr="00C36276">
        <w:rPr>
          <w:rFonts w:asciiTheme="majorHAnsi" w:hAnsiTheme="majorHAnsi"/>
          <w:sz w:val="16"/>
          <w:szCs w:val="16"/>
        </w:rPr>
        <w:t xml:space="preserve"> In their initial petition, the petitioners informed the IACHR that the complaint was filed by their father (who was also the former spouse of the alleged victim), Miguel Ángel Avaro, in their representation, given that they were minors</w:t>
      </w:r>
      <w:r w:rsidR="00C36276" w:rsidRPr="00C36276">
        <w:rPr>
          <w:rFonts w:asciiTheme="majorHAnsi" w:hAnsiTheme="majorHAnsi"/>
          <w:sz w:val="16"/>
          <w:szCs w:val="16"/>
        </w:rPr>
        <w:t xml:space="preserve"> in accordance with </w:t>
      </w:r>
      <w:r w:rsidR="005170BE">
        <w:rPr>
          <w:rFonts w:asciiTheme="majorHAnsi" w:hAnsiTheme="majorHAnsi"/>
          <w:sz w:val="16"/>
          <w:szCs w:val="16"/>
        </w:rPr>
        <w:t>A</w:t>
      </w:r>
      <w:r w:rsidR="00C36276" w:rsidRPr="00C36276">
        <w:rPr>
          <w:rFonts w:asciiTheme="majorHAnsi" w:hAnsiTheme="majorHAnsi"/>
          <w:sz w:val="16"/>
          <w:szCs w:val="16"/>
        </w:rPr>
        <w:t>rgentine legislation in force at that time.</w:t>
      </w:r>
    </w:p>
  </w:footnote>
  <w:footnote w:id="6">
    <w:p w:rsidR="008B676A" w:rsidRPr="00C36276" w:rsidRDefault="008B676A" w:rsidP="00C36276">
      <w:pPr>
        <w:pStyle w:val="FootnoteText"/>
        <w:spacing w:after="120"/>
        <w:ind w:firstLine="720"/>
        <w:jc w:val="both"/>
        <w:rPr>
          <w:rFonts w:asciiTheme="majorHAnsi" w:hAnsiTheme="majorHAnsi"/>
          <w:sz w:val="16"/>
          <w:szCs w:val="16"/>
        </w:rPr>
      </w:pPr>
      <w:r w:rsidRPr="00C36276">
        <w:rPr>
          <w:rStyle w:val="FootnoteReference"/>
          <w:rFonts w:asciiTheme="majorHAnsi" w:hAnsiTheme="majorHAnsi"/>
          <w:sz w:val="16"/>
          <w:szCs w:val="16"/>
        </w:rPr>
        <w:footnoteRef/>
      </w:r>
      <w:r w:rsidRPr="00C36276">
        <w:rPr>
          <w:rFonts w:asciiTheme="majorHAnsi" w:hAnsiTheme="majorHAnsi"/>
          <w:sz w:val="16"/>
          <w:szCs w:val="16"/>
        </w:rPr>
        <w:t xml:space="preserve"> Magistrate</w:t>
      </w:r>
      <w:r w:rsidR="00E47B04" w:rsidRPr="00C36276">
        <w:rPr>
          <w:rFonts w:asciiTheme="majorHAnsi" w:hAnsiTheme="majorHAnsi"/>
          <w:sz w:val="16"/>
          <w:szCs w:val="16"/>
        </w:rPr>
        <w:t>’</w:t>
      </w:r>
      <w:r w:rsidRPr="00C36276">
        <w:rPr>
          <w:rFonts w:asciiTheme="majorHAnsi" w:hAnsiTheme="majorHAnsi"/>
          <w:sz w:val="16"/>
          <w:szCs w:val="16"/>
        </w:rPr>
        <w:t xml:space="preserve">s Court No. 8 (Secretariat 63), </w:t>
      </w:r>
      <w:r w:rsidR="00E47B04" w:rsidRPr="00C36276">
        <w:rPr>
          <w:rFonts w:asciiTheme="majorHAnsi" w:hAnsiTheme="majorHAnsi"/>
          <w:sz w:val="16"/>
          <w:szCs w:val="16"/>
        </w:rPr>
        <w:t>“</w:t>
      </w:r>
      <w:r w:rsidRPr="00C36276">
        <w:rPr>
          <w:rFonts w:asciiTheme="majorHAnsi" w:hAnsiTheme="majorHAnsi"/>
          <w:sz w:val="16"/>
          <w:szCs w:val="16"/>
        </w:rPr>
        <w:t>BRITEZ ARCE, Cristina - Manslaughter.</w:t>
      </w:r>
      <w:r w:rsidR="00E47B04" w:rsidRPr="00C36276">
        <w:rPr>
          <w:rFonts w:asciiTheme="majorHAnsi" w:hAnsiTheme="majorHAnsi"/>
          <w:sz w:val="16"/>
          <w:szCs w:val="16"/>
        </w:rPr>
        <w:t>”</w:t>
      </w:r>
      <w:r w:rsidRPr="00C36276">
        <w:rPr>
          <w:rFonts w:asciiTheme="majorHAnsi" w:hAnsiTheme="majorHAnsi"/>
          <w:sz w:val="16"/>
          <w:szCs w:val="16"/>
        </w:rPr>
        <w:t xml:space="preserve"> Case No. 2.391.</w:t>
      </w:r>
    </w:p>
  </w:footnote>
  <w:footnote w:id="7">
    <w:p w:rsidR="008B676A" w:rsidRPr="00C36276" w:rsidRDefault="008B676A" w:rsidP="00C36276">
      <w:pPr>
        <w:pStyle w:val="FootnoteText"/>
        <w:spacing w:after="120"/>
        <w:ind w:firstLine="720"/>
        <w:jc w:val="both"/>
        <w:rPr>
          <w:rFonts w:asciiTheme="majorHAnsi" w:hAnsiTheme="majorHAnsi"/>
          <w:sz w:val="16"/>
          <w:szCs w:val="16"/>
        </w:rPr>
      </w:pPr>
      <w:r w:rsidRPr="00C36276">
        <w:rPr>
          <w:rStyle w:val="FootnoteReference"/>
          <w:rFonts w:asciiTheme="majorHAnsi" w:hAnsiTheme="majorHAnsi"/>
          <w:sz w:val="16"/>
          <w:szCs w:val="16"/>
        </w:rPr>
        <w:footnoteRef/>
      </w:r>
      <w:r w:rsidRPr="00C36276">
        <w:rPr>
          <w:rFonts w:asciiTheme="majorHAnsi" w:hAnsiTheme="majorHAnsi"/>
          <w:sz w:val="16"/>
          <w:szCs w:val="16"/>
        </w:rPr>
        <w:t xml:space="preserve"> Criminal Court of First Instance No. 3 (Secretariat 110), </w:t>
      </w:r>
      <w:r w:rsidR="00E47B04" w:rsidRPr="00C36276">
        <w:rPr>
          <w:rFonts w:asciiTheme="majorHAnsi" w:hAnsiTheme="majorHAnsi"/>
          <w:sz w:val="16"/>
          <w:szCs w:val="16"/>
        </w:rPr>
        <w:t>“</w:t>
      </w:r>
      <w:r w:rsidRPr="00C36276">
        <w:rPr>
          <w:rFonts w:asciiTheme="majorHAnsi" w:hAnsiTheme="majorHAnsi"/>
          <w:sz w:val="16"/>
          <w:szCs w:val="16"/>
        </w:rPr>
        <w:t>CASAVILLA, Florencio et al. - Falsification of a public document.</w:t>
      </w:r>
      <w:r w:rsidR="00E47B04" w:rsidRPr="00C36276">
        <w:rPr>
          <w:rFonts w:asciiTheme="majorHAnsi" w:hAnsiTheme="majorHAnsi"/>
          <w:sz w:val="16"/>
          <w:szCs w:val="16"/>
        </w:rPr>
        <w:t>”</w:t>
      </w:r>
      <w:r w:rsidRPr="00C36276">
        <w:rPr>
          <w:rFonts w:asciiTheme="majorHAnsi" w:hAnsiTheme="majorHAnsi"/>
          <w:sz w:val="16"/>
          <w:szCs w:val="16"/>
        </w:rPr>
        <w:t xml:space="preserve"> Case No. 21.375/96.</w:t>
      </w:r>
    </w:p>
  </w:footnote>
  <w:footnote w:id="8">
    <w:p w:rsidR="00302E29" w:rsidRPr="00C36276" w:rsidRDefault="00302E29" w:rsidP="00C36276">
      <w:pPr>
        <w:pStyle w:val="FootnoteText"/>
        <w:spacing w:after="120"/>
        <w:ind w:firstLine="720"/>
        <w:jc w:val="both"/>
        <w:rPr>
          <w:rFonts w:asciiTheme="majorHAnsi" w:hAnsiTheme="majorHAnsi"/>
          <w:sz w:val="16"/>
          <w:szCs w:val="16"/>
        </w:rPr>
      </w:pPr>
      <w:r w:rsidRPr="00C36276">
        <w:rPr>
          <w:rStyle w:val="FootnoteReference"/>
          <w:rFonts w:asciiTheme="majorHAnsi" w:hAnsiTheme="majorHAnsi"/>
          <w:sz w:val="16"/>
          <w:szCs w:val="16"/>
        </w:rPr>
        <w:footnoteRef/>
      </w:r>
      <w:r w:rsidRPr="00C36276">
        <w:rPr>
          <w:rFonts w:asciiTheme="majorHAnsi" w:hAnsiTheme="majorHAnsi"/>
          <w:sz w:val="16"/>
          <w:szCs w:val="16"/>
        </w:rPr>
        <w:t xml:space="preserve"> Criminal Court of First Instance No. 4 (Secretariat 113), “FORENSIC MEDICAL CORPS - Perjury.” Case 27.985/98.</w:t>
      </w:r>
    </w:p>
  </w:footnote>
  <w:footnote w:id="9">
    <w:p w:rsidR="008B676A" w:rsidRPr="00C36276" w:rsidRDefault="008B676A" w:rsidP="00C36276">
      <w:pPr>
        <w:pStyle w:val="FootnoteText"/>
        <w:spacing w:after="120"/>
        <w:ind w:firstLine="720"/>
        <w:jc w:val="both"/>
        <w:rPr>
          <w:rFonts w:asciiTheme="majorHAnsi" w:hAnsiTheme="majorHAnsi"/>
          <w:sz w:val="16"/>
          <w:szCs w:val="16"/>
        </w:rPr>
      </w:pPr>
      <w:r w:rsidRPr="00C36276">
        <w:rPr>
          <w:rStyle w:val="FootnoteReference"/>
          <w:rFonts w:asciiTheme="majorHAnsi" w:hAnsiTheme="majorHAnsi"/>
          <w:sz w:val="16"/>
          <w:szCs w:val="16"/>
        </w:rPr>
        <w:footnoteRef/>
      </w:r>
      <w:r w:rsidR="00552FDC" w:rsidRPr="00C36276">
        <w:rPr>
          <w:rFonts w:asciiTheme="majorHAnsi" w:hAnsiTheme="majorHAnsi"/>
          <w:sz w:val="16"/>
          <w:szCs w:val="16"/>
        </w:rPr>
        <w:t xml:space="preserve"> </w:t>
      </w:r>
      <w:r w:rsidRPr="00C36276">
        <w:rPr>
          <w:rFonts w:asciiTheme="majorHAnsi" w:hAnsiTheme="majorHAnsi"/>
          <w:sz w:val="16"/>
          <w:szCs w:val="16"/>
        </w:rPr>
        <w:t xml:space="preserve">IACHR, Report No. 14/08, Petition 652-04, Admissibility, Hugo Humberto Ruiz Fuentes, Guatemala, March 5, 2008, </w:t>
      </w:r>
      <w:r w:rsidR="005D3FDF">
        <w:rPr>
          <w:rFonts w:asciiTheme="majorHAnsi" w:hAnsiTheme="majorHAnsi"/>
          <w:sz w:val="16"/>
          <w:szCs w:val="16"/>
        </w:rPr>
        <w:t>para.</w:t>
      </w:r>
      <w:r w:rsidRPr="00C36276">
        <w:rPr>
          <w:rFonts w:asciiTheme="majorHAnsi" w:hAnsiTheme="majorHAnsi"/>
          <w:sz w:val="16"/>
          <w:szCs w:val="16"/>
        </w:rPr>
        <w:t xml:space="preserve"> 64; IACHR, Report No. 14/04, Petition 11.568, Admissibility, Luis Antonio Galindo Cárdenas, Peru, February 27, 2004, </w:t>
      </w:r>
      <w:r w:rsidR="005D3FDF">
        <w:rPr>
          <w:rFonts w:asciiTheme="majorHAnsi" w:hAnsiTheme="majorHAnsi"/>
          <w:sz w:val="16"/>
          <w:szCs w:val="16"/>
        </w:rPr>
        <w:t>para.</w:t>
      </w:r>
      <w:r w:rsidRPr="00C36276">
        <w:rPr>
          <w:rFonts w:asciiTheme="majorHAnsi" w:hAnsiTheme="majorHAnsi"/>
          <w:sz w:val="16"/>
          <w:szCs w:val="16"/>
        </w:rPr>
        <w:t xml:space="preserve"> 39; IACHR, Report No. 83/03, Petition 12.358, Admissibility, Octavio Rubén González Acosta, Paraguay, October 22, 2003, </w:t>
      </w:r>
      <w:r w:rsidR="005D3FDF">
        <w:rPr>
          <w:rFonts w:asciiTheme="majorHAnsi" w:hAnsiTheme="majorHAnsi"/>
          <w:sz w:val="16"/>
          <w:szCs w:val="16"/>
        </w:rPr>
        <w:t>para.</w:t>
      </w:r>
      <w:r w:rsidRPr="00C36276">
        <w:rPr>
          <w:rFonts w:asciiTheme="majorHAnsi" w:hAnsiTheme="majorHAnsi"/>
          <w:sz w:val="16"/>
          <w:szCs w:val="16"/>
        </w:rPr>
        <w:t xml:space="preserve"> 23; IACHR, Report No. 05/03, Petition 519-01, Admissibility, Jesús María Valle Jaramillo, Colombia, February 20, 2003, </w:t>
      </w:r>
      <w:r w:rsidR="005D3FDF">
        <w:rPr>
          <w:rFonts w:asciiTheme="majorHAnsi" w:hAnsiTheme="majorHAnsi"/>
          <w:sz w:val="16"/>
          <w:szCs w:val="16"/>
        </w:rPr>
        <w:t>para.</w:t>
      </w:r>
      <w:r w:rsidRPr="00C36276">
        <w:rPr>
          <w:rFonts w:asciiTheme="majorHAnsi" w:hAnsiTheme="majorHAnsi"/>
          <w:sz w:val="16"/>
          <w:szCs w:val="16"/>
        </w:rPr>
        <w:t xml:space="preserve"> 28; IACHR, Report No. 42/02, Admissibility, Petition 11.995, Mariela Morales Caro et al. (La Rochela Massacre), Colombia, October 9, 2002, </w:t>
      </w:r>
      <w:r w:rsidR="005D3FDF">
        <w:rPr>
          <w:rFonts w:asciiTheme="majorHAnsi" w:hAnsiTheme="majorHAnsi"/>
          <w:sz w:val="16"/>
          <w:szCs w:val="16"/>
        </w:rPr>
        <w:t>para.</w:t>
      </w:r>
      <w:r w:rsidRPr="00C36276">
        <w:rPr>
          <w:rFonts w:asciiTheme="majorHAnsi" w:hAnsiTheme="majorHAnsi"/>
          <w:sz w:val="16"/>
          <w:szCs w:val="16"/>
        </w:rPr>
        <w:t xml:space="preserve"> 32. </w:t>
      </w:r>
    </w:p>
  </w:footnote>
  <w:footnote w:id="10">
    <w:p w:rsidR="008B676A" w:rsidRPr="00C36276" w:rsidRDefault="008B676A" w:rsidP="00C36276">
      <w:pPr>
        <w:spacing w:after="120"/>
        <w:ind w:firstLine="720"/>
        <w:jc w:val="both"/>
        <w:rPr>
          <w:rFonts w:asciiTheme="majorHAnsi" w:hAnsiTheme="majorHAnsi"/>
          <w:sz w:val="16"/>
          <w:szCs w:val="16"/>
        </w:rPr>
      </w:pPr>
      <w:r w:rsidRPr="00C36276">
        <w:rPr>
          <w:rStyle w:val="FootnoteReference"/>
          <w:rFonts w:asciiTheme="majorHAnsi" w:hAnsiTheme="majorHAnsi"/>
          <w:sz w:val="16"/>
          <w:szCs w:val="16"/>
        </w:rPr>
        <w:footnoteRef/>
      </w:r>
      <w:r w:rsidR="00552FDC" w:rsidRPr="00C36276">
        <w:rPr>
          <w:rFonts w:asciiTheme="majorHAnsi" w:hAnsiTheme="majorHAnsi"/>
          <w:sz w:val="16"/>
          <w:szCs w:val="16"/>
        </w:rPr>
        <w:t xml:space="preserve"> </w:t>
      </w:r>
      <w:r w:rsidRPr="00C36276">
        <w:rPr>
          <w:rFonts w:asciiTheme="majorHAnsi" w:hAnsiTheme="majorHAnsi"/>
          <w:sz w:val="16"/>
          <w:szCs w:val="16"/>
        </w:rPr>
        <w:t xml:space="preserve">IACHR, Report No. 99/14, Petition 446-09. Admissibility, Luis Alberto Rojas Marín. Peru, November 6, 2014, </w:t>
      </w:r>
      <w:r w:rsidR="005D3FDF">
        <w:rPr>
          <w:rFonts w:asciiTheme="majorHAnsi" w:hAnsiTheme="majorHAnsi"/>
          <w:sz w:val="16"/>
          <w:szCs w:val="16"/>
        </w:rPr>
        <w:t>para.</w:t>
      </w:r>
      <w:r w:rsidRPr="00C36276">
        <w:rPr>
          <w:rFonts w:asciiTheme="majorHAnsi" w:hAnsiTheme="majorHAnsi"/>
          <w:sz w:val="16"/>
          <w:szCs w:val="16"/>
        </w:rPr>
        <w:t xml:space="preserve"> 44; IACHR, Report No. 48/14, Petition 11.641. Admissibility, Pedro Julio Movilla Galarcio. Colombia. July 21, 2014, </w:t>
      </w:r>
      <w:r w:rsidR="005D3FDF">
        <w:rPr>
          <w:rFonts w:asciiTheme="majorHAnsi" w:hAnsiTheme="majorHAnsi"/>
          <w:sz w:val="16"/>
          <w:szCs w:val="16"/>
        </w:rPr>
        <w:t>para.</w:t>
      </w:r>
      <w:r w:rsidRPr="00C36276">
        <w:rPr>
          <w:rFonts w:asciiTheme="majorHAnsi" w:hAnsiTheme="majorHAnsi"/>
          <w:sz w:val="16"/>
          <w:szCs w:val="16"/>
        </w:rPr>
        <w:t xml:space="preserve"> 31; IACHR, Report No. 21/14. Petition 525-07. Admissibility, Baptiste Willer and Frédo Guirant. Haiti. April 4, 2014, </w:t>
      </w:r>
      <w:r w:rsidR="005D3FDF">
        <w:rPr>
          <w:rFonts w:asciiTheme="majorHAnsi" w:hAnsiTheme="majorHAnsi"/>
          <w:sz w:val="16"/>
          <w:szCs w:val="16"/>
        </w:rPr>
        <w:t>para.</w:t>
      </w:r>
      <w:r w:rsidRPr="00C36276">
        <w:rPr>
          <w:rFonts w:asciiTheme="majorHAnsi" w:hAnsiTheme="majorHAnsi"/>
          <w:sz w:val="16"/>
          <w:szCs w:val="16"/>
        </w:rPr>
        <w:t xml:space="preserve"> 20; IACHR, Report No. 38/13; 38/13, Petition 65-04, Admissibility, Jorge Adolfo Freytter Romero et al., Colombia, July 11, 2013, </w:t>
      </w:r>
      <w:r w:rsidR="005D3FDF">
        <w:rPr>
          <w:rFonts w:asciiTheme="majorHAnsi" w:hAnsiTheme="majorHAnsi"/>
          <w:sz w:val="16"/>
          <w:szCs w:val="16"/>
        </w:rPr>
        <w:t>para.</w:t>
      </w:r>
      <w:r w:rsidRPr="00C36276">
        <w:rPr>
          <w:rFonts w:asciiTheme="majorHAnsi" w:hAnsiTheme="majorHAnsi"/>
          <w:sz w:val="16"/>
          <w:szCs w:val="16"/>
        </w:rPr>
        <w:t xml:space="preserve"> 32; IACHR, Report No. 144/10, Petition 1579-07, Admissibility, Report Nº 144/10, Guatemala, Residents of the Village of Chichupac and the Hamlet of Xeabaj, Municipality of Rabinal, Guatemala, November 1, 2010, </w:t>
      </w:r>
      <w:r w:rsidR="005D3FDF">
        <w:rPr>
          <w:rFonts w:asciiTheme="majorHAnsi" w:hAnsiTheme="majorHAnsi"/>
          <w:sz w:val="16"/>
          <w:szCs w:val="16"/>
        </w:rPr>
        <w:t>para.</w:t>
      </w:r>
      <w:r w:rsidRPr="00C36276">
        <w:rPr>
          <w:rFonts w:asciiTheme="majorHAnsi" w:hAnsiTheme="majorHAnsi"/>
          <w:sz w:val="16"/>
          <w:szCs w:val="16"/>
        </w:rPr>
        <w:t xml:space="preserve"> 50; IACHR, Report No. 140/09, Petition 1470-05, Admissibility, Members of the Union of State Workers of Antioquia (</w:t>
      </w:r>
      <w:r w:rsidRPr="00C36276">
        <w:rPr>
          <w:rFonts w:asciiTheme="majorHAnsi" w:hAnsiTheme="majorHAnsi"/>
          <w:smallCaps/>
          <w:sz w:val="16"/>
          <w:szCs w:val="16"/>
        </w:rPr>
        <w:t>SINTRAOFAN</w:t>
      </w:r>
      <w:r w:rsidRPr="00C36276">
        <w:rPr>
          <w:rFonts w:asciiTheme="majorHAnsi" w:hAnsiTheme="majorHAnsi"/>
          <w:sz w:val="16"/>
          <w:szCs w:val="16"/>
        </w:rPr>
        <w:t xml:space="preserve">), Colombia, December 30, 2009, </w:t>
      </w:r>
      <w:r w:rsidR="005D3FDF">
        <w:rPr>
          <w:rFonts w:asciiTheme="majorHAnsi" w:hAnsiTheme="majorHAnsi"/>
          <w:sz w:val="16"/>
          <w:szCs w:val="16"/>
        </w:rPr>
        <w:t>para.</w:t>
      </w:r>
      <w:r w:rsidRPr="00C36276">
        <w:rPr>
          <w:rFonts w:asciiTheme="majorHAnsi" w:hAnsiTheme="majorHAnsi"/>
          <w:sz w:val="16"/>
          <w:szCs w:val="16"/>
        </w:rPr>
        <w:t xml:space="preserve"> 60. </w:t>
      </w:r>
    </w:p>
  </w:footnote>
  <w:footnote w:id="11">
    <w:p w:rsidR="008B676A" w:rsidRPr="00C36276" w:rsidRDefault="008B676A" w:rsidP="00C36276">
      <w:pPr>
        <w:pStyle w:val="FootnoteText"/>
        <w:spacing w:after="120"/>
        <w:ind w:firstLine="720"/>
        <w:jc w:val="both"/>
        <w:rPr>
          <w:rFonts w:asciiTheme="majorHAnsi" w:hAnsiTheme="majorHAnsi"/>
          <w:sz w:val="16"/>
          <w:szCs w:val="16"/>
        </w:rPr>
      </w:pPr>
      <w:r w:rsidRPr="00C36276">
        <w:rPr>
          <w:rStyle w:val="FootnoteReference"/>
          <w:rFonts w:asciiTheme="majorHAnsi" w:hAnsiTheme="majorHAnsi"/>
          <w:sz w:val="16"/>
          <w:szCs w:val="16"/>
        </w:rPr>
        <w:footnoteRef/>
      </w:r>
      <w:r w:rsidRPr="00C36276">
        <w:rPr>
          <w:rFonts w:asciiTheme="majorHAnsi" w:hAnsiTheme="majorHAnsi"/>
          <w:sz w:val="16"/>
          <w:szCs w:val="16"/>
        </w:rPr>
        <w:t xml:space="preserve"> Magistrate</w:t>
      </w:r>
      <w:r w:rsidR="00E47B04" w:rsidRPr="00C36276">
        <w:rPr>
          <w:rFonts w:asciiTheme="majorHAnsi" w:hAnsiTheme="majorHAnsi"/>
          <w:sz w:val="16"/>
          <w:szCs w:val="16"/>
        </w:rPr>
        <w:t>’</w:t>
      </w:r>
      <w:r w:rsidRPr="00C36276">
        <w:rPr>
          <w:rFonts w:asciiTheme="majorHAnsi" w:hAnsiTheme="majorHAnsi"/>
          <w:sz w:val="16"/>
          <w:szCs w:val="16"/>
        </w:rPr>
        <w:t xml:space="preserve">s Court No. 8 (Secretariat 63), </w:t>
      </w:r>
      <w:r w:rsidR="00E47B04" w:rsidRPr="00C36276">
        <w:rPr>
          <w:rFonts w:asciiTheme="majorHAnsi" w:hAnsiTheme="majorHAnsi"/>
          <w:sz w:val="16"/>
          <w:szCs w:val="16"/>
        </w:rPr>
        <w:t>“</w:t>
      </w:r>
      <w:r w:rsidRPr="00C36276">
        <w:rPr>
          <w:rFonts w:asciiTheme="majorHAnsi" w:hAnsiTheme="majorHAnsi"/>
          <w:sz w:val="16"/>
          <w:szCs w:val="16"/>
        </w:rPr>
        <w:t>BRITEZ ARCE, Cristina - Manslaughter.</w:t>
      </w:r>
      <w:r w:rsidR="00E47B04" w:rsidRPr="00C36276">
        <w:rPr>
          <w:rFonts w:asciiTheme="majorHAnsi" w:hAnsiTheme="majorHAnsi"/>
          <w:sz w:val="16"/>
          <w:szCs w:val="16"/>
        </w:rPr>
        <w:t>”</w:t>
      </w:r>
      <w:r w:rsidRPr="00C36276">
        <w:rPr>
          <w:rFonts w:asciiTheme="majorHAnsi" w:hAnsiTheme="majorHAnsi"/>
          <w:sz w:val="16"/>
          <w:szCs w:val="16"/>
        </w:rPr>
        <w:t xml:space="preserve"> Case No. 2.391.</w:t>
      </w:r>
    </w:p>
  </w:footnote>
  <w:footnote w:id="12">
    <w:p w:rsidR="008B676A" w:rsidRPr="00C36276" w:rsidRDefault="008B676A" w:rsidP="00C36276">
      <w:pPr>
        <w:pStyle w:val="FootnoteText"/>
        <w:spacing w:after="120"/>
        <w:ind w:firstLine="720"/>
        <w:jc w:val="both"/>
        <w:rPr>
          <w:rFonts w:asciiTheme="majorHAnsi" w:hAnsiTheme="majorHAnsi"/>
          <w:sz w:val="16"/>
          <w:szCs w:val="16"/>
        </w:rPr>
      </w:pPr>
      <w:r w:rsidRPr="00C36276">
        <w:rPr>
          <w:rStyle w:val="FootnoteReference"/>
          <w:rFonts w:asciiTheme="majorHAnsi" w:hAnsiTheme="majorHAnsi"/>
          <w:sz w:val="16"/>
          <w:szCs w:val="16"/>
        </w:rPr>
        <w:footnoteRef/>
      </w:r>
      <w:r w:rsidR="00272F8E" w:rsidRPr="00C36276">
        <w:rPr>
          <w:rFonts w:asciiTheme="majorHAnsi" w:hAnsiTheme="majorHAnsi"/>
          <w:sz w:val="16"/>
          <w:szCs w:val="16"/>
        </w:rPr>
        <w:t xml:space="preserve"> </w:t>
      </w:r>
      <w:r w:rsidRPr="00C36276">
        <w:rPr>
          <w:rFonts w:asciiTheme="majorHAnsi" w:hAnsiTheme="majorHAnsi"/>
          <w:sz w:val="16"/>
          <w:szCs w:val="16"/>
        </w:rPr>
        <w:t xml:space="preserve">IACHR, Report No. 6/98, Case 10.382, Ernesto Máximo Rodríguez, Argentina, February 21, 1998, </w:t>
      </w:r>
      <w:r w:rsidR="005D3FDF">
        <w:rPr>
          <w:rFonts w:asciiTheme="majorHAnsi" w:hAnsiTheme="majorHAnsi"/>
          <w:sz w:val="16"/>
          <w:szCs w:val="16"/>
        </w:rPr>
        <w:t>para.</w:t>
      </w:r>
      <w:r w:rsidRPr="00C36276">
        <w:rPr>
          <w:rFonts w:asciiTheme="majorHAnsi" w:hAnsiTheme="majorHAnsi"/>
          <w:sz w:val="16"/>
          <w:szCs w:val="16"/>
        </w:rPr>
        <w:t xml:space="preserve"> 62.</w:t>
      </w:r>
    </w:p>
  </w:footnote>
  <w:footnote w:id="13">
    <w:p w:rsidR="008B676A" w:rsidRPr="00C36276" w:rsidRDefault="008B676A" w:rsidP="00C36276">
      <w:pPr>
        <w:pStyle w:val="FootnoteText"/>
        <w:spacing w:after="120"/>
        <w:ind w:firstLine="720"/>
        <w:jc w:val="both"/>
        <w:rPr>
          <w:rFonts w:asciiTheme="majorHAnsi" w:hAnsiTheme="majorHAnsi"/>
          <w:sz w:val="16"/>
          <w:szCs w:val="16"/>
        </w:rPr>
      </w:pPr>
      <w:r w:rsidRPr="00C36276">
        <w:rPr>
          <w:rStyle w:val="FootnoteReference"/>
          <w:rFonts w:asciiTheme="majorHAnsi" w:hAnsiTheme="majorHAnsi"/>
          <w:sz w:val="16"/>
          <w:szCs w:val="16"/>
        </w:rPr>
        <w:footnoteRef/>
      </w:r>
      <w:r w:rsidR="00272F8E" w:rsidRPr="00C36276">
        <w:rPr>
          <w:rFonts w:asciiTheme="majorHAnsi" w:hAnsiTheme="majorHAnsi"/>
          <w:sz w:val="16"/>
          <w:szCs w:val="16"/>
        </w:rPr>
        <w:t xml:space="preserve"> </w:t>
      </w:r>
      <w:r w:rsidRPr="00C36276">
        <w:rPr>
          <w:rFonts w:asciiTheme="majorHAnsi" w:hAnsiTheme="majorHAnsi"/>
          <w:sz w:val="16"/>
          <w:szCs w:val="16"/>
        </w:rPr>
        <w:t xml:space="preserve">Under </w:t>
      </w:r>
      <w:r w:rsidR="00C65AD0">
        <w:rPr>
          <w:rFonts w:asciiTheme="majorHAnsi" w:hAnsiTheme="majorHAnsi"/>
          <w:sz w:val="16"/>
          <w:szCs w:val="16"/>
        </w:rPr>
        <w:t>article</w:t>
      </w:r>
      <w:r w:rsidRPr="00C36276">
        <w:rPr>
          <w:rFonts w:asciiTheme="majorHAnsi" w:hAnsiTheme="majorHAnsi"/>
          <w:sz w:val="16"/>
          <w:szCs w:val="16"/>
        </w:rPr>
        <w:t xml:space="preserve"> 124 of the Code of Criminal Procedure of the Nation, the petitioners had until the first two hours of the day after the deadline expired to file the appeal. Inasmuch as the regulation judicial business day begins at 7:30 a.m., that time limit ran until 9:30 a.m. on the day after the deadline expires. Cf. Code of Criminal Procedure of the Nation, </w:t>
      </w:r>
      <w:r w:rsidR="00C65AD0">
        <w:rPr>
          <w:rFonts w:asciiTheme="majorHAnsi" w:hAnsiTheme="majorHAnsi"/>
          <w:sz w:val="16"/>
          <w:szCs w:val="16"/>
        </w:rPr>
        <w:t>article</w:t>
      </w:r>
      <w:r w:rsidRPr="00C36276">
        <w:rPr>
          <w:rFonts w:asciiTheme="majorHAnsi" w:hAnsiTheme="majorHAnsi"/>
          <w:sz w:val="16"/>
          <w:szCs w:val="16"/>
        </w:rPr>
        <w:t xml:space="preserve"> 164. </w:t>
      </w:r>
      <w:r w:rsidR="00E47B04" w:rsidRPr="00C36276">
        <w:rPr>
          <w:rFonts w:asciiTheme="majorHAnsi" w:hAnsiTheme="majorHAnsi"/>
          <w:sz w:val="16"/>
          <w:szCs w:val="16"/>
        </w:rPr>
        <w:t>“</w:t>
      </w:r>
      <w:r w:rsidRPr="00C36276">
        <w:rPr>
          <w:rFonts w:asciiTheme="majorHAnsi" w:hAnsiTheme="majorHAnsi"/>
          <w:sz w:val="16"/>
          <w:szCs w:val="16"/>
        </w:rPr>
        <w:t>Should the deadline expire after office hours, the act to be fulfilled within same deadline may be done during the first two hours of the following business day.</w:t>
      </w:r>
      <w:r w:rsidR="00E47B04" w:rsidRPr="00C36276">
        <w:rPr>
          <w:rFonts w:asciiTheme="majorHAnsi" w:hAnsiTheme="majorHAnsi"/>
          <w:sz w:val="16"/>
          <w:szCs w:val="16"/>
        </w:rPr>
        <w:t>”</w:t>
      </w:r>
    </w:p>
  </w:footnote>
  <w:footnote w:id="14">
    <w:p w:rsidR="008B676A" w:rsidRPr="00C36276" w:rsidRDefault="008B676A" w:rsidP="00C36276">
      <w:pPr>
        <w:pStyle w:val="FootnoteText"/>
        <w:spacing w:after="120"/>
        <w:ind w:firstLine="720"/>
        <w:jc w:val="both"/>
        <w:rPr>
          <w:rFonts w:asciiTheme="majorHAnsi" w:hAnsiTheme="majorHAnsi"/>
          <w:sz w:val="16"/>
          <w:szCs w:val="16"/>
        </w:rPr>
      </w:pPr>
      <w:r w:rsidRPr="00C36276">
        <w:rPr>
          <w:rStyle w:val="FootnoteReference"/>
          <w:rFonts w:asciiTheme="majorHAnsi" w:hAnsiTheme="majorHAnsi"/>
          <w:sz w:val="16"/>
          <w:szCs w:val="16"/>
        </w:rPr>
        <w:footnoteRef/>
      </w:r>
      <w:r w:rsidR="00552FDC" w:rsidRPr="00C36276">
        <w:rPr>
          <w:rFonts w:asciiTheme="majorHAnsi" w:hAnsiTheme="majorHAnsi"/>
          <w:sz w:val="16"/>
          <w:szCs w:val="16"/>
        </w:rPr>
        <w:t xml:space="preserve"> </w:t>
      </w:r>
      <w:r w:rsidRPr="00C36276">
        <w:rPr>
          <w:rFonts w:asciiTheme="majorHAnsi" w:hAnsiTheme="majorHAnsi"/>
          <w:sz w:val="16"/>
          <w:szCs w:val="16"/>
        </w:rPr>
        <w:t xml:space="preserve">IACHR, Report No. 6/98, Case 10.382, Ernesto Máximo Rodríguez, Argentina, February 21, 1998, </w:t>
      </w:r>
      <w:r w:rsidR="005D3FDF">
        <w:rPr>
          <w:rFonts w:asciiTheme="majorHAnsi" w:hAnsiTheme="majorHAnsi"/>
          <w:sz w:val="16"/>
          <w:szCs w:val="16"/>
        </w:rPr>
        <w:t>para.</w:t>
      </w:r>
      <w:r w:rsidRPr="00C36276">
        <w:rPr>
          <w:rFonts w:asciiTheme="majorHAnsi" w:hAnsiTheme="majorHAnsi"/>
          <w:sz w:val="16"/>
          <w:szCs w:val="16"/>
        </w:rPr>
        <w:t xml:space="preserve"> 48.</w:t>
      </w:r>
    </w:p>
  </w:footnote>
  <w:footnote w:id="15">
    <w:p w:rsidR="008B676A" w:rsidRPr="003B6ACA" w:rsidRDefault="008B676A" w:rsidP="00C36276">
      <w:pPr>
        <w:pStyle w:val="FootnoteText"/>
        <w:spacing w:after="120"/>
        <w:ind w:firstLine="720"/>
        <w:jc w:val="both"/>
        <w:rPr>
          <w:rFonts w:asciiTheme="majorHAnsi" w:hAnsiTheme="majorHAnsi"/>
          <w:sz w:val="16"/>
          <w:szCs w:val="16"/>
        </w:rPr>
      </w:pPr>
      <w:r w:rsidRPr="00C36276">
        <w:rPr>
          <w:rStyle w:val="FootnoteReference"/>
          <w:rFonts w:asciiTheme="majorHAnsi" w:hAnsiTheme="majorHAnsi"/>
          <w:sz w:val="16"/>
          <w:szCs w:val="16"/>
        </w:rPr>
        <w:footnoteRef/>
      </w:r>
      <w:r w:rsidR="00552FDC" w:rsidRPr="00C36276">
        <w:rPr>
          <w:rFonts w:asciiTheme="majorHAnsi" w:hAnsiTheme="majorHAnsi"/>
          <w:sz w:val="16"/>
          <w:szCs w:val="16"/>
        </w:rPr>
        <w:t xml:space="preserve"> </w:t>
      </w:r>
      <w:r w:rsidRPr="00C36276">
        <w:rPr>
          <w:rFonts w:asciiTheme="majorHAnsi" w:hAnsiTheme="majorHAnsi"/>
          <w:sz w:val="16"/>
          <w:szCs w:val="16"/>
        </w:rPr>
        <w:t xml:space="preserve">IACHR, Report No. 52/97, Case 11.218, Merits, Arges Sequeira Mangas, Nicaragua, Annual Report of the IACHR 1997, </w:t>
      </w:r>
      <w:r w:rsidR="005D3FDF">
        <w:rPr>
          <w:rFonts w:asciiTheme="majorHAnsi" w:hAnsiTheme="majorHAnsi"/>
          <w:sz w:val="16"/>
          <w:szCs w:val="16"/>
        </w:rPr>
        <w:t>para.</w:t>
      </w:r>
      <w:r w:rsidRPr="00C36276">
        <w:rPr>
          <w:rFonts w:asciiTheme="majorHAnsi" w:hAnsiTheme="majorHAnsi"/>
          <w:sz w:val="16"/>
          <w:szCs w:val="16"/>
        </w:rPr>
        <w:t xml:space="preserve"> 97. </w:t>
      </w:r>
      <w:r w:rsidRPr="00C36276">
        <w:rPr>
          <w:rFonts w:asciiTheme="majorHAnsi" w:hAnsiTheme="majorHAnsi"/>
          <w:i/>
          <w:sz w:val="16"/>
          <w:szCs w:val="16"/>
        </w:rPr>
        <w:t>In the same connection, see</w:t>
      </w:r>
      <w:r w:rsidR="00C36276">
        <w:rPr>
          <w:rFonts w:asciiTheme="majorHAnsi" w:hAnsiTheme="majorHAnsi"/>
          <w:sz w:val="16"/>
          <w:szCs w:val="16"/>
        </w:rPr>
        <w:t>:</w:t>
      </w:r>
      <w:r w:rsidRPr="00C36276">
        <w:rPr>
          <w:rFonts w:asciiTheme="majorHAnsi" w:hAnsiTheme="majorHAnsi"/>
          <w:sz w:val="16"/>
          <w:szCs w:val="16"/>
        </w:rPr>
        <w:t xml:space="preserve"> IACHR, Report No. 99/14, Petition 446-09. </w:t>
      </w:r>
      <w:r w:rsidRPr="003B6ACA">
        <w:rPr>
          <w:rFonts w:asciiTheme="majorHAnsi" w:hAnsiTheme="majorHAnsi"/>
          <w:sz w:val="16"/>
          <w:szCs w:val="16"/>
        </w:rPr>
        <w:t xml:space="preserve">Admissibility, Luis Alberto Rojas Marín. Peru, November 6, 2014, </w:t>
      </w:r>
      <w:r w:rsidR="005D3FDF" w:rsidRPr="003B6ACA">
        <w:rPr>
          <w:rFonts w:asciiTheme="majorHAnsi" w:hAnsiTheme="majorHAnsi"/>
          <w:sz w:val="16"/>
          <w:szCs w:val="16"/>
        </w:rPr>
        <w:t>para.</w:t>
      </w:r>
      <w:r w:rsidRPr="003B6ACA">
        <w:rPr>
          <w:rFonts w:asciiTheme="majorHAnsi" w:hAnsiTheme="majorHAnsi"/>
          <w:sz w:val="16"/>
          <w:szCs w:val="16"/>
        </w:rPr>
        <w:t xml:space="preserve"> 44; IACHR, Report No. 43/13. Petition 171-06, Admissibility, YGSA, Ecuador, July 11, 2013, </w:t>
      </w:r>
      <w:r w:rsidR="005D3FDF" w:rsidRPr="003B6ACA">
        <w:rPr>
          <w:rFonts w:asciiTheme="majorHAnsi" w:hAnsiTheme="majorHAnsi"/>
          <w:sz w:val="16"/>
          <w:szCs w:val="16"/>
        </w:rPr>
        <w:t>para.</w:t>
      </w:r>
      <w:r w:rsidRPr="003B6ACA">
        <w:rPr>
          <w:rFonts w:asciiTheme="majorHAnsi" w:hAnsiTheme="majorHAnsi"/>
          <w:sz w:val="16"/>
          <w:szCs w:val="16"/>
        </w:rPr>
        <w:t xml:space="preserve"> 30; IACHR, Report No. 1/11, Admissibility, Saúl Filormo Cañar Pauta, Ecuador, January 4, 2011, </w:t>
      </w:r>
      <w:r w:rsidR="005D3FDF" w:rsidRPr="003B6ACA">
        <w:rPr>
          <w:rFonts w:asciiTheme="majorHAnsi" w:hAnsiTheme="majorHAnsi"/>
          <w:sz w:val="16"/>
          <w:szCs w:val="16"/>
        </w:rPr>
        <w:t>para.</w:t>
      </w:r>
      <w:r w:rsidRPr="003B6ACA">
        <w:rPr>
          <w:rFonts w:asciiTheme="majorHAnsi" w:hAnsiTheme="majorHAnsi"/>
          <w:sz w:val="16"/>
          <w:szCs w:val="16"/>
        </w:rPr>
        <w:t xml:space="preserve"> 30; IACHR, Report No. 2/10, Petition 1011-03, Admissibility, Fredy Marcelo Núñez Naranjo et al., Ecuador, March 15, 2010, </w:t>
      </w:r>
      <w:r w:rsidR="005D3FDF" w:rsidRPr="003B6ACA">
        <w:rPr>
          <w:rFonts w:asciiTheme="majorHAnsi" w:hAnsiTheme="majorHAnsi"/>
          <w:sz w:val="16"/>
          <w:szCs w:val="16"/>
        </w:rPr>
        <w:t>para.</w:t>
      </w:r>
      <w:r w:rsidRPr="003B6ACA">
        <w:rPr>
          <w:rFonts w:asciiTheme="majorHAnsi" w:hAnsiTheme="majorHAnsi"/>
          <w:sz w:val="16"/>
          <w:szCs w:val="16"/>
        </w:rPr>
        <w:t xml:space="preserve"> 31.</w:t>
      </w:r>
    </w:p>
  </w:footnote>
  <w:footnote w:id="16">
    <w:p w:rsidR="008B676A" w:rsidRPr="00AC52A8" w:rsidRDefault="008B676A" w:rsidP="00C36276">
      <w:pPr>
        <w:pStyle w:val="FootnoteText"/>
        <w:spacing w:after="120"/>
        <w:ind w:firstLine="720"/>
        <w:jc w:val="both"/>
        <w:rPr>
          <w:rFonts w:asciiTheme="majorHAnsi" w:hAnsiTheme="majorHAnsi"/>
          <w:sz w:val="16"/>
          <w:szCs w:val="16"/>
        </w:rPr>
      </w:pPr>
      <w:r w:rsidRPr="00C36276">
        <w:rPr>
          <w:rStyle w:val="FootnoteReference"/>
          <w:rFonts w:asciiTheme="majorHAnsi" w:hAnsiTheme="majorHAnsi"/>
          <w:sz w:val="16"/>
          <w:szCs w:val="16"/>
        </w:rPr>
        <w:footnoteRef/>
      </w:r>
      <w:r w:rsidR="00552FDC" w:rsidRPr="003B6ACA">
        <w:rPr>
          <w:rFonts w:asciiTheme="majorHAnsi" w:hAnsiTheme="majorHAnsi"/>
          <w:sz w:val="16"/>
          <w:szCs w:val="16"/>
        </w:rPr>
        <w:t xml:space="preserve"> </w:t>
      </w:r>
      <w:r w:rsidRPr="003B6ACA">
        <w:rPr>
          <w:rFonts w:asciiTheme="majorHAnsi" w:hAnsiTheme="majorHAnsi"/>
          <w:sz w:val="16"/>
          <w:szCs w:val="16"/>
        </w:rPr>
        <w:t>IACHR, Report No. 42/02, Admissibility, Petition 11.995, Mariela Morales Caro et al. (</w:t>
      </w:r>
      <w:r w:rsidR="00F07EC3" w:rsidRPr="003B6ACA">
        <w:rPr>
          <w:rFonts w:asciiTheme="majorHAnsi" w:hAnsiTheme="majorHAnsi"/>
          <w:sz w:val="16"/>
          <w:szCs w:val="16"/>
        </w:rPr>
        <w:t>"</w:t>
      </w:r>
      <w:r w:rsidRPr="003B6ACA">
        <w:rPr>
          <w:rFonts w:asciiTheme="majorHAnsi" w:hAnsiTheme="majorHAnsi"/>
          <w:sz w:val="16"/>
          <w:szCs w:val="16"/>
        </w:rPr>
        <w:t>La Rochela</w:t>
      </w:r>
      <w:r w:rsidR="00F07EC3" w:rsidRPr="003B6ACA">
        <w:rPr>
          <w:rFonts w:asciiTheme="majorHAnsi" w:hAnsiTheme="majorHAnsi"/>
          <w:sz w:val="16"/>
          <w:szCs w:val="16"/>
        </w:rPr>
        <w:t>"</w:t>
      </w:r>
      <w:r w:rsidRPr="003B6ACA">
        <w:rPr>
          <w:rFonts w:asciiTheme="majorHAnsi" w:hAnsiTheme="majorHAnsi"/>
          <w:sz w:val="16"/>
          <w:szCs w:val="16"/>
        </w:rPr>
        <w:t xml:space="preserve"> Massacre), Colombia, October 9, 2002, </w:t>
      </w:r>
      <w:r w:rsidR="005D3FDF" w:rsidRPr="003B6ACA">
        <w:rPr>
          <w:rFonts w:asciiTheme="majorHAnsi" w:hAnsiTheme="majorHAnsi"/>
          <w:sz w:val="16"/>
          <w:szCs w:val="16"/>
        </w:rPr>
        <w:t>para.</w:t>
      </w:r>
      <w:r w:rsidRPr="003B6ACA">
        <w:rPr>
          <w:rFonts w:asciiTheme="majorHAnsi" w:hAnsiTheme="majorHAnsi"/>
          <w:sz w:val="16"/>
          <w:szCs w:val="16"/>
        </w:rPr>
        <w:t xml:space="preserve"> 32; IACHR, Report No. 62/00, Case 11.727, Hernando Osorio Correa, Colombia, October 3, 2000, </w:t>
      </w:r>
      <w:r w:rsidR="005D3FDF" w:rsidRPr="003B6ACA">
        <w:rPr>
          <w:rFonts w:asciiTheme="majorHAnsi" w:hAnsiTheme="majorHAnsi"/>
          <w:sz w:val="16"/>
          <w:szCs w:val="16"/>
        </w:rPr>
        <w:t>para.</w:t>
      </w:r>
      <w:r w:rsidRPr="003B6ACA">
        <w:rPr>
          <w:rFonts w:asciiTheme="majorHAnsi" w:hAnsiTheme="majorHAnsi"/>
          <w:sz w:val="16"/>
          <w:szCs w:val="16"/>
        </w:rPr>
        <w:t xml:space="preserve"> 24; IACHR, Report No. 63/99, Case 11.427 Víctor Rosario Congo, Ecuador, April 13, 1999, </w:t>
      </w:r>
      <w:r w:rsidR="005D3FDF" w:rsidRPr="003B6ACA">
        <w:rPr>
          <w:rFonts w:asciiTheme="majorHAnsi" w:hAnsiTheme="majorHAnsi"/>
          <w:sz w:val="16"/>
          <w:szCs w:val="16"/>
        </w:rPr>
        <w:t>para.</w:t>
      </w:r>
      <w:r w:rsidRPr="003B6ACA">
        <w:rPr>
          <w:rFonts w:asciiTheme="majorHAnsi" w:hAnsiTheme="majorHAnsi"/>
          <w:sz w:val="16"/>
          <w:szCs w:val="16"/>
        </w:rPr>
        <w:t xml:space="preserve"> </w:t>
      </w:r>
      <w:r w:rsidRPr="00AC52A8">
        <w:rPr>
          <w:rFonts w:asciiTheme="majorHAnsi" w:hAnsiTheme="majorHAnsi"/>
          <w:sz w:val="16"/>
          <w:szCs w:val="16"/>
        </w:rPr>
        <w:t>93.</w:t>
      </w:r>
    </w:p>
  </w:footnote>
  <w:footnote w:id="17">
    <w:p w:rsidR="008B676A" w:rsidRPr="00C36276" w:rsidRDefault="008B676A" w:rsidP="00C36276">
      <w:pPr>
        <w:pStyle w:val="FootnoteText"/>
        <w:spacing w:after="120"/>
        <w:ind w:firstLine="720"/>
        <w:jc w:val="both"/>
        <w:rPr>
          <w:rFonts w:asciiTheme="majorHAnsi" w:hAnsiTheme="majorHAnsi"/>
          <w:sz w:val="16"/>
          <w:szCs w:val="16"/>
        </w:rPr>
      </w:pPr>
      <w:r w:rsidRPr="00C36276">
        <w:rPr>
          <w:rStyle w:val="FootnoteReference"/>
          <w:rFonts w:asciiTheme="majorHAnsi" w:hAnsiTheme="majorHAnsi"/>
          <w:sz w:val="16"/>
          <w:szCs w:val="16"/>
        </w:rPr>
        <w:footnoteRef/>
      </w:r>
      <w:r w:rsidR="00552FDC" w:rsidRPr="00C36276">
        <w:rPr>
          <w:rFonts w:asciiTheme="majorHAnsi" w:hAnsiTheme="majorHAnsi"/>
          <w:sz w:val="16"/>
          <w:szCs w:val="16"/>
        </w:rPr>
        <w:t xml:space="preserve"> </w:t>
      </w:r>
      <w:r w:rsidRPr="00C36276">
        <w:rPr>
          <w:rFonts w:asciiTheme="majorHAnsi" w:hAnsiTheme="majorHAnsi"/>
          <w:sz w:val="16"/>
          <w:szCs w:val="16"/>
        </w:rPr>
        <w:t xml:space="preserve">IACHR, Report No. 17/06, Petition 531-01, Admissibility, Sebastián Claus Furlan and Family, Argentina, March 2, 2006, </w:t>
      </w:r>
      <w:r w:rsidR="005D3FDF">
        <w:rPr>
          <w:rFonts w:asciiTheme="majorHAnsi" w:hAnsiTheme="majorHAnsi"/>
          <w:sz w:val="16"/>
          <w:szCs w:val="16"/>
        </w:rPr>
        <w:t>para.</w:t>
      </w:r>
      <w:r w:rsidRPr="00C36276">
        <w:rPr>
          <w:rFonts w:asciiTheme="majorHAnsi" w:hAnsiTheme="majorHAnsi"/>
          <w:sz w:val="16"/>
          <w:szCs w:val="16"/>
        </w:rPr>
        <w:t xml:space="preserve"> 39; IACHR, Report No. 69/08, Petition 681-00, Admissibility, Guillermo Patricio Lynn, Argentina, October 16, 2008, </w:t>
      </w:r>
      <w:r w:rsidR="005D3FDF">
        <w:rPr>
          <w:rFonts w:asciiTheme="majorHAnsi" w:hAnsiTheme="majorHAnsi"/>
          <w:sz w:val="16"/>
          <w:szCs w:val="16"/>
        </w:rPr>
        <w:t>para.</w:t>
      </w:r>
      <w:r w:rsidRPr="00C36276">
        <w:rPr>
          <w:rFonts w:asciiTheme="majorHAnsi" w:hAnsiTheme="majorHAnsi"/>
          <w:sz w:val="16"/>
          <w:szCs w:val="16"/>
        </w:rPr>
        <w:t xml:space="preserve"> 41.</w:t>
      </w:r>
    </w:p>
  </w:footnote>
  <w:footnote w:id="18">
    <w:p w:rsidR="008B676A" w:rsidRPr="00C36276" w:rsidRDefault="008B676A" w:rsidP="00C36276">
      <w:pPr>
        <w:pStyle w:val="FootnoteText"/>
        <w:spacing w:after="120"/>
        <w:ind w:firstLine="720"/>
        <w:jc w:val="both"/>
        <w:rPr>
          <w:rFonts w:asciiTheme="majorHAnsi" w:hAnsiTheme="majorHAnsi"/>
          <w:sz w:val="16"/>
          <w:szCs w:val="16"/>
        </w:rPr>
      </w:pPr>
      <w:r w:rsidRPr="00C36276">
        <w:rPr>
          <w:rStyle w:val="FootnoteReference"/>
          <w:rFonts w:asciiTheme="majorHAnsi" w:hAnsiTheme="majorHAnsi"/>
          <w:sz w:val="16"/>
          <w:szCs w:val="16"/>
        </w:rPr>
        <w:footnoteRef/>
      </w:r>
      <w:r w:rsidR="00552FDC" w:rsidRPr="00C36276">
        <w:rPr>
          <w:rFonts w:asciiTheme="majorHAnsi" w:hAnsiTheme="majorHAnsi"/>
          <w:sz w:val="16"/>
          <w:szCs w:val="16"/>
        </w:rPr>
        <w:t xml:space="preserve"> </w:t>
      </w:r>
      <w:r w:rsidRPr="00C36276">
        <w:rPr>
          <w:rFonts w:asciiTheme="majorHAnsi" w:hAnsiTheme="majorHAnsi"/>
          <w:sz w:val="16"/>
          <w:szCs w:val="16"/>
        </w:rPr>
        <w:t xml:space="preserve">IACHR, Report No. 55/97, Case 11.137, Juan Carlos Abella, Argentina, November 18, 1997, pars. 264 and 265. </w:t>
      </w:r>
    </w:p>
  </w:footnote>
  <w:footnote w:id="19">
    <w:p w:rsidR="008B676A" w:rsidRPr="00C36276" w:rsidRDefault="008B676A" w:rsidP="00C36276">
      <w:pPr>
        <w:pStyle w:val="FootnoteText"/>
        <w:spacing w:after="120"/>
        <w:ind w:firstLine="720"/>
        <w:jc w:val="both"/>
        <w:rPr>
          <w:rFonts w:asciiTheme="majorHAnsi" w:hAnsiTheme="majorHAnsi"/>
          <w:sz w:val="16"/>
          <w:szCs w:val="16"/>
        </w:rPr>
      </w:pPr>
      <w:r w:rsidRPr="00C36276">
        <w:rPr>
          <w:rStyle w:val="FootnoteReference"/>
          <w:rFonts w:asciiTheme="majorHAnsi" w:hAnsiTheme="majorHAnsi"/>
          <w:sz w:val="16"/>
          <w:szCs w:val="16"/>
        </w:rPr>
        <w:footnoteRef/>
      </w:r>
      <w:r w:rsidR="00552FDC" w:rsidRPr="00C36276">
        <w:rPr>
          <w:rFonts w:asciiTheme="majorHAnsi" w:hAnsiTheme="majorHAnsi"/>
          <w:sz w:val="16"/>
          <w:szCs w:val="16"/>
        </w:rPr>
        <w:t xml:space="preserve"> </w:t>
      </w:r>
      <w:r w:rsidRPr="00C36276">
        <w:rPr>
          <w:rFonts w:asciiTheme="majorHAnsi" w:hAnsiTheme="majorHAnsi"/>
          <w:sz w:val="16"/>
          <w:szCs w:val="16"/>
        </w:rPr>
        <w:t xml:space="preserve">IACHR, Report No. 26/08, Petition 270-02, Admissibility, César Alberto Mendoza et al., Argentina, March 14, 2008, </w:t>
      </w:r>
      <w:r w:rsidR="005D3FDF">
        <w:rPr>
          <w:rFonts w:asciiTheme="majorHAnsi" w:hAnsiTheme="majorHAnsi"/>
          <w:sz w:val="16"/>
          <w:szCs w:val="16"/>
        </w:rPr>
        <w:t>para.</w:t>
      </w:r>
      <w:r w:rsidRPr="00C36276">
        <w:rPr>
          <w:rFonts w:asciiTheme="majorHAnsi" w:hAnsiTheme="majorHAnsi"/>
          <w:sz w:val="16"/>
          <w:szCs w:val="16"/>
        </w:rPr>
        <w:t xml:space="preserve"> 72; IACHR, Report No. 83/09, Case 11.732, Merits, Horacio Anibal Schillizzi Moreno, Argentina, August 6, 2009, </w:t>
      </w:r>
      <w:r w:rsidR="005D3FDF">
        <w:rPr>
          <w:rFonts w:asciiTheme="majorHAnsi" w:hAnsiTheme="majorHAnsi"/>
          <w:sz w:val="16"/>
          <w:szCs w:val="16"/>
        </w:rPr>
        <w:t>para.</w:t>
      </w:r>
      <w:r w:rsidRPr="00C36276">
        <w:rPr>
          <w:rFonts w:asciiTheme="majorHAnsi" w:hAnsiTheme="majorHAnsi"/>
          <w:sz w:val="16"/>
          <w:szCs w:val="16"/>
        </w:rPr>
        <w:t xml:space="preserve"> 62.</w:t>
      </w:r>
    </w:p>
  </w:footnote>
  <w:footnote w:id="20">
    <w:p w:rsidR="008B676A" w:rsidRPr="00C36276" w:rsidRDefault="008B676A" w:rsidP="00C36276">
      <w:pPr>
        <w:pStyle w:val="FootnoteText"/>
        <w:spacing w:after="120"/>
        <w:ind w:firstLine="720"/>
        <w:jc w:val="both"/>
        <w:rPr>
          <w:rFonts w:asciiTheme="majorHAnsi" w:hAnsiTheme="majorHAnsi"/>
          <w:sz w:val="16"/>
          <w:szCs w:val="16"/>
        </w:rPr>
      </w:pPr>
      <w:r w:rsidRPr="00C36276">
        <w:rPr>
          <w:rStyle w:val="FootnoteReference"/>
          <w:rFonts w:asciiTheme="majorHAnsi" w:hAnsiTheme="majorHAnsi"/>
          <w:sz w:val="16"/>
          <w:szCs w:val="16"/>
        </w:rPr>
        <w:footnoteRef/>
      </w:r>
      <w:r w:rsidR="00552FDC" w:rsidRPr="00C36276">
        <w:rPr>
          <w:rFonts w:asciiTheme="majorHAnsi" w:hAnsiTheme="majorHAnsi"/>
          <w:sz w:val="16"/>
          <w:szCs w:val="16"/>
        </w:rPr>
        <w:t xml:space="preserve"> </w:t>
      </w:r>
      <w:r w:rsidRPr="00C36276">
        <w:rPr>
          <w:rFonts w:asciiTheme="majorHAnsi" w:hAnsiTheme="majorHAnsi"/>
          <w:sz w:val="16"/>
          <w:szCs w:val="16"/>
        </w:rPr>
        <w:t xml:space="preserve">IACHR, Report No. 12/106, Admissibility, Case 12.106, Enrique Hermann Pfister Frías and Lucrecia Pfister Frías, Argentina, March 16, 2010, </w:t>
      </w:r>
      <w:r w:rsidR="005D3FDF">
        <w:rPr>
          <w:rFonts w:asciiTheme="majorHAnsi" w:hAnsiTheme="majorHAnsi"/>
          <w:sz w:val="16"/>
          <w:szCs w:val="16"/>
        </w:rPr>
        <w:t>para.</w:t>
      </w:r>
      <w:r w:rsidRPr="00C36276">
        <w:rPr>
          <w:rFonts w:asciiTheme="majorHAnsi" w:hAnsiTheme="majorHAnsi"/>
          <w:sz w:val="16"/>
          <w:szCs w:val="16"/>
        </w:rPr>
        <w:t xml:space="preserve"> 39; IACHR, Report No. 117/06, Petition 1070-04, Admissibility, Milagros Fornerón and Leonardo Aníbal Javier Fornerón, Argentina, October 26, 2006, </w:t>
      </w:r>
      <w:r w:rsidR="005D3FDF">
        <w:rPr>
          <w:rFonts w:asciiTheme="majorHAnsi" w:hAnsiTheme="majorHAnsi"/>
          <w:sz w:val="16"/>
          <w:szCs w:val="16"/>
        </w:rPr>
        <w:t>para.</w:t>
      </w:r>
      <w:r w:rsidRPr="00C36276">
        <w:rPr>
          <w:rFonts w:asciiTheme="majorHAnsi" w:hAnsiTheme="majorHAnsi"/>
          <w:sz w:val="16"/>
          <w:szCs w:val="16"/>
        </w:rPr>
        <w:t xml:space="preserve"> 42; IACHR, Report No. 17/06, Petition 531-01, Admissibility, Sebastián Claus Furlan and Family, Argentina, March 2, 2006, </w:t>
      </w:r>
      <w:r w:rsidR="005D3FDF">
        <w:rPr>
          <w:rFonts w:asciiTheme="majorHAnsi" w:hAnsiTheme="majorHAnsi"/>
          <w:sz w:val="16"/>
          <w:szCs w:val="16"/>
        </w:rPr>
        <w:t>para.</w:t>
      </w:r>
      <w:r w:rsidRPr="00C36276">
        <w:rPr>
          <w:rFonts w:asciiTheme="majorHAnsi" w:hAnsiTheme="majorHAnsi"/>
          <w:sz w:val="16"/>
          <w:szCs w:val="16"/>
        </w:rPr>
        <w:t xml:space="preserve"> 40; IACHR, Report No. 104/99, Case 11.400, Eolo Margaroli and Josefina Ghiringhelli de Margaroli, Argentina, October 27, 1999.</w:t>
      </w:r>
    </w:p>
  </w:footnote>
  <w:footnote w:id="21">
    <w:p w:rsidR="008B676A" w:rsidRPr="00C36276" w:rsidRDefault="008B676A" w:rsidP="00C36276">
      <w:pPr>
        <w:pStyle w:val="FootnoteText"/>
        <w:spacing w:after="120"/>
        <w:ind w:firstLine="720"/>
        <w:jc w:val="both"/>
        <w:rPr>
          <w:rFonts w:asciiTheme="majorHAnsi" w:hAnsiTheme="majorHAnsi"/>
          <w:sz w:val="16"/>
          <w:szCs w:val="16"/>
        </w:rPr>
      </w:pPr>
      <w:r w:rsidRPr="00C36276">
        <w:rPr>
          <w:rStyle w:val="FootnoteReference"/>
          <w:rFonts w:asciiTheme="majorHAnsi" w:hAnsiTheme="majorHAnsi"/>
          <w:sz w:val="16"/>
          <w:szCs w:val="16"/>
        </w:rPr>
        <w:footnoteRef/>
      </w:r>
      <w:r w:rsidR="00552FDC" w:rsidRPr="00C36276">
        <w:rPr>
          <w:rFonts w:asciiTheme="majorHAnsi" w:hAnsiTheme="majorHAnsi"/>
          <w:sz w:val="16"/>
          <w:szCs w:val="16"/>
        </w:rPr>
        <w:t xml:space="preserve"> </w:t>
      </w:r>
      <w:r w:rsidRPr="00C36276">
        <w:rPr>
          <w:rFonts w:asciiTheme="majorHAnsi" w:hAnsiTheme="majorHAnsi"/>
          <w:sz w:val="16"/>
          <w:szCs w:val="16"/>
        </w:rPr>
        <w:t xml:space="preserve">IACHR, Report No. 66/09, Petition 920-03, Admissibility, Marcos Gilberto Chaves and Sandra Beatriz Chaves, Argentina, August 4, 2009, </w:t>
      </w:r>
      <w:r w:rsidR="005D3FDF">
        <w:rPr>
          <w:rFonts w:asciiTheme="majorHAnsi" w:hAnsiTheme="majorHAnsi"/>
          <w:sz w:val="16"/>
          <w:szCs w:val="16"/>
        </w:rPr>
        <w:t>para.</w:t>
      </w:r>
      <w:r w:rsidRPr="00C36276">
        <w:rPr>
          <w:rFonts w:asciiTheme="majorHAnsi" w:hAnsiTheme="majorHAnsi"/>
          <w:sz w:val="16"/>
          <w:szCs w:val="16"/>
        </w:rPr>
        <w:t xml:space="preserve"> 8.</w:t>
      </w:r>
    </w:p>
  </w:footnote>
  <w:footnote w:id="22">
    <w:p w:rsidR="008B676A" w:rsidRPr="00C36276" w:rsidRDefault="008B676A" w:rsidP="00C36276">
      <w:pPr>
        <w:pStyle w:val="FootnoteText"/>
        <w:spacing w:after="120"/>
        <w:ind w:firstLine="720"/>
        <w:jc w:val="both"/>
        <w:rPr>
          <w:rFonts w:asciiTheme="majorHAnsi" w:hAnsiTheme="majorHAnsi"/>
          <w:sz w:val="16"/>
          <w:szCs w:val="16"/>
        </w:rPr>
      </w:pPr>
      <w:r w:rsidRPr="00C36276">
        <w:rPr>
          <w:rStyle w:val="FootnoteReference"/>
          <w:rFonts w:asciiTheme="majorHAnsi" w:hAnsiTheme="majorHAnsi"/>
          <w:sz w:val="16"/>
          <w:szCs w:val="16"/>
        </w:rPr>
        <w:footnoteRef/>
      </w:r>
      <w:r w:rsidR="00552FDC" w:rsidRPr="00C36276">
        <w:rPr>
          <w:rFonts w:asciiTheme="majorHAnsi" w:hAnsiTheme="majorHAnsi"/>
          <w:sz w:val="16"/>
          <w:szCs w:val="16"/>
        </w:rPr>
        <w:t xml:space="preserve"> </w:t>
      </w:r>
      <w:r w:rsidRPr="00C36276">
        <w:rPr>
          <w:rFonts w:asciiTheme="majorHAnsi" w:hAnsiTheme="majorHAnsi"/>
          <w:sz w:val="16"/>
          <w:szCs w:val="16"/>
        </w:rPr>
        <w:t xml:space="preserve">IACHR, Report No. 66/09, Petition 920-03, Admissibility, Marcos Gilberto Chaves and Sandra Beatriz Chaves, Argentina, August 4, 2009, </w:t>
      </w:r>
      <w:r w:rsidR="005D3FDF">
        <w:rPr>
          <w:rFonts w:asciiTheme="majorHAnsi" w:hAnsiTheme="majorHAnsi"/>
          <w:sz w:val="16"/>
          <w:szCs w:val="16"/>
        </w:rPr>
        <w:t>para.</w:t>
      </w:r>
      <w:r w:rsidRPr="00C36276">
        <w:rPr>
          <w:rFonts w:asciiTheme="majorHAnsi" w:hAnsiTheme="majorHAnsi"/>
          <w:sz w:val="16"/>
          <w:szCs w:val="16"/>
        </w:rPr>
        <w:t xml:space="preserve"> 21.</w:t>
      </w:r>
    </w:p>
  </w:footnote>
  <w:footnote w:id="23">
    <w:p w:rsidR="008B676A" w:rsidRPr="00C36276" w:rsidRDefault="008B676A" w:rsidP="00C36276">
      <w:pPr>
        <w:pStyle w:val="FootnoteText"/>
        <w:spacing w:after="120"/>
        <w:ind w:firstLine="720"/>
        <w:jc w:val="both"/>
        <w:rPr>
          <w:rFonts w:asciiTheme="majorHAnsi" w:hAnsiTheme="majorHAnsi"/>
          <w:sz w:val="16"/>
          <w:szCs w:val="16"/>
        </w:rPr>
      </w:pPr>
      <w:r w:rsidRPr="00C36276">
        <w:rPr>
          <w:rStyle w:val="FootnoteReference"/>
          <w:rFonts w:asciiTheme="majorHAnsi" w:hAnsiTheme="majorHAnsi"/>
          <w:sz w:val="16"/>
          <w:szCs w:val="16"/>
        </w:rPr>
        <w:footnoteRef/>
      </w:r>
      <w:r w:rsidR="00552FDC" w:rsidRPr="00C36276">
        <w:rPr>
          <w:rFonts w:asciiTheme="majorHAnsi" w:hAnsiTheme="majorHAnsi"/>
          <w:i/>
          <w:iCs/>
          <w:sz w:val="16"/>
          <w:szCs w:val="16"/>
        </w:rPr>
        <w:t xml:space="preserve"> </w:t>
      </w:r>
      <w:r w:rsidRPr="00C36276">
        <w:rPr>
          <w:rFonts w:asciiTheme="majorHAnsi" w:hAnsiTheme="majorHAnsi"/>
          <w:i/>
          <w:iCs/>
          <w:sz w:val="16"/>
          <w:szCs w:val="16"/>
        </w:rPr>
        <w:t>See, inter alia:</w:t>
      </w:r>
      <w:r w:rsidRPr="00C36276">
        <w:rPr>
          <w:rFonts w:asciiTheme="majorHAnsi" w:hAnsiTheme="majorHAnsi"/>
          <w:sz w:val="16"/>
          <w:szCs w:val="16"/>
        </w:rPr>
        <w:t xml:space="preserve"> IACHR, Report No. 92/14, Petition P-1196-03, Admissibility, Daniel Omar Camusso and son, Argentina, November 4, 2014, </w:t>
      </w:r>
      <w:r w:rsidR="005D3FDF">
        <w:rPr>
          <w:rFonts w:asciiTheme="majorHAnsi" w:hAnsiTheme="majorHAnsi"/>
          <w:sz w:val="16"/>
          <w:szCs w:val="16"/>
        </w:rPr>
        <w:t>para.</w:t>
      </w:r>
      <w:r w:rsidRPr="00C36276">
        <w:rPr>
          <w:rFonts w:asciiTheme="majorHAnsi" w:hAnsiTheme="majorHAnsi"/>
          <w:sz w:val="16"/>
          <w:szCs w:val="16"/>
        </w:rPr>
        <w:t xml:space="preserve"> 80; IACHR, Report 8/10. Case 12,374, Admissibility, Jorge Enrique Patiño Palacios et al., Paraguay, March 16, 2010, </w:t>
      </w:r>
      <w:r w:rsidR="005D3FDF">
        <w:rPr>
          <w:rFonts w:asciiTheme="majorHAnsi" w:hAnsiTheme="majorHAnsi"/>
          <w:sz w:val="16"/>
          <w:szCs w:val="16"/>
        </w:rPr>
        <w:t>para.</w:t>
      </w:r>
      <w:r w:rsidRPr="00C36276">
        <w:rPr>
          <w:rFonts w:asciiTheme="majorHAnsi" w:hAnsiTheme="majorHAnsi"/>
          <w:sz w:val="16"/>
          <w:szCs w:val="16"/>
        </w:rPr>
        <w:t xml:space="preserve"> 31; IACHR, Report 20/05, Petition 716/00, Admissibility, Rafael Correa Díaz, Peru, February 25, 2005, </w:t>
      </w:r>
      <w:r w:rsidR="005D3FDF">
        <w:rPr>
          <w:rFonts w:asciiTheme="majorHAnsi" w:hAnsiTheme="majorHAnsi"/>
          <w:sz w:val="16"/>
          <w:szCs w:val="16"/>
        </w:rPr>
        <w:t>para.</w:t>
      </w:r>
      <w:r w:rsidRPr="00C36276">
        <w:rPr>
          <w:rFonts w:asciiTheme="majorHAnsi" w:hAnsiTheme="majorHAnsi"/>
          <w:sz w:val="16"/>
          <w:szCs w:val="16"/>
        </w:rPr>
        <w:t xml:space="preserve">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76A" w:rsidRDefault="008B676A" w:rsidP="00E71FB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8B676A" w:rsidRDefault="008B67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76A" w:rsidRDefault="008B676A" w:rsidP="00A50FCF">
    <w:pPr>
      <w:pStyle w:val="Header"/>
      <w:tabs>
        <w:tab w:val="clear" w:pos="4320"/>
        <w:tab w:val="clear" w:pos="8640"/>
      </w:tabs>
      <w:jc w:val="center"/>
      <w:rPr>
        <w:sz w:val="22"/>
        <w:szCs w:val="22"/>
      </w:rPr>
    </w:pPr>
    <w:r>
      <w:rPr>
        <w:noProof/>
        <w:sz w:val="22"/>
        <w:szCs w:val="22"/>
      </w:rPr>
      <w:drawing>
        <wp:inline distT="0" distB="0" distL="0" distR="0" wp14:anchorId="3AAAE5FE" wp14:editId="49460AB4">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8B676A" w:rsidRPr="00EC7D62" w:rsidRDefault="00496F29"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1F2" w:rsidRDefault="008E31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5">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4">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5">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8">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nsid w:val="566536C7"/>
    <w:multiLevelType w:val="hybridMultilevel"/>
    <w:tmpl w:val="5DFE72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BFE6718"/>
    <w:multiLevelType w:val="hybridMultilevel"/>
    <w:tmpl w:val="D85A70D4"/>
    <w:lvl w:ilvl="0" w:tplc="C84EFCFC">
      <w:start w:val="1"/>
      <w:numFmt w:val="decimal"/>
      <w:lvlText w:val="%1."/>
      <w:lvlJc w:val="left"/>
      <w:pPr>
        <w:tabs>
          <w:tab w:val="num" w:pos="720"/>
        </w:tabs>
        <w:ind w:left="720" w:hanging="360"/>
      </w:pPr>
      <w:rPr>
        <w:rFonts w:hint="default"/>
      </w:rPr>
    </w:lvl>
    <w:lvl w:ilvl="1" w:tplc="5EC417BC">
      <w:start w:val="1"/>
      <w:numFmt w:val="upperLetter"/>
      <w:pStyle w:val="Heading2"/>
      <w:lvlText w:val="%2."/>
      <w:lvlJc w:val="left"/>
      <w:pPr>
        <w:ind w:left="1788" w:hanging="708"/>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65DA3681"/>
    <w:multiLevelType w:val="hybridMultilevel"/>
    <w:tmpl w:val="7CD0AFA2"/>
    <w:lvl w:ilvl="0" w:tplc="B4E2F916">
      <w:start w:val="1"/>
      <w:numFmt w:val="low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70786ED7"/>
    <w:multiLevelType w:val="hybridMultilevel"/>
    <w:tmpl w:val="DF66C7C2"/>
    <w:lvl w:ilvl="0" w:tplc="153E5F4E">
      <w:start w:val="1"/>
      <w:numFmt w:val="upperRoman"/>
      <w:pStyle w:val="Heading1"/>
      <w:lvlText w:val="%1."/>
      <w:lvlJc w:val="left"/>
      <w:pPr>
        <w:ind w:left="720" w:hanging="360"/>
      </w:pPr>
      <w:rPr>
        <w:rFonts w:hint="default"/>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B9B2B96"/>
    <w:multiLevelType w:val="hybridMultilevel"/>
    <w:tmpl w:val="25A48DEA"/>
    <w:lvl w:ilvl="0" w:tplc="D44E3E08">
      <w:start w:val="1"/>
      <w:numFmt w:val="decimal"/>
      <w:pStyle w:val="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1"/>
  </w:num>
  <w:num w:numId="4">
    <w:abstractNumId w:val="19"/>
  </w:num>
  <w:num w:numId="5">
    <w:abstractNumId w:val="45"/>
  </w:num>
  <w:num w:numId="6">
    <w:abstractNumId w:val="24"/>
  </w:num>
  <w:num w:numId="7">
    <w:abstractNumId w:val="5"/>
  </w:num>
  <w:num w:numId="8">
    <w:abstractNumId w:val="15"/>
  </w:num>
  <w:num w:numId="9">
    <w:abstractNumId w:val="38"/>
  </w:num>
  <w:num w:numId="10">
    <w:abstractNumId w:val="0"/>
  </w:num>
  <w:num w:numId="11">
    <w:abstractNumId w:val="33"/>
  </w:num>
  <w:num w:numId="12">
    <w:abstractNumId w:val="34"/>
  </w:num>
  <w:num w:numId="13">
    <w:abstractNumId w:val="40"/>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3"/>
  </w:num>
  <w:num w:numId="31">
    <w:abstractNumId w:val="25"/>
  </w:num>
  <w:num w:numId="32">
    <w:abstractNumId w:val="26"/>
  </w:num>
  <w:num w:numId="33">
    <w:abstractNumId w:val="27"/>
  </w:num>
  <w:num w:numId="34">
    <w:abstractNumId w:val="28"/>
  </w:num>
  <w:num w:numId="35">
    <w:abstractNumId w:val="29"/>
  </w:num>
  <w:num w:numId="36">
    <w:abstractNumId w:val="30"/>
  </w:num>
  <w:num w:numId="37">
    <w:abstractNumId w:val="31"/>
  </w:num>
  <w:num w:numId="38">
    <w:abstractNumId w:val="32"/>
  </w:num>
  <w:num w:numId="39">
    <w:abstractNumId w:val="35"/>
  </w:num>
  <w:num w:numId="40">
    <w:abstractNumId w:val="36"/>
  </w:num>
  <w:num w:numId="41">
    <w:abstractNumId w:val="43"/>
  </w:num>
  <w:num w:numId="42">
    <w:abstractNumId w:val="46"/>
  </w:num>
  <w:num w:numId="43">
    <w:abstractNumId w:val="47"/>
  </w:num>
  <w:num w:numId="44">
    <w:abstractNumId w:val="49"/>
  </w:num>
  <w:num w:numId="45">
    <w:abstractNumId w:val="50"/>
  </w:num>
  <w:num w:numId="46">
    <w:abstractNumId w:val="52"/>
  </w:num>
  <w:num w:numId="47">
    <w:abstractNumId w:val="54"/>
  </w:num>
  <w:num w:numId="48">
    <w:abstractNumId w:val="55"/>
  </w:num>
  <w:num w:numId="49">
    <w:abstractNumId w:val="56"/>
  </w:num>
  <w:num w:numId="50">
    <w:abstractNumId w:val="57"/>
  </w:num>
  <w:num w:numId="51">
    <w:abstractNumId w:val="18"/>
  </w:num>
  <w:num w:numId="52">
    <w:abstractNumId w:val="37"/>
  </w:num>
  <w:num w:numId="53">
    <w:abstractNumId w:val="48"/>
  </w:num>
  <w:num w:numId="54">
    <w:abstractNumId w:val="41"/>
  </w:num>
  <w:num w:numId="55">
    <w:abstractNumId w:val="42"/>
  </w:num>
  <w:num w:numId="56">
    <w:abstractNumId w:val="53"/>
  </w:num>
  <w:num w:numId="57">
    <w:abstractNumId w:val="39"/>
  </w:num>
  <w:num w:numId="58">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docVars>
    <w:docVar w:name="dgnword-docGUID" w:val="{9834D3C0-301F-409C-BA85-C5290FB59EB5}"/>
    <w:docVar w:name="dgnword-eventsink" w:val="162636216"/>
  </w:docVars>
  <w:rsids>
    <w:rsidRoot w:val="006B2D5C"/>
    <w:rsid w:val="0000036F"/>
    <w:rsid w:val="00000B72"/>
    <w:rsid w:val="00000CDA"/>
    <w:rsid w:val="00004DE8"/>
    <w:rsid w:val="00006E1F"/>
    <w:rsid w:val="000070D7"/>
    <w:rsid w:val="0001438B"/>
    <w:rsid w:val="0001788C"/>
    <w:rsid w:val="000232E2"/>
    <w:rsid w:val="00030C9C"/>
    <w:rsid w:val="00033630"/>
    <w:rsid w:val="000336DA"/>
    <w:rsid w:val="00033C21"/>
    <w:rsid w:val="00035858"/>
    <w:rsid w:val="00036362"/>
    <w:rsid w:val="00040C3A"/>
    <w:rsid w:val="0005647B"/>
    <w:rsid w:val="00056EB9"/>
    <w:rsid w:val="00057850"/>
    <w:rsid w:val="000716C5"/>
    <w:rsid w:val="00075E23"/>
    <w:rsid w:val="0008304F"/>
    <w:rsid w:val="0008332A"/>
    <w:rsid w:val="0008373D"/>
    <w:rsid w:val="000863B2"/>
    <w:rsid w:val="0009344A"/>
    <w:rsid w:val="00094B40"/>
    <w:rsid w:val="000955C3"/>
    <w:rsid w:val="00095A18"/>
    <w:rsid w:val="000A222D"/>
    <w:rsid w:val="000A392E"/>
    <w:rsid w:val="000A4327"/>
    <w:rsid w:val="000A44BC"/>
    <w:rsid w:val="000A575F"/>
    <w:rsid w:val="000B292E"/>
    <w:rsid w:val="000B2D2A"/>
    <w:rsid w:val="000C7CE6"/>
    <w:rsid w:val="000D10DB"/>
    <w:rsid w:val="000D53A9"/>
    <w:rsid w:val="000E1840"/>
    <w:rsid w:val="000E27F6"/>
    <w:rsid w:val="000E50FA"/>
    <w:rsid w:val="000E5EB5"/>
    <w:rsid w:val="000F35ED"/>
    <w:rsid w:val="000F41DC"/>
    <w:rsid w:val="000F4AA6"/>
    <w:rsid w:val="00102490"/>
    <w:rsid w:val="0010299D"/>
    <w:rsid w:val="00104706"/>
    <w:rsid w:val="00106A81"/>
    <w:rsid w:val="00107131"/>
    <w:rsid w:val="0010736F"/>
    <w:rsid w:val="00113F73"/>
    <w:rsid w:val="00117DD4"/>
    <w:rsid w:val="00121CC2"/>
    <w:rsid w:val="00125111"/>
    <w:rsid w:val="00131F4B"/>
    <w:rsid w:val="00133EE5"/>
    <w:rsid w:val="0015103B"/>
    <w:rsid w:val="00155B1B"/>
    <w:rsid w:val="001617D6"/>
    <w:rsid w:val="00165B93"/>
    <w:rsid w:val="00167A34"/>
    <w:rsid w:val="00177D09"/>
    <w:rsid w:val="00181555"/>
    <w:rsid w:val="00181B9D"/>
    <w:rsid w:val="0019686B"/>
    <w:rsid w:val="001A5E09"/>
    <w:rsid w:val="001A7870"/>
    <w:rsid w:val="001B57B4"/>
    <w:rsid w:val="001B7ACF"/>
    <w:rsid w:val="001C1B41"/>
    <w:rsid w:val="001D29AE"/>
    <w:rsid w:val="001D2ED1"/>
    <w:rsid w:val="001D3A48"/>
    <w:rsid w:val="001D65EF"/>
    <w:rsid w:val="001E5E5D"/>
    <w:rsid w:val="001F31F9"/>
    <w:rsid w:val="001F61C1"/>
    <w:rsid w:val="001F654A"/>
    <w:rsid w:val="00211382"/>
    <w:rsid w:val="00214E96"/>
    <w:rsid w:val="00221D5A"/>
    <w:rsid w:val="00222D22"/>
    <w:rsid w:val="002250A3"/>
    <w:rsid w:val="0023306D"/>
    <w:rsid w:val="00235217"/>
    <w:rsid w:val="00236E63"/>
    <w:rsid w:val="00237AD3"/>
    <w:rsid w:val="002440B2"/>
    <w:rsid w:val="00246D1F"/>
    <w:rsid w:val="00247403"/>
    <w:rsid w:val="00247542"/>
    <w:rsid w:val="00251D04"/>
    <w:rsid w:val="0025737F"/>
    <w:rsid w:val="00260CC6"/>
    <w:rsid w:val="00260DB2"/>
    <w:rsid w:val="00260F8C"/>
    <w:rsid w:val="00262937"/>
    <w:rsid w:val="002656BC"/>
    <w:rsid w:val="0026646E"/>
    <w:rsid w:val="00266B61"/>
    <w:rsid w:val="0026712A"/>
    <w:rsid w:val="002704DB"/>
    <w:rsid w:val="00272F8E"/>
    <w:rsid w:val="002844B5"/>
    <w:rsid w:val="002868AD"/>
    <w:rsid w:val="00287638"/>
    <w:rsid w:val="002A0AAE"/>
    <w:rsid w:val="002A1295"/>
    <w:rsid w:val="002A38E1"/>
    <w:rsid w:val="002A5820"/>
    <w:rsid w:val="002B092B"/>
    <w:rsid w:val="002C3E6E"/>
    <w:rsid w:val="002C7EEE"/>
    <w:rsid w:val="002D2B26"/>
    <w:rsid w:val="002D6048"/>
    <w:rsid w:val="002D7B82"/>
    <w:rsid w:val="002D7EA2"/>
    <w:rsid w:val="002E03F1"/>
    <w:rsid w:val="002E187C"/>
    <w:rsid w:val="002F2920"/>
    <w:rsid w:val="002F5B51"/>
    <w:rsid w:val="00302733"/>
    <w:rsid w:val="00302E29"/>
    <w:rsid w:val="00303242"/>
    <w:rsid w:val="00303454"/>
    <w:rsid w:val="003102BD"/>
    <w:rsid w:val="00312FAE"/>
    <w:rsid w:val="00314078"/>
    <w:rsid w:val="0031535D"/>
    <w:rsid w:val="00317EDB"/>
    <w:rsid w:val="003267CC"/>
    <w:rsid w:val="00326F64"/>
    <w:rsid w:val="003303B5"/>
    <w:rsid w:val="0033169F"/>
    <w:rsid w:val="003356F3"/>
    <w:rsid w:val="0033627F"/>
    <w:rsid w:val="00342DED"/>
    <w:rsid w:val="00344A87"/>
    <w:rsid w:val="003458B7"/>
    <w:rsid w:val="00346C95"/>
    <w:rsid w:val="00352B76"/>
    <w:rsid w:val="00354513"/>
    <w:rsid w:val="00356185"/>
    <w:rsid w:val="00360380"/>
    <w:rsid w:val="00363A7D"/>
    <w:rsid w:val="00364A53"/>
    <w:rsid w:val="0037519E"/>
    <w:rsid w:val="00380016"/>
    <w:rsid w:val="00382EB6"/>
    <w:rsid w:val="00383C69"/>
    <w:rsid w:val="00386CF0"/>
    <w:rsid w:val="00393ADF"/>
    <w:rsid w:val="003A5E90"/>
    <w:rsid w:val="003A66ED"/>
    <w:rsid w:val="003B5F25"/>
    <w:rsid w:val="003B6ACA"/>
    <w:rsid w:val="003C676B"/>
    <w:rsid w:val="003C6EBE"/>
    <w:rsid w:val="003C7D09"/>
    <w:rsid w:val="003D0484"/>
    <w:rsid w:val="003D0613"/>
    <w:rsid w:val="003D127E"/>
    <w:rsid w:val="003D2B17"/>
    <w:rsid w:val="003D3BC2"/>
    <w:rsid w:val="003D41E0"/>
    <w:rsid w:val="003E18EC"/>
    <w:rsid w:val="003E55C7"/>
    <w:rsid w:val="003E69A9"/>
    <w:rsid w:val="003E6CA1"/>
    <w:rsid w:val="003F4823"/>
    <w:rsid w:val="003F6C0B"/>
    <w:rsid w:val="003F7051"/>
    <w:rsid w:val="00404C49"/>
    <w:rsid w:val="004061AE"/>
    <w:rsid w:val="004113CF"/>
    <w:rsid w:val="00411423"/>
    <w:rsid w:val="00412A64"/>
    <w:rsid w:val="004165C2"/>
    <w:rsid w:val="004168ED"/>
    <w:rsid w:val="00425D78"/>
    <w:rsid w:val="00427DC0"/>
    <w:rsid w:val="004358CC"/>
    <w:rsid w:val="004404CF"/>
    <w:rsid w:val="00441D99"/>
    <w:rsid w:val="00441ECB"/>
    <w:rsid w:val="00446FF8"/>
    <w:rsid w:val="004601AE"/>
    <w:rsid w:val="00462823"/>
    <w:rsid w:val="00465BB1"/>
    <w:rsid w:val="00467B7E"/>
    <w:rsid w:val="00470B94"/>
    <w:rsid w:val="00475C8B"/>
    <w:rsid w:val="0047708B"/>
    <w:rsid w:val="00477592"/>
    <w:rsid w:val="0048403A"/>
    <w:rsid w:val="00484E82"/>
    <w:rsid w:val="00486F1C"/>
    <w:rsid w:val="00491A0C"/>
    <w:rsid w:val="0049419D"/>
    <w:rsid w:val="00496F29"/>
    <w:rsid w:val="004A0F36"/>
    <w:rsid w:val="004A3CD9"/>
    <w:rsid w:val="004A4000"/>
    <w:rsid w:val="004A6039"/>
    <w:rsid w:val="004B0163"/>
    <w:rsid w:val="004C20D2"/>
    <w:rsid w:val="004C4B62"/>
    <w:rsid w:val="004C54C9"/>
    <w:rsid w:val="004C64BE"/>
    <w:rsid w:val="004C660A"/>
    <w:rsid w:val="004D08AA"/>
    <w:rsid w:val="004D42E4"/>
    <w:rsid w:val="004D6025"/>
    <w:rsid w:val="004D78A5"/>
    <w:rsid w:val="004E14C6"/>
    <w:rsid w:val="004E218D"/>
    <w:rsid w:val="004E2649"/>
    <w:rsid w:val="004E4AAD"/>
    <w:rsid w:val="004F0C5E"/>
    <w:rsid w:val="004F2EAD"/>
    <w:rsid w:val="004F5560"/>
    <w:rsid w:val="004F6604"/>
    <w:rsid w:val="00501399"/>
    <w:rsid w:val="0050633D"/>
    <w:rsid w:val="00507BC4"/>
    <w:rsid w:val="005128E4"/>
    <w:rsid w:val="005133DB"/>
    <w:rsid w:val="005162FD"/>
    <w:rsid w:val="005167A9"/>
    <w:rsid w:val="005170BE"/>
    <w:rsid w:val="00520200"/>
    <w:rsid w:val="005237B3"/>
    <w:rsid w:val="00524ADD"/>
    <w:rsid w:val="00525560"/>
    <w:rsid w:val="005301A8"/>
    <w:rsid w:val="005409CC"/>
    <w:rsid w:val="00544C49"/>
    <w:rsid w:val="00547A5C"/>
    <w:rsid w:val="0055091F"/>
    <w:rsid w:val="005516A1"/>
    <w:rsid w:val="00552FDC"/>
    <w:rsid w:val="00555F59"/>
    <w:rsid w:val="00557852"/>
    <w:rsid w:val="00560276"/>
    <w:rsid w:val="00561889"/>
    <w:rsid w:val="00563A61"/>
    <w:rsid w:val="005652DB"/>
    <w:rsid w:val="00566F5F"/>
    <w:rsid w:val="00573202"/>
    <w:rsid w:val="0057402A"/>
    <w:rsid w:val="00575DC5"/>
    <w:rsid w:val="005771D0"/>
    <w:rsid w:val="00582FDE"/>
    <w:rsid w:val="00590577"/>
    <w:rsid w:val="0059191A"/>
    <w:rsid w:val="005921FF"/>
    <w:rsid w:val="005941AA"/>
    <w:rsid w:val="0059420D"/>
    <w:rsid w:val="0059653F"/>
    <w:rsid w:val="00597D62"/>
    <w:rsid w:val="005A0FFB"/>
    <w:rsid w:val="005A1CD1"/>
    <w:rsid w:val="005A2B50"/>
    <w:rsid w:val="005A6D0E"/>
    <w:rsid w:val="005A7748"/>
    <w:rsid w:val="005B1D22"/>
    <w:rsid w:val="005B52B0"/>
    <w:rsid w:val="005B6806"/>
    <w:rsid w:val="005C4225"/>
    <w:rsid w:val="005D00C3"/>
    <w:rsid w:val="005D3FDF"/>
    <w:rsid w:val="005D76FB"/>
    <w:rsid w:val="005D7AA4"/>
    <w:rsid w:val="005E2BBD"/>
    <w:rsid w:val="005E78A9"/>
    <w:rsid w:val="005E7FCF"/>
    <w:rsid w:val="005F0ABA"/>
    <w:rsid w:val="005F0DAD"/>
    <w:rsid w:val="005F0F33"/>
    <w:rsid w:val="005F4ED6"/>
    <w:rsid w:val="005F4FE5"/>
    <w:rsid w:val="006000CB"/>
    <w:rsid w:val="00600DEB"/>
    <w:rsid w:val="00605089"/>
    <w:rsid w:val="00607DEC"/>
    <w:rsid w:val="00612D38"/>
    <w:rsid w:val="00616825"/>
    <w:rsid w:val="00620214"/>
    <w:rsid w:val="00627594"/>
    <w:rsid w:val="00627C9F"/>
    <w:rsid w:val="006311E9"/>
    <w:rsid w:val="0063164C"/>
    <w:rsid w:val="0063168E"/>
    <w:rsid w:val="00632354"/>
    <w:rsid w:val="00637226"/>
    <w:rsid w:val="00642810"/>
    <w:rsid w:val="006450FE"/>
    <w:rsid w:val="006501DC"/>
    <w:rsid w:val="00652333"/>
    <w:rsid w:val="00663B6B"/>
    <w:rsid w:val="00676E1D"/>
    <w:rsid w:val="0068009E"/>
    <w:rsid w:val="00684693"/>
    <w:rsid w:val="00684DA0"/>
    <w:rsid w:val="0068610D"/>
    <w:rsid w:val="00690C91"/>
    <w:rsid w:val="00691969"/>
    <w:rsid w:val="00692219"/>
    <w:rsid w:val="006A17D2"/>
    <w:rsid w:val="006A1B81"/>
    <w:rsid w:val="006A73E6"/>
    <w:rsid w:val="006B10F2"/>
    <w:rsid w:val="006B2D5C"/>
    <w:rsid w:val="006B74C8"/>
    <w:rsid w:val="006C0C16"/>
    <w:rsid w:val="006C1DFB"/>
    <w:rsid w:val="006C4EB1"/>
    <w:rsid w:val="006C5008"/>
    <w:rsid w:val="006E0166"/>
    <w:rsid w:val="006E0CCF"/>
    <w:rsid w:val="006E26A5"/>
    <w:rsid w:val="006E6171"/>
    <w:rsid w:val="006E7263"/>
    <w:rsid w:val="006E7B34"/>
    <w:rsid w:val="006F1663"/>
    <w:rsid w:val="006F176C"/>
    <w:rsid w:val="006F2E51"/>
    <w:rsid w:val="0070078A"/>
    <w:rsid w:val="0070697F"/>
    <w:rsid w:val="00714830"/>
    <w:rsid w:val="00714846"/>
    <w:rsid w:val="007214D6"/>
    <w:rsid w:val="0072199C"/>
    <w:rsid w:val="00722C9F"/>
    <w:rsid w:val="007253B8"/>
    <w:rsid w:val="007347A7"/>
    <w:rsid w:val="0073741F"/>
    <w:rsid w:val="00757FF3"/>
    <w:rsid w:val="0076082B"/>
    <w:rsid w:val="0076643F"/>
    <w:rsid w:val="007674A5"/>
    <w:rsid w:val="00772561"/>
    <w:rsid w:val="00775A6E"/>
    <w:rsid w:val="00777026"/>
    <w:rsid w:val="00777113"/>
    <w:rsid w:val="00777F63"/>
    <w:rsid w:val="007817AD"/>
    <w:rsid w:val="00784A53"/>
    <w:rsid w:val="00786EB7"/>
    <w:rsid w:val="0078760B"/>
    <w:rsid w:val="0079560C"/>
    <w:rsid w:val="00796889"/>
    <w:rsid w:val="00796A0C"/>
    <w:rsid w:val="007A1E10"/>
    <w:rsid w:val="007A3B7B"/>
    <w:rsid w:val="007A5283"/>
    <w:rsid w:val="007A5817"/>
    <w:rsid w:val="007B0975"/>
    <w:rsid w:val="007B124A"/>
    <w:rsid w:val="007B60E9"/>
    <w:rsid w:val="007B6CC3"/>
    <w:rsid w:val="007C301E"/>
    <w:rsid w:val="007C3334"/>
    <w:rsid w:val="007C6716"/>
    <w:rsid w:val="007D2B98"/>
    <w:rsid w:val="007D4D73"/>
    <w:rsid w:val="007D7E3C"/>
    <w:rsid w:val="007E21BC"/>
    <w:rsid w:val="007E526D"/>
    <w:rsid w:val="007E57E1"/>
    <w:rsid w:val="007F48EA"/>
    <w:rsid w:val="0080154D"/>
    <w:rsid w:val="008032E5"/>
    <w:rsid w:val="00803F1C"/>
    <w:rsid w:val="00804063"/>
    <w:rsid w:val="00805C91"/>
    <w:rsid w:val="0080600E"/>
    <w:rsid w:val="008119B3"/>
    <w:rsid w:val="00817612"/>
    <w:rsid w:val="0082488D"/>
    <w:rsid w:val="00827796"/>
    <w:rsid w:val="008338A4"/>
    <w:rsid w:val="00835367"/>
    <w:rsid w:val="00835CFF"/>
    <w:rsid w:val="00837C45"/>
    <w:rsid w:val="00841144"/>
    <w:rsid w:val="0084245B"/>
    <w:rsid w:val="00844730"/>
    <w:rsid w:val="00845296"/>
    <w:rsid w:val="008457C2"/>
    <w:rsid w:val="00857A82"/>
    <w:rsid w:val="00860313"/>
    <w:rsid w:val="00864809"/>
    <w:rsid w:val="00870D4C"/>
    <w:rsid w:val="00873836"/>
    <w:rsid w:val="008802B2"/>
    <w:rsid w:val="008810E3"/>
    <w:rsid w:val="00883016"/>
    <w:rsid w:val="00885737"/>
    <w:rsid w:val="008859D8"/>
    <w:rsid w:val="008860E0"/>
    <w:rsid w:val="00890650"/>
    <w:rsid w:val="00894166"/>
    <w:rsid w:val="00897E12"/>
    <w:rsid w:val="008A7E0F"/>
    <w:rsid w:val="008B12F5"/>
    <w:rsid w:val="008B676A"/>
    <w:rsid w:val="008B7AFA"/>
    <w:rsid w:val="008B7CB8"/>
    <w:rsid w:val="008C1FA8"/>
    <w:rsid w:val="008C4FE1"/>
    <w:rsid w:val="008C5B78"/>
    <w:rsid w:val="008D25CD"/>
    <w:rsid w:val="008D29C1"/>
    <w:rsid w:val="008D4FEA"/>
    <w:rsid w:val="008D768D"/>
    <w:rsid w:val="008E0C6C"/>
    <w:rsid w:val="008E0F56"/>
    <w:rsid w:val="008E113A"/>
    <w:rsid w:val="008E31F2"/>
    <w:rsid w:val="008E3759"/>
    <w:rsid w:val="008E4989"/>
    <w:rsid w:val="008E5E6C"/>
    <w:rsid w:val="008F1912"/>
    <w:rsid w:val="008F3B70"/>
    <w:rsid w:val="008F6D64"/>
    <w:rsid w:val="00900F9F"/>
    <w:rsid w:val="00901153"/>
    <w:rsid w:val="00901672"/>
    <w:rsid w:val="0090270B"/>
    <w:rsid w:val="00903D29"/>
    <w:rsid w:val="009041DC"/>
    <w:rsid w:val="0090563B"/>
    <w:rsid w:val="00906913"/>
    <w:rsid w:val="00907DF9"/>
    <w:rsid w:val="009131BE"/>
    <w:rsid w:val="00915B62"/>
    <w:rsid w:val="00915F85"/>
    <w:rsid w:val="00917B5A"/>
    <w:rsid w:val="00920A58"/>
    <w:rsid w:val="00920A8C"/>
    <w:rsid w:val="00922DE3"/>
    <w:rsid w:val="00934A2C"/>
    <w:rsid w:val="00940189"/>
    <w:rsid w:val="00940C20"/>
    <w:rsid w:val="009427FF"/>
    <w:rsid w:val="009461DA"/>
    <w:rsid w:val="00946EE2"/>
    <w:rsid w:val="00962D9A"/>
    <w:rsid w:val="00963664"/>
    <w:rsid w:val="00965762"/>
    <w:rsid w:val="0096706E"/>
    <w:rsid w:val="00967A74"/>
    <w:rsid w:val="00975C4E"/>
    <w:rsid w:val="00981FBA"/>
    <w:rsid w:val="0098722E"/>
    <w:rsid w:val="00987376"/>
    <w:rsid w:val="009902B5"/>
    <w:rsid w:val="00997BC5"/>
    <w:rsid w:val="009A04EF"/>
    <w:rsid w:val="009A14B2"/>
    <w:rsid w:val="009A4F41"/>
    <w:rsid w:val="009B0EB6"/>
    <w:rsid w:val="009B376F"/>
    <w:rsid w:val="009B381B"/>
    <w:rsid w:val="009B5460"/>
    <w:rsid w:val="009B55D3"/>
    <w:rsid w:val="009C1E05"/>
    <w:rsid w:val="009D025C"/>
    <w:rsid w:val="009D1753"/>
    <w:rsid w:val="009D3666"/>
    <w:rsid w:val="009D7611"/>
    <w:rsid w:val="009E02BA"/>
    <w:rsid w:val="009E0B61"/>
    <w:rsid w:val="009E53DE"/>
    <w:rsid w:val="009F3CD0"/>
    <w:rsid w:val="00A03566"/>
    <w:rsid w:val="00A06730"/>
    <w:rsid w:val="00A21437"/>
    <w:rsid w:val="00A3170C"/>
    <w:rsid w:val="00A328B3"/>
    <w:rsid w:val="00A33BCC"/>
    <w:rsid w:val="00A40AA9"/>
    <w:rsid w:val="00A42724"/>
    <w:rsid w:val="00A508B7"/>
    <w:rsid w:val="00A50FCF"/>
    <w:rsid w:val="00A525C4"/>
    <w:rsid w:val="00A528D1"/>
    <w:rsid w:val="00A610CD"/>
    <w:rsid w:val="00A65393"/>
    <w:rsid w:val="00A662F4"/>
    <w:rsid w:val="00A73B77"/>
    <w:rsid w:val="00A76566"/>
    <w:rsid w:val="00A76C2A"/>
    <w:rsid w:val="00A82B0B"/>
    <w:rsid w:val="00A83B56"/>
    <w:rsid w:val="00A8682D"/>
    <w:rsid w:val="00A939C8"/>
    <w:rsid w:val="00AA09A2"/>
    <w:rsid w:val="00AA59EB"/>
    <w:rsid w:val="00AA6292"/>
    <w:rsid w:val="00AA788F"/>
    <w:rsid w:val="00AA7996"/>
    <w:rsid w:val="00AB072C"/>
    <w:rsid w:val="00AB1796"/>
    <w:rsid w:val="00AB2A7D"/>
    <w:rsid w:val="00AB4A31"/>
    <w:rsid w:val="00AC19CB"/>
    <w:rsid w:val="00AC1F35"/>
    <w:rsid w:val="00AC4CC3"/>
    <w:rsid w:val="00AC4D65"/>
    <w:rsid w:val="00AC52A8"/>
    <w:rsid w:val="00AC7AA3"/>
    <w:rsid w:val="00AD199E"/>
    <w:rsid w:val="00AD5853"/>
    <w:rsid w:val="00AE24D3"/>
    <w:rsid w:val="00AE5488"/>
    <w:rsid w:val="00AE59EE"/>
    <w:rsid w:val="00AE6F91"/>
    <w:rsid w:val="00AF03B4"/>
    <w:rsid w:val="00AF38FF"/>
    <w:rsid w:val="00AF5571"/>
    <w:rsid w:val="00B03F4B"/>
    <w:rsid w:val="00B04543"/>
    <w:rsid w:val="00B07341"/>
    <w:rsid w:val="00B074E5"/>
    <w:rsid w:val="00B1059F"/>
    <w:rsid w:val="00B14E57"/>
    <w:rsid w:val="00B21C50"/>
    <w:rsid w:val="00B226A7"/>
    <w:rsid w:val="00B23344"/>
    <w:rsid w:val="00B23A5A"/>
    <w:rsid w:val="00B24568"/>
    <w:rsid w:val="00B30539"/>
    <w:rsid w:val="00B314DB"/>
    <w:rsid w:val="00B361F2"/>
    <w:rsid w:val="00B3718B"/>
    <w:rsid w:val="00B40A24"/>
    <w:rsid w:val="00B44AC1"/>
    <w:rsid w:val="00B4632A"/>
    <w:rsid w:val="00B5042F"/>
    <w:rsid w:val="00B52308"/>
    <w:rsid w:val="00B530F1"/>
    <w:rsid w:val="00B61363"/>
    <w:rsid w:val="00B65E59"/>
    <w:rsid w:val="00B705AD"/>
    <w:rsid w:val="00B803CB"/>
    <w:rsid w:val="00B91500"/>
    <w:rsid w:val="00BA0562"/>
    <w:rsid w:val="00BA1EE1"/>
    <w:rsid w:val="00BA2020"/>
    <w:rsid w:val="00BA276C"/>
    <w:rsid w:val="00BA4509"/>
    <w:rsid w:val="00BB05DF"/>
    <w:rsid w:val="00BB16F3"/>
    <w:rsid w:val="00BB306F"/>
    <w:rsid w:val="00BB43A1"/>
    <w:rsid w:val="00BB6915"/>
    <w:rsid w:val="00BC110F"/>
    <w:rsid w:val="00BC66B5"/>
    <w:rsid w:val="00BD4B89"/>
    <w:rsid w:val="00BE0CDA"/>
    <w:rsid w:val="00BE1DD7"/>
    <w:rsid w:val="00BE2884"/>
    <w:rsid w:val="00BF0BD8"/>
    <w:rsid w:val="00BF5D04"/>
    <w:rsid w:val="00BF6862"/>
    <w:rsid w:val="00BF6FD8"/>
    <w:rsid w:val="00BF7C6A"/>
    <w:rsid w:val="00C00003"/>
    <w:rsid w:val="00C00946"/>
    <w:rsid w:val="00C02D45"/>
    <w:rsid w:val="00C03680"/>
    <w:rsid w:val="00C054DF"/>
    <w:rsid w:val="00C12B25"/>
    <w:rsid w:val="00C14E7D"/>
    <w:rsid w:val="00C207B0"/>
    <w:rsid w:val="00C21762"/>
    <w:rsid w:val="00C219B2"/>
    <w:rsid w:val="00C24543"/>
    <w:rsid w:val="00C256A2"/>
    <w:rsid w:val="00C259DC"/>
    <w:rsid w:val="00C27B33"/>
    <w:rsid w:val="00C31E61"/>
    <w:rsid w:val="00C36276"/>
    <w:rsid w:val="00C3684C"/>
    <w:rsid w:val="00C47AF1"/>
    <w:rsid w:val="00C51515"/>
    <w:rsid w:val="00C51AF4"/>
    <w:rsid w:val="00C52181"/>
    <w:rsid w:val="00C53D72"/>
    <w:rsid w:val="00C5660B"/>
    <w:rsid w:val="00C605DE"/>
    <w:rsid w:val="00C60D22"/>
    <w:rsid w:val="00C60DED"/>
    <w:rsid w:val="00C62483"/>
    <w:rsid w:val="00C64C3F"/>
    <w:rsid w:val="00C65AD0"/>
    <w:rsid w:val="00C66B72"/>
    <w:rsid w:val="00C66FD4"/>
    <w:rsid w:val="00C742A6"/>
    <w:rsid w:val="00C81906"/>
    <w:rsid w:val="00C857BE"/>
    <w:rsid w:val="00C8756E"/>
    <w:rsid w:val="00C9567A"/>
    <w:rsid w:val="00CA473B"/>
    <w:rsid w:val="00CB212D"/>
    <w:rsid w:val="00CB2660"/>
    <w:rsid w:val="00CB2C27"/>
    <w:rsid w:val="00CC0A9D"/>
    <w:rsid w:val="00CC0C99"/>
    <w:rsid w:val="00CC182A"/>
    <w:rsid w:val="00CC37CA"/>
    <w:rsid w:val="00CC38ED"/>
    <w:rsid w:val="00CC41C2"/>
    <w:rsid w:val="00CC5E90"/>
    <w:rsid w:val="00CC7999"/>
    <w:rsid w:val="00CD046C"/>
    <w:rsid w:val="00CE076C"/>
    <w:rsid w:val="00CE34E4"/>
    <w:rsid w:val="00CE4F11"/>
    <w:rsid w:val="00CE5199"/>
    <w:rsid w:val="00CE66D5"/>
    <w:rsid w:val="00CF637A"/>
    <w:rsid w:val="00CF69B4"/>
    <w:rsid w:val="00CF7334"/>
    <w:rsid w:val="00D027B8"/>
    <w:rsid w:val="00D041CC"/>
    <w:rsid w:val="00D059DE"/>
    <w:rsid w:val="00D13FCE"/>
    <w:rsid w:val="00D14D28"/>
    <w:rsid w:val="00D1596D"/>
    <w:rsid w:val="00D306D1"/>
    <w:rsid w:val="00D308F3"/>
    <w:rsid w:val="00D34786"/>
    <w:rsid w:val="00D371F0"/>
    <w:rsid w:val="00D37BFC"/>
    <w:rsid w:val="00D40FBE"/>
    <w:rsid w:val="00D42938"/>
    <w:rsid w:val="00D44F02"/>
    <w:rsid w:val="00D47A8E"/>
    <w:rsid w:val="00D52D14"/>
    <w:rsid w:val="00D631D9"/>
    <w:rsid w:val="00D712D3"/>
    <w:rsid w:val="00D71422"/>
    <w:rsid w:val="00D72DC6"/>
    <w:rsid w:val="00D73E9D"/>
    <w:rsid w:val="00D7462A"/>
    <w:rsid w:val="00D7558D"/>
    <w:rsid w:val="00D81D92"/>
    <w:rsid w:val="00D95F4C"/>
    <w:rsid w:val="00DA1370"/>
    <w:rsid w:val="00DA7B5F"/>
    <w:rsid w:val="00DB09A9"/>
    <w:rsid w:val="00DB1A66"/>
    <w:rsid w:val="00DB6964"/>
    <w:rsid w:val="00DC03B8"/>
    <w:rsid w:val="00DC11E7"/>
    <w:rsid w:val="00DC265D"/>
    <w:rsid w:val="00DC7023"/>
    <w:rsid w:val="00DC769A"/>
    <w:rsid w:val="00DD3D86"/>
    <w:rsid w:val="00DD40F8"/>
    <w:rsid w:val="00DD5598"/>
    <w:rsid w:val="00DE2779"/>
    <w:rsid w:val="00DF151B"/>
    <w:rsid w:val="00DF1EC4"/>
    <w:rsid w:val="00DF25E5"/>
    <w:rsid w:val="00DF48DE"/>
    <w:rsid w:val="00E0248E"/>
    <w:rsid w:val="00E0340B"/>
    <w:rsid w:val="00E04A90"/>
    <w:rsid w:val="00E136F2"/>
    <w:rsid w:val="00E14224"/>
    <w:rsid w:val="00E21857"/>
    <w:rsid w:val="00E219C7"/>
    <w:rsid w:val="00E22D24"/>
    <w:rsid w:val="00E322F4"/>
    <w:rsid w:val="00E36589"/>
    <w:rsid w:val="00E3746C"/>
    <w:rsid w:val="00E376F8"/>
    <w:rsid w:val="00E43157"/>
    <w:rsid w:val="00E461CE"/>
    <w:rsid w:val="00E47B04"/>
    <w:rsid w:val="00E55E68"/>
    <w:rsid w:val="00E56933"/>
    <w:rsid w:val="00E609A4"/>
    <w:rsid w:val="00E662B8"/>
    <w:rsid w:val="00E71F9F"/>
    <w:rsid w:val="00E71FBF"/>
    <w:rsid w:val="00E720CA"/>
    <w:rsid w:val="00E84700"/>
    <w:rsid w:val="00E84EB5"/>
    <w:rsid w:val="00E85662"/>
    <w:rsid w:val="00E8789F"/>
    <w:rsid w:val="00E91BF6"/>
    <w:rsid w:val="00E93E94"/>
    <w:rsid w:val="00E97B71"/>
    <w:rsid w:val="00EA22C4"/>
    <w:rsid w:val="00EA3D34"/>
    <w:rsid w:val="00EA4EB4"/>
    <w:rsid w:val="00EA5BD3"/>
    <w:rsid w:val="00EA6A04"/>
    <w:rsid w:val="00EB3C14"/>
    <w:rsid w:val="00EB454D"/>
    <w:rsid w:val="00EC0AD4"/>
    <w:rsid w:val="00EC1CF2"/>
    <w:rsid w:val="00ED6E58"/>
    <w:rsid w:val="00ED76BE"/>
    <w:rsid w:val="00EE20F3"/>
    <w:rsid w:val="00EE6EB4"/>
    <w:rsid w:val="00EF382E"/>
    <w:rsid w:val="00EF4A89"/>
    <w:rsid w:val="00EF619B"/>
    <w:rsid w:val="00EF73FA"/>
    <w:rsid w:val="00EF74CF"/>
    <w:rsid w:val="00F00B55"/>
    <w:rsid w:val="00F01240"/>
    <w:rsid w:val="00F027A8"/>
    <w:rsid w:val="00F02AD1"/>
    <w:rsid w:val="00F07EC3"/>
    <w:rsid w:val="00F11272"/>
    <w:rsid w:val="00F121B4"/>
    <w:rsid w:val="00F1271B"/>
    <w:rsid w:val="00F153EA"/>
    <w:rsid w:val="00F2233A"/>
    <w:rsid w:val="00F253B0"/>
    <w:rsid w:val="00F253CC"/>
    <w:rsid w:val="00F31103"/>
    <w:rsid w:val="00F32828"/>
    <w:rsid w:val="00F3497C"/>
    <w:rsid w:val="00F36CCE"/>
    <w:rsid w:val="00F37106"/>
    <w:rsid w:val="00F4030A"/>
    <w:rsid w:val="00F403B0"/>
    <w:rsid w:val="00F454BF"/>
    <w:rsid w:val="00F473AE"/>
    <w:rsid w:val="00F519CF"/>
    <w:rsid w:val="00F54972"/>
    <w:rsid w:val="00F56BA5"/>
    <w:rsid w:val="00F60E22"/>
    <w:rsid w:val="00F66DEE"/>
    <w:rsid w:val="00F67C81"/>
    <w:rsid w:val="00F80ED4"/>
    <w:rsid w:val="00F81395"/>
    <w:rsid w:val="00F85895"/>
    <w:rsid w:val="00F917D1"/>
    <w:rsid w:val="00F92680"/>
    <w:rsid w:val="00F9653B"/>
    <w:rsid w:val="00FA0AAD"/>
    <w:rsid w:val="00FA325F"/>
    <w:rsid w:val="00FA4C1C"/>
    <w:rsid w:val="00FB0058"/>
    <w:rsid w:val="00FB344E"/>
    <w:rsid w:val="00FB4531"/>
    <w:rsid w:val="00FB62CF"/>
    <w:rsid w:val="00FC2A3E"/>
    <w:rsid w:val="00FD3C3B"/>
    <w:rsid w:val="00FD4F59"/>
    <w:rsid w:val="00FD5A42"/>
    <w:rsid w:val="00FE0875"/>
    <w:rsid w:val="00FE1DB0"/>
    <w:rsid w:val="00FE5EE5"/>
    <w:rsid w:val="00FE6B45"/>
    <w:rsid w:val="00FE705C"/>
    <w:rsid w:val="00FE7DFE"/>
    <w:rsid w:val="00FF31AC"/>
    <w:rsid w:val="00FF55F3"/>
    <w:rsid w:val="00FF5851"/>
    <w:rsid w:val="00FF5FCF"/>
    <w:rsid w:val="00FF7980"/>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D4D73"/>
    <w:pPr>
      <w:keepNext/>
      <w:keepLines/>
      <w:numPr>
        <w:numId w:val="53"/>
      </w:numPr>
      <w:tabs>
        <w:tab w:val="left" w:pos="0"/>
      </w:tabs>
      <w:ind w:left="0" w:firstLine="720"/>
      <w:outlineLvl w:val="0"/>
    </w:pPr>
    <w:rPr>
      <w:rFonts w:asciiTheme="majorHAnsi" w:eastAsiaTheme="majorEastAsia" w:hAnsiTheme="majorHAnsi" w:cstheme="majorBidi"/>
      <w:b/>
      <w:bCs/>
      <w:sz w:val="20"/>
      <w:szCs w:val="20"/>
      <w:lang w:val="es-ES_tradnl"/>
    </w:rPr>
  </w:style>
  <w:style w:type="paragraph" w:styleId="Heading2">
    <w:name w:val="heading 2"/>
    <w:basedOn w:val="ListParagraph"/>
    <w:next w:val="Normal"/>
    <w:link w:val="Heading2Char"/>
    <w:qFormat/>
    <w:rsid w:val="00F66DEE"/>
    <w:pPr>
      <w:numPr>
        <w:ilvl w:val="1"/>
        <w:numId w:val="55"/>
      </w:numPr>
      <w:ind w:left="1440" w:hanging="720"/>
      <w:outlineLvl w:val="1"/>
    </w:pPr>
    <w:rPr>
      <w:sz w:val="20"/>
      <w:szCs w:val="20"/>
      <w:lang w:val="es-ES_tradnl"/>
    </w:rPr>
  </w:style>
  <w:style w:type="paragraph" w:styleId="Heading3">
    <w:name w:val="heading 3"/>
    <w:basedOn w:val="ListParagraph"/>
    <w:next w:val="Normal"/>
    <w:link w:val="Heading3Char"/>
    <w:qFormat/>
    <w:rsid w:val="0023306D"/>
    <w:pPr>
      <w:numPr>
        <w:numId w:val="56"/>
      </w:numPr>
      <w:tabs>
        <w:tab w:val="left" w:pos="720"/>
        <w:tab w:val="left" w:pos="1440"/>
        <w:tab w:val="center" w:pos="4680"/>
        <w:tab w:val="left" w:pos="6511"/>
      </w:tabs>
      <w:outlineLvl w:val="2"/>
    </w:pPr>
    <w:rPr>
      <w:rFonts w:cs="Calibri"/>
      <w:color w:val="auto"/>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D4D73"/>
    <w:rPr>
      <w:rFonts w:asciiTheme="majorHAnsi" w:eastAsiaTheme="majorEastAsia" w:hAnsiTheme="majorHAnsi" w:cstheme="majorBidi"/>
      <w:b/>
      <w:bCs/>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F66DEE"/>
    <w:rPr>
      <w:rFonts w:ascii="Cambria" w:eastAsia="Cambria" w:hAnsi="Cambria" w:cs="Cambria"/>
      <w:color w:val="000000"/>
      <w:u w:color="000000"/>
      <w:lang w:val="es-ES_tradnl"/>
    </w:rPr>
  </w:style>
  <w:style w:type="character" w:customStyle="1" w:styleId="Heading3Char">
    <w:name w:val="Heading 3 Char"/>
    <w:basedOn w:val="DefaultParagraphFont"/>
    <w:link w:val="Heading3"/>
    <w:rsid w:val="0023306D"/>
    <w:rPr>
      <w:rFonts w:ascii="Cambria" w:eastAsia="Cambria" w:hAnsi="Cambria" w:cs="Calibri"/>
      <w:u w:color="000000"/>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rmalWeb">
    <w:name w:val="Normal (Web)"/>
    <w:basedOn w:val="Normal"/>
    <w:uiPriority w:val="99"/>
    <w:semiHidden/>
    <w:unhideWhenUsed/>
    <w:rsid w:val="00FF5FCF"/>
  </w:style>
  <w:style w:type="character" w:customStyle="1" w:styleId="apple-converted-space">
    <w:name w:val="apple-converted-space"/>
    <w:basedOn w:val="DefaultParagraphFont"/>
    <w:rsid w:val="00DC26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D4D73"/>
    <w:pPr>
      <w:keepNext/>
      <w:keepLines/>
      <w:numPr>
        <w:numId w:val="53"/>
      </w:numPr>
      <w:tabs>
        <w:tab w:val="left" w:pos="0"/>
      </w:tabs>
      <w:ind w:left="0" w:firstLine="720"/>
      <w:outlineLvl w:val="0"/>
    </w:pPr>
    <w:rPr>
      <w:rFonts w:asciiTheme="majorHAnsi" w:eastAsiaTheme="majorEastAsia" w:hAnsiTheme="majorHAnsi" w:cstheme="majorBidi"/>
      <w:b/>
      <w:bCs/>
      <w:sz w:val="20"/>
      <w:szCs w:val="20"/>
      <w:lang w:val="es-ES_tradnl"/>
    </w:rPr>
  </w:style>
  <w:style w:type="paragraph" w:styleId="Heading2">
    <w:name w:val="heading 2"/>
    <w:basedOn w:val="ListParagraph"/>
    <w:next w:val="Normal"/>
    <w:link w:val="Heading2Char"/>
    <w:qFormat/>
    <w:rsid w:val="00F66DEE"/>
    <w:pPr>
      <w:numPr>
        <w:ilvl w:val="1"/>
        <w:numId w:val="55"/>
      </w:numPr>
      <w:ind w:left="1440" w:hanging="720"/>
      <w:outlineLvl w:val="1"/>
    </w:pPr>
    <w:rPr>
      <w:sz w:val="20"/>
      <w:szCs w:val="20"/>
      <w:lang w:val="es-ES_tradnl"/>
    </w:rPr>
  </w:style>
  <w:style w:type="paragraph" w:styleId="Heading3">
    <w:name w:val="heading 3"/>
    <w:basedOn w:val="ListParagraph"/>
    <w:next w:val="Normal"/>
    <w:link w:val="Heading3Char"/>
    <w:qFormat/>
    <w:rsid w:val="0023306D"/>
    <w:pPr>
      <w:numPr>
        <w:numId w:val="56"/>
      </w:numPr>
      <w:tabs>
        <w:tab w:val="left" w:pos="720"/>
        <w:tab w:val="left" w:pos="1440"/>
        <w:tab w:val="center" w:pos="4680"/>
        <w:tab w:val="left" w:pos="6511"/>
      </w:tabs>
      <w:outlineLvl w:val="2"/>
    </w:pPr>
    <w:rPr>
      <w:rFonts w:cs="Calibri"/>
      <w:color w:val="auto"/>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D4D73"/>
    <w:rPr>
      <w:rFonts w:asciiTheme="majorHAnsi" w:eastAsiaTheme="majorEastAsia" w:hAnsiTheme="majorHAnsi" w:cstheme="majorBidi"/>
      <w:b/>
      <w:bCs/>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F66DEE"/>
    <w:rPr>
      <w:rFonts w:ascii="Cambria" w:eastAsia="Cambria" w:hAnsi="Cambria" w:cs="Cambria"/>
      <w:color w:val="000000"/>
      <w:u w:color="000000"/>
      <w:lang w:val="es-ES_tradnl"/>
    </w:rPr>
  </w:style>
  <w:style w:type="character" w:customStyle="1" w:styleId="Heading3Char">
    <w:name w:val="Heading 3 Char"/>
    <w:basedOn w:val="DefaultParagraphFont"/>
    <w:link w:val="Heading3"/>
    <w:rsid w:val="0023306D"/>
    <w:rPr>
      <w:rFonts w:ascii="Cambria" w:eastAsia="Cambria" w:hAnsi="Cambria" w:cs="Calibri"/>
      <w:u w:color="000000"/>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rmalWeb">
    <w:name w:val="Normal (Web)"/>
    <w:basedOn w:val="Normal"/>
    <w:uiPriority w:val="99"/>
    <w:semiHidden/>
    <w:unhideWhenUsed/>
    <w:rsid w:val="00FF5FCF"/>
  </w:style>
  <w:style w:type="character" w:customStyle="1" w:styleId="apple-converted-space">
    <w:name w:val="apple-converted-space"/>
    <w:basedOn w:val="DefaultParagraphFont"/>
    <w:rsid w:val="00DC2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333">
      <w:bodyDiv w:val="1"/>
      <w:marLeft w:val="0"/>
      <w:marRight w:val="0"/>
      <w:marTop w:val="0"/>
      <w:marBottom w:val="0"/>
      <w:divBdr>
        <w:top w:val="none" w:sz="0" w:space="0" w:color="auto"/>
        <w:left w:val="none" w:sz="0" w:space="0" w:color="auto"/>
        <w:bottom w:val="none" w:sz="0" w:space="0" w:color="auto"/>
        <w:right w:val="none" w:sz="0" w:space="0" w:color="auto"/>
      </w:divBdr>
    </w:div>
    <w:div w:id="142966716">
      <w:bodyDiv w:val="1"/>
      <w:marLeft w:val="0"/>
      <w:marRight w:val="0"/>
      <w:marTop w:val="0"/>
      <w:marBottom w:val="0"/>
      <w:divBdr>
        <w:top w:val="none" w:sz="0" w:space="0" w:color="auto"/>
        <w:left w:val="none" w:sz="0" w:space="0" w:color="auto"/>
        <w:bottom w:val="none" w:sz="0" w:space="0" w:color="auto"/>
        <w:right w:val="none" w:sz="0" w:space="0" w:color="auto"/>
      </w:divBdr>
    </w:div>
    <w:div w:id="296297312">
      <w:bodyDiv w:val="1"/>
      <w:marLeft w:val="0"/>
      <w:marRight w:val="0"/>
      <w:marTop w:val="0"/>
      <w:marBottom w:val="0"/>
      <w:divBdr>
        <w:top w:val="none" w:sz="0" w:space="0" w:color="auto"/>
        <w:left w:val="none" w:sz="0" w:space="0" w:color="auto"/>
        <w:bottom w:val="none" w:sz="0" w:space="0" w:color="auto"/>
        <w:right w:val="none" w:sz="0" w:space="0" w:color="auto"/>
      </w:divBdr>
    </w:div>
    <w:div w:id="534346407">
      <w:bodyDiv w:val="1"/>
      <w:marLeft w:val="0"/>
      <w:marRight w:val="0"/>
      <w:marTop w:val="0"/>
      <w:marBottom w:val="0"/>
      <w:divBdr>
        <w:top w:val="none" w:sz="0" w:space="0" w:color="auto"/>
        <w:left w:val="none" w:sz="0" w:space="0" w:color="auto"/>
        <w:bottom w:val="none" w:sz="0" w:space="0" w:color="auto"/>
        <w:right w:val="none" w:sz="0" w:space="0" w:color="auto"/>
      </w:divBdr>
    </w:div>
    <w:div w:id="554774452">
      <w:bodyDiv w:val="1"/>
      <w:marLeft w:val="0"/>
      <w:marRight w:val="0"/>
      <w:marTop w:val="0"/>
      <w:marBottom w:val="0"/>
      <w:divBdr>
        <w:top w:val="none" w:sz="0" w:space="0" w:color="auto"/>
        <w:left w:val="none" w:sz="0" w:space="0" w:color="auto"/>
        <w:bottom w:val="none" w:sz="0" w:space="0" w:color="auto"/>
        <w:right w:val="none" w:sz="0" w:space="0" w:color="auto"/>
      </w:divBdr>
    </w:div>
    <w:div w:id="569192982">
      <w:bodyDiv w:val="1"/>
      <w:marLeft w:val="0"/>
      <w:marRight w:val="0"/>
      <w:marTop w:val="0"/>
      <w:marBottom w:val="0"/>
      <w:divBdr>
        <w:top w:val="none" w:sz="0" w:space="0" w:color="auto"/>
        <w:left w:val="none" w:sz="0" w:space="0" w:color="auto"/>
        <w:bottom w:val="none" w:sz="0" w:space="0" w:color="auto"/>
        <w:right w:val="none" w:sz="0" w:space="0" w:color="auto"/>
      </w:divBdr>
    </w:div>
    <w:div w:id="608005800">
      <w:bodyDiv w:val="1"/>
      <w:marLeft w:val="0"/>
      <w:marRight w:val="0"/>
      <w:marTop w:val="0"/>
      <w:marBottom w:val="0"/>
      <w:divBdr>
        <w:top w:val="none" w:sz="0" w:space="0" w:color="auto"/>
        <w:left w:val="none" w:sz="0" w:space="0" w:color="auto"/>
        <w:bottom w:val="none" w:sz="0" w:space="0" w:color="auto"/>
        <w:right w:val="none" w:sz="0" w:space="0" w:color="auto"/>
      </w:divBdr>
    </w:div>
    <w:div w:id="768506901">
      <w:bodyDiv w:val="1"/>
      <w:marLeft w:val="0"/>
      <w:marRight w:val="0"/>
      <w:marTop w:val="0"/>
      <w:marBottom w:val="0"/>
      <w:divBdr>
        <w:top w:val="none" w:sz="0" w:space="0" w:color="auto"/>
        <w:left w:val="none" w:sz="0" w:space="0" w:color="auto"/>
        <w:bottom w:val="none" w:sz="0" w:space="0" w:color="auto"/>
        <w:right w:val="none" w:sz="0" w:space="0" w:color="auto"/>
      </w:divBdr>
    </w:div>
    <w:div w:id="854811747">
      <w:bodyDiv w:val="1"/>
      <w:marLeft w:val="0"/>
      <w:marRight w:val="0"/>
      <w:marTop w:val="0"/>
      <w:marBottom w:val="0"/>
      <w:divBdr>
        <w:top w:val="none" w:sz="0" w:space="0" w:color="auto"/>
        <w:left w:val="none" w:sz="0" w:space="0" w:color="auto"/>
        <w:bottom w:val="none" w:sz="0" w:space="0" w:color="auto"/>
        <w:right w:val="none" w:sz="0" w:space="0" w:color="auto"/>
      </w:divBdr>
    </w:div>
    <w:div w:id="1016923548">
      <w:bodyDiv w:val="1"/>
      <w:marLeft w:val="0"/>
      <w:marRight w:val="0"/>
      <w:marTop w:val="0"/>
      <w:marBottom w:val="0"/>
      <w:divBdr>
        <w:top w:val="none" w:sz="0" w:space="0" w:color="auto"/>
        <w:left w:val="none" w:sz="0" w:space="0" w:color="auto"/>
        <w:bottom w:val="none" w:sz="0" w:space="0" w:color="auto"/>
        <w:right w:val="none" w:sz="0" w:space="0" w:color="auto"/>
      </w:divBdr>
    </w:div>
    <w:div w:id="1029913903">
      <w:bodyDiv w:val="1"/>
      <w:marLeft w:val="0"/>
      <w:marRight w:val="0"/>
      <w:marTop w:val="0"/>
      <w:marBottom w:val="0"/>
      <w:divBdr>
        <w:top w:val="none" w:sz="0" w:space="0" w:color="auto"/>
        <w:left w:val="none" w:sz="0" w:space="0" w:color="auto"/>
        <w:bottom w:val="none" w:sz="0" w:space="0" w:color="auto"/>
        <w:right w:val="none" w:sz="0" w:space="0" w:color="auto"/>
      </w:divBdr>
    </w:div>
    <w:div w:id="1040744278">
      <w:bodyDiv w:val="1"/>
      <w:marLeft w:val="0"/>
      <w:marRight w:val="0"/>
      <w:marTop w:val="0"/>
      <w:marBottom w:val="0"/>
      <w:divBdr>
        <w:top w:val="none" w:sz="0" w:space="0" w:color="auto"/>
        <w:left w:val="none" w:sz="0" w:space="0" w:color="auto"/>
        <w:bottom w:val="none" w:sz="0" w:space="0" w:color="auto"/>
        <w:right w:val="none" w:sz="0" w:space="0" w:color="auto"/>
      </w:divBdr>
    </w:div>
    <w:div w:id="1080367161">
      <w:bodyDiv w:val="1"/>
      <w:marLeft w:val="0"/>
      <w:marRight w:val="0"/>
      <w:marTop w:val="0"/>
      <w:marBottom w:val="0"/>
      <w:divBdr>
        <w:top w:val="none" w:sz="0" w:space="0" w:color="auto"/>
        <w:left w:val="none" w:sz="0" w:space="0" w:color="auto"/>
        <w:bottom w:val="none" w:sz="0" w:space="0" w:color="auto"/>
        <w:right w:val="none" w:sz="0" w:space="0" w:color="auto"/>
      </w:divBdr>
    </w:div>
    <w:div w:id="163331882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36795082">
      <w:bodyDiv w:val="1"/>
      <w:marLeft w:val="0"/>
      <w:marRight w:val="0"/>
      <w:marTop w:val="0"/>
      <w:marBottom w:val="0"/>
      <w:divBdr>
        <w:top w:val="none" w:sz="0" w:space="0" w:color="auto"/>
        <w:left w:val="none" w:sz="0" w:space="0" w:color="auto"/>
        <w:bottom w:val="none" w:sz="0" w:space="0" w:color="auto"/>
        <w:right w:val="none" w:sz="0" w:space="0" w:color="auto"/>
      </w:divBdr>
    </w:div>
    <w:div w:id="1976520354">
      <w:bodyDiv w:val="1"/>
      <w:marLeft w:val="0"/>
      <w:marRight w:val="0"/>
      <w:marTop w:val="0"/>
      <w:marBottom w:val="0"/>
      <w:divBdr>
        <w:top w:val="none" w:sz="0" w:space="0" w:color="auto"/>
        <w:left w:val="none" w:sz="0" w:space="0" w:color="auto"/>
        <w:bottom w:val="none" w:sz="0" w:space="0" w:color="auto"/>
        <w:right w:val="none" w:sz="0" w:space="0" w:color="auto"/>
      </w:divBdr>
    </w:div>
    <w:div w:id="2048868119">
      <w:bodyDiv w:val="1"/>
      <w:marLeft w:val="0"/>
      <w:marRight w:val="0"/>
      <w:marTop w:val="0"/>
      <w:marBottom w:val="0"/>
      <w:divBdr>
        <w:top w:val="none" w:sz="0" w:space="0" w:color="auto"/>
        <w:left w:val="none" w:sz="0" w:space="0" w:color="auto"/>
        <w:bottom w:val="none" w:sz="0" w:space="0" w:color="auto"/>
        <w:right w:val="none" w:sz="0" w:space="0" w:color="auto"/>
      </w:divBdr>
    </w:div>
    <w:div w:id="2120679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61C8A-E129-48FC-8376-5B4A53D3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5472</Words>
  <Characters>31195</Characters>
  <Application>Microsoft Office Word</Application>
  <DocSecurity>0</DocSecurity>
  <Lines>259</Lines>
  <Paragraphs>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36594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46/15</dc:title>
  <dc:creator/>
  <cp:lastModifiedBy/>
  <cp:revision>1</cp:revision>
  <dcterms:created xsi:type="dcterms:W3CDTF">2015-08-07T19:45:00Z</dcterms:created>
  <dcterms:modified xsi:type="dcterms:W3CDTF">2015-11-12T20:17:00Z</dcterms:modified>
</cp:coreProperties>
</file>