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519A2ECA"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6B349" w14:textId="512C64B4" w:rsidR="005B1C31" w:rsidRPr="004E2649" w:rsidRDefault="005B1C31" w:rsidP="005B1C31">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451863">
                              <w:rPr>
                                <w:rFonts w:asciiTheme="majorHAnsi" w:hAnsiTheme="majorHAnsi" w:cs="Arial"/>
                                <w:b/>
                                <w:bCs/>
                                <w:color w:val="0D0D0D" w:themeColor="text1" w:themeTint="F2"/>
                                <w:sz w:val="36"/>
                                <w:szCs w:val="22"/>
                                <w:lang w:val="en"/>
                              </w:rPr>
                              <w:t>58</w:t>
                            </w:r>
                            <w:r>
                              <w:rPr>
                                <w:rFonts w:asciiTheme="majorHAnsi" w:hAnsiTheme="majorHAnsi" w:cs="Arial"/>
                                <w:b/>
                                <w:bCs/>
                                <w:color w:val="0D0D0D" w:themeColor="text1" w:themeTint="F2"/>
                                <w:sz w:val="36"/>
                                <w:szCs w:val="22"/>
                                <w:lang w:val="en"/>
                              </w:rPr>
                              <w:t>/17</w:t>
                            </w:r>
                          </w:p>
                          <w:p w14:paraId="4438BAA8" w14:textId="77777777" w:rsidR="005B1C31" w:rsidRDefault="005B1C31" w:rsidP="005B1C31">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242-07 </w:t>
                            </w:r>
                          </w:p>
                          <w:p w14:paraId="4F5D8F47" w14:textId="0FE2FFA5" w:rsidR="005B1C31" w:rsidRPr="0010736F" w:rsidRDefault="005B1C31" w:rsidP="005B1C3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w:t>
                            </w:r>
                            <w:r w:rsidR="008B66EB">
                              <w:rPr>
                                <w:rFonts w:asciiTheme="majorHAnsi" w:hAnsiTheme="majorHAnsi" w:cs="Arial"/>
                                <w:color w:val="0D0D0D" w:themeColor="text1" w:themeTint="F2"/>
                                <w:szCs w:val="22"/>
                                <w:lang w:val="en"/>
                              </w:rPr>
                              <w:t xml:space="preserve">ON </w:t>
                            </w:r>
                            <w:r w:rsidR="008B66EB">
                              <w:rPr>
                                <w:rFonts w:asciiTheme="majorHAnsi" w:hAnsiTheme="majorHAnsi" w:cs="Arial"/>
                                <w:color w:val="0D0D0D" w:themeColor="text1" w:themeTint="F2"/>
                                <w:szCs w:val="22"/>
                                <w:lang w:val="en"/>
                              </w:rPr>
                              <w:t>ADMISSIBILITY</w:t>
                            </w:r>
                          </w:p>
                          <w:p w14:paraId="534E853D" w14:textId="77777777" w:rsidR="005B1C31" w:rsidRPr="0010736F" w:rsidRDefault="005B1C31" w:rsidP="005B1C31">
                            <w:pPr>
                              <w:spacing w:line="276" w:lineRule="auto"/>
                              <w:rPr>
                                <w:rFonts w:asciiTheme="majorHAnsi" w:hAnsiTheme="majorHAnsi" w:cs="Arial"/>
                                <w:color w:val="0D0D0D" w:themeColor="text1" w:themeTint="F2"/>
                                <w:szCs w:val="22"/>
                              </w:rPr>
                            </w:pPr>
                            <w:bookmarkStart w:id="1" w:name="_ftnref1"/>
                          </w:p>
                          <w:p w14:paraId="065A44F6" w14:textId="77777777" w:rsidR="005B1C31" w:rsidRPr="00EA5692" w:rsidRDefault="005B1C31" w:rsidP="005B1C31">
                            <w:pPr>
                              <w:spacing w:line="276" w:lineRule="auto"/>
                              <w:rPr>
                                <w:rFonts w:asciiTheme="majorHAnsi" w:hAnsiTheme="majorHAnsi" w:cs="Arial"/>
                                <w:color w:val="0D0D0D" w:themeColor="text1" w:themeTint="F2"/>
                                <w:szCs w:val="22"/>
                                <w:lang w:val="es-ES"/>
                              </w:rPr>
                            </w:pPr>
                            <w:r w:rsidRPr="00EA5692">
                              <w:rPr>
                                <w:rFonts w:asciiTheme="majorHAnsi" w:hAnsiTheme="majorHAnsi" w:cs="Arial"/>
                                <w:color w:val="0D0D0D" w:themeColor="text1" w:themeTint="F2"/>
                                <w:szCs w:val="22"/>
                                <w:lang w:val="es-ES"/>
                              </w:rPr>
                              <w:t>ADRIÁN MELÉNDEZ QUIJANO AND FAMILY</w:t>
                            </w:r>
                          </w:p>
                          <w:bookmarkEnd w:id="1"/>
                          <w:p w14:paraId="50145600" w14:textId="77777777" w:rsidR="005B1C31" w:rsidRPr="00EA5692" w:rsidRDefault="005B1C31" w:rsidP="005B1C31">
                            <w:pPr>
                              <w:spacing w:line="276" w:lineRule="auto"/>
                              <w:rPr>
                                <w:rFonts w:asciiTheme="majorHAnsi" w:hAnsiTheme="majorHAnsi" w:cs="Arial"/>
                                <w:color w:val="0D0D0D" w:themeColor="text1" w:themeTint="F2"/>
                                <w:szCs w:val="22"/>
                                <w:lang w:val="es-ES"/>
                              </w:rPr>
                            </w:pPr>
                            <w:r w:rsidRPr="00EA5692">
                              <w:rPr>
                                <w:rFonts w:asciiTheme="majorHAnsi" w:hAnsiTheme="majorHAnsi" w:cs="Arial"/>
                                <w:color w:val="0D0D0D" w:themeColor="text1" w:themeTint="F2"/>
                                <w:szCs w:val="22"/>
                                <w:lang w:val="es-ES"/>
                              </w:rPr>
                              <w:t>EL SALVADOR</w:t>
                            </w:r>
                          </w:p>
                          <w:p w14:paraId="17A89EFB" w14:textId="77777777" w:rsidR="005B52B0" w:rsidRPr="00116184"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6A6B349" w14:textId="512C64B4" w:rsidR="005B1C31" w:rsidRPr="004E2649" w:rsidRDefault="005B1C31" w:rsidP="005B1C31">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451863">
                        <w:rPr>
                          <w:rFonts w:asciiTheme="majorHAnsi" w:hAnsiTheme="majorHAnsi" w:cs="Arial"/>
                          <w:b/>
                          <w:bCs/>
                          <w:color w:val="0D0D0D" w:themeColor="text1" w:themeTint="F2"/>
                          <w:sz w:val="36"/>
                          <w:szCs w:val="22"/>
                          <w:lang w:val="en"/>
                        </w:rPr>
                        <w:t>58</w:t>
                      </w:r>
                      <w:r>
                        <w:rPr>
                          <w:rFonts w:asciiTheme="majorHAnsi" w:hAnsiTheme="majorHAnsi" w:cs="Arial"/>
                          <w:b/>
                          <w:bCs/>
                          <w:color w:val="0D0D0D" w:themeColor="text1" w:themeTint="F2"/>
                          <w:sz w:val="36"/>
                          <w:szCs w:val="22"/>
                          <w:lang w:val="en"/>
                        </w:rPr>
                        <w:t>/17</w:t>
                      </w:r>
                    </w:p>
                    <w:p w14:paraId="4438BAA8" w14:textId="77777777" w:rsidR="005B1C31" w:rsidRDefault="005B1C31" w:rsidP="005B1C31">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242-07 </w:t>
                      </w:r>
                    </w:p>
                    <w:p w14:paraId="4F5D8F47" w14:textId="0FE2FFA5" w:rsidR="005B1C31" w:rsidRPr="0010736F" w:rsidRDefault="005B1C31" w:rsidP="005B1C3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w:t>
                      </w:r>
                      <w:r w:rsidR="008B66EB">
                        <w:rPr>
                          <w:rFonts w:asciiTheme="majorHAnsi" w:hAnsiTheme="majorHAnsi" w:cs="Arial"/>
                          <w:color w:val="0D0D0D" w:themeColor="text1" w:themeTint="F2"/>
                          <w:szCs w:val="22"/>
                          <w:lang w:val="en"/>
                        </w:rPr>
                        <w:t xml:space="preserve">ON </w:t>
                      </w:r>
                      <w:r w:rsidR="008B66EB">
                        <w:rPr>
                          <w:rFonts w:asciiTheme="majorHAnsi" w:hAnsiTheme="majorHAnsi" w:cs="Arial"/>
                          <w:color w:val="0D0D0D" w:themeColor="text1" w:themeTint="F2"/>
                          <w:szCs w:val="22"/>
                          <w:lang w:val="en"/>
                        </w:rPr>
                        <w:t>ADMISSIBILITY</w:t>
                      </w:r>
                    </w:p>
                    <w:p w14:paraId="534E853D" w14:textId="77777777" w:rsidR="005B1C31" w:rsidRPr="0010736F" w:rsidRDefault="005B1C31" w:rsidP="005B1C31">
                      <w:pPr>
                        <w:spacing w:line="276" w:lineRule="auto"/>
                        <w:rPr>
                          <w:rFonts w:asciiTheme="majorHAnsi" w:hAnsiTheme="majorHAnsi" w:cs="Arial"/>
                          <w:color w:val="0D0D0D" w:themeColor="text1" w:themeTint="F2"/>
                          <w:szCs w:val="22"/>
                        </w:rPr>
                      </w:pPr>
                      <w:bookmarkStart w:id="2" w:name="_ftnref1"/>
                    </w:p>
                    <w:p w14:paraId="065A44F6" w14:textId="77777777" w:rsidR="005B1C31" w:rsidRPr="00EA5692" w:rsidRDefault="005B1C31" w:rsidP="005B1C31">
                      <w:pPr>
                        <w:spacing w:line="276" w:lineRule="auto"/>
                        <w:rPr>
                          <w:rFonts w:asciiTheme="majorHAnsi" w:hAnsiTheme="majorHAnsi" w:cs="Arial"/>
                          <w:color w:val="0D0D0D" w:themeColor="text1" w:themeTint="F2"/>
                          <w:szCs w:val="22"/>
                          <w:lang w:val="es-ES"/>
                        </w:rPr>
                      </w:pPr>
                      <w:r w:rsidRPr="00EA5692">
                        <w:rPr>
                          <w:rFonts w:asciiTheme="majorHAnsi" w:hAnsiTheme="majorHAnsi" w:cs="Arial"/>
                          <w:color w:val="0D0D0D" w:themeColor="text1" w:themeTint="F2"/>
                          <w:szCs w:val="22"/>
                          <w:lang w:val="es-ES"/>
                        </w:rPr>
                        <w:t>ADRIÁN MELÉNDEZ QUIJANO AND FAMILY</w:t>
                      </w:r>
                    </w:p>
                    <w:bookmarkEnd w:id="2"/>
                    <w:p w14:paraId="50145600" w14:textId="77777777" w:rsidR="005B1C31" w:rsidRPr="00EA5692" w:rsidRDefault="005B1C31" w:rsidP="005B1C31">
                      <w:pPr>
                        <w:spacing w:line="276" w:lineRule="auto"/>
                        <w:rPr>
                          <w:rFonts w:asciiTheme="majorHAnsi" w:hAnsiTheme="majorHAnsi" w:cs="Arial"/>
                          <w:color w:val="0D0D0D" w:themeColor="text1" w:themeTint="F2"/>
                          <w:szCs w:val="22"/>
                          <w:lang w:val="es-ES"/>
                        </w:rPr>
                      </w:pPr>
                      <w:r w:rsidRPr="00EA5692">
                        <w:rPr>
                          <w:rFonts w:asciiTheme="majorHAnsi" w:hAnsiTheme="majorHAnsi" w:cs="Arial"/>
                          <w:color w:val="0D0D0D" w:themeColor="text1" w:themeTint="F2"/>
                          <w:szCs w:val="22"/>
                          <w:lang w:val="es-ES"/>
                        </w:rPr>
                        <w:t>EL SALVADOR</w:t>
                      </w:r>
                    </w:p>
                    <w:p w14:paraId="17A89EFB" w14:textId="77777777" w:rsidR="005B52B0" w:rsidRPr="00116184"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2E94A01" w:rsidR="00627C9F" w:rsidRPr="00AC603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AC6034">
                              <w:rPr>
                                <w:rFonts w:asciiTheme="minorHAnsi" w:hAnsiTheme="minorHAnsi"/>
                                <w:color w:val="FFFFFF" w:themeColor="background1"/>
                                <w:sz w:val="22"/>
                                <w:lang w:val="pt-BR"/>
                              </w:rPr>
                              <w:t>II.1</w:t>
                            </w:r>
                            <w:r w:rsidR="00451863" w:rsidRPr="00AC6034">
                              <w:rPr>
                                <w:rFonts w:asciiTheme="minorHAnsi" w:hAnsiTheme="minorHAnsi"/>
                                <w:color w:val="FFFFFF" w:themeColor="background1"/>
                                <w:sz w:val="22"/>
                                <w:lang w:val="pt-BR"/>
                              </w:rPr>
                              <w:t>62</w:t>
                            </w:r>
                          </w:p>
                          <w:p w14:paraId="4AA08A8C" w14:textId="0C2D5CBE" w:rsidR="00627C9F" w:rsidRPr="00AC6034" w:rsidRDefault="00CA6577" w:rsidP="009E566A">
                            <w:pPr>
                              <w:jc w:val="right"/>
                              <w:rPr>
                                <w:rFonts w:asciiTheme="minorHAnsi" w:hAnsiTheme="minorHAnsi"/>
                                <w:color w:val="FFFFFF" w:themeColor="background1"/>
                                <w:sz w:val="22"/>
                                <w:lang w:val="pt-BR"/>
                              </w:rPr>
                            </w:pPr>
                            <w:r w:rsidRPr="00AC6034">
                              <w:rPr>
                                <w:rFonts w:asciiTheme="minorHAnsi" w:hAnsiTheme="minorHAnsi"/>
                                <w:color w:val="FFFFFF" w:themeColor="background1"/>
                                <w:sz w:val="22"/>
                                <w:lang w:val="pt-BR"/>
                              </w:rPr>
                              <w:t>Doc</w:t>
                            </w:r>
                            <w:r w:rsidR="00451863" w:rsidRPr="00AC6034">
                              <w:rPr>
                                <w:rFonts w:asciiTheme="minorHAnsi" w:hAnsiTheme="minorHAnsi"/>
                                <w:color w:val="FFFFFF" w:themeColor="background1"/>
                                <w:sz w:val="22"/>
                                <w:lang w:val="pt-BR"/>
                              </w:rPr>
                              <w:t>. 69</w:t>
                            </w:r>
                          </w:p>
                          <w:p w14:paraId="0BEFF61A" w14:textId="460ED597" w:rsidR="00627C9F" w:rsidRPr="00AC6034" w:rsidRDefault="00451863" w:rsidP="009E566A">
                            <w:pPr>
                              <w:jc w:val="right"/>
                              <w:rPr>
                                <w:rFonts w:asciiTheme="minorHAnsi" w:hAnsiTheme="minorHAnsi"/>
                                <w:color w:val="FFFFFF" w:themeColor="background1"/>
                                <w:sz w:val="22"/>
                              </w:rPr>
                            </w:pPr>
                            <w:r w:rsidRPr="00AC6034">
                              <w:rPr>
                                <w:rFonts w:asciiTheme="minorHAnsi" w:hAnsiTheme="minorHAnsi"/>
                                <w:color w:val="FFFFFF" w:themeColor="background1"/>
                                <w:sz w:val="22"/>
                                <w:lang w:val="pt-BR"/>
                              </w:rPr>
                              <w:t xml:space="preserve">24 May </w:t>
                            </w:r>
                            <w:r w:rsidR="00F42B71" w:rsidRPr="00AC6034">
                              <w:rPr>
                                <w:rFonts w:asciiTheme="minorHAnsi" w:hAnsiTheme="minorHAnsi"/>
                                <w:color w:val="FFFFFF" w:themeColor="background1"/>
                                <w:sz w:val="22"/>
                              </w:rPr>
                              <w:t>2</w:t>
                            </w:r>
                            <w:r w:rsidR="00377C8D" w:rsidRPr="00AC6034">
                              <w:rPr>
                                <w:rFonts w:asciiTheme="minorHAnsi" w:hAnsiTheme="minorHAnsi"/>
                                <w:color w:val="FFFFFF" w:themeColor="background1"/>
                                <w:sz w:val="22"/>
                              </w:rPr>
                              <w:t>01</w:t>
                            </w:r>
                            <w:r w:rsidRPr="00AC6034">
                              <w:rPr>
                                <w:rFonts w:asciiTheme="minorHAnsi" w:hAnsiTheme="minorHAnsi"/>
                                <w:color w:val="FFFFFF" w:themeColor="background1"/>
                                <w:sz w:val="22"/>
                              </w:rPr>
                              <w:t>7</w:t>
                            </w:r>
                          </w:p>
                          <w:p w14:paraId="0FC103BD" w14:textId="4F4A4189" w:rsidR="00627C9F" w:rsidRPr="00377C8D" w:rsidRDefault="00627C9F" w:rsidP="009E566A">
                            <w:pPr>
                              <w:jc w:val="right"/>
                              <w:rPr>
                                <w:rFonts w:asciiTheme="minorHAnsi" w:hAnsiTheme="minorHAnsi"/>
                                <w:color w:val="FFFFFF" w:themeColor="background1"/>
                                <w:sz w:val="22"/>
                              </w:rPr>
                            </w:pPr>
                            <w:r w:rsidRPr="00377C8D">
                              <w:rPr>
                                <w:rFonts w:asciiTheme="minorHAnsi" w:hAnsiTheme="minorHAnsi"/>
                                <w:color w:val="FFFFFF" w:themeColor="background1"/>
                                <w:sz w:val="22"/>
                              </w:rPr>
                              <w:t>Original:</w:t>
                            </w:r>
                            <w:r w:rsidR="002C1641" w:rsidRPr="00377C8D">
                              <w:rPr>
                                <w:rFonts w:asciiTheme="minorHAnsi" w:hAnsiTheme="minorHAnsi"/>
                                <w:color w:val="FFFFFF" w:themeColor="background1"/>
                                <w:sz w:val="22"/>
                              </w:rPr>
                              <w:t xml:space="preserve"> </w:t>
                            </w:r>
                            <w:r w:rsidR="00F42B71" w:rsidRPr="00377C8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2E94A01" w:rsidR="00627C9F" w:rsidRPr="00AC603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AC6034">
                        <w:rPr>
                          <w:rFonts w:asciiTheme="minorHAnsi" w:hAnsiTheme="minorHAnsi"/>
                          <w:color w:val="FFFFFF" w:themeColor="background1"/>
                          <w:sz w:val="22"/>
                          <w:lang w:val="pt-BR"/>
                        </w:rPr>
                        <w:t>II.1</w:t>
                      </w:r>
                      <w:r w:rsidR="00451863" w:rsidRPr="00AC6034">
                        <w:rPr>
                          <w:rFonts w:asciiTheme="minorHAnsi" w:hAnsiTheme="minorHAnsi"/>
                          <w:color w:val="FFFFFF" w:themeColor="background1"/>
                          <w:sz w:val="22"/>
                          <w:lang w:val="pt-BR"/>
                        </w:rPr>
                        <w:t>62</w:t>
                      </w:r>
                    </w:p>
                    <w:p w14:paraId="4AA08A8C" w14:textId="0C2D5CBE" w:rsidR="00627C9F" w:rsidRPr="00AC6034" w:rsidRDefault="00CA6577" w:rsidP="009E566A">
                      <w:pPr>
                        <w:jc w:val="right"/>
                        <w:rPr>
                          <w:rFonts w:asciiTheme="minorHAnsi" w:hAnsiTheme="minorHAnsi"/>
                          <w:color w:val="FFFFFF" w:themeColor="background1"/>
                          <w:sz w:val="22"/>
                          <w:lang w:val="pt-BR"/>
                        </w:rPr>
                      </w:pPr>
                      <w:r w:rsidRPr="00AC6034">
                        <w:rPr>
                          <w:rFonts w:asciiTheme="minorHAnsi" w:hAnsiTheme="minorHAnsi"/>
                          <w:color w:val="FFFFFF" w:themeColor="background1"/>
                          <w:sz w:val="22"/>
                          <w:lang w:val="pt-BR"/>
                        </w:rPr>
                        <w:t>Doc</w:t>
                      </w:r>
                      <w:r w:rsidR="00451863" w:rsidRPr="00AC6034">
                        <w:rPr>
                          <w:rFonts w:asciiTheme="minorHAnsi" w:hAnsiTheme="minorHAnsi"/>
                          <w:color w:val="FFFFFF" w:themeColor="background1"/>
                          <w:sz w:val="22"/>
                          <w:lang w:val="pt-BR"/>
                        </w:rPr>
                        <w:t>. 69</w:t>
                      </w:r>
                    </w:p>
                    <w:p w14:paraId="0BEFF61A" w14:textId="460ED597" w:rsidR="00627C9F" w:rsidRPr="00AC6034" w:rsidRDefault="00451863" w:rsidP="009E566A">
                      <w:pPr>
                        <w:jc w:val="right"/>
                        <w:rPr>
                          <w:rFonts w:asciiTheme="minorHAnsi" w:hAnsiTheme="minorHAnsi"/>
                          <w:color w:val="FFFFFF" w:themeColor="background1"/>
                          <w:sz w:val="22"/>
                        </w:rPr>
                      </w:pPr>
                      <w:r w:rsidRPr="00AC6034">
                        <w:rPr>
                          <w:rFonts w:asciiTheme="minorHAnsi" w:hAnsiTheme="minorHAnsi"/>
                          <w:color w:val="FFFFFF" w:themeColor="background1"/>
                          <w:sz w:val="22"/>
                          <w:lang w:val="pt-BR"/>
                        </w:rPr>
                        <w:t xml:space="preserve">24 May </w:t>
                      </w:r>
                      <w:r w:rsidR="00F42B71" w:rsidRPr="00AC6034">
                        <w:rPr>
                          <w:rFonts w:asciiTheme="minorHAnsi" w:hAnsiTheme="minorHAnsi"/>
                          <w:color w:val="FFFFFF" w:themeColor="background1"/>
                          <w:sz w:val="22"/>
                        </w:rPr>
                        <w:t>2</w:t>
                      </w:r>
                      <w:r w:rsidR="00377C8D" w:rsidRPr="00AC6034">
                        <w:rPr>
                          <w:rFonts w:asciiTheme="minorHAnsi" w:hAnsiTheme="minorHAnsi"/>
                          <w:color w:val="FFFFFF" w:themeColor="background1"/>
                          <w:sz w:val="22"/>
                        </w:rPr>
                        <w:t>01</w:t>
                      </w:r>
                      <w:r w:rsidRPr="00AC6034">
                        <w:rPr>
                          <w:rFonts w:asciiTheme="minorHAnsi" w:hAnsiTheme="minorHAnsi"/>
                          <w:color w:val="FFFFFF" w:themeColor="background1"/>
                          <w:sz w:val="22"/>
                        </w:rPr>
                        <w:t>7</w:t>
                      </w:r>
                    </w:p>
                    <w:p w14:paraId="0FC103BD" w14:textId="4F4A4189" w:rsidR="00627C9F" w:rsidRPr="00377C8D" w:rsidRDefault="00627C9F" w:rsidP="009E566A">
                      <w:pPr>
                        <w:jc w:val="right"/>
                        <w:rPr>
                          <w:rFonts w:asciiTheme="minorHAnsi" w:hAnsiTheme="minorHAnsi"/>
                          <w:color w:val="FFFFFF" w:themeColor="background1"/>
                          <w:sz w:val="22"/>
                        </w:rPr>
                      </w:pPr>
                      <w:r w:rsidRPr="00377C8D">
                        <w:rPr>
                          <w:rFonts w:asciiTheme="minorHAnsi" w:hAnsiTheme="minorHAnsi"/>
                          <w:color w:val="FFFFFF" w:themeColor="background1"/>
                          <w:sz w:val="22"/>
                        </w:rPr>
                        <w:t>Original:</w:t>
                      </w:r>
                      <w:r w:rsidR="002C1641" w:rsidRPr="00377C8D">
                        <w:rPr>
                          <w:rFonts w:asciiTheme="minorHAnsi" w:hAnsiTheme="minorHAnsi"/>
                          <w:color w:val="FFFFFF" w:themeColor="background1"/>
                          <w:sz w:val="22"/>
                        </w:rPr>
                        <w:t xml:space="preserve"> </w:t>
                      </w:r>
                      <w:r w:rsidR="00F42B71" w:rsidRPr="00377C8D">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08E9E" w14:textId="77777777" w:rsidR="00AC6034" w:rsidRPr="00AC6034" w:rsidRDefault="00AC6034" w:rsidP="00AC6034">
                            <w:pPr>
                              <w:tabs>
                                <w:tab w:val="center" w:pos="5400"/>
                              </w:tabs>
                              <w:suppressAutoHyphens/>
                              <w:rPr>
                                <w:rFonts w:asciiTheme="majorHAnsi" w:hAnsiTheme="majorHAnsi"/>
                                <w:color w:val="0D0D0D" w:themeColor="text1" w:themeTint="F2"/>
                                <w:sz w:val="18"/>
                                <w:szCs w:val="20"/>
                                <w:lang w:val="en"/>
                              </w:rPr>
                            </w:pPr>
                            <w:r w:rsidRPr="00AC6034">
                              <w:rPr>
                                <w:rFonts w:asciiTheme="majorHAnsi" w:hAnsiTheme="majorHAnsi"/>
                                <w:color w:val="0D0D0D" w:themeColor="text1" w:themeTint="F2"/>
                                <w:sz w:val="18"/>
                                <w:szCs w:val="20"/>
                                <w:lang w:val="en"/>
                              </w:rPr>
                              <w:t>Approved by the Commission at its session No. 2085 held on May 25, 2017</w:t>
                            </w:r>
                          </w:p>
                          <w:p w14:paraId="2F1367C4" w14:textId="680C33F0" w:rsidR="004208B5" w:rsidRPr="007A5817" w:rsidRDefault="00AC6034" w:rsidP="00AC6034">
                            <w:pPr>
                              <w:tabs>
                                <w:tab w:val="center" w:pos="5400"/>
                              </w:tabs>
                              <w:suppressAutoHyphens/>
                              <w:rPr>
                                <w:rFonts w:asciiTheme="minorHAnsi" w:hAnsiTheme="minorHAnsi" w:cs="Univers"/>
                                <w:color w:val="0D0D0D" w:themeColor="text1" w:themeTint="F2"/>
                                <w:sz w:val="20"/>
                                <w:szCs w:val="20"/>
                              </w:rPr>
                            </w:pPr>
                            <w:r w:rsidRPr="00AC6034">
                              <w:rPr>
                                <w:rFonts w:asciiTheme="majorHAnsi" w:hAnsiTheme="majorHAnsi"/>
                                <w:color w:val="0D0D0D" w:themeColor="text1" w:themeTint="F2"/>
                                <w:sz w:val="18"/>
                                <w:szCs w:val="20"/>
                                <w:lang w:val="en"/>
                              </w:rPr>
                              <w:t>162</w:t>
                            </w:r>
                            <w:r w:rsidRPr="00AC6034">
                              <w:rPr>
                                <w:rFonts w:asciiTheme="majorHAnsi" w:hAnsiTheme="majorHAnsi"/>
                                <w:color w:val="0D0D0D" w:themeColor="text1" w:themeTint="F2"/>
                                <w:sz w:val="18"/>
                                <w:szCs w:val="20"/>
                                <w:vertAlign w:val="superscript"/>
                                <w:lang w:val="en"/>
                              </w:rPr>
                              <w:t>nd</w:t>
                            </w:r>
                            <w:r w:rsidRPr="00AC6034">
                              <w:rPr>
                                <w:rFonts w:asciiTheme="majorHAnsi" w:hAnsiTheme="majorHAnsi"/>
                                <w:color w:val="0D0D0D" w:themeColor="text1" w:themeTint="F2"/>
                                <w:sz w:val="18"/>
                                <w:szCs w:val="20"/>
                                <w:lang w:val="en"/>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5C208E9E" w14:textId="77777777" w:rsidR="00AC6034" w:rsidRPr="00AC6034" w:rsidRDefault="00AC6034" w:rsidP="00AC6034">
                      <w:pPr>
                        <w:tabs>
                          <w:tab w:val="center" w:pos="5400"/>
                        </w:tabs>
                        <w:suppressAutoHyphens/>
                        <w:rPr>
                          <w:rFonts w:asciiTheme="majorHAnsi" w:hAnsiTheme="majorHAnsi"/>
                          <w:color w:val="0D0D0D" w:themeColor="text1" w:themeTint="F2"/>
                          <w:sz w:val="18"/>
                          <w:szCs w:val="20"/>
                          <w:lang w:val="en"/>
                        </w:rPr>
                      </w:pPr>
                      <w:r w:rsidRPr="00AC6034">
                        <w:rPr>
                          <w:rFonts w:asciiTheme="majorHAnsi" w:hAnsiTheme="majorHAnsi"/>
                          <w:color w:val="0D0D0D" w:themeColor="text1" w:themeTint="F2"/>
                          <w:sz w:val="18"/>
                          <w:szCs w:val="20"/>
                          <w:lang w:val="en"/>
                        </w:rPr>
                        <w:t>Approved by the Commission at its session No. 2085 held on May 25, 2017</w:t>
                      </w:r>
                    </w:p>
                    <w:p w14:paraId="2F1367C4" w14:textId="680C33F0" w:rsidR="004208B5" w:rsidRPr="007A5817" w:rsidRDefault="00AC6034" w:rsidP="00AC6034">
                      <w:pPr>
                        <w:tabs>
                          <w:tab w:val="center" w:pos="5400"/>
                        </w:tabs>
                        <w:suppressAutoHyphens/>
                        <w:rPr>
                          <w:rFonts w:asciiTheme="minorHAnsi" w:hAnsiTheme="minorHAnsi" w:cs="Univers"/>
                          <w:color w:val="0D0D0D" w:themeColor="text1" w:themeTint="F2"/>
                          <w:sz w:val="20"/>
                          <w:szCs w:val="20"/>
                        </w:rPr>
                      </w:pPr>
                      <w:r w:rsidRPr="00AC6034">
                        <w:rPr>
                          <w:rFonts w:asciiTheme="majorHAnsi" w:hAnsiTheme="majorHAnsi"/>
                          <w:color w:val="0D0D0D" w:themeColor="text1" w:themeTint="F2"/>
                          <w:sz w:val="18"/>
                          <w:szCs w:val="20"/>
                          <w:lang w:val="en"/>
                        </w:rPr>
                        <w:t>162</w:t>
                      </w:r>
                      <w:r w:rsidRPr="00AC6034">
                        <w:rPr>
                          <w:rFonts w:asciiTheme="majorHAnsi" w:hAnsiTheme="majorHAnsi"/>
                          <w:color w:val="0D0D0D" w:themeColor="text1" w:themeTint="F2"/>
                          <w:sz w:val="18"/>
                          <w:szCs w:val="20"/>
                          <w:vertAlign w:val="superscript"/>
                          <w:lang w:val="en"/>
                        </w:rPr>
                        <w:t>nd</w:t>
                      </w:r>
                      <w:r w:rsidRPr="00AC6034">
                        <w:rPr>
                          <w:rFonts w:asciiTheme="majorHAnsi" w:hAnsiTheme="majorHAnsi"/>
                          <w:color w:val="0D0D0D" w:themeColor="text1" w:themeTint="F2"/>
                          <w:sz w:val="18"/>
                          <w:szCs w:val="20"/>
                          <w:lang w:val="en"/>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84247" w14:textId="1EA690DA" w:rsidR="004208B5" w:rsidRPr="00AC6034" w:rsidRDefault="004208B5" w:rsidP="00AC6034">
                            <w:pPr>
                              <w:spacing w:line="276" w:lineRule="auto"/>
                              <w:rPr>
                                <w:rFonts w:asciiTheme="majorHAnsi" w:hAnsiTheme="majorHAnsi"/>
                                <w:color w:val="595959" w:themeColor="text1" w:themeTint="A6"/>
                                <w:sz w:val="18"/>
                                <w:szCs w:val="18"/>
                                <w:lang w:val="es-ES"/>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AC6034" w:rsidRPr="00AC6034">
                              <w:t xml:space="preserve"> </w:t>
                            </w:r>
                            <w:r w:rsidR="00AC6034">
                              <w:rPr>
                                <w:rFonts w:asciiTheme="majorHAnsi" w:hAnsiTheme="majorHAnsi"/>
                                <w:color w:val="595959" w:themeColor="text1" w:themeTint="A6"/>
                                <w:sz w:val="18"/>
                                <w:szCs w:val="18"/>
                                <w:lang w:val="en"/>
                              </w:rPr>
                              <w:t xml:space="preserve">58/17. Petition 242-07. Admissibility. </w:t>
                            </w:r>
                            <w:r w:rsidR="00AC6034">
                              <w:rPr>
                                <w:rFonts w:asciiTheme="majorHAnsi" w:hAnsiTheme="majorHAnsi"/>
                                <w:color w:val="595959" w:themeColor="text1" w:themeTint="A6"/>
                                <w:sz w:val="18"/>
                                <w:szCs w:val="18"/>
                              </w:rPr>
                              <w:t>Adrián Meléndez Quijano a</w:t>
                            </w:r>
                            <w:r w:rsidR="00AC6034" w:rsidRPr="00AC6034">
                              <w:rPr>
                                <w:rFonts w:asciiTheme="majorHAnsi" w:hAnsiTheme="majorHAnsi"/>
                                <w:color w:val="595959" w:themeColor="text1" w:themeTint="A6"/>
                                <w:sz w:val="18"/>
                                <w:szCs w:val="18"/>
                              </w:rPr>
                              <w:t xml:space="preserve">nd Family. </w:t>
                            </w:r>
                            <w:r w:rsidR="00AC6034" w:rsidRPr="00AC6034">
                              <w:rPr>
                                <w:rFonts w:asciiTheme="majorHAnsi" w:hAnsiTheme="majorHAnsi"/>
                                <w:color w:val="595959" w:themeColor="text1" w:themeTint="A6"/>
                                <w:sz w:val="18"/>
                                <w:szCs w:val="18"/>
                                <w:lang w:val="es-ES"/>
                              </w:rPr>
                              <w:t>El Salvador. M</w:t>
                            </w:r>
                            <w:r w:rsidR="00AC6034">
                              <w:rPr>
                                <w:rFonts w:asciiTheme="majorHAnsi" w:hAnsiTheme="majorHAnsi"/>
                                <w:color w:val="595959" w:themeColor="text1" w:themeTint="A6"/>
                                <w:sz w:val="18"/>
                                <w:szCs w:val="18"/>
                                <w:lang w:val="es-ES"/>
                              </w:rPr>
                              <w:t>ay 25, 2017.</w:t>
                            </w:r>
                          </w:p>
                          <w:p w14:paraId="0126B579" w14:textId="5F926923" w:rsidR="00F644E6" w:rsidRPr="00AC6034" w:rsidRDefault="00F644E6" w:rsidP="00F644E6">
                            <w:pPr>
                              <w:spacing w:line="276" w:lineRule="auto"/>
                              <w:rPr>
                                <w:rFonts w:asciiTheme="majorHAnsi" w:hAnsiTheme="majorHAnsi"/>
                                <w:color w:val="595959" w:themeColor="text1" w:themeTint="A6"/>
                                <w:sz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ED84247" w14:textId="1EA690DA" w:rsidR="004208B5" w:rsidRPr="00AC6034" w:rsidRDefault="004208B5" w:rsidP="00AC6034">
                      <w:pPr>
                        <w:spacing w:line="276" w:lineRule="auto"/>
                        <w:rPr>
                          <w:rFonts w:asciiTheme="majorHAnsi" w:hAnsiTheme="majorHAnsi"/>
                          <w:color w:val="595959" w:themeColor="text1" w:themeTint="A6"/>
                          <w:sz w:val="18"/>
                          <w:szCs w:val="18"/>
                          <w:lang w:val="es-ES"/>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AC6034" w:rsidRPr="00AC6034">
                        <w:t xml:space="preserve"> </w:t>
                      </w:r>
                      <w:r w:rsidR="00AC6034">
                        <w:rPr>
                          <w:rFonts w:asciiTheme="majorHAnsi" w:hAnsiTheme="majorHAnsi"/>
                          <w:color w:val="595959" w:themeColor="text1" w:themeTint="A6"/>
                          <w:sz w:val="18"/>
                          <w:szCs w:val="18"/>
                          <w:lang w:val="en"/>
                        </w:rPr>
                        <w:t xml:space="preserve">58/17. </w:t>
                      </w:r>
                      <w:proofErr w:type="gramStart"/>
                      <w:r w:rsidR="00AC6034">
                        <w:rPr>
                          <w:rFonts w:asciiTheme="majorHAnsi" w:hAnsiTheme="majorHAnsi"/>
                          <w:color w:val="595959" w:themeColor="text1" w:themeTint="A6"/>
                          <w:sz w:val="18"/>
                          <w:szCs w:val="18"/>
                          <w:lang w:val="en"/>
                        </w:rPr>
                        <w:t>Petition 242-07.</w:t>
                      </w:r>
                      <w:proofErr w:type="gramEnd"/>
                      <w:r w:rsidR="00AC6034">
                        <w:rPr>
                          <w:rFonts w:asciiTheme="majorHAnsi" w:hAnsiTheme="majorHAnsi"/>
                          <w:color w:val="595959" w:themeColor="text1" w:themeTint="A6"/>
                          <w:sz w:val="18"/>
                          <w:szCs w:val="18"/>
                          <w:lang w:val="en"/>
                        </w:rPr>
                        <w:t xml:space="preserve"> </w:t>
                      </w:r>
                      <w:proofErr w:type="gramStart"/>
                      <w:r w:rsidR="00AC6034">
                        <w:rPr>
                          <w:rFonts w:asciiTheme="majorHAnsi" w:hAnsiTheme="majorHAnsi"/>
                          <w:color w:val="595959" w:themeColor="text1" w:themeTint="A6"/>
                          <w:sz w:val="18"/>
                          <w:szCs w:val="18"/>
                          <w:lang w:val="en"/>
                        </w:rPr>
                        <w:t>Admissibility.</w:t>
                      </w:r>
                      <w:proofErr w:type="gramEnd"/>
                      <w:r w:rsidR="00AC6034">
                        <w:rPr>
                          <w:rFonts w:asciiTheme="majorHAnsi" w:hAnsiTheme="majorHAnsi"/>
                          <w:color w:val="595959" w:themeColor="text1" w:themeTint="A6"/>
                          <w:sz w:val="18"/>
                          <w:szCs w:val="18"/>
                          <w:lang w:val="en"/>
                        </w:rPr>
                        <w:t xml:space="preserve"> </w:t>
                      </w:r>
                      <w:proofErr w:type="spellStart"/>
                      <w:proofErr w:type="gramStart"/>
                      <w:r w:rsidR="00AC6034">
                        <w:rPr>
                          <w:rFonts w:asciiTheme="majorHAnsi" w:hAnsiTheme="majorHAnsi"/>
                          <w:color w:val="595959" w:themeColor="text1" w:themeTint="A6"/>
                          <w:sz w:val="18"/>
                          <w:szCs w:val="18"/>
                        </w:rPr>
                        <w:t>Adrián</w:t>
                      </w:r>
                      <w:proofErr w:type="spellEnd"/>
                      <w:r w:rsidR="00AC6034">
                        <w:rPr>
                          <w:rFonts w:asciiTheme="majorHAnsi" w:hAnsiTheme="majorHAnsi"/>
                          <w:color w:val="595959" w:themeColor="text1" w:themeTint="A6"/>
                          <w:sz w:val="18"/>
                          <w:szCs w:val="18"/>
                        </w:rPr>
                        <w:t xml:space="preserve"> </w:t>
                      </w:r>
                      <w:proofErr w:type="spellStart"/>
                      <w:r w:rsidR="00AC6034">
                        <w:rPr>
                          <w:rFonts w:asciiTheme="majorHAnsi" w:hAnsiTheme="majorHAnsi"/>
                          <w:color w:val="595959" w:themeColor="text1" w:themeTint="A6"/>
                          <w:sz w:val="18"/>
                          <w:szCs w:val="18"/>
                        </w:rPr>
                        <w:t>Meléndez</w:t>
                      </w:r>
                      <w:proofErr w:type="spellEnd"/>
                      <w:r w:rsidR="00AC6034">
                        <w:rPr>
                          <w:rFonts w:asciiTheme="majorHAnsi" w:hAnsiTheme="majorHAnsi"/>
                          <w:color w:val="595959" w:themeColor="text1" w:themeTint="A6"/>
                          <w:sz w:val="18"/>
                          <w:szCs w:val="18"/>
                        </w:rPr>
                        <w:t xml:space="preserve"> </w:t>
                      </w:r>
                      <w:proofErr w:type="spellStart"/>
                      <w:r w:rsidR="00AC6034">
                        <w:rPr>
                          <w:rFonts w:asciiTheme="majorHAnsi" w:hAnsiTheme="majorHAnsi"/>
                          <w:color w:val="595959" w:themeColor="text1" w:themeTint="A6"/>
                          <w:sz w:val="18"/>
                          <w:szCs w:val="18"/>
                        </w:rPr>
                        <w:t>Quijano</w:t>
                      </w:r>
                      <w:proofErr w:type="spellEnd"/>
                      <w:r w:rsidR="00AC6034">
                        <w:rPr>
                          <w:rFonts w:asciiTheme="majorHAnsi" w:hAnsiTheme="majorHAnsi"/>
                          <w:color w:val="595959" w:themeColor="text1" w:themeTint="A6"/>
                          <w:sz w:val="18"/>
                          <w:szCs w:val="18"/>
                        </w:rPr>
                        <w:t xml:space="preserve"> a</w:t>
                      </w:r>
                      <w:r w:rsidR="00AC6034" w:rsidRPr="00AC6034">
                        <w:rPr>
                          <w:rFonts w:asciiTheme="majorHAnsi" w:hAnsiTheme="majorHAnsi"/>
                          <w:color w:val="595959" w:themeColor="text1" w:themeTint="A6"/>
                          <w:sz w:val="18"/>
                          <w:szCs w:val="18"/>
                        </w:rPr>
                        <w:t>nd Family.</w:t>
                      </w:r>
                      <w:proofErr w:type="gramEnd"/>
                      <w:r w:rsidR="00AC6034" w:rsidRPr="00AC6034">
                        <w:rPr>
                          <w:rFonts w:asciiTheme="majorHAnsi" w:hAnsiTheme="majorHAnsi"/>
                          <w:color w:val="595959" w:themeColor="text1" w:themeTint="A6"/>
                          <w:sz w:val="18"/>
                          <w:szCs w:val="18"/>
                        </w:rPr>
                        <w:t xml:space="preserve"> </w:t>
                      </w:r>
                      <w:r w:rsidR="00AC6034" w:rsidRPr="00AC6034">
                        <w:rPr>
                          <w:rFonts w:asciiTheme="majorHAnsi" w:hAnsiTheme="majorHAnsi"/>
                          <w:color w:val="595959" w:themeColor="text1" w:themeTint="A6"/>
                          <w:sz w:val="18"/>
                          <w:szCs w:val="18"/>
                          <w:lang w:val="es-ES"/>
                        </w:rPr>
                        <w:t xml:space="preserve">El Salvador. </w:t>
                      </w:r>
                      <w:proofErr w:type="spellStart"/>
                      <w:r w:rsidR="00AC6034" w:rsidRPr="00AC6034">
                        <w:rPr>
                          <w:rFonts w:asciiTheme="majorHAnsi" w:hAnsiTheme="majorHAnsi"/>
                          <w:color w:val="595959" w:themeColor="text1" w:themeTint="A6"/>
                          <w:sz w:val="18"/>
                          <w:szCs w:val="18"/>
                          <w:lang w:val="es-ES"/>
                        </w:rPr>
                        <w:t>M</w:t>
                      </w:r>
                      <w:r w:rsidR="00AC6034">
                        <w:rPr>
                          <w:rFonts w:asciiTheme="majorHAnsi" w:hAnsiTheme="majorHAnsi"/>
                          <w:color w:val="595959" w:themeColor="text1" w:themeTint="A6"/>
                          <w:sz w:val="18"/>
                          <w:szCs w:val="18"/>
                          <w:lang w:val="es-ES"/>
                        </w:rPr>
                        <w:t>ay</w:t>
                      </w:r>
                      <w:proofErr w:type="spellEnd"/>
                      <w:r w:rsidR="00AC6034">
                        <w:rPr>
                          <w:rFonts w:asciiTheme="majorHAnsi" w:hAnsiTheme="majorHAnsi"/>
                          <w:color w:val="595959" w:themeColor="text1" w:themeTint="A6"/>
                          <w:sz w:val="18"/>
                          <w:szCs w:val="18"/>
                          <w:lang w:val="es-ES"/>
                        </w:rPr>
                        <w:t xml:space="preserve"> 25, 2017.</w:t>
                      </w:r>
                    </w:p>
                    <w:p w14:paraId="0126B579" w14:textId="5F926923" w:rsidR="00F644E6" w:rsidRPr="00AC6034" w:rsidRDefault="00F644E6" w:rsidP="00F644E6">
                      <w:pPr>
                        <w:spacing w:line="276" w:lineRule="auto"/>
                        <w:rPr>
                          <w:rFonts w:asciiTheme="majorHAnsi" w:hAnsiTheme="majorHAnsi"/>
                          <w:color w:val="595959" w:themeColor="text1" w:themeTint="A6"/>
                          <w:sz w:val="18"/>
                          <w:lang w:val="es-ES"/>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208A369" w14:textId="056A4ADD" w:rsidR="005B1C31" w:rsidRPr="00D64109" w:rsidRDefault="005B1C31" w:rsidP="005B1C31">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lastRenderedPageBreak/>
        <w:t>REPORT No.</w:t>
      </w:r>
      <w:r>
        <w:rPr>
          <w:rFonts w:asciiTheme="majorHAnsi" w:hAnsiTheme="majorHAnsi"/>
          <w:sz w:val="18"/>
          <w:szCs w:val="20"/>
          <w:lang w:val="en"/>
        </w:rPr>
        <w:t xml:space="preserve"> </w:t>
      </w:r>
      <w:r w:rsidR="00AC6034">
        <w:rPr>
          <w:rFonts w:asciiTheme="majorHAnsi" w:hAnsiTheme="majorHAnsi"/>
          <w:b/>
          <w:bCs/>
          <w:sz w:val="18"/>
          <w:szCs w:val="20"/>
          <w:lang w:val="en"/>
        </w:rPr>
        <w:t>58</w:t>
      </w:r>
      <w:r>
        <w:rPr>
          <w:rFonts w:asciiTheme="majorHAnsi" w:hAnsiTheme="majorHAnsi"/>
          <w:b/>
          <w:bCs/>
          <w:sz w:val="18"/>
          <w:szCs w:val="20"/>
          <w:lang w:val="en"/>
        </w:rPr>
        <w:t>/</w:t>
      </w:r>
      <w:r>
        <w:rPr>
          <w:rFonts w:asciiTheme="majorHAnsi" w:hAnsiTheme="majorHAnsi"/>
          <w:b/>
          <w:bCs/>
          <w:sz w:val="18"/>
          <w:szCs w:val="20"/>
          <w:bdr w:val="none" w:sz="0" w:space="0" w:color="auto"/>
          <w:lang w:val="en"/>
        </w:rPr>
        <w:t xml:space="preserve"> </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650FA2E6573B475B9C517AD5B001C6E0"/>
          </w:placeholder>
          <w:docPartList>
            <w:docPartGallery w:val="AutoText"/>
            <w:docPartCategory w:val="Header"/>
          </w:docPartList>
        </w:sdtPr>
        <w:sdtEndPr/>
        <w:sdtContent>
          <w:r>
            <w:rPr>
              <w:rFonts w:asciiTheme="majorHAnsi" w:hAnsiTheme="majorHAnsi"/>
              <w:b/>
              <w:bCs/>
              <w:sz w:val="18"/>
              <w:szCs w:val="20"/>
              <w:lang w:val="en"/>
            </w:rPr>
            <w:t>17</w:t>
          </w:r>
        </w:sdtContent>
      </w:sdt>
    </w:p>
    <w:p w14:paraId="20719C0F" w14:textId="77777777" w:rsidR="005B1C31" w:rsidRPr="00D64109" w:rsidRDefault="005B1C31" w:rsidP="005B1C31">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t xml:space="preserve">PETITION 242-07 </w:t>
      </w:r>
    </w:p>
    <w:p w14:paraId="417CA5AC" w14:textId="3525C975" w:rsidR="005B1C31" w:rsidRPr="00D64109" w:rsidRDefault="005B1C31" w:rsidP="005B1C31">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 xml:space="preserve">REPORT </w:t>
      </w:r>
      <w:r w:rsidR="008B66EB">
        <w:rPr>
          <w:rFonts w:asciiTheme="majorHAnsi" w:hAnsiTheme="majorHAnsi"/>
          <w:sz w:val="18"/>
          <w:szCs w:val="20"/>
          <w:lang w:val="en"/>
        </w:rPr>
        <w:t xml:space="preserve">ON </w:t>
      </w:r>
      <w:r w:rsidR="008B66EB">
        <w:rPr>
          <w:rFonts w:asciiTheme="majorHAnsi" w:hAnsiTheme="majorHAnsi"/>
          <w:sz w:val="18"/>
          <w:szCs w:val="20"/>
          <w:lang w:val="en"/>
        </w:rPr>
        <w:t>ADMISSIBILITY</w:t>
      </w:r>
    </w:p>
    <w:p w14:paraId="65EC8722" w14:textId="77777777" w:rsidR="005B1C31" w:rsidRPr="008B66EB" w:rsidRDefault="005B1C31" w:rsidP="005B1C31">
      <w:pPr>
        <w:tabs>
          <w:tab w:val="center" w:pos="5400"/>
        </w:tabs>
        <w:suppressAutoHyphens/>
        <w:spacing w:line="276" w:lineRule="auto"/>
        <w:jc w:val="center"/>
        <w:rPr>
          <w:rFonts w:asciiTheme="majorHAnsi" w:hAnsiTheme="majorHAnsi"/>
          <w:sz w:val="18"/>
          <w:szCs w:val="20"/>
          <w:lang w:val="es-ES"/>
        </w:rPr>
      </w:pPr>
      <w:r w:rsidRPr="008B66EB">
        <w:rPr>
          <w:rFonts w:asciiTheme="majorHAnsi" w:hAnsiTheme="majorHAnsi"/>
          <w:sz w:val="18"/>
          <w:szCs w:val="20"/>
          <w:lang w:val="es-ES"/>
        </w:rPr>
        <w:t>ADRIÁN MELÉNDEZ QUIJANO AND FAMILY</w:t>
      </w:r>
    </w:p>
    <w:p w14:paraId="3E09006A" w14:textId="77777777" w:rsidR="005B1C31" w:rsidRPr="008B66EB" w:rsidRDefault="005B1C31" w:rsidP="005B1C31">
      <w:pPr>
        <w:tabs>
          <w:tab w:val="center" w:pos="5400"/>
        </w:tabs>
        <w:suppressAutoHyphens/>
        <w:spacing w:line="276" w:lineRule="auto"/>
        <w:jc w:val="center"/>
        <w:rPr>
          <w:rFonts w:asciiTheme="majorHAnsi" w:hAnsiTheme="majorHAnsi"/>
          <w:sz w:val="18"/>
          <w:szCs w:val="20"/>
          <w:lang w:val="es-ES"/>
        </w:rPr>
      </w:pPr>
      <w:r w:rsidRPr="008B66EB">
        <w:rPr>
          <w:rFonts w:asciiTheme="majorHAnsi" w:hAnsiTheme="majorHAnsi"/>
          <w:sz w:val="18"/>
          <w:szCs w:val="20"/>
          <w:lang w:val="es-ES"/>
        </w:rPr>
        <w:t>EL SALVADOR</w:t>
      </w:r>
    </w:p>
    <w:p w14:paraId="7A61ACE9" w14:textId="35E753DC" w:rsidR="005B1C31" w:rsidRPr="00AC6034" w:rsidRDefault="00AC6034" w:rsidP="005B1C31">
      <w:pPr>
        <w:tabs>
          <w:tab w:val="center" w:pos="5400"/>
        </w:tabs>
        <w:suppressAutoHyphens/>
        <w:spacing w:line="276" w:lineRule="auto"/>
        <w:jc w:val="center"/>
        <w:rPr>
          <w:rFonts w:asciiTheme="majorHAnsi" w:hAnsiTheme="majorHAnsi"/>
          <w:color w:val="000000" w:themeColor="text1"/>
          <w:sz w:val="18"/>
          <w:szCs w:val="20"/>
        </w:rPr>
      </w:pPr>
      <w:r w:rsidRPr="00AC6034">
        <w:rPr>
          <w:rFonts w:asciiTheme="majorHAnsi" w:hAnsiTheme="majorHAnsi"/>
          <w:color w:val="000000" w:themeColor="text1"/>
          <w:sz w:val="18"/>
          <w:szCs w:val="20"/>
          <w:lang w:val="en"/>
        </w:rPr>
        <w:t>MAY 25, 2017</w:t>
      </w:r>
    </w:p>
    <w:p w14:paraId="10334EA6" w14:textId="77777777" w:rsidR="005B1C31" w:rsidRPr="00D64109" w:rsidRDefault="005B1C31" w:rsidP="005B1C31">
      <w:pPr>
        <w:tabs>
          <w:tab w:val="center" w:pos="5400"/>
        </w:tabs>
        <w:suppressAutoHyphens/>
        <w:spacing w:line="276" w:lineRule="auto"/>
        <w:rPr>
          <w:rFonts w:asciiTheme="majorHAnsi" w:hAnsiTheme="majorHAnsi"/>
          <w:sz w:val="20"/>
          <w:szCs w:val="20"/>
        </w:rPr>
      </w:pPr>
    </w:p>
    <w:p w14:paraId="1B5CEE47" w14:textId="77777777" w:rsidR="005B1C31" w:rsidRPr="00D64109" w:rsidRDefault="005B1C31" w:rsidP="005B1C31">
      <w:pPr>
        <w:spacing w:after="240"/>
        <w:ind w:firstLine="720"/>
        <w:jc w:val="both"/>
        <w:rPr>
          <w:rFonts w:asciiTheme="majorHAnsi" w:hAnsiTheme="majorHAnsi"/>
          <w:b/>
          <w:bCs/>
          <w:sz w:val="20"/>
          <w:szCs w:val="20"/>
        </w:rPr>
      </w:pPr>
      <w:r>
        <w:rPr>
          <w:rFonts w:asciiTheme="majorHAnsi" w:hAnsiTheme="majorHAnsi"/>
          <w:b/>
          <w:bCs/>
          <w:sz w:val="20"/>
          <w:szCs w:val="20"/>
          <w:lang w:val="en"/>
        </w:rPr>
        <w:t>I.</w:t>
      </w:r>
      <w:r>
        <w:rPr>
          <w:rFonts w:asciiTheme="majorHAnsi" w:hAnsiTheme="majorHAnsi"/>
          <w:b/>
          <w:bCs/>
          <w:sz w:val="20"/>
          <w:szCs w:val="20"/>
          <w:lang w:val="en"/>
        </w:rPr>
        <w:tab/>
        <w:t>INFORMATION ABOUT THE PETITION</w:t>
      </w:r>
      <w:r>
        <w:rPr>
          <w:rFonts w:asciiTheme="majorHAnsi" w:hAnsiTheme="majorHAnsi"/>
          <w:sz w:val="20"/>
          <w:szCs w:val="20"/>
          <w:lang w:val="en"/>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B1C31" w:rsidRPr="006A4203" w14:paraId="4B5CD8AC" w14:textId="77777777" w:rsidTr="005B1C31">
        <w:tc>
          <w:tcPr>
            <w:tcW w:w="4680" w:type="dxa"/>
            <w:tcBorders>
              <w:top w:val="single" w:sz="4" w:space="0" w:color="auto"/>
              <w:bottom w:val="single" w:sz="6" w:space="0" w:color="auto"/>
            </w:tcBorders>
            <w:shd w:val="clear" w:color="auto" w:fill="67AE3C"/>
            <w:vAlign w:val="center"/>
          </w:tcPr>
          <w:p w14:paraId="572DE791"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Petitioners:</w:t>
            </w:r>
          </w:p>
        </w:tc>
        <w:tc>
          <w:tcPr>
            <w:tcW w:w="4680" w:type="dxa"/>
            <w:vAlign w:val="center"/>
          </w:tcPr>
          <w:p w14:paraId="17199459" w14:textId="77777777" w:rsidR="005B1C31" w:rsidRPr="006A4203" w:rsidRDefault="005B1C31" w:rsidP="004C5D0A">
            <w:pPr>
              <w:jc w:val="both"/>
              <w:rPr>
                <w:rFonts w:ascii="Cambria" w:hAnsi="Cambria"/>
                <w:bCs/>
                <w:sz w:val="20"/>
                <w:szCs w:val="20"/>
                <w:lang w:val="es-ES"/>
              </w:rPr>
            </w:pPr>
            <w:r w:rsidRPr="006A4203">
              <w:rPr>
                <w:rFonts w:ascii="Cambria" w:hAnsi="Cambria"/>
                <w:sz w:val="20"/>
                <w:szCs w:val="20"/>
                <w:lang w:val="es-ES"/>
              </w:rPr>
              <w:t>Adrián Meléndez Quijano and Sandra Ivette Meléndez Quijano</w:t>
            </w:r>
            <w:r>
              <w:rPr>
                <w:rStyle w:val="FootnoteReference"/>
                <w:rFonts w:ascii="Cambria" w:hAnsi="Cambria"/>
                <w:sz w:val="20"/>
                <w:szCs w:val="20"/>
                <w:lang w:val="en"/>
              </w:rPr>
              <w:footnoteReference w:id="2"/>
            </w:r>
          </w:p>
        </w:tc>
      </w:tr>
      <w:tr w:rsidR="005B1C31" w:rsidRPr="00551F4F" w14:paraId="039D660C" w14:textId="77777777" w:rsidTr="005B1C31">
        <w:tc>
          <w:tcPr>
            <w:tcW w:w="4680" w:type="dxa"/>
            <w:tcBorders>
              <w:top w:val="single" w:sz="6" w:space="0" w:color="auto"/>
              <w:bottom w:val="single" w:sz="6" w:space="0" w:color="auto"/>
            </w:tcBorders>
            <w:shd w:val="clear" w:color="auto" w:fill="67AE3C"/>
            <w:vAlign w:val="center"/>
          </w:tcPr>
          <w:p w14:paraId="43F11D1E" w14:textId="77777777" w:rsidR="005B1C31" w:rsidRPr="00D64109" w:rsidRDefault="00131F17" w:rsidP="004C5D0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A50B243244F48A5B8B9720C79C0C7E4"/>
                </w:placeholder>
                <w:dropDownList>
                  <w:listItem w:value="Choose an item."/>
                  <w:listItem w:displayText="Presunta víctima" w:value="Presunta víctima"/>
                  <w:listItem w:displayText="Presuntas víctimas" w:value="Presuntas víctimas"/>
                </w:dropDownList>
              </w:sdtPr>
              <w:sdtEndPr/>
              <w:sdtContent>
                <w:r w:rsidR="005B1C31">
                  <w:rPr>
                    <w:rFonts w:ascii="Cambria" w:hAnsi="Cambria"/>
                    <w:b/>
                    <w:bCs/>
                    <w:color w:val="FFFFFF" w:themeColor="background1"/>
                    <w:sz w:val="20"/>
                    <w:szCs w:val="20"/>
                    <w:lang w:val="en"/>
                  </w:rPr>
                  <w:t>Alleged victim</w:t>
                </w:r>
              </w:sdtContent>
            </w:sdt>
            <w:r w:rsidR="005B1C31">
              <w:rPr>
                <w:rFonts w:ascii="Cambria" w:hAnsi="Cambria"/>
                <w:b/>
                <w:bCs/>
                <w:color w:val="FFFFFF" w:themeColor="background1"/>
                <w:sz w:val="20"/>
                <w:szCs w:val="20"/>
                <w:lang w:val="en"/>
              </w:rPr>
              <w:t>:</w:t>
            </w:r>
          </w:p>
        </w:tc>
        <w:tc>
          <w:tcPr>
            <w:tcW w:w="4680" w:type="dxa"/>
            <w:vAlign w:val="center"/>
          </w:tcPr>
          <w:p w14:paraId="13F6F18D" w14:textId="77777777" w:rsidR="005B1C31" w:rsidRPr="00D64109" w:rsidRDefault="005B1C31" w:rsidP="004C5D0A">
            <w:pPr>
              <w:jc w:val="both"/>
              <w:rPr>
                <w:rFonts w:ascii="Cambria" w:hAnsi="Cambria"/>
                <w:bCs/>
                <w:sz w:val="20"/>
                <w:szCs w:val="20"/>
              </w:rPr>
            </w:pPr>
            <w:r>
              <w:rPr>
                <w:rFonts w:ascii="Cambria" w:hAnsi="Cambria"/>
                <w:sz w:val="20"/>
                <w:szCs w:val="20"/>
                <w:lang w:val="en"/>
              </w:rPr>
              <w:t>Adrián Meléndez Quijano and family</w:t>
            </w:r>
          </w:p>
        </w:tc>
      </w:tr>
      <w:tr w:rsidR="005B1C31" w:rsidRPr="00D64109" w14:paraId="066727DC" w14:textId="77777777" w:rsidTr="005B1C31">
        <w:tc>
          <w:tcPr>
            <w:tcW w:w="4680" w:type="dxa"/>
            <w:tcBorders>
              <w:top w:val="single" w:sz="6" w:space="0" w:color="auto"/>
              <w:bottom w:val="single" w:sz="6" w:space="0" w:color="auto"/>
            </w:tcBorders>
            <w:shd w:val="clear" w:color="auto" w:fill="67AE3C"/>
            <w:vAlign w:val="center"/>
          </w:tcPr>
          <w:p w14:paraId="48609A33"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State denounced:</w:t>
            </w:r>
          </w:p>
        </w:tc>
        <w:tc>
          <w:tcPr>
            <w:tcW w:w="4680" w:type="dxa"/>
            <w:vAlign w:val="center"/>
          </w:tcPr>
          <w:p w14:paraId="3D086713" w14:textId="77777777" w:rsidR="005B1C31" w:rsidRPr="00D64109" w:rsidRDefault="005B1C31" w:rsidP="004C5D0A">
            <w:pPr>
              <w:jc w:val="both"/>
              <w:rPr>
                <w:rFonts w:ascii="Cambria" w:hAnsi="Cambria"/>
                <w:bCs/>
                <w:sz w:val="20"/>
                <w:szCs w:val="20"/>
              </w:rPr>
            </w:pPr>
            <w:r>
              <w:rPr>
                <w:rFonts w:ascii="Cambria" w:hAnsi="Cambria"/>
                <w:sz w:val="20"/>
                <w:szCs w:val="20"/>
                <w:lang w:val="en"/>
              </w:rPr>
              <w:t>El Salvador</w:t>
            </w:r>
          </w:p>
        </w:tc>
      </w:tr>
      <w:tr w:rsidR="005B1C31" w:rsidRPr="00551F4F" w14:paraId="2E458BB0" w14:textId="77777777" w:rsidTr="005B1C31">
        <w:tc>
          <w:tcPr>
            <w:tcW w:w="4680" w:type="dxa"/>
            <w:tcBorders>
              <w:top w:val="single" w:sz="6" w:space="0" w:color="auto"/>
              <w:bottom w:val="single" w:sz="6" w:space="0" w:color="auto"/>
            </w:tcBorders>
            <w:shd w:val="clear" w:color="auto" w:fill="67AE3C"/>
            <w:vAlign w:val="center"/>
          </w:tcPr>
          <w:p w14:paraId="3E70E23D"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4680" w:type="dxa"/>
            <w:vAlign w:val="center"/>
          </w:tcPr>
          <w:p w14:paraId="0BA4044C" w14:textId="77777777" w:rsidR="005B1C31" w:rsidRPr="00D64109" w:rsidRDefault="005B1C31" w:rsidP="004C5D0A">
            <w:pPr>
              <w:jc w:val="both"/>
              <w:rPr>
                <w:rFonts w:ascii="Cambria" w:hAnsi="Cambria"/>
                <w:bCs/>
                <w:sz w:val="20"/>
                <w:szCs w:val="20"/>
              </w:rPr>
            </w:pPr>
            <w:r>
              <w:rPr>
                <w:rFonts w:ascii="Cambria" w:hAnsi="Cambria"/>
                <w:sz w:val="20"/>
                <w:szCs w:val="20"/>
                <w:lang w:val="en"/>
              </w:rPr>
              <w:t>Articles 5 (Right to Humane Treatment), 7 (Right to Personal Liberty), 8 (Right to a Fair Trial), 11 (Right to Privacy) and 25 (Right to Judicial Protection) of the American Convention on Human Rights</w:t>
            </w:r>
            <w:r>
              <w:rPr>
                <w:rStyle w:val="FootnoteReference"/>
                <w:rFonts w:ascii="Cambria" w:hAnsi="Cambria"/>
                <w:sz w:val="20"/>
                <w:szCs w:val="20"/>
                <w:lang w:val="en"/>
              </w:rPr>
              <w:footnoteReference w:id="3"/>
            </w:r>
          </w:p>
        </w:tc>
      </w:tr>
    </w:tbl>
    <w:p w14:paraId="3D0C9BA1" w14:textId="77777777" w:rsidR="005B1C31" w:rsidRPr="00D64109" w:rsidRDefault="005B1C31" w:rsidP="005B1C31">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PROCEDURE BEFORE THE IACHR</w:t>
      </w:r>
      <w:r>
        <w:rPr>
          <w:rStyle w:val="FootnoteReference"/>
          <w:rFonts w:asciiTheme="majorHAnsi" w:hAnsiTheme="majorHAnsi"/>
          <w:b/>
          <w:bCs/>
          <w:sz w:val="20"/>
          <w:szCs w:val="20"/>
          <w:lang w:val="en"/>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B1C31" w:rsidRPr="00D64109" w14:paraId="14D7709D" w14:textId="77777777" w:rsidTr="005B1C31">
        <w:tc>
          <w:tcPr>
            <w:tcW w:w="4680" w:type="dxa"/>
            <w:tcBorders>
              <w:top w:val="single" w:sz="6" w:space="0" w:color="auto"/>
              <w:bottom w:val="single" w:sz="6" w:space="0" w:color="auto"/>
            </w:tcBorders>
            <w:shd w:val="clear" w:color="auto" w:fill="67AE3C"/>
            <w:vAlign w:val="center"/>
          </w:tcPr>
          <w:p w14:paraId="27BB4E46"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Date on which the petition was </w:t>
            </w:r>
            <w:r w:rsidRPr="00EA5692">
              <w:rPr>
                <w:rFonts w:ascii="Cambria" w:hAnsi="Cambria"/>
                <w:b/>
                <w:bCs/>
                <w:color w:val="FFFFFF" w:themeColor="background1"/>
                <w:sz w:val="20"/>
                <w:szCs w:val="20"/>
                <w:lang w:val="en"/>
              </w:rPr>
              <w:t xml:space="preserve">received: </w:t>
            </w:r>
          </w:p>
        </w:tc>
        <w:tc>
          <w:tcPr>
            <w:tcW w:w="4680" w:type="dxa"/>
            <w:vAlign w:val="center"/>
          </w:tcPr>
          <w:p w14:paraId="57B6A4A7" w14:textId="77777777" w:rsidR="005B1C31" w:rsidRPr="00D64109" w:rsidRDefault="005B1C31" w:rsidP="004C5D0A">
            <w:pPr>
              <w:jc w:val="both"/>
              <w:rPr>
                <w:rFonts w:ascii="Cambria" w:hAnsi="Cambria"/>
                <w:bCs/>
                <w:sz w:val="20"/>
                <w:szCs w:val="20"/>
              </w:rPr>
            </w:pPr>
            <w:r>
              <w:rPr>
                <w:rFonts w:ascii="Cambria" w:hAnsi="Cambria"/>
                <w:sz w:val="20"/>
                <w:szCs w:val="20"/>
                <w:lang w:val="en"/>
              </w:rPr>
              <w:t>March 5, 2007</w:t>
            </w:r>
          </w:p>
        </w:tc>
      </w:tr>
      <w:tr w:rsidR="005B1C31" w:rsidRPr="00D64109" w14:paraId="7CAEFBA4" w14:textId="77777777" w:rsidTr="005B1C31">
        <w:tc>
          <w:tcPr>
            <w:tcW w:w="4680" w:type="dxa"/>
            <w:tcBorders>
              <w:top w:val="single" w:sz="6" w:space="0" w:color="auto"/>
              <w:bottom w:val="single" w:sz="6" w:space="0" w:color="auto"/>
            </w:tcBorders>
            <w:shd w:val="clear" w:color="auto" w:fill="67AE3C"/>
            <w:vAlign w:val="center"/>
          </w:tcPr>
          <w:p w14:paraId="2807F7A0" w14:textId="77777777" w:rsidR="005B1C31" w:rsidRDefault="005B1C31" w:rsidP="004C5D0A">
            <w:pPr>
              <w:jc w:val="center"/>
              <w:rPr>
                <w:rFonts w:ascii="Cambria" w:hAnsi="Cambria"/>
                <w:b/>
                <w:bCs/>
                <w:color w:val="FFFFFF" w:themeColor="background1"/>
                <w:sz w:val="20"/>
                <w:szCs w:val="20"/>
                <w:lang w:val="en"/>
              </w:rPr>
            </w:pPr>
          </w:p>
          <w:p w14:paraId="54B37EA1" w14:textId="77777777" w:rsidR="005B1C31" w:rsidRPr="00D64109" w:rsidRDefault="005B1C31" w:rsidP="004C5D0A">
            <w:pPr>
              <w:jc w:val="center"/>
              <w:rPr>
                <w:rFonts w:ascii="Cambria" w:hAnsi="Cambria"/>
                <w:b/>
                <w:bCs/>
                <w:color w:val="FFFFFF" w:themeColor="background1"/>
                <w:sz w:val="20"/>
                <w:szCs w:val="20"/>
              </w:rPr>
            </w:pPr>
            <w:r w:rsidRPr="00EA5692">
              <w:rPr>
                <w:rFonts w:ascii="Cambria" w:hAnsi="Cambria"/>
                <w:b/>
                <w:bCs/>
                <w:color w:val="FFFFFF" w:themeColor="background1"/>
                <w:sz w:val="20"/>
                <w:szCs w:val="20"/>
              </w:rPr>
              <w:t>Date on which the petition was transmitted to the State:</w:t>
            </w:r>
          </w:p>
        </w:tc>
        <w:tc>
          <w:tcPr>
            <w:tcW w:w="4680" w:type="dxa"/>
            <w:vAlign w:val="center"/>
          </w:tcPr>
          <w:p w14:paraId="050DC799" w14:textId="77777777" w:rsidR="005B1C31" w:rsidRPr="00D64109" w:rsidRDefault="005B1C31" w:rsidP="004C5D0A">
            <w:pPr>
              <w:jc w:val="both"/>
              <w:rPr>
                <w:rFonts w:ascii="Cambria" w:hAnsi="Cambria"/>
                <w:bCs/>
                <w:sz w:val="20"/>
                <w:szCs w:val="20"/>
              </w:rPr>
            </w:pPr>
            <w:r>
              <w:rPr>
                <w:rFonts w:ascii="Cambria" w:hAnsi="Cambria"/>
                <w:sz w:val="20"/>
                <w:szCs w:val="20"/>
                <w:lang w:val="en"/>
              </w:rPr>
              <w:t>January 13, 2011</w:t>
            </w:r>
          </w:p>
        </w:tc>
      </w:tr>
      <w:tr w:rsidR="005B1C31" w:rsidRPr="00D64109" w14:paraId="606779CF" w14:textId="77777777" w:rsidTr="005B1C31">
        <w:tc>
          <w:tcPr>
            <w:tcW w:w="4680" w:type="dxa"/>
            <w:tcBorders>
              <w:top w:val="single" w:sz="6" w:space="0" w:color="auto"/>
              <w:bottom w:val="single" w:sz="6" w:space="0" w:color="auto"/>
            </w:tcBorders>
            <w:shd w:val="clear" w:color="auto" w:fill="67AE3C"/>
            <w:vAlign w:val="center"/>
          </w:tcPr>
          <w:p w14:paraId="5FF8B238"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Date of the State’s first response: </w:t>
            </w:r>
          </w:p>
        </w:tc>
        <w:tc>
          <w:tcPr>
            <w:tcW w:w="4680" w:type="dxa"/>
            <w:vAlign w:val="center"/>
          </w:tcPr>
          <w:p w14:paraId="62DA010F" w14:textId="77777777" w:rsidR="005B1C31" w:rsidRPr="00D64109" w:rsidRDefault="005B1C31" w:rsidP="004C5D0A">
            <w:pPr>
              <w:jc w:val="both"/>
              <w:rPr>
                <w:rFonts w:ascii="Cambria" w:hAnsi="Cambria"/>
                <w:bCs/>
                <w:sz w:val="20"/>
                <w:szCs w:val="20"/>
              </w:rPr>
            </w:pPr>
            <w:r>
              <w:rPr>
                <w:rFonts w:ascii="Cambria" w:hAnsi="Cambria"/>
                <w:sz w:val="20"/>
                <w:szCs w:val="20"/>
                <w:lang w:val="en"/>
              </w:rPr>
              <w:t>April 15, 2011</w:t>
            </w:r>
          </w:p>
        </w:tc>
      </w:tr>
      <w:tr w:rsidR="005B1C31" w:rsidRPr="00551F4F" w14:paraId="0B2B3175" w14:textId="77777777" w:rsidTr="005B1C31">
        <w:tc>
          <w:tcPr>
            <w:tcW w:w="4680" w:type="dxa"/>
            <w:tcBorders>
              <w:top w:val="single" w:sz="6" w:space="0" w:color="auto"/>
              <w:bottom w:val="single" w:sz="6" w:space="0" w:color="auto"/>
            </w:tcBorders>
            <w:shd w:val="clear" w:color="auto" w:fill="67AE3C"/>
            <w:vAlign w:val="center"/>
          </w:tcPr>
          <w:p w14:paraId="7CB8E079" w14:textId="77777777" w:rsidR="005B1C31" w:rsidRPr="00D64109" w:rsidRDefault="005B1C31" w:rsidP="004C5D0A">
            <w:pPr>
              <w:ind w:left="-288"/>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Additional observations </w:t>
            </w:r>
          </w:p>
          <w:p w14:paraId="5B887FD6" w14:textId="77777777" w:rsidR="005B1C31" w:rsidRPr="00D64109" w:rsidRDefault="005B1C31" w:rsidP="004C5D0A">
            <w:pPr>
              <w:ind w:left="-288"/>
              <w:jc w:val="center"/>
              <w:rPr>
                <w:rFonts w:ascii="Cambria" w:hAnsi="Cambria"/>
                <w:b/>
                <w:bCs/>
                <w:color w:val="FFFFFF" w:themeColor="background1"/>
                <w:sz w:val="20"/>
                <w:szCs w:val="20"/>
              </w:rPr>
            </w:pPr>
            <w:r>
              <w:rPr>
                <w:rFonts w:ascii="Cambria" w:hAnsi="Cambria"/>
                <w:b/>
                <w:bCs/>
                <w:color w:val="FFFFFF" w:themeColor="background1"/>
                <w:sz w:val="20"/>
                <w:szCs w:val="20"/>
                <w:lang w:val="en"/>
              </w:rPr>
              <w:t>from the petitioners:</w:t>
            </w:r>
          </w:p>
        </w:tc>
        <w:tc>
          <w:tcPr>
            <w:tcW w:w="4680" w:type="dxa"/>
            <w:vAlign w:val="center"/>
          </w:tcPr>
          <w:p w14:paraId="1E9D1494" w14:textId="77777777" w:rsidR="005B1C31" w:rsidRPr="00D64109" w:rsidRDefault="005B1C31" w:rsidP="004C5D0A">
            <w:pPr>
              <w:jc w:val="both"/>
              <w:rPr>
                <w:rFonts w:ascii="Cambria" w:hAnsi="Cambria"/>
                <w:bCs/>
                <w:sz w:val="20"/>
                <w:szCs w:val="20"/>
              </w:rPr>
            </w:pPr>
            <w:r>
              <w:rPr>
                <w:rFonts w:ascii="Cambria" w:hAnsi="Cambria"/>
                <w:sz w:val="20"/>
                <w:szCs w:val="20"/>
                <w:lang w:val="en"/>
              </w:rPr>
              <w:t>December 20, 2011 and October 10, 2012</w:t>
            </w:r>
          </w:p>
        </w:tc>
      </w:tr>
      <w:tr w:rsidR="005B1C31" w:rsidRPr="00D64109" w14:paraId="76CE76DC" w14:textId="77777777" w:rsidTr="005B1C31">
        <w:tc>
          <w:tcPr>
            <w:tcW w:w="4680" w:type="dxa"/>
            <w:tcBorders>
              <w:top w:val="single" w:sz="6" w:space="0" w:color="auto"/>
              <w:bottom w:val="single" w:sz="6" w:space="0" w:color="auto"/>
            </w:tcBorders>
            <w:shd w:val="clear" w:color="auto" w:fill="67AE3C"/>
            <w:vAlign w:val="center"/>
          </w:tcPr>
          <w:p w14:paraId="1315181E"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observations from the State:</w:t>
            </w:r>
          </w:p>
        </w:tc>
        <w:tc>
          <w:tcPr>
            <w:tcW w:w="4680" w:type="dxa"/>
            <w:vAlign w:val="center"/>
          </w:tcPr>
          <w:p w14:paraId="2B4AFCBC" w14:textId="77777777" w:rsidR="005B1C31" w:rsidRPr="00D64109" w:rsidRDefault="005B1C31" w:rsidP="004C5D0A">
            <w:pPr>
              <w:jc w:val="both"/>
              <w:rPr>
                <w:rFonts w:ascii="Cambria" w:hAnsi="Cambria"/>
                <w:bCs/>
                <w:sz w:val="20"/>
                <w:szCs w:val="20"/>
              </w:rPr>
            </w:pPr>
            <w:r>
              <w:rPr>
                <w:rFonts w:ascii="Cambria" w:hAnsi="Cambria"/>
                <w:sz w:val="20"/>
                <w:szCs w:val="20"/>
                <w:lang w:val="en"/>
              </w:rPr>
              <w:t>July 3, 2012</w:t>
            </w:r>
          </w:p>
        </w:tc>
      </w:tr>
      <w:tr w:rsidR="005B1C31" w:rsidRPr="00D64109" w14:paraId="70BE2437" w14:textId="77777777" w:rsidTr="005B1C31">
        <w:tc>
          <w:tcPr>
            <w:tcW w:w="4680" w:type="dxa"/>
            <w:tcBorders>
              <w:top w:val="single" w:sz="6" w:space="0" w:color="auto"/>
              <w:bottom w:val="single" w:sz="4" w:space="0" w:color="auto"/>
            </w:tcBorders>
            <w:shd w:val="clear" w:color="auto" w:fill="67AE3C"/>
            <w:vAlign w:val="center"/>
          </w:tcPr>
          <w:p w14:paraId="69B2C976"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of warning that the case might be closed:</w:t>
            </w:r>
          </w:p>
        </w:tc>
        <w:tc>
          <w:tcPr>
            <w:tcW w:w="4680" w:type="dxa"/>
            <w:vAlign w:val="center"/>
          </w:tcPr>
          <w:p w14:paraId="0AE7914E" w14:textId="77777777" w:rsidR="005B1C31" w:rsidRPr="00D64109" w:rsidRDefault="005B1C31" w:rsidP="004C5D0A">
            <w:pPr>
              <w:jc w:val="both"/>
              <w:rPr>
                <w:rFonts w:ascii="Cambria" w:hAnsi="Cambria"/>
                <w:bCs/>
                <w:sz w:val="20"/>
                <w:szCs w:val="20"/>
              </w:rPr>
            </w:pPr>
            <w:r>
              <w:rPr>
                <w:rFonts w:ascii="Cambria" w:hAnsi="Cambria"/>
                <w:sz w:val="20"/>
                <w:szCs w:val="20"/>
                <w:lang w:val="en"/>
              </w:rPr>
              <w:t>October 11, 2016</w:t>
            </w:r>
          </w:p>
        </w:tc>
      </w:tr>
      <w:tr w:rsidR="005B1C31" w:rsidRPr="00D64109" w14:paraId="78AE140C" w14:textId="77777777" w:rsidTr="005B1C31">
        <w:tc>
          <w:tcPr>
            <w:tcW w:w="4680" w:type="dxa"/>
            <w:tcBorders>
              <w:top w:val="single" w:sz="6" w:space="0" w:color="auto"/>
              <w:bottom w:val="single" w:sz="6" w:space="0" w:color="auto"/>
            </w:tcBorders>
            <w:shd w:val="clear" w:color="auto" w:fill="67AE3C"/>
            <w:vAlign w:val="center"/>
          </w:tcPr>
          <w:p w14:paraId="49804BBD"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of the petitioning party’s response to the warning that the case might be closed:</w:t>
            </w:r>
          </w:p>
        </w:tc>
        <w:tc>
          <w:tcPr>
            <w:tcW w:w="4680" w:type="dxa"/>
            <w:vAlign w:val="center"/>
          </w:tcPr>
          <w:p w14:paraId="59E671F1" w14:textId="77777777" w:rsidR="005B1C31" w:rsidRPr="00D64109" w:rsidRDefault="005B1C31" w:rsidP="004C5D0A">
            <w:pPr>
              <w:jc w:val="both"/>
              <w:rPr>
                <w:rFonts w:ascii="Cambria" w:hAnsi="Cambria"/>
                <w:bCs/>
                <w:sz w:val="20"/>
                <w:szCs w:val="20"/>
              </w:rPr>
            </w:pPr>
            <w:r>
              <w:rPr>
                <w:rFonts w:ascii="Cambria" w:hAnsi="Cambria"/>
                <w:sz w:val="20"/>
                <w:szCs w:val="20"/>
                <w:lang w:val="en"/>
              </w:rPr>
              <w:t>October 28, 2016</w:t>
            </w:r>
          </w:p>
        </w:tc>
      </w:tr>
      <w:tr w:rsidR="005B1C31" w:rsidRPr="00D64109" w14:paraId="24BDCBCE" w14:textId="77777777" w:rsidTr="005B1C31">
        <w:tc>
          <w:tcPr>
            <w:tcW w:w="4680" w:type="dxa"/>
            <w:tcBorders>
              <w:top w:val="single" w:sz="6" w:space="0" w:color="auto"/>
              <w:bottom w:val="single" w:sz="6" w:space="0" w:color="auto"/>
            </w:tcBorders>
            <w:shd w:val="clear" w:color="auto" w:fill="67AE3C"/>
            <w:vAlign w:val="center"/>
          </w:tcPr>
          <w:p w14:paraId="494406F8"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Precautionary measure granted:</w:t>
            </w:r>
          </w:p>
        </w:tc>
        <w:tc>
          <w:tcPr>
            <w:tcW w:w="4680" w:type="dxa"/>
            <w:vAlign w:val="center"/>
          </w:tcPr>
          <w:p w14:paraId="51CC469D" w14:textId="77777777" w:rsidR="005B1C31" w:rsidRPr="00D64109" w:rsidRDefault="005B1C31" w:rsidP="004C5D0A">
            <w:pPr>
              <w:jc w:val="both"/>
              <w:rPr>
                <w:rFonts w:ascii="Cambria" w:hAnsi="Cambria"/>
                <w:bCs/>
                <w:sz w:val="20"/>
                <w:szCs w:val="20"/>
              </w:rPr>
            </w:pPr>
            <w:r>
              <w:rPr>
                <w:rFonts w:ascii="Cambria" w:hAnsi="Cambria"/>
                <w:sz w:val="20"/>
                <w:szCs w:val="20"/>
                <w:lang w:val="en"/>
              </w:rPr>
              <w:t>October 10, 2006</w:t>
            </w:r>
          </w:p>
        </w:tc>
      </w:tr>
      <w:tr w:rsidR="005B1C31" w:rsidRPr="00D64109" w14:paraId="52E86DA9" w14:textId="77777777" w:rsidTr="005B1C31">
        <w:tc>
          <w:tcPr>
            <w:tcW w:w="4680" w:type="dxa"/>
            <w:tcBorders>
              <w:top w:val="single" w:sz="6" w:space="0" w:color="auto"/>
              <w:bottom w:val="single" w:sz="6" w:space="0" w:color="auto"/>
            </w:tcBorders>
            <w:shd w:val="clear" w:color="auto" w:fill="67AE3C"/>
            <w:vAlign w:val="center"/>
          </w:tcPr>
          <w:p w14:paraId="20405E5A"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Provisional measure granted:</w:t>
            </w:r>
          </w:p>
        </w:tc>
        <w:tc>
          <w:tcPr>
            <w:tcW w:w="4680" w:type="dxa"/>
            <w:vAlign w:val="center"/>
          </w:tcPr>
          <w:p w14:paraId="6070653B" w14:textId="77777777" w:rsidR="005B1C31" w:rsidRPr="00D64109" w:rsidRDefault="005B1C31" w:rsidP="004C5D0A">
            <w:pPr>
              <w:jc w:val="both"/>
              <w:rPr>
                <w:rFonts w:ascii="Cambria" w:hAnsi="Cambria"/>
                <w:bCs/>
                <w:sz w:val="20"/>
                <w:szCs w:val="20"/>
              </w:rPr>
            </w:pPr>
            <w:r>
              <w:rPr>
                <w:rFonts w:ascii="Cambria" w:hAnsi="Cambria"/>
                <w:sz w:val="20"/>
                <w:szCs w:val="20"/>
                <w:lang w:val="en"/>
              </w:rPr>
              <w:t>March 23, 2007</w:t>
            </w:r>
          </w:p>
        </w:tc>
      </w:tr>
    </w:tbl>
    <w:p w14:paraId="39C3D572" w14:textId="77777777" w:rsidR="005B1C31" w:rsidRPr="00D64109" w:rsidRDefault="005B1C31" w:rsidP="005B1C31">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B1C31" w:rsidRPr="00D64109" w14:paraId="3AD693EF" w14:textId="77777777" w:rsidTr="005B1C31">
        <w:trPr>
          <w:cantSplit/>
        </w:trPr>
        <w:tc>
          <w:tcPr>
            <w:tcW w:w="4680" w:type="dxa"/>
            <w:tcBorders>
              <w:top w:val="single" w:sz="4" w:space="0" w:color="auto"/>
              <w:bottom w:val="single" w:sz="6" w:space="0" w:color="auto"/>
            </w:tcBorders>
            <w:shd w:val="clear" w:color="auto" w:fill="67AE3C"/>
            <w:vAlign w:val="center"/>
          </w:tcPr>
          <w:p w14:paraId="28E04338" w14:textId="77777777" w:rsidR="005B1C31" w:rsidRPr="00D64109" w:rsidRDefault="005B1C31" w:rsidP="004C5D0A">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Jurisdiction </w:t>
            </w:r>
            <w:r>
              <w:rPr>
                <w:rFonts w:ascii="Cambria" w:hAnsi="Cambria"/>
                <w:b/>
                <w:bCs/>
                <w:i/>
                <w:iCs/>
                <w:color w:val="FFFFFF" w:themeColor="background1"/>
                <w:sz w:val="20"/>
                <w:szCs w:val="20"/>
                <w:lang w:val="en"/>
              </w:rPr>
              <w:t>ratione personae:</w:t>
            </w:r>
          </w:p>
        </w:tc>
        <w:tc>
          <w:tcPr>
            <w:tcW w:w="4680" w:type="dxa"/>
            <w:vAlign w:val="center"/>
          </w:tcPr>
          <w:p w14:paraId="3E7F75CA" w14:textId="77777777" w:rsidR="005B1C31" w:rsidRPr="00D64109" w:rsidRDefault="005B1C31" w:rsidP="004C5D0A">
            <w:pPr>
              <w:rPr>
                <w:rFonts w:ascii="Cambria" w:hAnsi="Cambria"/>
                <w:bCs/>
                <w:sz w:val="20"/>
                <w:szCs w:val="20"/>
              </w:rPr>
            </w:pPr>
            <w:r>
              <w:rPr>
                <w:rFonts w:ascii="Cambria" w:hAnsi="Cambria"/>
                <w:sz w:val="20"/>
                <w:szCs w:val="20"/>
                <w:lang w:val="en"/>
              </w:rPr>
              <w:t>Yes</w:t>
            </w:r>
          </w:p>
        </w:tc>
      </w:tr>
      <w:tr w:rsidR="005B1C31" w:rsidRPr="00D64109" w14:paraId="47A28376" w14:textId="77777777" w:rsidTr="005B1C31">
        <w:trPr>
          <w:cantSplit/>
        </w:trPr>
        <w:tc>
          <w:tcPr>
            <w:tcW w:w="4680" w:type="dxa"/>
            <w:tcBorders>
              <w:top w:val="single" w:sz="6" w:space="0" w:color="auto"/>
              <w:bottom w:val="single" w:sz="6" w:space="0" w:color="auto"/>
            </w:tcBorders>
            <w:shd w:val="clear" w:color="auto" w:fill="67AE3C"/>
            <w:vAlign w:val="center"/>
          </w:tcPr>
          <w:p w14:paraId="54F61196"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Jurisdiction</w:t>
            </w:r>
            <w:r>
              <w:rPr>
                <w:rFonts w:ascii="Cambria" w:hAnsi="Cambria"/>
                <w:b/>
                <w:bCs/>
                <w:i/>
                <w:iCs/>
                <w:color w:val="FFFFFF" w:themeColor="background1"/>
                <w:sz w:val="20"/>
                <w:szCs w:val="20"/>
                <w:lang w:val="en"/>
              </w:rPr>
              <w:t xml:space="preserve"> ratione loci</w:t>
            </w:r>
            <w:r>
              <w:rPr>
                <w:rFonts w:ascii="Cambria" w:hAnsi="Cambria"/>
                <w:b/>
                <w:bCs/>
                <w:color w:val="FFFFFF" w:themeColor="background1"/>
                <w:sz w:val="20"/>
                <w:szCs w:val="20"/>
                <w:lang w:val="en"/>
              </w:rPr>
              <w:t>:</w:t>
            </w:r>
          </w:p>
        </w:tc>
        <w:tc>
          <w:tcPr>
            <w:tcW w:w="4680" w:type="dxa"/>
            <w:vAlign w:val="center"/>
          </w:tcPr>
          <w:p w14:paraId="7F0D988E" w14:textId="77777777" w:rsidR="005B1C31" w:rsidRPr="00D64109" w:rsidRDefault="005B1C31" w:rsidP="004C5D0A">
            <w:pPr>
              <w:rPr>
                <w:rFonts w:ascii="Cambria" w:hAnsi="Cambria"/>
                <w:bCs/>
                <w:sz w:val="20"/>
                <w:szCs w:val="20"/>
              </w:rPr>
            </w:pPr>
            <w:r>
              <w:rPr>
                <w:rFonts w:ascii="Cambria" w:hAnsi="Cambria"/>
                <w:sz w:val="20"/>
                <w:szCs w:val="20"/>
                <w:lang w:val="en"/>
              </w:rPr>
              <w:t>Yes</w:t>
            </w:r>
          </w:p>
        </w:tc>
      </w:tr>
      <w:tr w:rsidR="005B1C31" w:rsidRPr="00D64109" w14:paraId="1D48E47C" w14:textId="77777777" w:rsidTr="005B1C31">
        <w:trPr>
          <w:cantSplit/>
        </w:trPr>
        <w:tc>
          <w:tcPr>
            <w:tcW w:w="4680" w:type="dxa"/>
            <w:tcBorders>
              <w:top w:val="single" w:sz="6" w:space="0" w:color="auto"/>
              <w:bottom w:val="single" w:sz="6" w:space="0" w:color="auto"/>
            </w:tcBorders>
            <w:shd w:val="clear" w:color="auto" w:fill="67AE3C"/>
            <w:vAlign w:val="center"/>
          </w:tcPr>
          <w:p w14:paraId="409A13B8"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Jurisdiction</w:t>
            </w:r>
            <w:r>
              <w:rPr>
                <w:rFonts w:ascii="Cambria" w:hAnsi="Cambria"/>
                <w:b/>
                <w:bCs/>
                <w:i/>
                <w:iCs/>
                <w:color w:val="FFFFFF" w:themeColor="background1"/>
                <w:sz w:val="20"/>
                <w:szCs w:val="20"/>
                <w:lang w:val="en"/>
              </w:rPr>
              <w:t xml:space="preserve"> ratione temporis</w:t>
            </w:r>
            <w:r>
              <w:rPr>
                <w:rFonts w:ascii="Cambria" w:hAnsi="Cambria"/>
                <w:b/>
                <w:bCs/>
                <w:color w:val="FFFFFF" w:themeColor="background1"/>
                <w:sz w:val="20"/>
                <w:szCs w:val="20"/>
                <w:lang w:val="en"/>
              </w:rPr>
              <w:t>:</w:t>
            </w:r>
          </w:p>
        </w:tc>
        <w:tc>
          <w:tcPr>
            <w:tcW w:w="4680" w:type="dxa"/>
            <w:vAlign w:val="center"/>
          </w:tcPr>
          <w:p w14:paraId="71F3491D" w14:textId="77777777" w:rsidR="005B1C31" w:rsidRPr="00D64109" w:rsidRDefault="005B1C31" w:rsidP="004C5D0A">
            <w:pPr>
              <w:rPr>
                <w:bCs/>
                <w:sz w:val="20"/>
                <w:szCs w:val="20"/>
              </w:rPr>
            </w:pPr>
            <w:r>
              <w:rPr>
                <w:sz w:val="20"/>
                <w:szCs w:val="20"/>
                <w:lang w:val="en"/>
              </w:rPr>
              <w:t>Yes</w:t>
            </w:r>
          </w:p>
        </w:tc>
      </w:tr>
      <w:tr w:rsidR="005B1C31" w:rsidRPr="00551F4F" w14:paraId="0BB6D46F" w14:textId="77777777" w:rsidTr="005B1C31">
        <w:trPr>
          <w:cantSplit/>
        </w:trPr>
        <w:tc>
          <w:tcPr>
            <w:tcW w:w="4680" w:type="dxa"/>
            <w:tcBorders>
              <w:top w:val="single" w:sz="6" w:space="0" w:color="auto"/>
              <w:bottom w:val="single" w:sz="6" w:space="0" w:color="auto"/>
            </w:tcBorders>
            <w:shd w:val="clear" w:color="auto" w:fill="67AE3C"/>
            <w:vAlign w:val="center"/>
          </w:tcPr>
          <w:p w14:paraId="107221C5"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Jurisdiction</w:t>
            </w:r>
            <w:r>
              <w:rPr>
                <w:rFonts w:ascii="Cambria" w:hAnsi="Cambria"/>
                <w:b/>
                <w:bCs/>
                <w:i/>
                <w:iCs/>
                <w:color w:val="FFFFFF" w:themeColor="background1"/>
                <w:sz w:val="20"/>
                <w:szCs w:val="20"/>
                <w:lang w:val="en"/>
              </w:rPr>
              <w:t xml:space="preserve"> ratione materiae</w:t>
            </w:r>
            <w:r>
              <w:rPr>
                <w:rFonts w:ascii="Cambria" w:hAnsi="Cambria"/>
                <w:b/>
                <w:bCs/>
                <w:color w:val="FFFFFF" w:themeColor="background1"/>
                <w:sz w:val="20"/>
                <w:szCs w:val="20"/>
                <w:lang w:val="en"/>
              </w:rPr>
              <w:t>:</w:t>
            </w:r>
          </w:p>
        </w:tc>
        <w:tc>
          <w:tcPr>
            <w:tcW w:w="4680" w:type="dxa"/>
            <w:vAlign w:val="center"/>
          </w:tcPr>
          <w:p w14:paraId="0586494D" w14:textId="77777777" w:rsidR="005B1C31" w:rsidRPr="00D64109" w:rsidRDefault="005B1C31" w:rsidP="004C5D0A">
            <w:pPr>
              <w:jc w:val="both"/>
              <w:rPr>
                <w:rFonts w:ascii="Cambria" w:hAnsi="Cambria"/>
                <w:bCs/>
                <w:sz w:val="20"/>
                <w:szCs w:val="20"/>
              </w:rPr>
            </w:pPr>
            <w:r>
              <w:rPr>
                <w:rFonts w:ascii="Cambria" w:hAnsi="Cambria"/>
                <w:sz w:val="20"/>
                <w:szCs w:val="20"/>
                <w:lang w:val="en"/>
              </w:rPr>
              <w:t>Yes, American Convention (instrument of ratification deposited on May 12, 1994)</w:t>
            </w:r>
          </w:p>
        </w:tc>
      </w:tr>
    </w:tbl>
    <w:p w14:paraId="0000686A" w14:textId="77777777" w:rsidR="005B1C31" w:rsidRPr="00D64109" w:rsidRDefault="005B1C31" w:rsidP="005B1C31">
      <w:pPr>
        <w:spacing w:before="240" w:after="240"/>
        <w:ind w:firstLine="720"/>
        <w:jc w:val="both"/>
        <w:rPr>
          <w:rFonts w:asciiTheme="majorHAnsi" w:hAnsiTheme="majorHAnsi"/>
          <w:b/>
          <w:bCs/>
          <w:sz w:val="20"/>
          <w:szCs w:val="20"/>
        </w:rPr>
      </w:pPr>
    </w:p>
    <w:p w14:paraId="2AB265ED" w14:textId="77777777" w:rsidR="005B1C31" w:rsidRPr="00D64109" w:rsidRDefault="005B1C31" w:rsidP="005B1C31">
      <w:pPr>
        <w:spacing w:before="240" w:after="240"/>
        <w:ind w:firstLine="720"/>
        <w:jc w:val="both"/>
        <w:rPr>
          <w:rFonts w:asciiTheme="majorHAnsi" w:hAnsiTheme="majorHAnsi"/>
          <w:b/>
          <w:sz w:val="20"/>
          <w:szCs w:val="20"/>
        </w:rPr>
      </w:pPr>
      <w:r>
        <w:rPr>
          <w:rFonts w:asciiTheme="majorHAnsi" w:hAnsiTheme="majorHAnsi"/>
          <w:b/>
          <w:bCs/>
          <w:sz w:val="20"/>
          <w:szCs w:val="20"/>
          <w:lang w:val="en"/>
        </w:rPr>
        <w:lastRenderedPageBreak/>
        <w:t xml:space="preserve">IV. </w:t>
      </w:r>
      <w:r>
        <w:rPr>
          <w:rFonts w:asciiTheme="majorHAnsi" w:hAnsiTheme="majorHAnsi"/>
          <w:sz w:val="20"/>
          <w:szCs w:val="20"/>
          <w:lang w:val="en"/>
        </w:rPr>
        <w:tab/>
      </w:r>
      <w:r>
        <w:rPr>
          <w:rFonts w:asciiTheme="majorHAnsi" w:hAnsiTheme="majorHAnsi"/>
          <w:b/>
          <w:bCs/>
          <w:sz w:val="20"/>
          <w:szCs w:val="20"/>
          <w:lang w:val="en"/>
        </w:rPr>
        <w:t>ANALYSIS OF 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xml:space="preserve">, COLORABLE CLAIM, EXHAUSTION OF DOMESTIC REMEDIES AND TIMELINESS OF </w:t>
      </w:r>
      <w:r w:rsidRPr="004E3DB5">
        <w:rPr>
          <w:rFonts w:asciiTheme="majorHAnsi" w:hAnsiTheme="majorHAnsi"/>
          <w:b/>
          <w:bCs/>
          <w:sz w:val="20"/>
          <w:szCs w:val="20"/>
          <w:lang w:val="en"/>
        </w:rPr>
        <w:t>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B1C31" w:rsidRPr="00D64109" w14:paraId="2B740F39" w14:textId="77777777" w:rsidTr="005B1C31">
        <w:trPr>
          <w:cantSplit/>
        </w:trPr>
        <w:tc>
          <w:tcPr>
            <w:tcW w:w="4680" w:type="dxa"/>
            <w:tcBorders>
              <w:top w:val="single" w:sz="4" w:space="0" w:color="auto"/>
              <w:bottom w:val="single" w:sz="6" w:space="0" w:color="auto"/>
            </w:tcBorders>
            <w:shd w:val="clear" w:color="auto" w:fill="67AE3C"/>
            <w:vAlign w:val="center"/>
          </w:tcPr>
          <w:p w14:paraId="18FD1084" w14:textId="77777777" w:rsidR="005B1C31" w:rsidRPr="00D64109" w:rsidRDefault="005B1C31" w:rsidP="004C5D0A">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Duplication:</w:t>
            </w:r>
          </w:p>
        </w:tc>
        <w:tc>
          <w:tcPr>
            <w:tcW w:w="4680" w:type="dxa"/>
            <w:vAlign w:val="center"/>
          </w:tcPr>
          <w:p w14:paraId="3F6F49EE" w14:textId="77777777" w:rsidR="005B1C31" w:rsidRPr="00D64109" w:rsidRDefault="005B1C31" w:rsidP="004C5D0A">
            <w:pPr>
              <w:jc w:val="both"/>
              <w:rPr>
                <w:rFonts w:ascii="Cambria" w:hAnsi="Cambria"/>
                <w:bCs/>
                <w:sz w:val="20"/>
                <w:szCs w:val="20"/>
              </w:rPr>
            </w:pPr>
            <w:r>
              <w:rPr>
                <w:rFonts w:ascii="Cambria" w:hAnsi="Cambria"/>
                <w:sz w:val="20"/>
                <w:szCs w:val="20"/>
                <w:lang w:val="en"/>
              </w:rPr>
              <w:t>No</w:t>
            </w:r>
          </w:p>
        </w:tc>
      </w:tr>
      <w:tr w:rsidR="005B1C31" w:rsidRPr="00551F4F" w14:paraId="21B95220" w14:textId="77777777" w:rsidTr="005B1C31">
        <w:trPr>
          <w:cantSplit/>
        </w:trPr>
        <w:tc>
          <w:tcPr>
            <w:tcW w:w="4680" w:type="dxa"/>
            <w:tcBorders>
              <w:top w:val="single" w:sz="4" w:space="0" w:color="auto"/>
              <w:bottom w:val="single" w:sz="6" w:space="0" w:color="auto"/>
            </w:tcBorders>
            <w:shd w:val="clear" w:color="auto" w:fill="67AE3C"/>
            <w:vAlign w:val="center"/>
          </w:tcPr>
          <w:p w14:paraId="1E78B66E"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declared admissible:</w:t>
            </w:r>
          </w:p>
        </w:tc>
        <w:tc>
          <w:tcPr>
            <w:tcW w:w="4680" w:type="dxa"/>
            <w:vAlign w:val="center"/>
          </w:tcPr>
          <w:p w14:paraId="17FB60B2" w14:textId="77777777" w:rsidR="005B1C31" w:rsidRPr="00D64109" w:rsidRDefault="005B1C31" w:rsidP="004C5D0A">
            <w:pPr>
              <w:jc w:val="both"/>
              <w:rPr>
                <w:rFonts w:ascii="Cambria" w:hAnsi="Cambria"/>
                <w:sz w:val="20"/>
                <w:szCs w:val="20"/>
              </w:rPr>
            </w:pPr>
            <w:r>
              <w:rPr>
                <w:rFonts w:ascii="Cambria" w:hAnsi="Cambria"/>
                <w:sz w:val="20"/>
                <w:szCs w:val="20"/>
                <w:lang w:val="en"/>
              </w:rPr>
              <w:t>Articles 5 (Right to Humane Treatment), 7 (Right to Personal Liberty), 8 (Right to a fair trial), 11 (Right to Privacy), 13 (Right to Freedom of Thought and Expression) and 25 (Right to Judicial Protection) of the American Convention, in accordance with Article 1.1</w:t>
            </w:r>
          </w:p>
        </w:tc>
      </w:tr>
      <w:tr w:rsidR="005B1C31" w:rsidRPr="00551F4F" w14:paraId="5E1ECCF7" w14:textId="77777777" w:rsidTr="005B1C31">
        <w:trPr>
          <w:cantSplit/>
        </w:trPr>
        <w:tc>
          <w:tcPr>
            <w:tcW w:w="4680" w:type="dxa"/>
            <w:tcBorders>
              <w:top w:val="single" w:sz="6" w:space="0" w:color="auto"/>
              <w:bottom w:val="single" w:sz="6" w:space="0" w:color="auto"/>
            </w:tcBorders>
            <w:shd w:val="clear" w:color="auto" w:fill="67AE3C"/>
            <w:vAlign w:val="center"/>
          </w:tcPr>
          <w:p w14:paraId="5D9057B6"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Exhaustion of domestic remedies or appropriateness of exceptions:</w:t>
            </w:r>
          </w:p>
        </w:tc>
        <w:tc>
          <w:tcPr>
            <w:tcW w:w="4680" w:type="dxa"/>
            <w:vAlign w:val="center"/>
          </w:tcPr>
          <w:p w14:paraId="0581C2E7" w14:textId="77777777" w:rsidR="005B1C31" w:rsidRPr="00D64109" w:rsidRDefault="005B1C31" w:rsidP="004C5D0A">
            <w:pPr>
              <w:rPr>
                <w:rFonts w:ascii="Cambria" w:hAnsi="Cambria"/>
                <w:bCs/>
                <w:sz w:val="20"/>
                <w:szCs w:val="20"/>
              </w:rPr>
            </w:pPr>
            <w:r>
              <w:rPr>
                <w:rFonts w:ascii="Cambria" w:hAnsi="Cambria"/>
                <w:sz w:val="20"/>
                <w:szCs w:val="20"/>
                <w:lang w:val="en"/>
              </w:rPr>
              <w:t>Yes, under the terms of Section VII</w:t>
            </w:r>
          </w:p>
        </w:tc>
      </w:tr>
      <w:tr w:rsidR="005B1C31" w:rsidRPr="00551F4F" w14:paraId="612FB0D4" w14:textId="77777777" w:rsidTr="005B1C31">
        <w:trPr>
          <w:cantSplit/>
        </w:trPr>
        <w:tc>
          <w:tcPr>
            <w:tcW w:w="4680" w:type="dxa"/>
            <w:tcBorders>
              <w:top w:val="single" w:sz="6" w:space="0" w:color="auto"/>
              <w:bottom w:val="single" w:sz="6" w:space="0" w:color="auto"/>
            </w:tcBorders>
            <w:shd w:val="clear" w:color="auto" w:fill="67AE3C"/>
            <w:vAlign w:val="center"/>
          </w:tcPr>
          <w:p w14:paraId="5EAA10A5" w14:textId="77777777" w:rsidR="005B1C31" w:rsidRPr="00D64109" w:rsidRDefault="005B1C31"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Timeliness of submission:</w:t>
            </w:r>
          </w:p>
        </w:tc>
        <w:tc>
          <w:tcPr>
            <w:tcW w:w="4680" w:type="dxa"/>
            <w:vAlign w:val="center"/>
          </w:tcPr>
          <w:p w14:paraId="3D4D7FE1" w14:textId="77777777" w:rsidR="005B1C31" w:rsidRPr="00D64109" w:rsidRDefault="005B1C31" w:rsidP="004C5D0A">
            <w:pPr>
              <w:rPr>
                <w:bCs/>
                <w:sz w:val="20"/>
                <w:szCs w:val="20"/>
              </w:rPr>
            </w:pPr>
            <w:r>
              <w:rPr>
                <w:rFonts w:ascii="Cambria" w:hAnsi="Cambria"/>
                <w:sz w:val="20"/>
                <w:szCs w:val="20"/>
                <w:lang w:val="en"/>
              </w:rPr>
              <w:t>Yes, under the terms of Section VII</w:t>
            </w:r>
          </w:p>
        </w:tc>
      </w:tr>
    </w:tbl>
    <w:p w14:paraId="7D9FA9E6" w14:textId="77777777" w:rsidR="005B1C31" w:rsidRPr="00D64109" w:rsidRDefault="005B1C31" w:rsidP="005B1C31">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ALLEGED FACTS</w:t>
      </w:r>
      <w:r>
        <w:rPr>
          <w:rFonts w:asciiTheme="majorHAnsi" w:hAnsiTheme="majorHAnsi"/>
          <w:sz w:val="20"/>
          <w:szCs w:val="20"/>
          <w:lang w:val="en"/>
        </w:rPr>
        <w:t xml:space="preserve"> </w:t>
      </w:r>
    </w:p>
    <w:p w14:paraId="7145EA8B"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claim that, since 2001, Meléndez Quijano, a member of the Armed Forces, has suffered a series of acts of retaliation and institutional harassment on the part of more senior members of the Armed Forces and of the Defense Minister. They claim that, in 1996, when the alleged victim was Head of the Human Rights Department at the Ministry of National Defense, he notified his superiors of the contents of a complaint filed against an Army Major, who was arrested for 30 days as a result of that complaint. They note that the Major had become a Colonel by the time the petition was filed and became Commander General of the Salvadoran Air Force in 2006. They claim that Meléndez Quijano was subjected to arbitrary arrest on July 19, 2001, December 31, 2004, and September 2, 2005, and filed </w:t>
      </w:r>
      <w:r>
        <w:rPr>
          <w:rFonts w:ascii="Cambria" w:hAnsi="Cambria"/>
          <w:i/>
          <w:iCs/>
          <w:sz w:val="20"/>
          <w:szCs w:val="20"/>
          <w:lang w:val="en"/>
        </w:rPr>
        <w:t>habeas corpus</w:t>
      </w:r>
      <w:r>
        <w:rPr>
          <w:rFonts w:ascii="Cambria" w:hAnsi="Cambria"/>
          <w:sz w:val="20"/>
          <w:szCs w:val="20"/>
          <w:lang w:val="en"/>
        </w:rPr>
        <w:t xml:space="preserve"> appeals in relation to those instances. His release was only ordered in the most recent case. In the other cases the action was dismissed because, by the time a decision was made, incarceration had ceased.  </w:t>
      </w:r>
    </w:p>
    <w:p w14:paraId="2243B86E"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say that, on November 30, 2001, the victim was arbitrarily discharged from service by the Honor Tribunal of the Armed Forces. A writ of</w:t>
      </w:r>
      <w:r w:rsidRPr="004C5D0A">
        <w:rPr>
          <w:rFonts w:ascii="Cambria" w:hAnsi="Cambria"/>
          <w:i/>
          <w:sz w:val="20"/>
          <w:szCs w:val="20"/>
          <w:lang w:val="en"/>
        </w:rPr>
        <w:t xml:space="preserve"> amparo</w:t>
      </w:r>
      <w:r>
        <w:rPr>
          <w:rFonts w:ascii="Cambria" w:hAnsi="Cambria"/>
          <w:sz w:val="20"/>
          <w:szCs w:val="20"/>
          <w:lang w:val="en"/>
        </w:rPr>
        <w:t xml:space="preserve"> was filed against that decision. A ruling on November 3, 2003 recognized that the Tribunal had violated due process and ordered that the victim’s status be returned to how it was before his discharge. The petitioners allege that, although he was reinstated in service, the sentence was not fully implemented, particularly regarding his rank and financial benefits, although the country’s President said in a report on the execution of that sentence that it had been implemented. To complain about that fact, the alleged victim filed a request for coercive enforcement that was ruled baseless on July 26, 2004, and a request for a reversal of the ruling that said the sentence had been implemented, which was dismissed on September 7, 2004. </w:t>
      </w:r>
    </w:p>
    <w:p w14:paraId="1B071706"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say that, on February 2, 2005, a military trial for insubordination was initiated against the alleged victim, based on the comments he had made to a national newspaper on the second anniversary of his father’s death. The petitioners say that, in the newspaper, he publicly blamed the Defense Minister for any retaliation he or his family might suffer as a consequence of their struggle for human rights. They say that, on April 19, 2006, the Military Judge of First Instance</w:t>
      </w:r>
      <w:r w:rsidRPr="00C2260A">
        <w:rPr>
          <w:rFonts w:ascii="Cambria" w:hAnsi="Cambria"/>
          <w:sz w:val="20"/>
          <w:szCs w:val="20"/>
          <w:lang w:val="en"/>
        </w:rPr>
        <w:t xml:space="preserve"> </w:t>
      </w:r>
      <w:r>
        <w:rPr>
          <w:rFonts w:ascii="Cambria" w:hAnsi="Cambria"/>
          <w:sz w:val="20"/>
          <w:szCs w:val="20"/>
          <w:lang w:val="en"/>
        </w:rPr>
        <w:t xml:space="preserve">sentenced the alleged victim to one year and three months’ imprisonment, sentence that was reduced to nine months’ imprisonment on appeal. Following a motion to vacate the judgment filed by the alleged victim, the conviction was confirmed on November 18, 2009, and the sentence to nine months’ imprisonment was upheld. The petitioners say that sentence was later commuted to sixty working weeks of community service and accessory sentences involving the loss of his civil rights, the loss of his job while he served his sentence, disqualification from holding public office or public employment, and a delay in his promotion to the next rank. A precautionary measure was also issued that restricted his migration rights. </w:t>
      </w:r>
    </w:p>
    <w:p w14:paraId="7A0B0A75"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 The petitioners claim that, in those criminal proceedings, the alleged victim was not guaranteed independent or impartial judges, nor the right to defense. The victim therefore filed a writ of </w:t>
      </w:r>
      <w:r w:rsidRPr="004C5D0A">
        <w:rPr>
          <w:rFonts w:ascii="Cambria" w:hAnsi="Cambria"/>
          <w:i/>
          <w:sz w:val="20"/>
          <w:szCs w:val="20"/>
          <w:lang w:val="en"/>
        </w:rPr>
        <w:t>amparo</w:t>
      </w:r>
      <w:r>
        <w:rPr>
          <w:rFonts w:ascii="Cambria" w:hAnsi="Cambria"/>
          <w:sz w:val="20"/>
          <w:szCs w:val="20"/>
          <w:lang w:val="en"/>
        </w:rPr>
        <w:t xml:space="preserve">. The decision on that writ of </w:t>
      </w:r>
      <w:r w:rsidRPr="004C5D0A">
        <w:rPr>
          <w:rFonts w:ascii="Cambria" w:hAnsi="Cambria"/>
          <w:i/>
          <w:sz w:val="20"/>
          <w:szCs w:val="20"/>
          <w:lang w:val="en"/>
        </w:rPr>
        <w:t>amparo</w:t>
      </w:r>
      <w:r>
        <w:rPr>
          <w:rFonts w:ascii="Cambria" w:hAnsi="Cambria"/>
          <w:sz w:val="20"/>
          <w:szCs w:val="20"/>
          <w:lang w:val="en"/>
        </w:rPr>
        <w:t>, notified on July 13, 2011, dismissed the writ and noted that the proceedings</w:t>
      </w:r>
      <w:r w:rsidRPr="00303840">
        <w:rPr>
          <w:rFonts w:ascii="Cambria" w:hAnsi="Cambria"/>
          <w:sz w:val="20"/>
          <w:szCs w:val="20"/>
          <w:lang w:val="en"/>
        </w:rPr>
        <w:t xml:space="preserve"> correspond to another </w:t>
      </w:r>
      <w:r>
        <w:rPr>
          <w:rFonts w:ascii="Cambria" w:hAnsi="Cambria"/>
          <w:sz w:val="20"/>
          <w:szCs w:val="20"/>
          <w:lang w:val="en"/>
        </w:rPr>
        <w:t xml:space="preserve">jurisdiction. In relation to the restriction of the alleged victim’s migration </w:t>
      </w:r>
      <w:r>
        <w:rPr>
          <w:rFonts w:ascii="Cambria" w:hAnsi="Cambria"/>
          <w:sz w:val="20"/>
          <w:szCs w:val="20"/>
          <w:lang w:val="en"/>
        </w:rPr>
        <w:lastRenderedPageBreak/>
        <w:t xml:space="preserve">rights, the petitioners allege that it was in force longer than the conviction. For this reason, the alleged victim filed a </w:t>
      </w:r>
      <w:r>
        <w:rPr>
          <w:rFonts w:ascii="Cambria" w:hAnsi="Cambria"/>
          <w:i/>
          <w:iCs/>
          <w:sz w:val="20"/>
          <w:szCs w:val="20"/>
          <w:lang w:val="en"/>
        </w:rPr>
        <w:t>habeas corpus</w:t>
      </w:r>
      <w:r>
        <w:rPr>
          <w:rFonts w:ascii="Cambria" w:hAnsi="Cambria"/>
          <w:sz w:val="20"/>
          <w:szCs w:val="20"/>
          <w:lang w:val="en"/>
        </w:rPr>
        <w:t xml:space="preserve"> that</w:t>
      </w:r>
      <w:r w:rsidRPr="003F71AF">
        <w:rPr>
          <w:rFonts w:ascii="Cambria" w:hAnsi="Cambria"/>
          <w:sz w:val="20"/>
          <w:szCs w:val="20"/>
          <w:lang w:val="en"/>
        </w:rPr>
        <w:t xml:space="preserve"> allowed the restriction was be lifted only on</w:t>
      </w:r>
      <w:r>
        <w:rPr>
          <w:rFonts w:ascii="Cambria" w:hAnsi="Cambria"/>
          <w:sz w:val="20"/>
          <w:szCs w:val="20"/>
          <w:lang w:val="en"/>
        </w:rPr>
        <w:t xml:space="preserve"> October 18, 2011. </w:t>
      </w:r>
    </w:p>
    <w:p w14:paraId="149D1D12"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allege that other military trials were initiated against the alleged victim, which led to his arrest or to suspensions without pay. The petitioners allege that, in accordance with internal rules, those penalties can only be objects of complaints once they have been served. They allege that military law does not allow simple, fast and effective appeals against such decisions.</w:t>
      </w:r>
    </w:p>
    <w:p w14:paraId="6A710B09"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Lastly, they note that, in 2005, the alleged victim filed criminal complaints against the Defense Minister for the offences of misrepresentation and incarceration by a public servant or a public official or by an authority or public authority figure. Those complaints were archived in 2012. They further note that he filed a criminal complaint for malicious accusation of a crime against several members of the Assessment and Selection Tribunal of the Armed Forces, whose investigation was suspended in 2005. They allege that the State has failed to fulfil its obligation to investigate in those cases.  They note that the brother of the alleged victim has suffered physical damage, probably for events linked to the complaints filed by the victim. They further allege that the alleged victim and his family have received threats and been subjected to harassment. The petitioners say that those events were reported in 2005 and 2006 respectively and the resulting criminal trials remain pending, in complete impunity.</w:t>
      </w:r>
    </w:p>
    <w:p w14:paraId="0DC14DC3"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State alleges that the petition is inadmissible. It says that all the remedies of </w:t>
      </w:r>
      <w:r>
        <w:rPr>
          <w:rFonts w:ascii="Cambria" w:hAnsi="Cambria"/>
          <w:i/>
          <w:iCs/>
          <w:sz w:val="20"/>
          <w:szCs w:val="20"/>
          <w:lang w:val="en"/>
        </w:rPr>
        <w:t>habeas corpus</w:t>
      </w:r>
      <w:r>
        <w:rPr>
          <w:rFonts w:ascii="Cambria" w:hAnsi="Cambria"/>
          <w:sz w:val="20"/>
          <w:szCs w:val="20"/>
          <w:lang w:val="en"/>
        </w:rPr>
        <w:t xml:space="preserve"> regarding the arrests were resolved by constitutional judges who made the relevant decisions. The State says that, if the alleged victim had deemed that the official who ordered his arrest had caused damages, he could have gone to civil courts to claim compensation. However, the alleged victim did not exhaust that remedy. </w:t>
      </w:r>
    </w:p>
    <w:p w14:paraId="4BD0DE1F"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 claims that there are no ongoing military proceedings against the alleged victim and that the circumstances that led to the filing of the petition have therefore ceased to exist. As for the allegations related to the alleged rights violations committed in those proceedings, the State says that they came to the attention of the relevant authorities and that remedies were available to challenge those decisions. It also claims that, in relation to the alleged lack of adequate remedies with respect to decisions in military proceedings, the alleged victim could have challenged those decisions before the Supreme Court of Justice, in either constitutional or administrative proceedings.</w:t>
      </w:r>
    </w:p>
    <w:p w14:paraId="26E63284"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With relation to the enforcement of the sentence that followed the writ of amparo against the decision of discharging the alleged victim from service, the State says that the </w:t>
      </w:r>
      <w:r w:rsidRPr="00BB2715">
        <w:rPr>
          <w:rFonts w:ascii="Cambria" w:hAnsi="Cambria"/>
          <w:sz w:val="20"/>
          <w:szCs w:val="20"/>
          <w:lang w:val="en"/>
        </w:rPr>
        <w:t xml:space="preserve">Constitutional Chamber </w:t>
      </w:r>
      <w:r>
        <w:rPr>
          <w:rFonts w:ascii="Cambria" w:hAnsi="Cambria"/>
          <w:sz w:val="20"/>
          <w:szCs w:val="20"/>
          <w:lang w:val="en"/>
        </w:rPr>
        <w:t xml:space="preserve">of the Supreme Court of Justice resolved on September 7, 2004, to regard the sentence as fully executed with respect to its material restitution effect, since the alleged victim was reinstated and promoted to the relevant rank and the period during which he was discharged was counted as effective time in service. The State says that, if the alleged victim disagreed with the President’s report on the execution of the sentence, he had unrestricted access to challenge what the President had said, but the alleged victim did not exhaust that remedy. Regarding the financial benefits that the petitioners allege were not recognized, the State says that legislation on social security contributions allowed the alleged victim to enter a “voluntary registration” regime and to claim back such payments as damages, once the sentence had been issued on the writ of </w:t>
      </w:r>
      <w:r w:rsidRPr="004C5D0A">
        <w:rPr>
          <w:rFonts w:ascii="Cambria" w:hAnsi="Cambria"/>
          <w:i/>
          <w:sz w:val="20"/>
          <w:szCs w:val="20"/>
          <w:lang w:val="en"/>
        </w:rPr>
        <w:t>amparo</w:t>
      </w:r>
      <w:r>
        <w:rPr>
          <w:rFonts w:ascii="Cambria" w:hAnsi="Cambria"/>
          <w:sz w:val="20"/>
          <w:szCs w:val="20"/>
          <w:lang w:val="en"/>
        </w:rPr>
        <w:t>, in civil proceedings. The State says the alleged victim did not exhaust that remedy.</w:t>
      </w:r>
    </w:p>
    <w:p w14:paraId="682CB0F7"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Lastly, the State alleges that measures have been taken to guarantee that the obligation to investigate be enforced in relation to the criminal proceedings and the acts of harassment and threats the alleged victim and his family suffered. Further, the investigation is ongoing regarding physical damage suffered by the brother of the alleged victim. The cause or motive of those events has not been established, and neither have the participation or acquiescence of the State nor the identities of those responsible. </w:t>
      </w:r>
    </w:p>
    <w:p w14:paraId="5D74128A" w14:textId="77777777" w:rsidR="005B1C31" w:rsidRDefault="005B1C31">
      <w:pPr>
        <w:rPr>
          <w:rFonts w:ascii="Cambria" w:hAnsi="Cambria"/>
          <w:b/>
          <w:bCs/>
          <w:sz w:val="20"/>
          <w:szCs w:val="20"/>
          <w:lang w:val="en"/>
        </w:rPr>
      </w:pPr>
      <w:r>
        <w:rPr>
          <w:rFonts w:ascii="Cambria" w:hAnsi="Cambria"/>
          <w:b/>
          <w:bCs/>
          <w:sz w:val="20"/>
          <w:szCs w:val="20"/>
          <w:lang w:val="en"/>
        </w:rPr>
        <w:br w:type="page"/>
      </w:r>
    </w:p>
    <w:p w14:paraId="00725968" w14:textId="0DA71241" w:rsidR="005B1C31" w:rsidRPr="00D64109" w:rsidRDefault="005B1C31" w:rsidP="005B1C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sz w:val="20"/>
          <w:szCs w:val="20"/>
        </w:rPr>
      </w:pPr>
      <w:r>
        <w:rPr>
          <w:rFonts w:ascii="Cambria" w:hAnsi="Cambria"/>
          <w:b/>
          <w:bCs/>
          <w:sz w:val="20"/>
          <w:szCs w:val="20"/>
          <w:lang w:val="en"/>
        </w:rPr>
        <w:lastRenderedPageBreak/>
        <w:t>VI.</w:t>
      </w:r>
      <w:r>
        <w:rPr>
          <w:rFonts w:ascii="Cambria" w:hAnsi="Cambria"/>
          <w:b/>
          <w:bCs/>
          <w:sz w:val="20"/>
          <w:szCs w:val="20"/>
          <w:lang w:val="en"/>
        </w:rPr>
        <w:tab/>
        <w:t>PRECAUTIONARY AND PROVISIONAL MEASURES</w:t>
      </w:r>
    </w:p>
    <w:p w14:paraId="3DDCA5FA" w14:textId="77777777" w:rsidR="005B1C31" w:rsidRPr="00D64109" w:rsidRDefault="005B1C31" w:rsidP="005B1C31">
      <w:pPr>
        <w:pStyle w:val="ListParagraph"/>
        <w:numPr>
          <w:ilvl w:val="0"/>
          <w:numId w:val="103"/>
        </w:numPr>
        <w:jc w:val="both"/>
      </w:pPr>
      <w:r>
        <w:rPr>
          <w:color w:val="auto"/>
          <w:sz w:val="20"/>
          <w:szCs w:val="20"/>
          <w:lang w:val="en"/>
        </w:rPr>
        <w:t>On July 11, 2006, the petitioners requested precautionary measures before the Commission, which were</w:t>
      </w:r>
      <w:r>
        <w:rPr>
          <w:sz w:val="20"/>
          <w:szCs w:val="20"/>
          <w:lang w:val="en"/>
        </w:rPr>
        <w:t xml:space="preserve"> granted on October 4, 2006, to protect the life and the integrity of the alleged victim, his brother and their respective families. Given the State’s failure to implement the precautionary measures that were granted and the persistence of extremely serious and urgent conditions, on March 21, 2007, the Commission requested before the Inter-American Court of Human Rights provisional measures that were granted on March 23, 2007 and remain in force.</w:t>
      </w:r>
    </w:p>
    <w:p w14:paraId="54D82E54" w14:textId="77777777" w:rsidR="005B1C31" w:rsidRPr="00D64109" w:rsidRDefault="005B1C31" w:rsidP="005B1C31">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color w:val="000000"/>
          <w:sz w:val="20"/>
          <w:szCs w:val="20"/>
          <w:u w:color="000000"/>
          <w:lang w:val="en"/>
        </w:rPr>
        <w:t xml:space="preserve"> </w:t>
      </w:r>
    </w:p>
    <w:p w14:paraId="04762EE7"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IACHR notes that, in relation to the alleged rights violations committed in the arrest warrants that were allegedly issued arbitrarily, the alleged victim filed</w:t>
      </w:r>
      <w:r w:rsidRPr="00785C51">
        <w:t xml:space="preserve"> </w:t>
      </w:r>
      <w:r w:rsidRPr="00785C51">
        <w:rPr>
          <w:rFonts w:ascii="Cambria" w:hAnsi="Cambria"/>
          <w:sz w:val="20"/>
          <w:szCs w:val="20"/>
          <w:lang w:val="en"/>
        </w:rPr>
        <w:t>remedies of</w:t>
      </w:r>
      <w:r>
        <w:rPr>
          <w:rFonts w:ascii="Cambria" w:hAnsi="Cambria"/>
          <w:sz w:val="20"/>
          <w:szCs w:val="20"/>
          <w:lang w:val="en"/>
        </w:rPr>
        <w:t xml:space="preserve"> </w:t>
      </w:r>
      <w:r>
        <w:rPr>
          <w:rFonts w:ascii="Cambria" w:hAnsi="Cambria"/>
          <w:i/>
          <w:iCs/>
          <w:sz w:val="20"/>
          <w:szCs w:val="20"/>
          <w:lang w:val="en"/>
        </w:rPr>
        <w:t>habeas corpus</w:t>
      </w:r>
      <w:r>
        <w:rPr>
          <w:rFonts w:ascii="Cambria" w:hAnsi="Cambria"/>
          <w:sz w:val="20"/>
          <w:szCs w:val="20"/>
          <w:lang w:val="en"/>
        </w:rPr>
        <w:t xml:space="preserve">. With respect to the alleged rights violations committed during the military trial that was held against the alleged victim, appeals and motions to vacate the judgment were filed, as was a writ of </w:t>
      </w:r>
      <w:r w:rsidRPr="004C5D0A">
        <w:rPr>
          <w:rFonts w:ascii="Cambria" w:hAnsi="Cambria"/>
          <w:i/>
          <w:sz w:val="20"/>
          <w:szCs w:val="20"/>
          <w:lang w:val="en"/>
        </w:rPr>
        <w:t>amparo</w:t>
      </w:r>
      <w:r>
        <w:rPr>
          <w:rFonts w:ascii="Cambria" w:hAnsi="Cambria"/>
          <w:sz w:val="20"/>
          <w:szCs w:val="20"/>
          <w:lang w:val="en"/>
        </w:rPr>
        <w:t xml:space="preserve">. In relation to the rights violations that are alleged as a consequence of the decision to discharge the victim from service, the Commission notes that a writ of </w:t>
      </w:r>
      <w:r w:rsidRPr="004C5D0A">
        <w:rPr>
          <w:rFonts w:ascii="Cambria" w:hAnsi="Cambria"/>
          <w:i/>
          <w:sz w:val="20"/>
          <w:szCs w:val="20"/>
          <w:lang w:val="en"/>
        </w:rPr>
        <w:t>amparo</w:t>
      </w:r>
      <w:r>
        <w:rPr>
          <w:rFonts w:ascii="Cambria" w:hAnsi="Cambria"/>
          <w:sz w:val="20"/>
          <w:szCs w:val="20"/>
          <w:lang w:val="en"/>
        </w:rPr>
        <w:t>, a request for coercive enforcement and a request for a reversal of the ruling that said the sentence had been executed were all filed. The Commission considers that the remedies that have been exhausted have been adequate to challenge the rights violations that were alleged in each instance, and therefore that it cannot also be demanded that civil actions be exhausted, as the State alleges.</w:t>
      </w:r>
    </w:p>
    <w:p w14:paraId="44F1F3FD"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With respect to the physical damage suffered by the brother of the alleged victim and to the alleged acts of harassment and threats that the alleged victim and his family have suffered, the relevant criminal complaints were filed in 2005 and 2006 and remained pending after almost six years, on the date when the State filed its response in 2011. In this respect, the Commission considers that there is sufficient evidence to apply an exception to the rule of exhaustion of domestic remedies pursuant to Article 46(2)(c) of the American Convention, based on unjustified delays. In relation to the alleged lack of exhaustion of constitutional or administrative proceedings, the State fails to detail in which of the decisions by military criminal courts such remedies might have been exhausted. </w:t>
      </w:r>
    </w:p>
    <w:p w14:paraId="112A00DD" w14:textId="77777777" w:rsidR="005B1C31" w:rsidRPr="00D6410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sz w:val="20"/>
          <w:szCs w:val="20"/>
          <w:lang w:val="en"/>
        </w:rPr>
        <w:t xml:space="preserve">Further, in relation to the </w:t>
      </w:r>
      <w:r w:rsidRPr="00AF01ED">
        <w:rPr>
          <w:rFonts w:asciiTheme="majorHAnsi" w:hAnsiTheme="majorHAnsi"/>
          <w:sz w:val="20"/>
          <w:szCs w:val="20"/>
          <w:lang w:val="en"/>
        </w:rPr>
        <w:t xml:space="preserve">timeliness of the petition, </w:t>
      </w:r>
      <w:r>
        <w:rPr>
          <w:rFonts w:asciiTheme="majorHAnsi" w:hAnsiTheme="majorHAnsi"/>
          <w:sz w:val="20"/>
          <w:szCs w:val="20"/>
          <w:lang w:val="en"/>
        </w:rPr>
        <w:t xml:space="preserve">the Commission notes that the petitioners do not allege isolated events regarding which this requirement might be analyzed independently. Instead, they allege a series of alleged rights violations that were sustained over time, all of them with the alleged aims of retaliation and institutional harassment. In this sense, the Commission considers that the date of the last exhausted remedy in the series of events that is the subject of the complaint must be taken into account with a view to enforcing the submission deadline. In this concrete case, the date of the last exhausted remedy was July 13, 2011, when the writ of </w:t>
      </w:r>
      <w:r w:rsidRPr="004C5D0A">
        <w:rPr>
          <w:rFonts w:asciiTheme="majorHAnsi" w:hAnsiTheme="majorHAnsi"/>
          <w:i/>
          <w:sz w:val="20"/>
          <w:szCs w:val="20"/>
          <w:lang w:val="en"/>
        </w:rPr>
        <w:t>amparo</w:t>
      </w:r>
      <w:r>
        <w:rPr>
          <w:rFonts w:asciiTheme="majorHAnsi" w:hAnsiTheme="majorHAnsi"/>
          <w:sz w:val="20"/>
          <w:szCs w:val="20"/>
          <w:lang w:val="en"/>
        </w:rPr>
        <w:t xml:space="preserve"> was resolved in the military trial against the victim. Given that the petition was filed on March 5, 2007, the Commission considers that this requirement has been satisfied. With respect to the events to which an exception to the rule of exhaustion of domestic remedies has been applied, the Commission considers that the petition was filed </w:t>
      </w:r>
      <w:r w:rsidRPr="00AF01ED">
        <w:rPr>
          <w:rFonts w:asciiTheme="majorHAnsi" w:hAnsiTheme="majorHAnsi"/>
          <w:sz w:val="20"/>
          <w:szCs w:val="20"/>
          <w:lang w:val="en"/>
        </w:rPr>
        <w:t>within a reasonable timeframe</w:t>
      </w:r>
      <w:r>
        <w:rPr>
          <w:rFonts w:asciiTheme="majorHAnsi" w:hAnsiTheme="majorHAnsi"/>
          <w:sz w:val="20"/>
          <w:szCs w:val="20"/>
          <w:lang w:val="en"/>
        </w:rPr>
        <w:t>.</w:t>
      </w:r>
    </w:p>
    <w:p w14:paraId="136FCA7F" w14:textId="77777777" w:rsidR="005B1C31" w:rsidRPr="00D64109" w:rsidRDefault="005B1C31" w:rsidP="005B1C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rPr>
      </w:pPr>
      <w:r>
        <w:rPr>
          <w:rFonts w:asciiTheme="majorHAnsi" w:hAnsiTheme="majorHAnsi"/>
          <w:b/>
          <w:bCs/>
          <w:sz w:val="20"/>
          <w:szCs w:val="20"/>
          <w:lang w:val="en"/>
        </w:rPr>
        <w:t>VIII.</w:t>
      </w:r>
      <w:r>
        <w:rPr>
          <w:rFonts w:asciiTheme="majorHAnsi" w:hAnsiTheme="majorHAnsi"/>
          <w:b/>
          <w:bCs/>
          <w:sz w:val="20"/>
          <w:szCs w:val="20"/>
          <w:lang w:val="en"/>
        </w:rPr>
        <w:tab/>
        <w:t>COLORABLE CLAIM</w:t>
      </w:r>
    </w:p>
    <w:p w14:paraId="2D4C1696" w14:textId="57EA63EA" w:rsidR="005B1C31" w:rsidRPr="00C61AB9" w:rsidRDefault="005B1C31" w:rsidP="005B1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lang w:val="en"/>
        </w:rPr>
        <w:t>In light of the factual and legal arguments provided by the parties and the nature of the matter being heard, the Commission considers that, were the events to be proven, particularly the alleged arbitrary incarceration and the lack of due process in legal proceedings initiated by the petitioner or held against him, as acts of retaliation or institutional harassment, these acts would tend to establish violations of the rights recognized in Articles 5 (right to humane treatment), 7 (right to personal liberty), 8 (right to a fair trial), 11 (right to privacy) and 25 (right to judicial protection) of the American Convention. The Commission will further need to analyze in its assessment of the merits whether the military trial that was initiated against the alleged victim, allegedly based on comments made to the press, might tend to establish violations of the rights recognized in Article 13 (right to freedom of thought and expression) of the American Convention.</w:t>
      </w:r>
    </w:p>
    <w:p w14:paraId="5B0B48BD" w14:textId="77777777" w:rsidR="005B1C31" w:rsidRPr="00D64109" w:rsidRDefault="005B1C31" w:rsidP="005B1C31">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lastRenderedPageBreak/>
        <w:t xml:space="preserve">IX. </w:t>
      </w:r>
      <w:r>
        <w:rPr>
          <w:rFonts w:asciiTheme="majorHAnsi" w:hAnsiTheme="majorHAnsi"/>
          <w:b/>
          <w:bCs/>
          <w:sz w:val="20"/>
          <w:szCs w:val="20"/>
          <w:lang w:val="en"/>
        </w:rPr>
        <w:tab/>
        <w:t>DECISION</w:t>
      </w:r>
    </w:p>
    <w:p w14:paraId="5AF2691A" w14:textId="77777777" w:rsidR="005B1C31" w:rsidRPr="00D64109" w:rsidRDefault="005B1C31" w:rsidP="005B1C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Theme="majorHAnsi" w:hAnsiTheme="majorHAnsi"/>
          <w:sz w:val="20"/>
          <w:szCs w:val="20"/>
          <w:lang w:val="en"/>
        </w:rPr>
        <w:t xml:space="preserve">To declare this petition admissible with regard to </w:t>
      </w:r>
      <w:r>
        <w:rPr>
          <w:rFonts w:ascii="Cambria" w:hAnsi="Cambria"/>
          <w:sz w:val="20"/>
          <w:szCs w:val="20"/>
          <w:lang w:val="en"/>
        </w:rPr>
        <w:t>Articles 5, 7, 8, 11, 13 and 25 of the American Convention, in accordance with Article 1.1 of said Convention;</w:t>
      </w:r>
    </w:p>
    <w:p w14:paraId="20B7009C" w14:textId="77777777" w:rsidR="005B1C31" w:rsidRPr="00D64109" w:rsidRDefault="005B1C31" w:rsidP="005B1C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notify the parties of the present decision;</w:t>
      </w:r>
    </w:p>
    <w:p w14:paraId="279F254F" w14:textId="77777777" w:rsidR="005B1C31" w:rsidRPr="00D64109" w:rsidRDefault="005B1C31" w:rsidP="005B1C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continue examining the merits of the case; and</w:t>
      </w:r>
    </w:p>
    <w:p w14:paraId="1F6709DD" w14:textId="77777777" w:rsidR="005B1C31" w:rsidRPr="00D64109" w:rsidRDefault="005B1C31" w:rsidP="005B1C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publish this decision and include it in its Annual Report to the General Assembly of the Organization of American States.</w:t>
      </w:r>
    </w:p>
    <w:p w14:paraId="4EF225AC" w14:textId="5013828A" w:rsidR="005B1C31" w:rsidRPr="00C61AB9" w:rsidRDefault="00C61AB9" w:rsidP="00C61AB9">
      <w:pPr>
        <w:suppressAutoHyphens/>
        <w:spacing w:before="240" w:after="240"/>
        <w:ind w:firstLine="720"/>
        <w:jc w:val="both"/>
        <w:rPr>
          <w:rFonts w:asciiTheme="majorHAnsi" w:hAnsiTheme="majorHAnsi"/>
          <w:sz w:val="20"/>
          <w:szCs w:val="20"/>
        </w:rPr>
      </w:pPr>
      <w:r w:rsidRPr="00C61AB9">
        <w:rPr>
          <w:rFonts w:asciiTheme="majorHAnsi" w:hAnsiTheme="majorHAnsi"/>
          <w:sz w:val="20"/>
          <w:szCs w:val="20"/>
        </w:rPr>
        <w:t>Approved by the Inter-American Commission on Human Rights in the city of Buenos Aires, Argentina, on the 25 day of the month of May, 2017. (Signed):  Francisco José Eguiguren, President; Margarette May Macaulay, First Vice President; Esmeralda E. Arosemena Bernal de Troitiño, Second Vice President; José de Jesús Orozco Henríquez, Paulo Vannuchi, James L. Cavallaro, and Luis Ernesto Vargas Silva, Commissioners.</w:t>
      </w:r>
    </w:p>
    <w:p w14:paraId="3A9C0EC7" w14:textId="77777777" w:rsidR="005B1C31" w:rsidRPr="003239B8" w:rsidRDefault="005B1C31" w:rsidP="005B1C31">
      <w:pPr>
        <w:tabs>
          <w:tab w:val="center" w:pos="5400"/>
        </w:tabs>
        <w:suppressAutoHyphens/>
        <w:spacing w:line="276" w:lineRule="auto"/>
        <w:rPr>
          <w:rFonts w:asciiTheme="majorHAnsi" w:hAnsiTheme="majorHAnsi"/>
          <w:sz w:val="20"/>
          <w:szCs w:val="20"/>
        </w:rPr>
      </w:pPr>
    </w:p>
    <w:p w14:paraId="0FEFB339" w14:textId="77777777" w:rsidR="005B1C31" w:rsidRPr="007253B8" w:rsidRDefault="005B1C31" w:rsidP="005B1C31">
      <w:pPr>
        <w:tabs>
          <w:tab w:val="center" w:pos="5400"/>
        </w:tabs>
        <w:suppressAutoHyphens/>
        <w:spacing w:line="276" w:lineRule="auto"/>
        <w:rPr>
          <w:rFonts w:asciiTheme="majorHAnsi" w:hAnsiTheme="majorHAnsi"/>
          <w:sz w:val="20"/>
          <w:szCs w:val="20"/>
        </w:rPr>
      </w:pPr>
    </w:p>
    <w:p w14:paraId="79BB5DC2" w14:textId="77777777" w:rsidR="005B1C31" w:rsidRPr="00974491" w:rsidRDefault="005B1C31" w:rsidP="005B1C31">
      <w:pPr>
        <w:rPr>
          <w:rFonts w:ascii="Cambria" w:hAnsi="Cambria" w:cs="Calibri"/>
          <w:sz w:val="20"/>
          <w:szCs w:val="20"/>
        </w:rPr>
      </w:pPr>
    </w:p>
    <w:p w14:paraId="65D671A3" w14:textId="68E5C059" w:rsidR="00C55560" w:rsidRPr="003C69F8" w:rsidRDefault="00C55560" w:rsidP="004208B5">
      <w:pPr>
        <w:tabs>
          <w:tab w:val="center" w:pos="5400"/>
        </w:tabs>
        <w:suppressAutoHyphens/>
        <w:spacing w:line="276" w:lineRule="auto"/>
        <w:jc w:val="center"/>
        <w:rPr>
          <w:rFonts w:asciiTheme="majorHAnsi" w:hAnsiTheme="majorHAnsi" w:cs="Calibri"/>
          <w:sz w:val="20"/>
          <w:szCs w:val="20"/>
        </w:rPr>
      </w:pPr>
    </w:p>
    <w:sectPr w:rsidR="00C55560" w:rsidRPr="003C69F8" w:rsidSect="005B1C3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1513" w14:textId="77777777" w:rsidR="00131F17" w:rsidRDefault="00131F17" w:rsidP="00036A8A">
      <w:r>
        <w:separator/>
      </w:r>
    </w:p>
  </w:endnote>
  <w:endnote w:type="continuationSeparator" w:id="0">
    <w:p w14:paraId="63AF19A4" w14:textId="77777777" w:rsidR="00131F17" w:rsidRDefault="00131F1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44E0" w14:textId="77777777" w:rsidR="00E3392C" w:rsidRDefault="00E33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3392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7E23" w14:textId="77777777" w:rsidR="00131F17" w:rsidRPr="00036A8A" w:rsidRDefault="00131F1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3B7F643" w14:textId="77777777" w:rsidR="00131F17" w:rsidRPr="00036A8A" w:rsidRDefault="00131F17" w:rsidP="00036A8A">
      <w:pPr>
        <w:rPr>
          <w:rFonts w:asciiTheme="majorHAnsi" w:hAnsiTheme="majorHAnsi"/>
          <w:sz w:val="16"/>
          <w:szCs w:val="16"/>
        </w:rPr>
      </w:pPr>
      <w:r w:rsidRPr="00036A8A">
        <w:rPr>
          <w:rFonts w:asciiTheme="majorHAnsi" w:hAnsiTheme="majorHAnsi"/>
          <w:sz w:val="16"/>
          <w:szCs w:val="16"/>
        </w:rPr>
        <w:separator/>
      </w:r>
    </w:p>
    <w:p w14:paraId="536F3FB5" w14:textId="77777777" w:rsidR="00131F17" w:rsidRPr="00036A8A" w:rsidRDefault="00131F1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B49D29A" w14:textId="77777777" w:rsidR="00131F17" w:rsidRPr="0093441A" w:rsidRDefault="00131F1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9258EE3" w14:textId="77777777" w:rsidR="005B1C31" w:rsidRPr="00FE43B9" w:rsidRDefault="005B1C31" w:rsidP="005B1C31">
      <w:pPr>
        <w:pStyle w:val="FootnoteText"/>
        <w:tabs>
          <w:tab w:val="left" w:pos="810"/>
        </w:tabs>
        <w:spacing w:before="120"/>
        <w:ind w:firstLine="806"/>
        <w:jc w:val="both"/>
      </w:pPr>
      <w:r>
        <w:rPr>
          <w:rStyle w:val="FootnoteReference"/>
          <w:lang w:val="en"/>
        </w:rPr>
        <w:footnoteRef/>
      </w:r>
      <w:r>
        <w:rPr>
          <w:lang w:val="en"/>
        </w:rPr>
        <w:t xml:space="preserve"> </w:t>
      </w:r>
      <w:r>
        <w:rPr>
          <w:rFonts w:ascii="Cambria" w:hAnsi="Cambria"/>
          <w:sz w:val="16"/>
          <w:szCs w:val="16"/>
          <w:lang w:val="en"/>
        </w:rPr>
        <w:t>The petition was initially filed by the Human Rights Institute at José Simeón Cañas Central American University (known by the Spanish acronym IDHUCA) and Eurípides Manuel Meléndez Quijano. Eurípides Manuel Meléndez Quijano died in 2009 and, on June 19, 2012, the alleged victim said the IDHUCA had ended its representation. The alleged victim then established itself as a petitioner. On October 10, 2012, Sandra Ivette Meléndez Quijano adopted joint representation with the alleged victim.</w:t>
      </w:r>
    </w:p>
  </w:footnote>
  <w:footnote w:id="3">
    <w:p w14:paraId="70E77A25" w14:textId="77777777" w:rsidR="005B1C31" w:rsidRPr="00E724ED" w:rsidRDefault="005B1C31" w:rsidP="005B1C31">
      <w:pPr>
        <w:pStyle w:val="FootnoteText"/>
        <w:spacing w:before="120"/>
        <w:ind w:firstLine="806"/>
      </w:pPr>
      <w:r>
        <w:rPr>
          <w:rStyle w:val="FootnoteReference"/>
          <w:lang w:val="en"/>
        </w:rPr>
        <w:footnoteRef/>
      </w:r>
      <w:r>
        <w:rPr>
          <w:lang w:val="en"/>
        </w:rPr>
        <w:t xml:space="preserve"> </w:t>
      </w:r>
      <w:r>
        <w:rPr>
          <w:rFonts w:ascii="Cambria" w:hAnsi="Cambria"/>
          <w:sz w:val="16"/>
          <w:szCs w:val="16"/>
          <w:lang w:val="en"/>
        </w:rPr>
        <w:t>Hereinafter “the Convention” or “the American Convention”.</w:t>
      </w:r>
    </w:p>
  </w:footnote>
  <w:footnote w:id="4">
    <w:p w14:paraId="7B45DBEB" w14:textId="77777777" w:rsidR="005B1C31" w:rsidRPr="000C4CCD" w:rsidRDefault="005B1C31" w:rsidP="005B1C31">
      <w:pPr>
        <w:pStyle w:val="FootnoteText"/>
        <w:spacing w:before="120"/>
        <w:ind w:firstLine="806"/>
        <w:jc w:val="both"/>
      </w:pPr>
      <w:r>
        <w:rPr>
          <w:rStyle w:val="FootnoteReference"/>
          <w:rFonts w:ascii="Cambria" w:hAnsi="Cambria"/>
          <w:sz w:val="16"/>
          <w:szCs w:val="16"/>
          <w:lang w:val="en"/>
        </w:rPr>
        <w:footnoteRef/>
      </w:r>
      <w:r>
        <w:rPr>
          <w:rStyle w:val="FootnoteReference"/>
          <w:rFonts w:ascii="Cambria" w:hAnsi="Cambria"/>
          <w:sz w:val="16"/>
          <w:szCs w:val="16"/>
          <w:lang w:val="en"/>
        </w:rPr>
        <w:t xml:space="preserve"> </w:t>
      </w:r>
      <w:r>
        <w:rPr>
          <w:rFonts w:ascii="Cambria" w:hAnsi="Cambria"/>
          <w:sz w:val="16"/>
          <w:szCs w:val="16"/>
          <w:lang w:val="en"/>
        </w:rPr>
        <w:t>The observations presented by each party were duly forwarded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31F1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DB72" w14:textId="77777777" w:rsidR="00E3392C" w:rsidRDefault="00E33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0E6A7020"/>
    <w:lvl w:ilvl="0" w:tplc="E64479D6">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680AD0"/>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E45DC8"/>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30"/>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C8D"/>
    <w:rsid w:val="000070D7"/>
    <w:rsid w:val="000111A8"/>
    <w:rsid w:val="00015C76"/>
    <w:rsid w:val="00016E62"/>
    <w:rsid w:val="0001788C"/>
    <w:rsid w:val="00022CF5"/>
    <w:rsid w:val="00027A2E"/>
    <w:rsid w:val="00030545"/>
    <w:rsid w:val="000362EF"/>
    <w:rsid w:val="00036A8A"/>
    <w:rsid w:val="00040C3A"/>
    <w:rsid w:val="0006347F"/>
    <w:rsid w:val="000639C0"/>
    <w:rsid w:val="00070E96"/>
    <w:rsid w:val="00070F3A"/>
    <w:rsid w:val="000716C5"/>
    <w:rsid w:val="00071BDC"/>
    <w:rsid w:val="00075E23"/>
    <w:rsid w:val="0008314C"/>
    <w:rsid w:val="00092F32"/>
    <w:rsid w:val="0009344A"/>
    <w:rsid w:val="000A575F"/>
    <w:rsid w:val="000C4365"/>
    <w:rsid w:val="000C442C"/>
    <w:rsid w:val="000D10DB"/>
    <w:rsid w:val="000D3169"/>
    <w:rsid w:val="00114B22"/>
    <w:rsid w:val="00116184"/>
    <w:rsid w:val="001163E9"/>
    <w:rsid w:val="00120888"/>
    <w:rsid w:val="00124116"/>
    <w:rsid w:val="0013104F"/>
    <w:rsid w:val="00131F17"/>
    <w:rsid w:val="00137EBA"/>
    <w:rsid w:val="00145EDC"/>
    <w:rsid w:val="0014684C"/>
    <w:rsid w:val="00153084"/>
    <w:rsid w:val="001552A0"/>
    <w:rsid w:val="00156C15"/>
    <w:rsid w:val="0016080A"/>
    <w:rsid w:val="00167A34"/>
    <w:rsid w:val="001714B4"/>
    <w:rsid w:val="00172E12"/>
    <w:rsid w:val="001776FC"/>
    <w:rsid w:val="00180009"/>
    <w:rsid w:val="0018037F"/>
    <w:rsid w:val="00182ACE"/>
    <w:rsid w:val="00187D0B"/>
    <w:rsid w:val="00194BAE"/>
    <w:rsid w:val="001A5F27"/>
    <w:rsid w:val="001A65E4"/>
    <w:rsid w:val="001A7870"/>
    <w:rsid w:val="001C1B41"/>
    <w:rsid w:val="001C2160"/>
    <w:rsid w:val="001D2507"/>
    <w:rsid w:val="001D3F79"/>
    <w:rsid w:val="001E366B"/>
    <w:rsid w:val="001F676F"/>
    <w:rsid w:val="00200B62"/>
    <w:rsid w:val="00210E0E"/>
    <w:rsid w:val="00216109"/>
    <w:rsid w:val="00217E99"/>
    <w:rsid w:val="00230163"/>
    <w:rsid w:val="00247403"/>
    <w:rsid w:val="00247542"/>
    <w:rsid w:val="00253F76"/>
    <w:rsid w:val="00257893"/>
    <w:rsid w:val="00261853"/>
    <w:rsid w:val="00266092"/>
    <w:rsid w:val="00266B61"/>
    <w:rsid w:val="0026712A"/>
    <w:rsid w:val="002704DB"/>
    <w:rsid w:val="002708FC"/>
    <w:rsid w:val="002760CE"/>
    <w:rsid w:val="00280B1C"/>
    <w:rsid w:val="0029071E"/>
    <w:rsid w:val="002A0EE1"/>
    <w:rsid w:val="002A7552"/>
    <w:rsid w:val="002B34D2"/>
    <w:rsid w:val="002B3781"/>
    <w:rsid w:val="002B617E"/>
    <w:rsid w:val="002B7A85"/>
    <w:rsid w:val="002C0BBC"/>
    <w:rsid w:val="002C1641"/>
    <w:rsid w:val="002C1E28"/>
    <w:rsid w:val="002C5CFB"/>
    <w:rsid w:val="002D7EA2"/>
    <w:rsid w:val="002E15DF"/>
    <w:rsid w:val="002E187C"/>
    <w:rsid w:val="002E6E57"/>
    <w:rsid w:val="002F6D64"/>
    <w:rsid w:val="00301075"/>
    <w:rsid w:val="00302733"/>
    <w:rsid w:val="00311A4F"/>
    <w:rsid w:val="00314078"/>
    <w:rsid w:val="00322450"/>
    <w:rsid w:val="003246B5"/>
    <w:rsid w:val="00325FD3"/>
    <w:rsid w:val="0033169F"/>
    <w:rsid w:val="0033378A"/>
    <w:rsid w:val="00334F58"/>
    <w:rsid w:val="003356BF"/>
    <w:rsid w:val="00335863"/>
    <w:rsid w:val="003414AC"/>
    <w:rsid w:val="00346894"/>
    <w:rsid w:val="00350A36"/>
    <w:rsid w:val="003545F4"/>
    <w:rsid w:val="00356185"/>
    <w:rsid w:val="003563A9"/>
    <w:rsid w:val="00360380"/>
    <w:rsid w:val="0036510F"/>
    <w:rsid w:val="003750BC"/>
    <w:rsid w:val="00377C8D"/>
    <w:rsid w:val="00381688"/>
    <w:rsid w:val="00386CF0"/>
    <w:rsid w:val="0039036C"/>
    <w:rsid w:val="003942E6"/>
    <w:rsid w:val="003A16E6"/>
    <w:rsid w:val="003A4348"/>
    <w:rsid w:val="003B0C2A"/>
    <w:rsid w:val="003B2C19"/>
    <w:rsid w:val="003C0F27"/>
    <w:rsid w:val="003C32BC"/>
    <w:rsid w:val="003C5C18"/>
    <w:rsid w:val="003C69F8"/>
    <w:rsid w:val="003E3517"/>
    <w:rsid w:val="003E3E03"/>
    <w:rsid w:val="003F05E4"/>
    <w:rsid w:val="003F1BBF"/>
    <w:rsid w:val="004005E8"/>
    <w:rsid w:val="00405598"/>
    <w:rsid w:val="004056FB"/>
    <w:rsid w:val="00410D51"/>
    <w:rsid w:val="00414E4E"/>
    <w:rsid w:val="004162B1"/>
    <w:rsid w:val="004165C2"/>
    <w:rsid w:val="004208B5"/>
    <w:rsid w:val="00426C94"/>
    <w:rsid w:val="00445808"/>
    <w:rsid w:val="00445834"/>
    <w:rsid w:val="00450A4A"/>
    <w:rsid w:val="00451863"/>
    <w:rsid w:val="00452EA2"/>
    <w:rsid w:val="00465047"/>
    <w:rsid w:val="004666FB"/>
    <w:rsid w:val="00466D0B"/>
    <w:rsid w:val="00467B7E"/>
    <w:rsid w:val="00472BB4"/>
    <w:rsid w:val="00473444"/>
    <w:rsid w:val="00475393"/>
    <w:rsid w:val="00480BCE"/>
    <w:rsid w:val="00482B2A"/>
    <w:rsid w:val="0049419D"/>
    <w:rsid w:val="00496E5E"/>
    <w:rsid w:val="00497146"/>
    <w:rsid w:val="004B2762"/>
    <w:rsid w:val="004B7EB6"/>
    <w:rsid w:val="004C41DE"/>
    <w:rsid w:val="004C4B62"/>
    <w:rsid w:val="004C53DC"/>
    <w:rsid w:val="004D6025"/>
    <w:rsid w:val="004D72BC"/>
    <w:rsid w:val="004E6F13"/>
    <w:rsid w:val="004F103E"/>
    <w:rsid w:val="004F2961"/>
    <w:rsid w:val="004F6B67"/>
    <w:rsid w:val="004F75C2"/>
    <w:rsid w:val="004F7A49"/>
    <w:rsid w:val="00501399"/>
    <w:rsid w:val="00501CA2"/>
    <w:rsid w:val="00504B0E"/>
    <w:rsid w:val="00507BC4"/>
    <w:rsid w:val="0051043A"/>
    <w:rsid w:val="005128E4"/>
    <w:rsid w:val="005131C5"/>
    <w:rsid w:val="00520B87"/>
    <w:rsid w:val="00524AAC"/>
    <w:rsid w:val="00525560"/>
    <w:rsid w:val="00532AB4"/>
    <w:rsid w:val="00534507"/>
    <w:rsid w:val="005357A6"/>
    <w:rsid w:val="0053757D"/>
    <w:rsid w:val="00541D61"/>
    <w:rsid w:val="00544C49"/>
    <w:rsid w:val="00551F50"/>
    <w:rsid w:val="005526EE"/>
    <w:rsid w:val="00553365"/>
    <w:rsid w:val="005537EA"/>
    <w:rsid w:val="00556ACB"/>
    <w:rsid w:val="0057402A"/>
    <w:rsid w:val="005771D0"/>
    <w:rsid w:val="005827B0"/>
    <w:rsid w:val="00582D51"/>
    <w:rsid w:val="00584D61"/>
    <w:rsid w:val="0059191A"/>
    <w:rsid w:val="005921FF"/>
    <w:rsid w:val="00592718"/>
    <w:rsid w:val="005A31AD"/>
    <w:rsid w:val="005A6669"/>
    <w:rsid w:val="005A6D0E"/>
    <w:rsid w:val="005B1C31"/>
    <w:rsid w:val="005B222D"/>
    <w:rsid w:val="005B52B0"/>
    <w:rsid w:val="005B6806"/>
    <w:rsid w:val="005B7751"/>
    <w:rsid w:val="005C00F9"/>
    <w:rsid w:val="005C4225"/>
    <w:rsid w:val="005D078E"/>
    <w:rsid w:val="005F0F33"/>
    <w:rsid w:val="00600DEB"/>
    <w:rsid w:val="00613027"/>
    <w:rsid w:val="0061321A"/>
    <w:rsid w:val="00617800"/>
    <w:rsid w:val="006179DD"/>
    <w:rsid w:val="006226E2"/>
    <w:rsid w:val="00626795"/>
    <w:rsid w:val="00627C9F"/>
    <w:rsid w:val="006311DA"/>
    <w:rsid w:val="006311E9"/>
    <w:rsid w:val="00631424"/>
    <w:rsid w:val="006318B2"/>
    <w:rsid w:val="00632354"/>
    <w:rsid w:val="00636367"/>
    <w:rsid w:val="00642810"/>
    <w:rsid w:val="006455B5"/>
    <w:rsid w:val="006511C7"/>
    <w:rsid w:val="00652333"/>
    <w:rsid w:val="00653EA6"/>
    <w:rsid w:val="00654C53"/>
    <w:rsid w:val="0066367B"/>
    <w:rsid w:val="00663FD9"/>
    <w:rsid w:val="006711CC"/>
    <w:rsid w:val="00673D26"/>
    <w:rsid w:val="0068009E"/>
    <w:rsid w:val="00680770"/>
    <w:rsid w:val="006A17D2"/>
    <w:rsid w:val="006A389D"/>
    <w:rsid w:val="006A73E6"/>
    <w:rsid w:val="006A7CEE"/>
    <w:rsid w:val="006B002B"/>
    <w:rsid w:val="006B2D5C"/>
    <w:rsid w:val="006B4790"/>
    <w:rsid w:val="006C32EB"/>
    <w:rsid w:val="006C4EB1"/>
    <w:rsid w:val="006D029E"/>
    <w:rsid w:val="006D4707"/>
    <w:rsid w:val="006E0166"/>
    <w:rsid w:val="006E29DE"/>
    <w:rsid w:val="006E72FA"/>
    <w:rsid w:val="006E7B34"/>
    <w:rsid w:val="006F0A2E"/>
    <w:rsid w:val="006F3411"/>
    <w:rsid w:val="006F5467"/>
    <w:rsid w:val="00701B24"/>
    <w:rsid w:val="0071361D"/>
    <w:rsid w:val="0071495F"/>
    <w:rsid w:val="0073798E"/>
    <w:rsid w:val="00744701"/>
    <w:rsid w:val="00745899"/>
    <w:rsid w:val="007463A2"/>
    <w:rsid w:val="00747606"/>
    <w:rsid w:val="007525F8"/>
    <w:rsid w:val="00753971"/>
    <w:rsid w:val="0075636E"/>
    <w:rsid w:val="007607C4"/>
    <w:rsid w:val="00760EF9"/>
    <w:rsid w:val="00761908"/>
    <w:rsid w:val="00763652"/>
    <w:rsid w:val="0076643F"/>
    <w:rsid w:val="0077732E"/>
    <w:rsid w:val="00781653"/>
    <w:rsid w:val="00784863"/>
    <w:rsid w:val="00797ECA"/>
    <w:rsid w:val="00797F8E"/>
    <w:rsid w:val="007A2F70"/>
    <w:rsid w:val="007A2FD3"/>
    <w:rsid w:val="007C1BDA"/>
    <w:rsid w:val="007C3334"/>
    <w:rsid w:val="007C455E"/>
    <w:rsid w:val="007C52BB"/>
    <w:rsid w:val="007D2B98"/>
    <w:rsid w:val="007D2DDE"/>
    <w:rsid w:val="007D6B33"/>
    <w:rsid w:val="007E7B47"/>
    <w:rsid w:val="007F6273"/>
    <w:rsid w:val="0080288B"/>
    <w:rsid w:val="00803F1C"/>
    <w:rsid w:val="0080600E"/>
    <w:rsid w:val="0081536E"/>
    <w:rsid w:val="00815FDF"/>
    <w:rsid w:val="00817612"/>
    <w:rsid w:val="00822149"/>
    <w:rsid w:val="00822809"/>
    <w:rsid w:val="008231B0"/>
    <w:rsid w:val="00823735"/>
    <w:rsid w:val="00823816"/>
    <w:rsid w:val="00837C45"/>
    <w:rsid w:val="008447EA"/>
    <w:rsid w:val="00844E8E"/>
    <w:rsid w:val="00846F13"/>
    <w:rsid w:val="008476F4"/>
    <w:rsid w:val="00853419"/>
    <w:rsid w:val="00853CF9"/>
    <w:rsid w:val="00866416"/>
    <w:rsid w:val="00870AED"/>
    <w:rsid w:val="00872E70"/>
    <w:rsid w:val="00897E12"/>
    <w:rsid w:val="008A0E61"/>
    <w:rsid w:val="008A5EA8"/>
    <w:rsid w:val="008B62A1"/>
    <w:rsid w:val="008B66EB"/>
    <w:rsid w:val="008B6AEA"/>
    <w:rsid w:val="008C74E9"/>
    <w:rsid w:val="008C7DBD"/>
    <w:rsid w:val="008D43BA"/>
    <w:rsid w:val="008D7BC0"/>
    <w:rsid w:val="008E3759"/>
    <w:rsid w:val="008E63C7"/>
    <w:rsid w:val="008F2BD5"/>
    <w:rsid w:val="008F719F"/>
    <w:rsid w:val="00903E59"/>
    <w:rsid w:val="009041DC"/>
    <w:rsid w:val="00904CB0"/>
    <w:rsid w:val="00905DA9"/>
    <w:rsid w:val="009104B4"/>
    <w:rsid w:val="00910FBF"/>
    <w:rsid w:val="009228DA"/>
    <w:rsid w:val="00925FCD"/>
    <w:rsid w:val="00932E21"/>
    <w:rsid w:val="0093441A"/>
    <w:rsid w:val="00934611"/>
    <w:rsid w:val="00944521"/>
    <w:rsid w:val="00946097"/>
    <w:rsid w:val="00953C38"/>
    <w:rsid w:val="00954BF7"/>
    <w:rsid w:val="00954DBA"/>
    <w:rsid w:val="00960ED2"/>
    <w:rsid w:val="00963335"/>
    <w:rsid w:val="0096706E"/>
    <w:rsid w:val="00973DAF"/>
    <w:rsid w:val="00975154"/>
    <w:rsid w:val="00977C45"/>
    <w:rsid w:val="00981FBA"/>
    <w:rsid w:val="00983516"/>
    <w:rsid w:val="0098426E"/>
    <w:rsid w:val="00990FBD"/>
    <w:rsid w:val="009B1379"/>
    <w:rsid w:val="009B381B"/>
    <w:rsid w:val="009C18EC"/>
    <w:rsid w:val="009D7611"/>
    <w:rsid w:val="009E53DE"/>
    <w:rsid w:val="009E566A"/>
    <w:rsid w:val="009F3671"/>
    <w:rsid w:val="009F6095"/>
    <w:rsid w:val="00A06F64"/>
    <w:rsid w:val="00A12DBC"/>
    <w:rsid w:val="00A207B3"/>
    <w:rsid w:val="00A268D1"/>
    <w:rsid w:val="00A35960"/>
    <w:rsid w:val="00A41050"/>
    <w:rsid w:val="00A43458"/>
    <w:rsid w:val="00A50E46"/>
    <w:rsid w:val="00A528D1"/>
    <w:rsid w:val="00A54BD0"/>
    <w:rsid w:val="00A575DF"/>
    <w:rsid w:val="00A66BE5"/>
    <w:rsid w:val="00A66E94"/>
    <w:rsid w:val="00A77B29"/>
    <w:rsid w:val="00A852F2"/>
    <w:rsid w:val="00A934C9"/>
    <w:rsid w:val="00A9407C"/>
    <w:rsid w:val="00A94D16"/>
    <w:rsid w:val="00AB4DD4"/>
    <w:rsid w:val="00AB61E2"/>
    <w:rsid w:val="00AB6271"/>
    <w:rsid w:val="00AC17B7"/>
    <w:rsid w:val="00AC3876"/>
    <w:rsid w:val="00AC6034"/>
    <w:rsid w:val="00AC75F5"/>
    <w:rsid w:val="00AD37C1"/>
    <w:rsid w:val="00AD3897"/>
    <w:rsid w:val="00AE06D5"/>
    <w:rsid w:val="00AE66EC"/>
    <w:rsid w:val="00AE6F91"/>
    <w:rsid w:val="00AF5571"/>
    <w:rsid w:val="00B018A8"/>
    <w:rsid w:val="00B05AAB"/>
    <w:rsid w:val="00B144A2"/>
    <w:rsid w:val="00B14B40"/>
    <w:rsid w:val="00B14D21"/>
    <w:rsid w:val="00B167E9"/>
    <w:rsid w:val="00B179ED"/>
    <w:rsid w:val="00B20B47"/>
    <w:rsid w:val="00B22621"/>
    <w:rsid w:val="00B23CFB"/>
    <w:rsid w:val="00B273F6"/>
    <w:rsid w:val="00B314DB"/>
    <w:rsid w:val="00B31EBE"/>
    <w:rsid w:val="00B32DD5"/>
    <w:rsid w:val="00B3718B"/>
    <w:rsid w:val="00B37269"/>
    <w:rsid w:val="00B4226E"/>
    <w:rsid w:val="00B44993"/>
    <w:rsid w:val="00B449B2"/>
    <w:rsid w:val="00B44B23"/>
    <w:rsid w:val="00B4632A"/>
    <w:rsid w:val="00B47B3B"/>
    <w:rsid w:val="00B51771"/>
    <w:rsid w:val="00B552A5"/>
    <w:rsid w:val="00B57918"/>
    <w:rsid w:val="00B77C12"/>
    <w:rsid w:val="00B83EB2"/>
    <w:rsid w:val="00B91B12"/>
    <w:rsid w:val="00B92E49"/>
    <w:rsid w:val="00B933D0"/>
    <w:rsid w:val="00B9385A"/>
    <w:rsid w:val="00BA276C"/>
    <w:rsid w:val="00BB306F"/>
    <w:rsid w:val="00BB3D3A"/>
    <w:rsid w:val="00BC0DC9"/>
    <w:rsid w:val="00BC18DD"/>
    <w:rsid w:val="00BC5F52"/>
    <w:rsid w:val="00BD232B"/>
    <w:rsid w:val="00BD2E42"/>
    <w:rsid w:val="00BD40D0"/>
    <w:rsid w:val="00BD4B89"/>
    <w:rsid w:val="00BE1CF7"/>
    <w:rsid w:val="00BE2377"/>
    <w:rsid w:val="00BE719A"/>
    <w:rsid w:val="00BF2461"/>
    <w:rsid w:val="00C013AA"/>
    <w:rsid w:val="00C0784B"/>
    <w:rsid w:val="00C21762"/>
    <w:rsid w:val="00C22A7B"/>
    <w:rsid w:val="00C24543"/>
    <w:rsid w:val="00C256A2"/>
    <w:rsid w:val="00C25CAD"/>
    <w:rsid w:val="00C3492D"/>
    <w:rsid w:val="00C37C26"/>
    <w:rsid w:val="00C414F7"/>
    <w:rsid w:val="00C5049D"/>
    <w:rsid w:val="00C50E79"/>
    <w:rsid w:val="00C51F39"/>
    <w:rsid w:val="00C55560"/>
    <w:rsid w:val="00C61AB9"/>
    <w:rsid w:val="00C65B72"/>
    <w:rsid w:val="00C669B3"/>
    <w:rsid w:val="00C66B72"/>
    <w:rsid w:val="00C70991"/>
    <w:rsid w:val="00C9567A"/>
    <w:rsid w:val="00CA1A01"/>
    <w:rsid w:val="00CA4A0A"/>
    <w:rsid w:val="00CA6577"/>
    <w:rsid w:val="00CA7C1C"/>
    <w:rsid w:val="00CB2660"/>
    <w:rsid w:val="00CB6610"/>
    <w:rsid w:val="00CB78C5"/>
    <w:rsid w:val="00CC00E0"/>
    <w:rsid w:val="00CC079D"/>
    <w:rsid w:val="00CC5E90"/>
    <w:rsid w:val="00CD046C"/>
    <w:rsid w:val="00CD472E"/>
    <w:rsid w:val="00CD63CC"/>
    <w:rsid w:val="00CE5199"/>
    <w:rsid w:val="00CE66D5"/>
    <w:rsid w:val="00D030BF"/>
    <w:rsid w:val="00D1132D"/>
    <w:rsid w:val="00D12D61"/>
    <w:rsid w:val="00D2048C"/>
    <w:rsid w:val="00D21A41"/>
    <w:rsid w:val="00D21FD5"/>
    <w:rsid w:val="00D2617C"/>
    <w:rsid w:val="00D339B0"/>
    <w:rsid w:val="00D33C54"/>
    <w:rsid w:val="00D34786"/>
    <w:rsid w:val="00D35E28"/>
    <w:rsid w:val="00D407CC"/>
    <w:rsid w:val="00D40A1E"/>
    <w:rsid w:val="00D50DF0"/>
    <w:rsid w:val="00D533C0"/>
    <w:rsid w:val="00D53BCE"/>
    <w:rsid w:val="00D6059F"/>
    <w:rsid w:val="00D67F0F"/>
    <w:rsid w:val="00D712D3"/>
    <w:rsid w:val="00D71422"/>
    <w:rsid w:val="00D7145E"/>
    <w:rsid w:val="00D74286"/>
    <w:rsid w:val="00D75014"/>
    <w:rsid w:val="00D75084"/>
    <w:rsid w:val="00D7558D"/>
    <w:rsid w:val="00D81D92"/>
    <w:rsid w:val="00D93446"/>
    <w:rsid w:val="00D94199"/>
    <w:rsid w:val="00DA5E0B"/>
    <w:rsid w:val="00DA7758"/>
    <w:rsid w:val="00DA7B5F"/>
    <w:rsid w:val="00DB0257"/>
    <w:rsid w:val="00DD38DF"/>
    <w:rsid w:val="00DE4E13"/>
    <w:rsid w:val="00DE4E90"/>
    <w:rsid w:val="00DF078B"/>
    <w:rsid w:val="00DF16D8"/>
    <w:rsid w:val="00DF350D"/>
    <w:rsid w:val="00DF390B"/>
    <w:rsid w:val="00E16524"/>
    <w:rsid w:val="00E227C1"/>
    <w:rsid w:val="00E27588"/>
    <w:rsid w:val="00E3392C"/>
    <w:rsid w:val="00E3394E"/>
    <w:rsid w:val="00E3476F"/>
    <w:rsid w:val="00E402AE"/>
    <w:rsid w:val="00E43157"/>
    <w:rsid w:val="00E45FB3"/>
    <w:rsid w:val="00E47F3D"/>
    <w:rsid w:val="00E533FF"/>
    <w:rsid w:val="00E53683"/>
    <w:rsid w:val="00E61A93"/>
    <w:rsid w:val="00E709B3"/>
    <w:rsid w:val="00E70ADA"/>
    <w:rsid w:val="00E7351C"/>
    <w:rsid w:val="00E7588C"/>
    <w:rsid w:val="00E850B6"/>
    <w:rsid w:val="00E8789F"/>
    <w:rsid w:val="00E90994"/>
    <w:rsid w:val="00E92F64"/>
    <w:rsid w:val="00E97B71"/>
    <w:rsid w:val="00EA0213"/>
    <w:rsid w:val="00EB454D"/>
    <w:rsid w:val="00EB481F"/>
    <w:rsid w:val="00EB4ABF"/>
    <w:rsid w:val="00EB6975"/>
    <w:rsid w:val="00EC0072"/>
    <w:rsid w:val="00EC12BA"/>
    <w:rsid w:val="00EC132B"/>
    <w:rsid w:val="00EC34B5"/>
    <w:rsid w:val="00ED06F5"/>
    <w:rsid w:val="00ED0D1B"/>
    <w:rsid w:val="00ED7D3B"/>
    <w:rsid w:val="00EE3522"/>
    <w:rsid w:val="00EE70E1"/>
    <w:rsid w:val="00EF108F"/>
    <w:rsid w:val="00EF619B"/>
    <w:rsid w:val="00F00B55"/>
    <w:rsid w:val="00F10126"/>
    <w:rsid w:val="00F106EC"/>
    <w:rsid w:val="00F10E23"/>
    <w:rsid w:val="00F1380F"/>
    <w:rsid w:val="00F14F0E"/>
    <w:rsid w:val="00F15A3B"/>
    <w:rsid w:val="00F175D2"/>
    <w:rsid w:val="00F24C29"/>
    <w:rsid w:val="00F253CC"/>
    <w:rsid w:val="00F42B71"/>
    <w:rsid w:val="00F56BA5"/>
    <w:rsid w:val="00F57C0C"/>
    <w:rsid w:val="00F621C3"/>
    <w:rsid w:val="00F644E6"/>
    <w:rsid w:val="00F8676B"/>
    <w:rsid w:val="00F86C81"/>
    <w:rsid w:val="00F87C03"/>
    <w:rsid w:val="00F9653B"/>
    <w:rsid w:val="00FA2F0F"/>
    <w:rsid w:val="00FB5245"/>
    <w:rsid w:val="00FB62CF"/>
    <w:rsid w:val="00FC0006"/>
    <w:rsid w:val="00FC3EB4"/>
    <w:rsid w:val="00FC6C58"/>
    <w:rsid w:val="00FC7F42"/>
    <w:rsid w:val="00FE5CE3"/>
    <w:rsid w:val="00FE604C"/>
    <w:rsid w:val="00FE6B45"/>
    <w:rsid w:val="00FE70C1"/>
    <w:rsid w:val="00FF5851"/>
    <w:rsid w:val="00FF690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4208B5"/>
    <w:rPr>
      <w:sz w:val="16"/>
      <w:szCs w:val="16"/>
    </w:rPr>
  </w:style>
  <w:style w:type="paragraph" w:styleId="CommentText">
    <w:name w:val="annotation text"/>
    <w:basedOn w:val="Normal"/>
    <w:link w:val="CommentTextChar"/>
    <w:uiPriority w:val="99"/>
    <w:semiHidden/>
    <w:unhideWhenUsed/>
    <w:rsid w:val="004208B5"/>
    <w:rPr>
      <w:sz w:val="20"/>
      <w:szCs w:val="20"/>
    </w:rPr>
  </w:style>
  <w:style w:type="character" w:customStyle="1" w:styleId="CommentTextChar">
    <w:name w:val="Comment Text Char"/>
    <w:basedOn w:val="DefaultParagraphFont"/>
    <w:link w:val="CommentText"/>
    <w:uiPriority w:val="99"/>
    <w:semiHidden/>
    <w:rsid w:val="004208B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4208B5"/>
    <w:rPr>
      <w:sz w:val="16"/>
      <w:szCs w:val="16"/>
    </w:rPr>
  </w:style>
  <w:style w:type="paragraph" w:styleId="CommentText">
    <w:name w:val="annotation text"/>
    <w:basedOn w:val="Normal"/>
    <w:link w:val="CommentTextChar"/>
    <w:uiPriority w:val="99"/>
    <w:semiHidden/>
    <w:unhideWhenUsed/>
    <w:rsid w:val="004208B5"/>
    <w:rPr>
      <w:sz w:val="20"/>
      <w:szCs w:val="20"/>
    </w:rPr>
  </w:style>
  <w:style w:type="character" w:customStyle="1" w:styleId="CommentTextChar">
    <w:name w:val="Comment Text Char"/>
    <w:basedOn w:val="DefaultParagraphFont"/>
    <w:link w:val="CommentText"/>
    <w:uiPriority w:val="99"/>
    <w:semiHidden/>
    <w:rsid w:val="004208B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0FA2E6573B475B9C517AD5B001C6E0"/>
        <w:category>
          <w:name w:val="General"/>
          <w:gallery w:val="placeholder"/>
        </w:category>
        <w:types>
          <w:type w:val="bbPlcHdr"/>
        </w:types>
        <w:behaviors>
          <w:behavior w:val="content"/>
        </w:behaviors>
        <w:guid w:val="{5E96D30F-7979-422D-A3BE-0DC49F29B833}"/>
      </w:docPartPr>
      <w:docPartBody>
        <w:p w:rsidR="00DC475C" w:rsidRDefault="00BE0F5E" w:rsidP="00BE0F5E">
          <w:pPr>
            <w:pStyle w:val="650FA2E6573B475B9C517AD5B001C6E0"/>
          </w:pPr>
          <w:r w:rsidRPr="00FF1F25">
            <w:rPr>
              <w:rStyle w:val="PlaceholderText"/>
            </w:rPr>
            <w:t>Choose a building block.</w:t>
          </w:r>
        </w:p>
      </w:docPartBody>
    </w:docPart>
    <w:docPart>
      <w:docPartPr>
        <w:name w:val="7A50B243244F48A5B8B9720C79C0C7E4"/>
        <w:category>
          <w:name w:val="General"/>
          <w:gallery w:val="placeholder"/>
        </w:category>
        <w:types>
          <w:type w:val="bbPlcHdr"/>
        </w:types>
        <w:behaviors>
          <w:behavior w:val="content"/>
        </w:behaviors>
        <w:guid w:val="{51EBEADA-AE73-49D8-A131-21B90E579D81}"/>
      </w:docPartPr>
      <w:docPartBody>
        <w:p w:rsidR="00DC475C" w:rsidRDefault="00BE0F5E" w:rsidP="00BE0F5E">
          <w:pPr>
            <w:pStyle w:val="7A50B243244F48A5B8B9720C79C0C7E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5E"/>
    <w:rsid w:val="005543CC"/>
    <w:rsid w:val="00A26DD9"/>
    <w:rsid w:val="00BE0F5E"/>
    <w:rsid w:val="00DC475C"/>
    <w:rsid w:val="00E150C7"/>
    <w:rsid w:val="00E3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F5E"/>
    <w:rPr>
      <w:color w:val="808080"/>
    </w:rPr>
  </w:style>
  <w:style w:type="paragraph" w:customStyle="1" w:styleId="49453A0E79B74CB7B12229EC10EC4A16">
    <w:name w:val="49453A0E79B74CB7B12229EC10EC4A16"/>
    <w:rsid w:val="00BE0F5E"/>
  </w:style>
  <w:style w:type="paragraph" w:customStyle="1" w:styleId="650FA2E6573B475B9C517AD5B001C6E0">
    <w:name w:val="650FA2E6573B475B9C517AD5B001C6E0"/>
    <w:rsid w:val="00BE0F5E"/>
  </w:style>
  <w:style w:type="paragraph" w:customStyle="1" w:styleId="7A50B243244F48A5B8B9720C79C0C7E4">
    <w:name w:val="7A50B243244F48A5B8B9720C79C0C7E4"/>
    <w:rsid w:val="00BE0F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F5E"/>
    <w:rPr>
      <w:color w:val="808080"/>
    </w:rPr>
  </w:style>
  <w:style w:type="paragraph" w:customStyle="1" w:styleId="49453A0E79B74CB7B12229EC10EC4A16">
    <w:name w:val="49453A0E79B74CB7B12229EC10EC4A16"/>
    <w:rsid w:val="00BE0F5E"/>
  </w:style>
  <w:style w:type="paragraph" w:customStyle="1" w:styleId="650FA2E6573B475B9C517AD5B001C6E0">
    <w:name w:val="650FA2E6573B475B9C517AD5B001C6E0"/>
    <w:rsid w:val="00BE0F5E"/>
  </w:style>
  <w:style w:type="paragraph" w:customStyle="1" w:styleId="7A50B243244F48A5B8B9720C79C0C7E4">
    <w:name w:val="7A50B243244F48A5B8B9720C79C0C7E4"/>
    <w:rsid w:val="00B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4629-14EB-4E7E-8BA6-E034011D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12864</Characters>
  <Application>Microsoft Office Word</Application>
  <DocSecurity>0</DocSecurity>
  <Lines>313</Lines>
  <Paragraphs>117</Paragraphs>
  <ScaleCrop>false</ScaleCrop>
  <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58/17</dc:title>
  <dc:creator/>
  <cp:lastModifiedBy/>
  <cp:revision>1</cp:revision>
  <dcterms:created xsi:type="dcterms:W3CDTF">2017-11-02T19:07:00Z</dcterms:created>
  <dcterms:modified xsi:type="dcterms:W3CDTF">2017-11-02T19:07:00Z</dcterms:modified>
</cp:coreProperties>
</file>