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11AA3C6D"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5451F" w14:textId="3A68AF56" w:rsidR="005765DD" w:rsidRPr="005765DD" w:rsidRDefault="005765DD" w:rsidP="005765DD">
                            <w:pPr>
                              <w:spacing w:line="276" w:lineRule="auto"/>
                              <w:rPr>
                                <w:rFonts w:asciiTheme="majorHAnsi" w:hAnsiTheme="majorHAnsi" w:cs="Arial"/>
                                <w:b/>
                                <w:bCs/>
                                <w:color w:val="0D0D0D" w:themeColor="text1" w:themeTint="F2"/>
                                <w:sz w:val="36"/>
                                <w:szCs w:val="22"/>
                                <w:lang w:val="en-GB"/>
                              </w:rPr>
                            </w:pPr>
                            <w:r w:rsidRPr="005765DD">
                              <w:rPr>
                                <w:rFonts w:asciiTheme="majorHAnsi" w:hAnsiTheme="majorHAnsi" w:cs="Arial"/>
                                <w:b/>
                                <w:bCs/>
                                <w:color w:val="0D0D0D" w:themeColor="text1" w:themeTint="F2"/>
                                <w:sz w:val="36"/>
                                <w:szCs w:val="22"/>
                                <w:lang w:val="en-GB"/>
                              </w:rPr>
                              <w:t xml:space="preserve">REPORT No. </w:t>
                            </w:r>
                            <w:r w:rsidR="002C4C47">
                              <w:rPr>
                                <w:rFonts w:asciiTheme="majorHAnsi" w:hAnsiTheme="majorHAnsi" w:cs="Arial"/>
                                <w:b/>
                                <w:bCs/>
                                <w:color w:val="0D0D0D" w:themeColor="text1" w:themeTint="F2"/>
                                <w:sz w:val="36"/>
                                <w:szCs w:val="22"/>
                                <w:lang w:val="en-GB"/>
                              </w:rPr>
                              <w:t>163</w:t>
                            </w:r>
                            <w:r w:rsidRPr="005765DD">
                              <w:rPr>
                                <w:rFonts w:asciiTheme="majorHAnsi" w:hAnsiTheme="majorHAnsi" w:cs="Arial"/>
                                <w:b/>
                                <w:bCs/>
                                <w:color w:val="0D0D0D" w:themeColor="text1" w:themeTint="F2"/>
                                <w:sz w:val="36"/>
                                <w:szCs w:val="22"/>
                                <w:lang w:val="en-GB"/>
                              </w:rPr>
                              <w:t>/17</w:t>
                            </w:r>
                          </w:p>
                          <w:p w14:paraId="7F5970C7" w14:textId="77777777" w:rsidR="005765DD" w:rsidRPr="005765DD" w:rsidRDefault="005765DD" w:rsidP="005765DD">
                            <w:pPr>
                              <w:spacing w:line="276" w:lineRule="auto"/>
                              <w:rPr>
                                <w:rFonts w:asciiTheme="majorHAnsi" w:hAnsiTheme="majorHAnsi" w:cs="Arial"/>
                                <w:b/>
                                <w:color w:val="0D0D0D" w:themeColor="text1" w:themeTint="F2"/>
                                <w:sz w:val="36"/>
                                <w:szCs w:val="22"/>
                                <w:lang w:val="en-GB"/>
                              </w:rPr>
                            </w:pPr>
                            <w:r w:rsidRPr="005765DD">
                              <w:rPr>
                                <w:rFonts w:asciiTheme="majorHAnsi" w:hAnsiTheme="majorHAnsi" w:cs="Arial"/>
                                <w:b/>
                                <w:color w:val="0D0D0D" w:themeColor="text1" w:themeTint="F2"/>
                                <w:sz w:val="36"/>
                                <w:szCs w:val="22"/>
                                <w:lang w:val="en-GB"/>
                              </w:rPr>
                              <w:t>PETITION 1323-07</w:t>
                            </w:r>
                          </w:p>
                          <w:p w14:paraId="25487D2D" w14:textId="77777777" w:rsidR="005765DD" w:rsidRPr="005765DD" w:rsidRDefault="005765DD" w:rsidP="005765DD">
                            <w:pPr>
                              <w:spacing w:line="276" w:lineRule="auto"/>
                              <w:rPr>
                                <w:rFonts w:asciiTheme="majorHAnsi" w:hAnsiTheme="majorHAnsi" w:cs="Arial"/>
                                <w:color w:val="0D0D0D" w:themeColor="text1" w:themeTint="F2"/>
                                <w:szCs w:val="22"/>
                                <w:lang w:val="en-GB"/>
                              </w:rPr>
                            </w:pPr>
                            <w:r w:rsidRPr="005765DD">
                              <w:rPr>
                                <w:rFonts w:asciiTheme="majorHAnsi" w:hAnsiTheme="majorHAnsi" w:cs="Arial"/>
                                <w:color w:val="0D0D0D" w:themeColor="text1" w:themeTint="F2"/>
                                <w:szCs w:val="22"/>
                                <w:lang w:val="en-GB"/>
                              </w:rPr>
                              <w:t xml:space="preserve">REPORT ON ADMISSIBILITY </w:t>
                            </w:r>
                          </w:p>
                          <w:p w14:paraId="68F6FCFD" w14:textId="77777777" w:rsidR="005765DD" w:rsidRPr="005765DD" w:rsidRDefault="005765DD" w:rsidP="005765DD">
                            <w:pPr>
                              <w:spacing w:line="276" w:lineRule="auto"/>
                              <w:rPr>
                                <w:rFonts w:asciiTheme="majorHAnsi" w:hAnsiTheme="majorHAnsi" w:cs="Arial"/>
                                <w:color w:val="0D0D0D" w:themeColor="text1" w:themeTint="F2"/>
                                <w:szCs w:val="22"/>
                                <w:lang w:val="en-GB"/>
                              </w:rPr>
                            </w:pPr>
                            <w:bookmarkStart w:id="1" w:name="_ftnref1"/>
                          </w:p>
                          <w:p w14:paraId="66546759" w14:textId="77777777" w:rsidR="005765DD" w:rsidRPr="00D66BBC" w:rsidRDefault="005765DD" w:rsidP="005765DD">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YNGRIT HERMELINDA GARRO VÁSQUEZ</w:t>
                            </w:r>
                          </w:p>
                          <w:bookmarkEnd w:id="1"/>
                          <w:p w14:paraId="4F0DC1AF" w14:textId="77777777" w:rsidR="005765DD" w:rsidRPr="00D66BBC" w:rsidRDefault="005765DD" w:rsidP="005765DD">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PERU</w:t>
                            </w:r>
                          </w:p>
                          <w:p w14:paraId="5DCC362E" w14:textId="77777777" w:rsidR="005765DD" w:rsidRPr="00D66BBC" w:rsidRDefault="005765DD" w:rsidP="005765DD">
                            <w:pPr>
                              <w:rPr>
                                <w:color w:val="0D0D0D" w:themeColor="text1" w:themeTint="F2"/>
                                <w:lang w:val="es-US"/>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0A5451F" w14:textId="3A68AF56" w:rsidR="005765DD" w:rsidRPr="005765DD" w:rsidRDefault="005765DD" w:rsidP="005765DD">
                      <w:pPr>
                        <w:spacing w:line="276" w:lineRule="auto"/>
                        <w:rPr>
                          <w:rFonts w:asciiTheme="majorHAnsi" w:hAnsiTheme="majorHAnsi" w:cs="Arial"/>
                          <w:b/>
                          <w:bCs/>
                          <w:color w:val="0D0D0D" w:themeColor="text1" w:themeTint="F2"/>
                          <w:sz w:val="36"/>
                          <w:szCs w:val="22"/>
                          <w:lang w:val="en-GB"/>
                        </w:rPr>
                      </w:pPr>
                      <w:r w:rsidRPr="005765DD">
                        <w:rPr>
                          <w:rFonts w:asciiTheme="majorHAnsi" w:hAnsiTheme="majorHAnsi" w:cs="Arial"/>
                          <w:b/>
                          <w:bCs/>
                          <w:color w:val="0D0D0D" w:themeColor="text1" w:themeTint="F2"/>
                          <w:sz w:val="36"/>
                          <w:szCs w:val="22"/>
                          <w:lang w:val="en-GB"/>
                        </w:rPr>
                        <w:t xml:space="preserve">REPORT No. </w:t>
                      </w:r>
                      <w:r w:rsidR="002C4C47">
                        <w:rPr>
                          <w:rFonts w:asciiTheme="majorHAnsi" w:hAnsiTheme="majorHAnsi" w:cs="Arial"/>
                          <w:b/>
                          <w:bCs/>
                          <w:color w:val="0D0D0D" w:themeColor="text1" w:themeTint="F2"/>
                          <w:sz w:val="36"/>
                          <w:szCs w:val="22"/>
                          <w:lang w:val="en-GB"/>
                        </w:rPr>
                        <w:t>163</w:t>
                      </w:r>
                      <w:r w:rsidRPr="005765DD">
                        <w:rPr>
                          <w:rFonts w:asciiTheme="majorHAnsi" w:hAnsiTheme="majorHAnsi" w:cs="Arial"/>
                          <w:b/>
                          <w:bCs/>
                          <w:color w:val="0D0D0D" w:themeColor="text1" w:themeTint="F2"/>
                          <w:sz w:val="36"/>
                          <w:szCs w:val="22"/>
                          <w:lang w:val="en-GB"/>
                        </w:rPr>
                        <w:t>/17</w:t>
                      </w:r>
                    </w:p>
                    <w:p w14:paraId="7F5970C7" w14:textId="77777777" w:rsidR="005765DD" w:rsidRPr="005765DD" w:rsidRDefault="005765DD" w:rsidP="005765DD">
                      <w:pPr>
                        <w:spacing w:line="276" w:lineRule="auto"/>
                        <w:rPr>
                          <w:rFonts w:asciiTheme="majorHAnsi" w:hAnsiTheme="majorHAnsi" w:cs="Arial"/>
                          <w:b/>
                          <w:color w:val="0D0D0D" w:themeColor="text1" w:themeTint="F2"/>
                          <w:sz w:val="36"/>
                          <w:szCs w:val="22"/>
                          <w:lang w:val="en-GB"/>
                        </w:rPr>
                      </w:pPr>
                      <w:r w:rsidRPr="005765DD">
                        <w:rPr>
                          <w:rFonts w:asciiTheme="majorHAnsi" w:hAnsiTheme="majorHAnsi" w:cs="Arial"/>
                          <w:b/>
                          <w:color w:val="0D0D0D" w:themeColor="text1" w:themeTint="F2"/>
                          <w:sz w:val="36"/>
                          <w:szCs w:val="22"/>
                          <w:lang w:val="en-GB"/>
                        </w:rPr>
                        <w:t>PETITION 1323-07</w:t>
                      </w:r>
                    </w:p>
                    <w:p w14:paraId="25487D2D" w14:textId="77777777" w:rsidR="005765DD" w:rsidRPr="005765DD" w:rsidRDefault="005765DD" w:rsidP="005765DD">
                      <w:pPr>
                        <w:spacing w:line="276" w:lineRule="auto"/>
                        <w:rPr>
                          <w:rFonts w:asciiTheme="majorHAnsi" w:hAnsiTheme="majorHAnsi" w:cs="Arial"/>
                          <w:color w:val="0D0D0D" w:themeColor="text1" w:themeTint="F2"/>
                          <w:szCs w:val="22"/>
                          <w:lang w:val="en-GB"/>
                        </w:rPr>
                      </w:pPr>
                      <w:r w:rsidRPr="005765DD">
                        <w:rPr>
                          <w:rFonts w:asciiTheme="majorHAnsi" w:hAnsiTheme="majorHAnsi" w:cs="Arial"/>
                          <w:color w:val="0D0D0D" w:themeColor="text1" w:themeTint="F2"/>
                          <w:szCs w:val="22"/>
                          <w:lang w:val="en-GB"/>
                        </w:rPr>
                        <w:t xml:space="preserve">REPORT ON ADMISSIBILITY </w:t>
                      </w:r>
                    </w:p>
                    <w:p w14:paraId="68F6FCFD" w14:textId="77777777" w:rsidR="005765DD" w:rsidRPr="005765DD" w:rsidRDefault="005765DD" w:rsidP="005765DD">
                      <w:pPr>
                        <w:spacing w:line="276" w:lineRule="auto"/>
                        <w:rPr>
                          <w:rFonts w:asciiTheme="majorHAnsi" w:hAnsiTheme="majorHAnsi" w:cs="Arial"/>
                          <w:color w:val="0D0D0D" w:themeColor="text1" w:themeTint="F2"/>
                          <w:szCs w:val="22"/>
                          <w:lang w:val="en-GB"/>
                        </w:rPr>
                      </w:pPr>
                      <w:bookmarkStart w:id="1" w:name="_ftnref1"/>
                    </w:p>
                    <w:p w14:paraId="66546759" w14:textId="77777777" w:rsidR="005765DD" w:rsidRPr="00D66BBC" w:rsidRDefault="005765DD" w:rsidP="005765DD">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YNGRIT HERMELINDA GARRO VÁSQUEZ</w:t>
                      </w:r>
                    </w:p>
                    <w:bookmarkEnd w:id="1"/>
                    <w:p w14:paraId="4F0DC1AF" w14:textId="77777777" w:rsidR="005765DD" w:rsidRPr="00D66BBC" w:rsidRDefault="005765DD" w:rsidP="005765DD">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PERU</w:t>
                      </w:r>
                    </w:p>
                    <w:p w14:paraId="5DCC362E" w14:textId="77777777" w:rsidR="005765DD" w:rsidRPr="00D66BBC" w:rsidRDefault="005765DD" w:rsidP="005765DD">
                      <w:pPr>
                        <w:rPr>
                          <w:color w:val="0D0D0D" w:themeColor="text1" w:themeTint="F2"/>
                          <w:lang w:val="es-US"/>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CD8E3A3" w:rsidR="00627C9F" w:rsidRPr="00753647" w:rsidRDefault="009E566A" w:rsidP="009E566A">
                            <w:pPr>
                              <w:jc w:val="right"/>
                              <w:rPr>
                                <w:rFonts w:asciiTheme="minorHAnsi" w:hAnsiTheme="minorHAnsi"/>
                                <w:color w:val="FFFFFF" w:themeColor="background1"/>
                                <w:sz w:val="22"/>
                                <w:lang w:val="pt-BR"/>
                              </w:rPr>
                            </w:pPr>
                            <w:r w:rsidRPr="00753647">
                              <w:rPr>
                                <w:rFonts w:asciiTheme="minorHAnsi" w:hAnsiTheme="minorHAnsi"/>
                                <w:color w:val="FFFFFF" w:themeColor="background1"/>
                                <w:sz w:val="22"/>
                                <w:lang w:val="pt-BR"/>
                              </w:rPr>
                              <w:t>OEA/Ser.L/V/II.1</w:t>
                            </w:r>
                            <w:r w:rsidR="005765DD" w:rsidRPr="00753647">
                              <w:rPr>
                                <w:rFonts w:asciiTheme="minorHAnsi" w:hAnsiTheme="minorHAnsi"/>
                                <w:color w:val="FFFFFF" w:themeColor="background1"/>
                                <w:sz w:val="22"/>
                                <w:lang w:val="pt-BR"/>
                              </w:rPr>
                              <w:t>66</w:t>
                            </w:r>
                          </w:p>
                          <w:p w14:paraId="4AA08A8C" w14:textId="2FD49FC8" w:rsidR="00627C9F" w:rsidRPr="00753647" w:rsidRDefault="00CA6577" w:rsidP="009E566A">
                            <w:pPr>
                              <w:jc w:val="right"/>
                              <w:rPr>
                                <w:rFonts w:asciiTheme="minorHAnsi" w:hAnsiTheme="minorHAnsi"/>
                                <w:color w:val="FFFFFF" w:themeColor="background1"/>
                                <w:sz w:val="22"/>
                                <w:lang w:val="pt-BR"/>
                              </w:rPr>
                            </w:pPr>
                            <w:r w:rsidRPr="00753647">
                              <w:rPr>
                                <w:rFonts w:asciiTheme="minorHAnsi" w:hAnsiTheme="minorHAnsi"/>
                                <w:color w:val="FFFFFF" w:themeColor="background1"/>
                                <w:sz w:val="22"/>
                                <w:lang w:val="pt-BR"/>
                              </w:rPr>
                              <w:t xml:space="preserve">Doc. </w:t>
                            </w:r>
                            <w:r w:rsidR="002C4C47">
                              <w:rPr>
                                <w:rFonts w:asciiTheme="minorHAnsi" w:hAnsiTheme="minorHAnsi"/>
                                <w:color w:val="FFFFFF" w:themeColor="background1"/>
                                <w:sz w:val="22"/>
                                <w:lang w:val="pt-BR"/>
                              </w:rPr>
                              <w:t>194</w:t>
                            </w:r>
                          </w:p>
                          <w:p w14:paraId="0BEFF61A" w14:textId="1075B2EC" w:rsidR="00627C9F" w:rsidRPr="00753647" w:rsidRDefault="002C4C47"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30</w:t>
                            </w:r>
                            <w:r w:rsidR="000D2F05" w:rsidRPr="000D2F05">
                              <w:rPr>
                                <w:rFonts w:asciiTheme="minorHAnsi" w:hAnsiTheme="minorHAnsi"/>
                                <w:color w:val="FFFFFF" w:themeColor="background1"/>
                                <w:sz w:val="22"/>
                                <w:lang w:val="pt-BR"/>
                              </w:rPr>
                              <w:t xml:space="preserve"> </w:t>
                            </w:r>
                            <w:r w:rsidR="000D2F05">
                              <w:rPr>
                                <w:rFonts w:asciiTheme="minorHAnsi" w:hAnsiTheme="minorHAnsi"/>
                                <w:color w:val="FFFFFF" w:themeColor="background1"/>
                                <w:sz w:val="22"/>
                                <w:lang w:val="pt-BR"/>
                              </w:rPr>
                              <w:t>November</w:t>
                            </w:r>
                            <w:r w:rsidR="000C4365" w:rsidRPr="00753647">
                              <w:rPr>
                                <w:rFonts w:asciiTheme="minorHAnsi" w:hAnsiTheme="minorHAnsi"/>
                                <w:color w:val="FFFFFF" w:themeColor="background1"/>
                                <w:sz w:val="22"/>
                              </w:rPr>
                              <w:t xml:space="preserve"> </w:t>
                            </w:r>
                            <w:r w:rsidR="00F42B71" w:rsidRPr="00753647">
                              <w:rPr>
                                <w:rFonts w:asciiTheme="minorHAnsi" w:hAnsiTheme="minorHAnsi"/>
                                <w:color w:val="FFFFFF" w:themeColor="background1"/>
                                <w:sz w:val="22"/>
                              </w:rPr>
                              <w:t>20</w:t>
                            </w:r>
                            <w:r w:rsidR="005765DD" w:rsidRPr="00753647">
                              <w:rPr>
                                <w:rFonts w:asciiTheme="minorHAnsi" w:hAnsiTheme="minorHAnsi"/>
                                <w:color w:val="FFFFFF" w:themeColor="background1"/>
                                <w:sz w:val="22"/>
                              </w:rPr>
                              <w:t>17</w:t>
                            </w:r>
                          </w:p>
                          <w:p w14:paraId="0FC103BD" w14:textId="67024EE5" w:rsidR="00627C9F" w:rsidRPr="00753647" w:rsidRDefault="00627C9F" w:rsidP="009E566A">
                            <w:pPr>
                              <w:jc w:val="right"/>
                              <w:rPr>
                                <w:rFonts w:asciiTheme="minorHAnsi" w:hAnsiTheme="minorHAnsi"/>
                                <w:color w:val="FFFFFF" w:themeColor="background1"/>
                                <w:sz w:val="22"/>
                              </w:rPr>
                            </w:pPr>
                            <w:r w:rsidRPr="00753647">
                              <w:rPr>
                                <w:rFonts w:asciiTheme="minorHAnsi" w:hAnsiTheme="minorHAnsi"/>
                                <w:color w:val="FFFFFF" w:themeColor="background1"/>
                                <w:sz w:val="22"/>
                              </w:rPr>
                              <w:t>Original:</w:t>
                            </w:r>
                            <w:r w:rsidR="002C1641" w:rsidRPr="00753647">
                              <w:rPr>
                                <w:rFonts w:asciiTheme="minorHAnsi" w:hAnsiTheme="minorHAnsi"/>
                                <w:color w:val="FFFFFF" w:themeColor="background1"/>
                                <w:sz w:val="22"/>
                              </w:rPr>
                              <w:t xml:space="preserve"> </w:t>
                            </w:r>
                            <w:r w:rsidR="00F42B71" w:rsidRPr="0075364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CD8E3A3" w:rsidR="00627C9F" w:rsidRPr="00753647" w:rsidRDefault="009E566A" w:rsidP="009E566A">
                      <w:pPr>
                        <w:jc w:val="right"/>
                        <w:rPr>
                          <w:rFonts w:asciiTheme="minorHAnsi" w:hAnsiTheme="minorHAnsi"/>
                          <w:color w:val="FFFFFF" w:themeColor="background1"/>
                          <w:sz w:val="22"/>
                          <w:lang w:val="pt-BR"/>
                        </w:rPr>
                      </w:pPr>
                      <w:r w:rsidRPr="00753647">
                        <w:rPr>
                          <w:rFonts w:asciiTheme="minorHAnsi" w:hAnsiTheme="minorHAnsi"/>
                          <w:color w:val="FFFFFF" w:themeColor="background1"/>
                          <w:sz w:val="22"/>
                          <w:lang w:val="pt-BR"/>
                        </w:rPr>
                        <w:t>OEA/Ser.L/V/II.1</w:t>
                      </w:r>
                      <w:r w:rsidR="005765DD" w:rsidRPr="00753647">
                        <w:rPr>
                          <w:rFonts w:asciiTheme="minorHAnsi" w:hAnsiTheme="minorHAnsi"/>
                          <w:color w:val="FFFFFF" w:themeColor="background1"/>
                          <w:sz w:val="22"/>
                          <w:lang w:val="pt-BR"/>
                        </w:rPr>
                        <w:t>66</w:t>
                      </w:r>
                    </w:p>
                    <w:p w14:paraId="4AA08A8C" w14:textId="2FD49FC8" w:rsidR="00627C9F" w:rsidRPr="00753647" w:rsidRDefault="00CA6577" w:rsidP="009E566A">
                      <w:pPr>
                        <w:jc w:val="right"/>
                        <w:rPr>
                          <w:rFonts w:asciiTheme="minorHAnsi" w:hAnsiTheme="minorHAnsi"/>
                          <w:color w:val="FFFFFF" w:themeColor="background1"/>
                          <w:sz w:val="22"/>
                          <w:lang w:val="pt-BR"/>
                        </w:rPr>
                      </w:pPr>
                      <w:r w:rsidRPr="00753647">
                        <w:rPr>
                          <w:rFonts w:asciiTheme="minorHAnsi" w:hAnsiTheme="minorHAnsi"/>
                          <w:color w:val="FFFFFF" w:themeColor="background1"/>
                          <w:sz w:val="22"/>
                          <w:lang w:val="pt-BR"/>
                        </w:rPr>
                        <w:t xml:space="preserve">Doc. </w:t>
                      </w:r>
                      <w:r w:rsidR="002C4C47">
                        <w:rPr>
                          <w:rFonts w:asciiTheme="minorHAnsi" w:hAnsiTheme="minorHAnsi"/>
                          <w:color w:val="FFFFFF" w:themeColor="background1"/>
                          <w:sz w:val="22"/>
                          <w:lang w:val="pt-BR"/>
                        </w:rPr>
                        <w:t>194</w:t>
                      </w:r>
                    </w:p>
                    <w:p w14:paraId="0BEFF61A" w14:textId="1075B2EC" w:rsidR="00627C9F" w:rsidRPr="00753647" w:rsidRDefault="002C4C47"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30</w:t>
                      </w:r>
                      <w:r w:rsidR="000D2F05" w:rsidRPr="000D2F05">
                        <w:rPr>
                          <w:rFonts w:asciiTheme="minorHAnsi" w:hAnsiTheme="minorHAnsi"/>
                          <w:color w:val="FFFFFF" w:themeColor="background1"/>
                          <w:sz w:val="22"/>
                          <w:lang w:val="pt-BR"/>
                        </w:rPr>
                        <w:t xml:space="preserve"> </w:t>
                      </w:r>
                      <w:r w:rsidR="000D2F05">
                        <w:rPr>
                          <w:rFonts w:asciiTheme="minorHAnsi" w:hAnsiTheme="minorHAnsi"/>
                          <w:color w:val="FFFFFF" w:themeColor="background1"/>
                          <w:sz w:val="22"/>
                          <w:lang w:val="pt-BR"/>
                        </w:rPr>
                        <w:t>November</w:t>
                      </w:r>
                      <w:r w:rsidR="000C4365" w:rsidRPr="00753647">
                        <w:rPr>
                          <w:rFonts w:asciiTheme="minorHAnsi" w:hAnsiTheme="minorHAnsi"/>
                          <w:color w:val="FFFFFF" w:themeColor="background1"/>
                          <w:sz w:val="22"/>
                        </w:rPr>
                        <w:t xml:space="preserve"> </w:t>
                      </w:r>
                      <w:r w:rsidR="00F42B71" w:rsidRPr="00753647">
                        <w:rPr>
                          <w:rFonts w:asciiTheme="minorHAnsi" w:hAnsiTheme="minorHAnsi"/>
                          <w:color w:val="FFFFFF" w:themeColor="background1"/>
                          <w:sz w:val="22"/>
                        </w:rPr>
                        <w:t>20</w:t>
                      </w:r>
                      <w:r w:rsidR="005765DD" w:rsidRPr="00753647">
                        <w:rPr>
                          <w:rFonts w:asciiTheme="minorHAnsi" w:hAnsiTheme="minorHAnsi"/>
                          <w:color w:val="FFFFFF" w:themeColor="background1"/>
                          <w:sz w:val="22"/>
                        </w:rPr>
                        <w:t>17</w:t>
                      </w:r>
                    </w:p>
                    <w:p w14:paraId="0FC103BD" w14:textId="67024EE5" w:rsidR="00627C9F" w:rsidRPr="00753647" w:rsidRDefault="00627C9F" w:rsidP="009E566A">
                      <w:pPr>
                        <w:jc w:val="right"/>
                        <w:rPr>
                          <w:rFonts w:asciiTheme="minorHAnsi" w:hAnsiTheme="minorHAnsi"/>
                          <w:color w:val="FFFFFF" w:themeColor="background1"/>
                          <w:sz w:val="22"/>
                        </w:rPr>
                      </w:pPr>
                      <w:r w:rsidRPr="00753647">
                        <w:rPr>
                          <w:rFonts w:asciiTheme="minorHAnsi" w:hAnsiTheme="minorHAnsi"/>
                          <w:color w:val="FFFFFF" w:themeColor="background1"/>
                          <w:sz w:val="22"/>
                        </w:rPr>
                        <w:t>Original:</w:t>
                      </w:r>
                      <w:r w:rsidR="002C1641" w:rsidRPr="00753647">
                        <w:rPr>
                          <w:rFonts w:asciiTheme="minorHAnsi" w:hAnsiTheme="minorHAnsi"/>
                          <w:color w:val="FFFFFF" w:themeColor="background1"/>
                          <w:sz w:val="22"/>
                        </w:rPr>
                        <w:t xml:space="preserve"> </w:t>
                      </w:r>
                      <w:r w:rsidR="00F42B71" w:rsidRPr="00753647">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FE91580"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2C4C47">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2C4C47">
                              <w:rPr>
                                <w:rFonts w:asciiTheme="majorHAnsi" w:hAnsiTheme="majorHAnsi"/>
                                <w:color w:val="0D0D0D" w:themeColor="text1" w:themeTint="F2"/>
                                <w:sz w:val="18"/>
                                <w:szCs w:val="20"/>
                              </w:rPr>
                              <w:t>November 30, 2017</w:t>
                            </w:r>
                            <w:r w:rsidR="000D2F0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2C4C47">
                              <w:rPr>
                                <w:rFonts w:asciiTheme="majorHAnsi" w:hAnsiTheme="majorHAnsi" w:cs="Univers"/>
                                <w:color w:val="0D0D0D" w:themeColor="text1" w:themeTint="F2"/>
                                <w:sz w:val="18"/>
                                <w:szCs w:val="20"/>
                              </w:rPr>
                              <w:t>166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2C4C47">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D2F05">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3FE91580"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2C4C47">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2C4C47">
                        <w:rPr>
                          <w:rFonts w:asciiTheme="majorHAnsi" w:hAnsiTheme="majorHAnsi"/>
                          <w:color w:val="0D0D0D" w:themeColor="text1" w:themeTint="F2"/>
                          <w:sz w:val="18"/>
                          <w:szCs w:val="20"/>
                        </w:rPr>
                        <w:t>November 30, 2017</w:t>
                      </w:r>
                      <w:r w:rsidR="000D2F0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2C4C47">
                        <w:rPr>
                          <w:rFonts w:asciiTheme="majorHAnsi" w:hAnsiTheme="majorHAnsi" w:cs="Univers"/>
                          <w:color w:val="0D0D0D" w:themeColor="text1" w:themeTint="F2"/>
                          <w:sz w:val="18"/>
                          <w:szCs w:val="20"/>
                        </w:rPr>
                        <w:t>166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2C4C47">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D2F05">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35442" w14:textId="34D78109" w:rsidR="001B1522" w:rsidRPr="008D58D4" w:rsidRDefault="001B1522" w:rsidP="001B1522">
                            <w:pPr>
                              <w:spacing w:line="276" w:lineRule="auto"/>
                              <w:rPr>
                                <w:rFonts w:asciiTheme="majorHAnsi" w:hAnsiTheme="majorHAnsi"/>
                                <w:color w:val="595959" w:themeColor="text1" w:themeTint="A6"/>
                                <w:sz w:val="18"/>
                                <w:szCs w:val="18"/>
                                <w:lang w:val="es-ES"/>
                              </w:rPr>
                            </w:pPr>
                            <w:r w:rsidRPr="00541BCC">
                              <w:rPr>
                                <w:rFonts w:asciiTheme="majorHAnsi" w:hAnsiTheme="majorHAnsi"/>
                                <w:b/>
                                <w:color w:val="595959" w:themeColor="text1" w:themeTint="A6"/>
                                <w:sz w:val="18"/>
                                <w:szCs w:val="18"/>
                                <w:lang w:val="pt-BR"/>
                              </w:rPr>
                              <w:t>Cite as:</w:t>
                            </w:r>
                            <w:r w:rsidRPr="00541BCC">
                              <w:rPr>
                                <w:rFonts w:asciiTheme="majorHAnsi" w:hAnsiTheme="majorHAnsi"/>
                                <w:color w:val="595959" w:themeColor="text1" w:themeTint="A6"/>
                                <w:sz w:val="18"/>
                                <w:szCs w:val="18"/>
                                <w:lang w:val="pt-BR"/>
                              </w:rPr>
                              <w:t xml:space="preserve"> IACHR, Report No. </w:t>
                            </w:r>
                            <w:r w:rsidR="002C4C47" w:rsidRPr="00541BCC">
                              <w:rPr>
                                <w:rFonts w:asciiTheme="majorHAnsi" w:hAnsiTheme="majorHAnsi"/>
                                <w:color w:val="595959" w:themeColor="text1" w:themeTint="A6"/>
                                <w:sz w:val="18"/>
                                <w:szCs w:val="18"/>
                                <w:lang w:val="pt-BR"/>
                              </w:rPr>
                              <w:t>163</w:t>
                            </w:r>
                            <w:r w:rsidRPr="00541BCC">
                              <w:rPr>
                                <w:rFonts w:asciiTheme="majorHAnsi" w:hAnsiTheme="majorHAnsi"/>
                                <w:color w:val="595959" w:themeColor="text1" w:themeTint="A6"/>
                                <w:sz w:val="18"/>
                                <w:szCs w:val="18"/>
                                <w:lang w:val="pt-BR"/>
                              </w:rPr>
                              <w:t xml:space="preserve">/17. </w:t>
                            </w:r>
                            <w:r w:rsidRPr="008D58D4">
                              <w:rPr>
                                <w:rFonts w:asciiTheme="majorHAnsi" w:hAnsiTheme="majorHAnsi"/>
                                <w:color w:val="595959" w:themeColor="text1" w:themeTint="A6"/>
                                <w:sz w:val="18"/>
                                <w:szCs w:val="18"/>
                                <w:lang w:val="pt-BR"/>
                              </w:rPr>
                              <w:t xml:space="preserve">Admissibility. Yngrit Hermelinda Garro Vásquez. Peru. </w:t>
                            </w:r>
                            <w:r w:rsidR="002C4C47">
                              <w:rPr>
                                <w:rFonts w:asciiTheme="majorHAnsi" w:hAnsiTheme="majorHAnsi"/>
                                <w:color w:val="595959" w:themeColor="text1" w:themeTint="A6"/>
                                <w:sz w:val="18"/>
                                <w:szCs w:val="18"/>
                                <w:lang w:val="pt-BR"/>
                              </w:rPr>
                              <w:t>November 30, 2017</w:t>
                            </w:r>
                            <w:r w:rsidRPr="008D58D4">
                              <w:rPr>
                                <w:rFonts w:asciiTheme="majorHAnsi" w:hAnsiTheme="majorHAnsi"/>
                                <w:color w:val="595959" w:themeColor="text1" w:themeTint="A6"/>
                                <w:sz w:val="18"/>
                                <w:szCs w:val="18"/>
                                <w:lang w:val="pt-BR"/>
                              </w:rPr>
                              <w:t>.</w:t>
                            </w:r>
                          </w:p>
                          <w:p w14:paraId="0126B579" w14:textId="3919A673"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8135442" w14:textId="34D78109" w:rsidR="001B1522" w:rsidRPr="008D58D4" w:rsidRDefault="001B1522" w:rsidP="001B1522">
                      <w:pPr>
                        <w:spacing w:line="276" w:lineRule="auto"/>
                        <w:rPr>
                          <w:rFonts w:asciiTheme="majorHAnsi" w:hAnsiTheme="majorHAnsi"/>
                          <w:color w:val="595959" w:themeColor="text1" w:themeTint="A6"/>
                          <w:sz w:val="18"/>
                          <w:szCs w:val="18"/>
                          <w:lang w:val="es-ES"/>
                        </w:rPr>
                      </w:pPr>
                      <w:r w:rsidRPr="001B1522">
                        <w:rPr>
                          <w:rFonts w:asciiTheme="majorHAnsi" w:hAnsiTheme="majorHAnsi"/>
                          <w:b/>
                          <w:color w:val="595959" w:themeColor="text1" w:themeTint="A6"/>
                          <w:sz w:val="18"/>
                          <w:szCs w:val="18"/>
                          <w:lang w:val="en-GB"/>
                        </w:rPr>
                        <w:t>Cite as:</w:t>
                      </w:r>
                      <w:r w:rsidRPr="008D58D4">
                        <w:rPr>
                          <w:rFonts w:asciiTheme="majorHAnsi" w:hAnsiTheme="majorHAnsi"/>
                          <w:color w:val="595959" w:themeColor="text1" w:themeTint="A6"/>
                          <w:sz w:val="18"/>
                          <w:szCs w:val="18"/>
                          <w:lang w:val="en-GB"/>
                        </w:rPr>
                        <w:t xml:space="preserve"> IACHR, Report No. </w:t>
                      </w:r>
                      <w:r w:rsidR="002C4C47">
                        <w:rPr>
                          <w:rFonts w:asciiTheme="majorHAnsi" w:hAnsiTheme="majorHAnsi"/>
                          <w:color w:val="595959" w:themeColor="text1" w:themeTint="A6"/>
                          <w:sz w:val="18"/>
                          <w:szCs w:val="18"/>
                        </w:rPr>
                        <w:t>163</w:t>
                      </w:r>
                      <w:r w:rsidRPr="00753647">
                        <w:rPr>
                          <w:rFonts w:asciiTheme="majorHAnsi" w:hAnsiTheme="majorHAnsi"/>
                          <w:color w:val="595959" w:themeColor="text1" w:themeTint="A6"/>
                          <w:sz w:val="18"/>
                          <w:szCs w:val="18"/>
                        </w:rPr>
                        <w:t xml:space="preserve">/17. </w:t>
                      </w:r>
                      <w:r w:rsidRPr="008D58D4">
                        <w:rPr>
                          <w:rFonts w:asciiTheme="majorHAnsi" w:hAnsiTheme="majorHAnsi"/>
                          <w:color w:val="595959" w:themeColor="text1" w:themeTint="A6"/>
                          <w:sz w:val="18"/>
                          <w:szCs w:val="18"/>
                          <w:lang w:val="pt-BR"/>
                        </w:rPr>
                        <w:t xml:space="preserve">Admissibility. Yngrit Hermelinda Garro Vásquez. Peru. </w:t>
                      </w:r>
                      <w:r w:rsidR="002C4C47">
                        <w:rPr>
                          <w:rFonts w:asciiTheme="majorHAnsi" w:hAnsiTheme="majorHAnsi"/>
                          <w:color w:val="595959" w:themeColor="text1" w:themeTint="A6"/>
                          <w:sz w:val="18"/>
                          <w:szCs w:val="18"/>
                          <w:lang w:val="pt-BR"/>
                        </w:rPr>
                        <w:t>November 30, 2017</w:t>
                      </w:r>
                      <w:r w:rsidRPr="008D58D4">
                        <w:rPr>
                          <w:rFonts w:asciiTheme="majorHAnsi" w:hAnsiTheme="majorHAnsi"/>
                          <w:color w:val="595959" w:themeColor="text1" w:themeTint="A6"/>
                          <w:sz w:val="18"/>
                          <w:szCs w:val="18"/>
                          <w:lang w:val="pt-BR"/>
                        </w:rPr>
                        <w:t>.</w:t>
                      </w:r>
                    </w:p>
                    <w:p w14:paraId="0126B579" w14:textId="3919A673"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E6BA619" w14:textId="52FCD30F" w:rsidR="001B1522" w:rsidRPr="00C259CD" w:rsidRDefault="001B1522" w:rsidP="001B1522">
      <w:pPr>
        <w:tabs>
          <w:tab w:val="center" w:pos="5400"/>
        </w:tabs>
        <w:suppressAutoHyphens/>
        <w:spacing w:line="276" w:lineRule="auto"/>
        <w:jc w:val="center"/>
        <w:rPr>
          <w:rFonts w:asciiTheme="majorHAnsi" w:hAnsiTheme="majorHAnsi"/>
          <w:b/>
          <w:sz w:val="20"/>
          <w:szCs w:val="20"/>
        </w:rPr>
      </w:pPr>
      <w:r w:rsidRPr="00C259CD">
        <w:rPr>
          <w:rFonts w:asciiTheme="majorHAnsi" w:hAnsiTheme="majorHAnsi"/>
          <w:b/>
          <w:sz w:val="20"/>
          <w:szCs w:val="20"/>
        </w:rPr>
        <w:lastRenderedPageBreak/>
        <w:t xml:space="preserve">REPORT No. </w:t>
      </w:r>
      <w:r w:rsidR="002C4C47">
        <w:rPr>
          <w:rFonts w:asciiTheme="majorHAnsi" w:hAnsiTheme="majorHAnsi"/>
          <w:b/>
          <w:sz w:val="20"/>
          <w:szCs w:val="20"/>
        </w:rPr>
        <w:t>163</w:t>
      </w:r>
      <w:r w:rsidRPr="00C259CD">
        <w:rPr>
          <w:rFonts w:asciiTheme="majorHAnsi" w:hAnsiTheme="majorHAnsi"/>
          <w:b/>
          <w:sz w:val="20"/>
          <w:szCs w:val="20"/>
        </w:rPr>
        <w:t>/17</w:t>
      </w:r>
      <w:r w:rsidRPr="00C259CD">
        <w:rPr>
          <w:rStyle w:val="FootnoteReference"/>
          <w:rFonts w:asciiTheme="majorHAnsi" w:hAnsiTheme="majorHAnsi"/>
          <w:b/>
          <w:sz w:val="20"/>
          <w:szCs w:val="20"/>
        </w:rPr>
        <w:footnoteReference w:id="2"/>
      </w:r>
    </w:p>
    <w:p w14:paraId="12CFE0EE" w14:textId="77777777" w:rsidR="001B1522" w:rsidRPr="00C259CD" w:rsidRDefault="001B1522" w:rsidP="001B1522">
      <w:pPr>
        <w:tabs>
          <w:tab w:val="center" w:pos="5400"/>
        </w:tabs>
        <w:suppressAutoHyphens/>
        <w:spacing w:line="276" w:lineRule="auto"/>
        <w:jc w:val="center"/>
        <w:rPr>
          <w:rFonts w:asciiTheme="majorHAnsi" w:hAnsiTheme="majorHAnsi"/>
          <w:b/>
          <w:sz w:val="20"/>
          <w:szCs w:val="20"/>
        </w:rPr>
      </w:pPr>
      <w:r w:rsidRPr="00C259CD">
        <w:rPr>
          <w:rFonts w:asciiTheme="majorHAnsi" w:hAnsiTheme="majorHAnsi"/>
          <w:b/>
          <w:sz w:val="20"/>
          <w:szCs w:val="20"/>
        </w:rPr>
        <w:t xml:space="preserve">PETITION 1323-07 </w:t>
      </w:r>
    </w:p>
    <w:p w14:paraId="4BF4C7C0" w14:textId="77777777" w:rsidR="001B1522" w:rsidRPr="00C259CD" w:rsidRDefault="001B1522" w:rsidP="001B1522">
      <w:pPr>
        <w:tabs>
          <w:tab w:val="center" w:pos="5400"/>
        </w:tabs>
        <w:suppressAutoHyphens/>
        <w:spacing w:line="276" w:lineRule="auto"/>
        <w:jc w:val="center"/>
        <w:rPr>
          <w:rFonts w:asciiTheme="majorHAnsi" w:hAnsiTheme="majorHAnsi"/>
          <w:sz w:val="20"/>
          <w:szCs w:val="20"/>
        </w:rPr>
      </w:pPr>
      <w:r w:rsidRPr="00C259CD">
        <w:rPr>
          <w:rFonts w:asciiTheme="majorHAnsi" w:hAnsiTheme="majorHAnsi"/>
          <w:sz w:val="20"/>
          <w:szCs w:val="20"/>
        </w:rPr>
        <w:t>REPORT ON ADMISSIBILITY</w:t>
      </w:r>
    </w:p>
    <w:p w14:paraId="08A000EC" w14:textId="77777777" w:rsidR="001B1522" w:rsidRPr="00753647" w:rsidRDefault="001B1522" w:rsidP="001B1522">
      <w:pPr>
        <w:tabs>
          <w:tab w:val="center" w:pos="5400"/>
        </w:tabs>
        <w:suppressAutoHyphens/>
        <w:spacing w:line="276" w:lineRule="auto"/>
        <w:jc w:val="center"/>
        <w:rPr>
          <w:rFonts w:asciiTheme="majorHAnsi" w:hAnsiTheme="majorHAnsi"/>
          <w:sz w:val="20"/>
          <w:szCs w:val="20"/>
          <w:lang w:val="pt-BR"/>
        </w:rPr>
      </w:pPr>
      <w:r w:rsidRPr="00753647">
        <w:rPr>
          <w:rFonts w:asciiTheme="majorHAnsi" w:hAnsiTheme="majorHAnsi"/>
          <w:sz w:val="20"/>
          <w:szCs w:val="20"/>
          <w:lang w:val="pt-BR"/>
        </w:rPr>
        <w:t>YNGRIT HERMELINDA GARRO VÁSQUEZ</w:t>
      </w:r>
    </w:p>
    <w:p w14:paraId="7D500DFC" w14:textId="77777777" w:rsidR="001B1522" w:rsidRPr="00753647" w:rsidRDefault="001B1522" w:rsidP="001B1522">
      <w:pPr>
        <w:tabs>
          <w:tab w:val="center" w:pos="5400"/>
        </w:tabs>
        <w:suppressAutoHyphens/>
        <w:spacing w:line="276" w:lineRule="auto"/>
        <w:jc w:val="center"/>
        <w:rPr>
          <w:rFonts w:asciiTheme="majorHAnsi" w:hAnsiTheme="majorHAnsi"/>
          <w:sz w:val="20"/>
          <w:szCs w:val="20"/>
          <w:lang w:val="pt-BR"/>
        </w:rPr>
      </w:pPr>
      <w:r w:rsidRPr="00753647">
        <w:rPr>
          <w:rFonts w:asciiTheme="majorHAnsi" w:hAnsiTheme="majorHAnsi"/>
          <w:sz w:val="20"/>
          <w:szCs w:val="20"/>
          <w:lang w:val="pt-BR"/>
        </w:rPr>
        <w:t>PERU</w:t>
      </w:r>
    </w:p>
    <w:p w14:paraId="1D7793C5" w14:textId="61EE2C6F" w:rsidR="00F621C3" w:rsidRPr="00753647" w:rsidRDefault="002C4C47" w:rsidP="001B1522">
      <w:pPr>
        <w:tabs>
          <w:tab w:val="center" w:pos="5400"/>
        </w:tabs>
        <w:suppressAutoHyphens/>
        <w:spacing w:line="276" w:lineRule="auto"/>
        <w:jc w:val="center"/>
        <w:rPr>
          <w:rFonts w:asciiTheme="majorHAnsi" w:hAnsiTheme="majorHAnsi"/>
          <w:sz w:val="20"/>
          <w:szCs w:val="20"/>
          <w:lang w:val="pt-BR"/>
        </w:rPr>
      </w:pPr>
      <w:r>
        <w:rPr>
          <w:rFonts w:asciiTheme="majorHAnsi" w:hAnsiTheme="majorHAnsi"/>
          <w:sz w:val="20"/>
          <w:szCs w:val="20"/>
          <w:lang w:val="pt-BR"/>
        </w:rPr>
        <w:t>NOVEMBER 30, 2017</w:t>
      </w:r>
    </w:p>
    <w:p w14:paraId="7FE328CE" w14:textId="77777777" w:rsidR="001B1522" w:rsidRDefault="001B1522" w:rsidP="001B1522">
      <w:pPr>
        <w:tabs>
          <w:tab w:val="center" w:pos="5400"/>
        </w:tabs>
        <w:suppressAutoHyphens/>
        <w:spacing w:line="276" w:lineRule="auto"/>
        <w:jc w:val="center"/>
        <w:rPr>
          <w:rFonts w:asciiTheme="majorHAnsi" w:hAnsiTheme="majorHAnsi"/>
          <w:sz w:val="20"/>
          <w:szCs w:val="20"/>
          <w:lang w:val="pt-BR"/>
        </w:rPr>
      </w:pPr>
    </w:p>
    <w:p w14:paraId="092B7804" w14:textId="77777777" w:rsidR="002C4C47" w:rsidRDefault="002C4C47" w:rsidP="001B1522">
      <w:pPr>
        <w:tabs>
          <w:tab w:val="center" w:pos="5400"/>
        </w:tabs>
        <w:suppressAutoHyphens/>
        <w:spacing w:line="276" w:lineRule="auto"/>
        <w:jc w:val="center"/>
        <w:rPr>
          <w:rFonts w:asciiTheme="majorHAnsi" w:hAnsiTheme="majorHAnsi"/>
          <w:sz w:val="20"/>
          <w:szCs w:val="20"/>
          <w:lang w:val="pt-BR"/>
        </w:rPr>
      </w:pPr>
    </w:p>
    <w:p w14:paraId="63A7F530" w14:textId="77777777" w:rsidR="002C4C47" w:rsidRPr="00753647" w:rsidRDefault="002C4C47" w:rsidP="001B1522">
      <w:pPr>
        <w:tabs>
          <w:tab w:val="center" w:pos="5400"/>
        </w:tabs>
        <w:suppressAutoHyphens/>
        <w:spacing w:line="276" w:lineRule="auto"/>
        <w:jc w:val="center"/>
        <w:rPr>
          <w:rFonts w:asciiTheme="majorHAnsi" w:hAnsiTheme="majorHAnsi"/>
          <w:sz w:val="20"/>
          <w:szCs w:val="20"/>
          <w:lang w:val="pt-BR"/>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86301" w:rsidRPr="000B6B7A" w14:paraId="491E8196" w14:textId="77777777" w:rsidTr="00586301">
        <w:tc>
          <w:tcPr>
            <w:tcW w:w="4680" w:type="dxa"/>
            <w:tcBorders>
              <w:top w:val="single" w:sz="4" w:space="0" w:color="auto"/>
              <w:bottom w:val="single" w:sz="6" w:space="0" w:color="auto"/>
            </w:tcBorders>
            <w:shd w:val="clear" w:color="auto" w:fill="67AE3C"/>
            <w:vAlign w:val="center"/>
          </w:tcPr>
          <w:p w14:paraId="5524F917" w14:textId="77777777" w:rsidR="00586301" w:rsidRPr="000B6B7A" w:rsidRDefault="0058630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3B2147D1" w14:textId="2483FA50"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Yngrit Hermelinda Garro Vásquez</w:t>
            </w:r>
          </w:p>
        </w:tc>
      </w:tr>
      <w:tr w:rsidR="00586301" w:rsidRPr="000B6B7A" w14:paraId="0F4A57A0" w14:textId="77777777" w:rsidTr="00586301">
        <w:tc>
          <w:tcPr>
            <w:tcW w:w="4680" w:type="dxa"/>
            <w:tcBorders>
              <w:top w:val="single" w:sz="6" w:space="0" w:color="auto"/>
              <w:bottom w:val="single" w:sz="6" w:space="0" w:color="auto"/>
            </w:tcBorders>
            <w:shd w:val="clear" w:color="auto" w:fill="67AE3C"/>
            <w:vAlign w:val="center"/>
          </w:tcPr>
          <w:p w14:paraId="325E239F" w14:textId="69A5A9DE" w:rsidR="00586301" w:rsidRPr="000B6B7A" w:rsidRDefault="002424F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A3F2F130B7245BAB9DA164D770392BA"/>
                </w:placeholder>
                <w:dropDownList>
                  <w:listItem w:value="Choose an item."/>
                  <w:listItem w:displayText="Alleged victim" w:value="Alleged victim"/>
                  <w:listItem w:displayText="Alleged victims" w:value="Alleged victims"/>
                </w:dropDownList>
              </w:sdtPr>
              <w:sdtEndPr/>
              <w:sdtContent>
                <w:r w:rsidR="00586301">
                  <w:rPr>
                    <w:rFonts w:ascii="Cambria" w:hAnsi="Cambria"/>
                    <w:b/>
                    <w:bCs/>
                    <w:color w:val="FFFFFF" w:themeColor="background1"/>
                    <w:sz w:val="20"/>
                    <w:szCs w:val="20"/>
                  </w:rPr>
                  <w:t>Alleged victim</w:t>
                </w:r>
              </w:sdtContent>
            </w:sdt>
            <w:r w:rsidR="00586301" w:rsidRPr="000C4365">
              <w:rPr>
                <w:rFonts w:ascii="Cambria" w:hAnsi="Cambria"/>
                <w:b/>
                <w:bCs/>
                <w:color w:val="FFFFFF" w:themeColor="background1"/>
                <w:sz w:val="20"/>
                <w:szCs w:val="20"/>
              </w:rPr>
              <w:t>:</w:t>
            </w:r>
          </w:p>
        </w:tc>
        <w:tc>
          <w:tcPr>
            <w:tcW w:w="4680" w:type="dxa"/>
            <w:vAlign w:val="center"/>
          </w:tcPr>
          <w:p w14:paraId="0006D02C" w14:textId="76269D6F"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Yngrit Hermelinda Garro Vásquez</w:t>
            </w:r>
          </w:p>
        </w:tc>
      </w:tr>
      <w:tr w:rsidR="00586301" w:rsidRPr="000B6B7A" w14:paraId="067638D2" w14:textId="77777777" w:rsidTr="00586301">
        <w:tc>
          <w:tcPr>
            <w:tcW w:w="4680" w:type="dxa"/>
            <w:tcBorders>
              <w:top w:val="single" w:sz="6" w:space="0" w:color="auto"/>
              <w:bottom w:val="single" w:sz="6" w:space="0" w:color="auto"/>
            </w:tcBorders>
            <w:shd w:val="clear" w:color="auto" w:fill="67AE3C"/>
            <w:vAlign w:val="center"/>
          </w:tcPr>
          <w:p w14:paraId="32104528" w14:textId="77777777" w:rsidR="00586301" w:rsidRPr="000B6B7A" w:rsidRDefault="0058630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0B880B68" w14:textId="4272AB60"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Peru</w:t>
            </w:r>
          </w:p>
        </w:tc>
      </w:tr>
      <w:tr w:rsidR="00586301" w:rsidRPr="000B6B7A" w14:paraId="57F2C481" w14:textId="77777777" w:rsidTr="00586301">
        <w:tc>
          <w:tcPr>
            <w:tcW w:w="4680" w:type="dxa"/>
            <w:tcBorders>
              <w:top w:val="single" w:sz="6" w:space="0" w:color="auto"/>
              <w:bottom w:val="single" w:sz="6" w:space="0" w:color="auto"/>
            </w:tcBorders>
            <w:shd w:val="clear" w:color="auto" w:fill="67AE3C"/>
            <w:vAlign w:val="center"/>
          </w:tcPr>
          <w:p w14:paraId="62BEEF4B" w14:textId="52EAAEA3" w:rsidR="00586301" w:rsidRPr="000B6B7A" w:rsidRDefault="0058630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998E3DB" w14:textId="67791CC2"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 xml:space="preserve">Articles 1.1 (Obligation to Respect Rights), 2 (Domestic Legal Effects), 8 (Right to a Fair Trial), 9 (Freedom from </w:t>
            </w:r>
            <w:r w:rsidRPr="00F33CD5">
              <w:rPr>
                <w:rFonts w:asciiTheme="majorHAnsi" w:hAnsiTheme="majorHAnsi"/>
                <w:bCs/>
                <w:i/>
                <w:sz w:val="20"/>
                <w:szCs w:val="20"/>
              </w:rPr>
              <w:t>Ex Post Facto</w:t>
            </w:r>
            <w:r w:rsidRPr="00C259CD">
              <w:rPr>
                <w:rFonts w:asciiTheme="majorHAnsi" w:hAnsiTheme="majorHAnsi"/>
                <w:bCs/>
                <w:sz w:val="20"/>
                <w:szCs w:val="20"/>
              </w:rPr>
              <w:t xml:space="preserve"> Laws), 24 (Equal Protection) and 25 (Judicial Protection) of the American Convention on Human Rights</w:t>
            </w:r>
            <w:r w:rsidRPr="00C259CD">
              <w:rPr>
                <w:rStyle w:val="FootnoteReference"/>
                <w:rFonts w:asciiTheme="majorHAnsi" w:hAnsiTheme="majorHAnsi"/>
                <w:bCs/>
                <w:sz w:val="20"/>
                <w:szCs w:val="20"/>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86301" w:rsidRPr="000B6B7A" w14:paraId="1CAEC3AF" w14:textId="77777777" w:rsidTr="00586301">
        <w:tc>
          <w:tcPr>
            <w:tcW w:w="4680" w:type="dxa"/>
            <w:tcBorders>
              <w:top w:val="single" w:sz="6" w:space="0" w:color="auto"/>
              <w:bottom w:val="single" w:sz="6" w:space="0" w:color="auto"/>
            </w:tcBorders>
            <w:shd w:val="clear" w:color="auto" w:fill="67AE3C"/>
            <w:vAlign w:val="center"/>
          </w:tcPr>
          <w:p w14:paraId="2C2ED774" w14:textId="77777777" w:rsidR="00586301" w:rsidRPr="000B6B7A" w:rsidRDefault="0058630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7D20195D" w14:textId="29473BD0"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October 9, 2007</w:t>
            </w:r>
          </w:p>
        </w:tc>
      </w:tr>
      <w:tr w:rsidR="00586301" w:rsidRPr="000B6B7A" w14:paraId="700E913D" w14:textId="77777777" w:rsidTr="00586301">
        <w:tc>
          <w:tcPr>
            <w:tcW w:w="4680" w:type="dxa"/>
            <w:tcBorders>
              <w:top w:val="single" w:sz="6" w:space="0" w:color="auto"/>
              <w:bottom w:val="single" w:sz="6" w:space="0" w:color="auto"/>
            </w:tcBorders>
            <w:shd w:val="clear" w:color="auto" w:fill="67AE3C"/>
            <w:vAlign w:val="center"/>
          </w:tcPr>
          <w:p w14:paraId="7795D1B9" w14:textId="77777777" w:rsidR="00586301" w:rsidRPr="000B6B7A" w:rsidRDefault="00586301"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0AC51398" w14:textId="2CCE5C0D"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August 21, 2008</w:t>
            </w:r>
          </w:p>
        </w:tc>
      </w:tr>
      <w:tr w:rsidR="00586301" w:rsidRPr="000B6B7A" w14:paraId="7EAB2BD7" w14:textId="77777777" w:rsidTr="00586301">
        <w:tc>
          <w:tcPr>
            <w:tcW w:w="4680" w:type="dxa"/>
            <w:tcBorders>
              <w:top w:val="single" w:sz="6" w:space="0" w:color="auto"/>
              <w:bottom w:val="single" w:sz="6" w:space="0" w:color="auto"/>
            </w:tcBorders>
            <w:shd w:val="clear" w:color="auto" w:fill="67AE3C"/>
            <w:vAlign w:val="center"/>
          </w:tcPr>
          <w:p w14:paraId="79E6B4A9" w14:textId="77777777" w:rsidR="00586301" w:rsidRPr="000B6B7A" w:rsidRDefault="00586301"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5DBE4641" w14:textId="03AE2F20"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August 12, 2011</w:t>
            </w:r>
          </w:p>
        </w:tc>
      </w:tr>
      <w:tr w:rsidR="00586301" w:rsidRPr="000B6B7A" w14:paraId="56560AE1" w14:textId="77777777" w:rsidTr="00586301">
        <w:trPr>
          <w:trHeight w:val="264"/>
        </w:trPr>
        <w:tc>
          <w:tcPr>
            <w:tcW w:w="4680" w:type="dxa"/>
            <w:tcBorders>
              <w:top w:val="single" w:sz="6" w:space="0" w:color="auto"/>
              <w:bottom w:val="single" w:sz="6" w:space="0" w:color="auto"/>
            </w:tcBorders>
            <w:shd w:val="clear" w:color="auto" w:fill="67AE3C"/>
            <w:vAlign w:val="center"/>
          </w:tcPr>
          <w:p w14:paraId="07BDDCA2" w14:textId="77777777" w:rsidR="00586301" w:rsidRPr="000B6B7A" w:rsidRDefault="00586301"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D904521" w14:textId="4C528E47"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December 4, 2014</w:t>
            </w:r>
          </w:p>
        </w:tc>
      </w:tr>
      <w:tr w:rsidR="00586301" w:rsidRPr="000B6B7A" w14:paraId="7A8A8A3C" w14:textId="77777777" w:rsidTr="00586301">
        <w:tc>
          <w:tcPr>
            <w:tcW w:w="4680" w:type="dxa"/>
            <w:tcBorders>
              <w:top w:val="single" w:sz="6" w:space="0" w:color="auto"/>
              <w:bottom w:val="single" w:sz="6" w:space="0" w:color="auto"/>
            </w:tcBorders>
            <w:shd w:val="clear" w:color="auto" w:fill="67AE3C"/>
            <w:vAlign w:val="center"/>
          </w:tcPr>
          <w:p w14:paraId="3DEC3A52" w14:textId="1D48ED1F" w:rsidR="00586301" w:rsidRPr="000B6B7A" w:rsidRDefault="00586301"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4716B88B" w14:textId="162927B7"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April 28, 2017</w:t>
            </w:r>
          </w:p>
        </w:tc>
      </w:tr>
      <w:tr w:rsidR="00586301" w:rsidRPr="000B6B7A" w14:paraId="3D79AA57" w14:textId="77777777" w:rsidTr="00586301">
        <w:tc>
          <w:tcPr>
            <w:tcW w:w="4680" w:type="dxa"/>
            <w:tcBorders>
              <w:top w:val="single" w:sz="6" w:space="0" w:color="auto"/>
              <w:bottom w:val="single" w:sz="6" w:space="0" w:color="auto"/>
            </w:tcBorders>
            <w:shd w:val="clear" w:color="auto" w:fill="67AE3C"/>
            <w:vAlign w:val="center"/>
          </w:tcPr>
          <w:p w14:paraId="2FE60FBE" w14:textId="11BD82D3" w:rsidR="00586301" w:rsidRPr="000B6B7A" w:rsidRDefault="00586301"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55AA3979" w14:textId="43E55CDD" w:rsidR="00586301" w:rsidRPr="000B6B7A" w:rsidRDefault="00586301" w:rsidP="009163FC">
            <w:pPr>
              <w:jc w:val="both"/>
              <w:rPr>
                <w:rFonts w:ascii="Cambria" w:hAnsi="Cambria"/>
                <w:bCs/>
                <w:sz w:val="20"/>
                <w:szCs w:val="20"/>
              </w:rPr>
            </w:pPr>
            <w:r w:rsidRPr="00C259CD">
              <w:rPr>
                <w:rFonts w:asciiTheme="majorHAnsi" w:hAnsiTheme="majorHAnsi"/>
                <w:bCs/>
                <w:sz w:val="20"/>
                <w:szCs w:val="20"/>
              </w:rPr>
              <w:t>August 18,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92A48" w:rsidRPr="000B6B7A" w14:paraId="2F81CC8B" w14:textId="77777777" w:rsidTr="00D92A48">
        <w:trPr>
          <w:cantSplit/>
        </w:trPr>
        <w:tc>
          <w:tcPr>
            <w:tcW w:w="4680" w:type="dxa"/>
            <w:tcBorders>
              <w:top w:val="single" w:sz="4" w:space="0" w:color="auto"/>
              <w:bottom w:val="single" w:sz="6" w:space="0" w:color="auto"/>
            </w:tcBorders>
            <w:shd w:val="clear" w:color="auto" w:fill="67AE3C"/>
            <w:vAlign w:val="center"/>
          </w:tcPr>
          <w:p w14:paraId="3A568008" w14:textId="77777777" w:rsidR="00D92A48" w:rsidRPr="000B6B7A" w:rsidRDefault="00D92A4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4D1A45D9" w14:textId="46FFF913" w:rsidR="00D92A48" w:rsidRPr="000B6B7A" w:rsidRDefault="00D92A48" w:rsidP="009163FC">
            <w:pPr>
              <w:rPr>
                <w:rFonts w:asciiTheme="majorHAnsi" w:hAnsiTheme="majorHAnsi"/>
                <w:bCs/>
                <w:sz w:val="20"/>
                <w:szCs w:val="20"/>
              </w:rPr>
            </w:pPr>
            <w:r w:rsidRPr="00C259CD">
              <w:rPr>
                <w:rFonts w:asciiTheme="majorHAnsi" w:hAnsiTheme="majorHAnsi"/>
                <w:bCs/>
                <w:sz w:val="20"/>
                <w:szCs w:val="20"/>
              </w:rPr>
              <w:t>Yes</w:t>
            </w:r>
          </w:p>
        </w:tc>
      </w:tr>
      <w:tr w:rsidR="00D92A48" w:rsidRPr="000B6B7A" w14:paraId="5FE56D1B" w14:textId="77777777" w:rsidTr="00D92A48">
        <w:trPr>
          <w:cantSplit/>
        </w:trPr>
        <w:tc>
          <w:tcPr>
            <w:tcW w:w="4680" w:type="dxa"/>
            <w:tcBorders>
              <w:top w:val="single" w:sz="6" w:space="0" w:color="auto"/>
              <w:bottom w:val="single" w:sz="6" w:space="0" w:color="auto"/>
            </w:tcBorders>
            <w:shd w:val="clear" w:color="auto" w:fill="67AE3C"/>
            <w:vAlign w:val="center"/>
          </w:tcPr>
          <w:p w14:paraId="2190B967" w14:textId="77777777" w:rsidR="00D92A48" w:rsidRPr="000B6B7A" w:rsidRDefault="00D92A4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233D6798" w14:textId="65031575" w:rsidR="00D92A48" w:rsidRPr="000B6B7A" w:rsidRDefault="00D92A48" w:rsidP="009163FC">
            <w:pPr>
              <w:rPr>
                <w:rFonts w:asciiTheme="majorHAnsi" w:hAnsiTheme="majorHAnsi"/>
                <w:bCs/>
                <w:sz w:val="20"/>
                <w:szCs w:val="20"/>
              </w:rPr>
            </w:pPr>
            <w:r w:rsidRPr="00C259CD">
              <w:rPr>
                <w:rFonts w:asciiTheme="majorHAnsi" w:hAnsiTheme="majorHAnsi"/>
                <w:bCs/>
                <w:sz w:val="20"/>
                <w:szCs w:val="20"/>
              </w:rPr>
              <w:t>Yes</w:t>
            </w:r>
          </w:p>
        </w:tc>
      </w:tr>
      <w:tr w:rsidR="00D92A48" w:rsidRPr="000B6B7A" w14:paraId="372B5DD8" w14:textId="77777777" w:rsidTr="00D92A48">
        <w:trPr>
          <w:cantSplit/>
        </w:trPr>
        <w:tc>
          <w:tcPr>
            <w:tcW w:w="4680" w:type="dxa"/>
            <w:tcBorders>
              <w:top w:val="single" w:sz="6" w:space="0" w:color="auto"/>
              <w:bottom w:val="single" w:sz="6" w:space="0" w:color="auto"/>
            </w:tcBorders>
            <w:shd w:val="clear" w:color="auto" w:fill="67AE3C"/>
            <w:vAlign w:val="center"/>
          </w:tcPr>
          <w:p w14:paraId="7F979173" w14:textId="77777777" w:rsidR="00D92A48" w:rsidRPr="000B6B7A" w:rsidRDefault="00D92A4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16F9F1B9" w14:textId="425B1540" w:rsidR="00D92A48" w:rsidRPr="000B6B7A" w:rsidRDefault="00D92A48" w:rsidP="009163FC">
            <w:pPr>
              <w:rPr>
                <w:rFonts w:asciiTheme="majorHAnsi" w:hAnsiTheme="majorHAnsi"/>
                <w:bCs/>
                <w:sz w:val="20"/>
                <w:szCs w:val="20"/>
              </w:rPr>
            </w:pPr>
            <w:r w:rsidRPr="00C259CD">
              <w:rPr>
                <w:rFonts w:asciiTheme="majorHAnsi" w:hAnsiTheme="majorHAnsi"/>
                <w:bCs/>
                <w:sz w:val="20"/>
                <w:szCs w:val="20"/>
              </w:rPr>
              <w:t>Yes</w:t>
            </w:r>
          </w:p>
        </w:tc>
      </w:tr>
      <w:tr w:rsidR="00D92A48" w:rsidRPr="000B6B7A" w14:paraId="6648704B" w14:textId="77777777" w:rsidTr="00D92A48">
        <w:trPr>
          <w:cantSplit/>
        </w:trPr>
        <w:tc>
          <w:tcPr>
            <w:tcW w:w="4680" w:type="dxa"/>
            <w:tcBorders>
              <w:top w:val="single" w:sz="6" w:space="0" w:color="auto"/>
              <w:bottom w:val="single" w:sz="6" w:space="0" w:color="auto"/>
            </w:tcBorders>
            <w:shd w:val="clear" w:color="auto" w:fill="67AE3C"/>
            <w:vAlign w:val="center"/>
          </w:tcPr>
          <w:p w14:paraId="15BBE7AF" w14:textId="77777777" w:rsidR="00D92A48" w:rsidRPr="000B6B7A" w:rsidRDefault="00D92A4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5B458682" w14:textId="3B4B19BB" w:rsidR="00D92A48" w:rsidRPr="000B6B7A" w:rsidRDefault="00D92A48" w:rsidP="009163FC">
            <w:pPr>
              <w:jc w:val="both"/>
              <w:rPr>
                <w:rFonts w:asciiTheme="majorHAnsi" w:hAnsiTheme="majorHAnsi"/>
                <w:bCs/>
                <w:sz w:val="20"/>
                <w:szCs w:val="20"/>
              </w:rPr>
            </w:pPr>
            <w:r w:rsidRPr="00C259CD">
              <w:rPr>
                <w:rFonts w:asciiTheme="majorHAnsi" w:hAnsiTheme="majorHAnsi"/>
                <w:bCs/>
                <w:sz w:val="20"/>
                <w:szCs w:val="20"/>
              </w:rPr>
              <w:t>Yes; American Convention (deposit of ratification instrument on July 28, 1978)</w:t>
            </w:r>
          </w:p>
        </w:tc>
      </w:tr>
    </w:tbl>
    <w:p w14:paraId="3D761412" w14:textId="77777777" w:rsidR="002C4C47" w:rsidRDefault="002C4C47" w:rsidP="00F621C3">
      <w:pPr>
        <w:spacing w:before="240" w:after="240"/>
        <w:ind w:firstLine="720"/>
        <w:jc w:val="both"/>
        <w:rPr>
          <w:rFonts w:asciiTheme="majorHAnsi" w:hAnsiTheme="majorHAnsi"/>
          <w:b/>
          <w:bCs/>
          <w:sz w:val="20"/>
          <w:szCs w:val="20"/>
        </w:rPr>
      </w:pPr>
    </w:p>
    <w:p w14:paraId="75ECC403" w14:textId="77777777" w:rsidR="002C4C47" w:rsidRDefault="002C4C47" w:rsidP="00F621C3">
      <w:pPr>
        <w:spacing w:before="240" w:after="240"/>
        <w:ind w:firstLine="720"/>
        <w:jc w:val="both"/>
        <w:rPr>
          <w:rFonts w:asciiTheme="majorHAnsi" w:hAnsiTheme="majorHAnsi"/>
          <w:b/>
          <w:bCs/>
          <w:sz w:val="20"/>
          <w:szCs w:val="20"/>
        </w:rPr>
      </w:pPr>
    </w:p>
    <w:p w14:paraId="1728A040" w14:textId="77777777" w:rsidR="002C4C47" w:rsidRDefault="002C4C47"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92A48" w:rsidRPr="000B6B7A" w14:paraId="4091A423" w14:textId="77777777" w:rsidTr="00D92A48">
        <w:trPr>
          <w:cantSplit/>
        </w:trPr>
        <w:tc>
          <w:tcPr>
            <w:tcW w:w="4680" w:type="dxa"/>
            <w:tcBorders>
              <w:top w:val="single" w:sz="4" w:space="0" w:color="auto"/>
              <w:bottom w:val="single" w:sz="6" w:space="0" w:color="auto"/>
            </w:tcBorders>
            <w:shd w:val="clear" w:color="auto" w:fill="67AE3C"/>
            <w:vAlign w:val="center"/>
          </w:tcPr>
          <w:p w14:paraId="61D870FF" w14:textId="77777777" w:rsidR="00D92A48" w:rsidRPr="000B6B7A" w:rsidRDefault="00D92A4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59C6E27C" w14:textId="48645468" w:rsidR="00D92A48" w:rsidRPr="000B6B7A" w:rsidRDefault="00D92A48" w:rsidP="009163FC">
            <w:pPr>
              <w:jc w:val="both"/>
              <w:rPr>
                <w:rFonts w:ascii="Cambria" w:hAnsi="Cambria"/>
                <w:bCs/>
                <w:sz w:val="20"/>
                <w:szCs w:val="20"/>
              </w:rPr>
            </w:pPr>
            <w:r w:rsidRPr="00C259CD">
              <w:rPr>
                <w:rFonts w:asciiTheme="majorHAnsi" w:hAnsiTheme="majorHAnsi"/>
                <w:bCs/>
                <w:sz w:val="20"/>
                <w:szCs w:val="20"/>
              </w:rPr>
              <w:t>No</w:t>
            </w:r>
          </w:p>
        </w:tc>
      </w:tr>
      <w:tr w:rsidR="00D92A48" w:rsidRPr="000B6B7A" w14:paraId="24B3B5A9" w14:textId="77777777" w:rsidTr="00D92A48">
        <w:trPr>
          <w:cantSplit/>
        </w:trPr>
        <w:tc>
          <w:tcPr>
            <w:tcW w:w="4680" w:type="dxa"/>
            <w:tcBorders>
              <w:top w:val="single" w:sz="6" w:space="0" w:color="auto"/>
              <w:bottom w:val="single" w:sz="6" w:space="0" w:color="auto"/>
            </w:tcBorders>
            <w:shd w:val="clear" w:color="auto" w:fill="67AE3C"/>
            <w:vAlign w:val="center"/>
          </w:tcPr>
          <w:p w14:paraId="2E52A630" w14:textId="77777777" w:rsidR="00D92A48" w:rsidRPr="000B6B7A" w:rsidRDefault="00D92A4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146FEA48" w14:textId="4C06E562" w:rsidR="00D92A48" w:rsidRPr="000B6B7A" w:rsidRDefault="00D92A48" w:rsidP="009163FC">
            <w:pPr>
              <w:jc w:val="both"/>
              <w:rPr>
                <w:rFonts w:ascii="Cambria" w:hAnsi="Cambria"/>
                <w:bCs/>
                <w:sz w:val="20"/>
                <w:szCs w:val="20"/>
              </w:rPr>
            </w:pPr>
            <w:r w:rsidRPr="00C259CD">
              <w:rPr>
                <w:rFonts w:asciiTheme="majorHAnsi" w:hAnsiTheme="majorHAnsi"/>
                <w:bCs/>
                <w:sz w:val="20"/>
                <w:szCs w:val="20"/>
              </w:rPr>
              <w:t>8 (Fair Trial) and 25 (Judicial Protection) of the American Convention, in relation to its Articles 1.1 (Obligation to Respect Rights) and 2 (Domestic Legal Effects)</w:t>
            </w:r>
          </w:p>
        </w:tc>
      </w:tr>
      <w:tr w:rsidR="00D92A48" w:rsidRPr="000B6B7A" w14:paraId="4DFB74FC" w14:textId="77777777" w:rsidTr="00D92A48">
        <w:trPr>
          <w:cantSplit/>
        </w:trPr>
        <w:tc>
          <w:tcPr>
            <w:tcW w:w="4680" w:type="dxa"/>
            <w:tcBorders>
              <w:top w:val="single" w:sz="6" w:space="0" w:color="auto"/>
              <w:bottom w:val="single" w:sz="6" w:space="0" w:color="auto"/>
            </w:tcBorders>
            <w:shd w:val="clear" w:color="auto" w:fill="67AE3C"/>
            <w:vAlign w:val="center"/>
          </w:tcPr>
          <w:p w14:paraId="1D4CE924" w14:textId="77777777" w:rsidR="00D92A48" w:rsidRPr="000B6B7A" w:rsidRDefault="00D92A4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305AE158" w14:textId="3F9AC501" w:rsidR="00D92A48" w:rsidRPr="000B6B7A" w:rsidRDefault="00D92A48" w:rsidP="009163FC">
            <w:pPr>
              <w:rPr>
                <w:rFonts w:ascii="Cambria" w:hAnsi="Cambria"/>
                <w:bCs/>
                <w:sz w:val="20"/>
                <w:szCs w:val="20"/>
              </w:rPr>
            </w:pPr>
            <w:r w:rsidRPr="00C259CD">
              <w:rPr>
                <w:rFonts w:asciiTheme="majorHAnsi" w:hAnsiTheme="majorHAnsi"/>
                <w:bCs/>
                <w:sz w:val="20"/>
                <w:szCs w:val="20"/>
              </w:rPr>
              <w:t>Yes; on July 31, 2007</w:t>
            </w:r>
          </w:p>
        </w:tc>
      </w:tr>
      <w:tr w:rsidR="00D92A48" w:rsidRPr="000B6B7A" w14:paraId="6D900199" w14:textId="77777777" w:rsidTr="00D92A48">
        <w:trPr>
          <w:cantSplit/>
        </w:trPr>
        <w:tc>
          <w:tcPr>
            <w:tcW w:w="4680" w:type="dxa"/>
            <w:tcBorders>
              <w:top w:val="single" w:sz="6" w:space="0" w:color="auto"/>
              <w:bottom w:val="single" w:sz="6" w:space="0" w:color="auto"/>
            </w:tcBorders>
            <w:shd w:val="clear" w:color="auto" w:fill="67AE3C"/>
            <w:vAlign w:val="center"/>
          </w:tcPr>
          <w:p w14:paraId="42C3BC97" w14:textId="77777777" w:rsidR="00D92A48" w:rsidRPr="000B6B7A" w:rsidRDefault="00D92A4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3E6930A4" w14:textId="2F84A07D" w:rsidR="00D92A48" w:rsidRPr="000B6B7A" w:rsidRDefault="00D92A48" w:rsidP="009163FC">
            <w:pPr>
              <w:rPr>
                <w:rFonts w:asciiTheme="majorHAnsi" w:hAnsiTheme="majorHAnsi"/>
                <w:bCs/>
                <w:sz w:val="20"/>
                <w:szCs w:val="20"/>
              </w:rPr>
            </w:pPr>
            <w:r w:rsidRPr="00C259CD">
              <w:rPr>
                <w:rFonts w:asciiTheme="majorHAnsi" w:hAnsiTheme="majorHAnsi"/>
                <w:bCs/>
                <w:sz w:val="20"/>
                <w:szCs w:val="20"/>
              </w:rPr>
              <w:t>Yes, on October 9, 2007</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7DAA1FAB" w14:textId="77777777" w:rsidR="00C70A8E" w:rsidRPr="00C259CD" w:rsidRDefault="00C70A8E" w:rsidP="00C70A8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C259CD">
        <w:rPr>
          <w:rFonts w:asciiTheme="majorHAnsi" w:hAnsiTheme="majorHAnsi"/>
          <w:sz w:val="20"/>
          <w:szCs w:val="20"/>
        </w:rPr>
        <w:t xml:space="preserve">The petitioner indicates that on September 27, 1982 she was appointed as a temporary secretary at a Civil Court in the city of Lima, and later, on January 31, 1984, by </w:t>
      </w:r>
      <w:r>
        <w:rPr>
          <w:rFonts w:asciiTheme="majorHAnsi" w:hAnsiTheme="majorHAnsi"/>
          <w:sz w:val="20"/>
          <w:szCs w:val="20"/>
        </w:rPr>
        <w:t xml:space="preserve">a </w:t>
      </w:r>
      <w:r w:rsidRPr="00C259CD">
        <w:rPr>
          <w:rFonts w:asciiTheme="majorHAnsi" w:hAnsiTheme="majorHAnsi"/>
          <w:sz w:val="20"/>
          <w:szCs w:val="20"/>
        </w:rPr>
        <w:t xml:space="preserve">public </w:t>
      </w:r>
      <w:r>
        <w:rPr>
          <w:rFonts w:asciiTheme="majorHAnsi" w:hAnsiTheme="majorHAnsi"/>
          <w:sz w:val="20"/>
          <w:szCs w:val="20"/>
        </w:rPr>
        <w:t>competitive examination</w:t>
      </w:r>
      <w:r w:rsidRPr="00C259CD">
        <w:rPr>
          <w:rFonts w:asciiTheme="majorHAnsi" w:hAnsiTheme="majorHAnsi"/>
          <w:sz w:val="20"/>
          <w:szCs w:val="20"/>
        </w:rPr>
        <w:t xml:space="preserve">, she </w:t>
      </w:r>
      <w:r>
        <w:rPr>
          <w:rFonts w:asciiTheme="majorHAnsi" w:hAnsiTheme="majorHAnsi"/>
          <w:sz w:val="20"/>
          <w:szCs w:val="20"/>
        </w:rPr>
        <w:t>was</w:t>
      </w:r>
      <w:r w:rsidRPr="00C259CD">
        <w:rPr>
          <w:rFonts w:asciiTheme="majorHAnsi" w:hAnsiTheme="majorHAnsi"/>
          <w:sz w:val="20"/>
          <w:szCs w:val="20"/>
        </w:rPr>
        <w:t xml:space="preserve"> appointed secretary </w:t>
      </w:r>
      <w:r>
        <w:rPr>
          <w:rFonts w:asciiTheme="majorHAnsi" w:hAnsiTheme="majorHAnsi"/>
          <w:sz w:val="20"/>
          <w:szCs w:val="20"/>
        </w:rPr>
        <w:t>attached to</w:t>
      </w:r>
      <w:r w:rsidRPr="00C259CD">
        <w:rPr>
          <w:rFonts w:asciiTheme="majorHAnsi" w:hAnsiTheme="majorHAnsi"/>
          <w:sz w:val="20"/>
          <w:szCs w:val="20"/>
        </w:rPr>
        <w:t xml:space="preserve"> a Civil Court of Lima. She also indicates that the Evaluation Committee for Hiring Court Secretaries ruled to hire her as an administrative employee </w:t>
      </w:r>
      <w:r>
        <w:rPr>
          <w:rFonts w:asciiTheme="majorHAnsi" w:hAnsiTheme="majorHAnsi"/>
          <w:sz w:val="20"/>
          <w:szCs w:val="20"/>
        </w:rPr>
        <w:t>at</w:t>
      </w:r>
      <w:r w:rsidRPr="00C259CD">
        <w:rPr>
          <w:rFonts w:asciiTheme="majorHAnsi" w:hAnsiTheme="majorHAnsi"/>
          <w:sz w:val="20"/>
          <w:szCs w:val="20"/>
        </w:rPr>
        <w:t xml:space="preserve"> the judiciary from April 1, 1988, and assign her the post of Secretary at a Civil Court; and that many times she was appointed as </w:t>
      </w:r>
      <w:r>
        <w:rPr>
          <w:rFonts w:asciiTheme="majorHAnsi" w:hAnsiTheme="majorHAnsi"/>
          <w:sz w:val="20"/>
          <w:szCs w:val="20"/>
        </w:rPr>
        <w:t xml:space="preserve">a </w:t>
      </w:r>
      <w:r w:rsidRPr="00C259CD">
        <w:rPr>
          <w:rFonts w:asciiTheme="majorHAnsi" w:hAnsiTheme="majorHAnsi"/>
          <w:sz w:val="20"/>
          <w:szCs w:val="20"/>
        </w:rPr>
        <w:t xml:space="preserve">Justice of the Peace. She asserts that on </w:t>
      </w:r>
      <w:r>
        <w:rPr>
          <w:rFonts w:asciiTheme="majorHAnsi" w:hAnsiTheme="majorHAnsi"/>
          <w:sz w:val="20"/>
          <w:szCs w:val="20"/>
        </w:rPr>
        <w:t>April 5, 1992 Decree-Law No. 25</w:t>
      </w:r>
      <w:r w:rsidRPr="00C259CD">
        <w:rPr>
          <w:rFonts w:asciiTheme="majorHAnsi" w:hAnsiTheme="majorHAnsi"/>
          <w:sz w:val="20"/>
          <w:szCs w:val="20"/>
        </w:rPr>
        <w:t xml:space="preserve">418 was issued, ruling the reorganization of several institutions, </w:t>
      </w:r>
      <w:r>
        <w:rPr>
          <w:rFonts w:asciiTheme="majorHAnsi" w:hAnsiTheme="majorHAnsi"/>
          <w:sz w:val="20"/>
          <w:szCs w:val="20"/>
        </w:rPr>
        <w:t>including</w:t>
      </w:r>
      <w:r w:rsidRPr="00C259CD">
        <w:rPr>
          <w:rFonts w:asciiTheme="majorHAnsi" w:hAnsiTheme="majorHAnsi"/>
          <w:sz w:val="20"/>
          <w:szCs w:val="20"/>
        </w:rPr>
        <w:t xml:space="preserve"> the Judiciary, and that on </w:t>
      </w:r>
      <w:r>
        <w:rPr>
          <w:rFonts w:asciiTheme="majorHAnsi" w:hAnsiTheme="majorHAnsi"/>
          <w:sz w:val="20"/>
          <w:szCs w:val="20"/>
        </w:rPr>
        <w:t>June 26, 1992 Decree-Law No. 25</w:t>
      </w:r>
      <w:r w:rsidRPr="00C259CD">
        <w:rPr>
          <w:rFonts w:asciiTheme="majorHAnsi" w:hAnsiTheme="majorHAnsi"/>
          <w:sz w:val="20"/>
          <w:szCs w:val="20"/>
        </w:rPr>
        <w:t>580 came into effect, whose Article 3 ruled the dismissal of several employees, including the alleged victim.</w:t>
      </w:r>
    </w:p>
    <w:p w14:paraId="028DD1DF" w14:textId="77777777" w:rsidR="00C70A8E" w:rsidRPr="00C259CD" w:rsidRDefault="00C70A8E" w:rsidP="00C70A8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C259CD">
        <w:rPr>
          <w:rFonts w:asciiTheme="majorHAnsi" w:hAnsiTheme="majorHAnsi"/>
          <w:sz w:val="20"/>
          <w:szCs w:val="20"/>
        </w:rPr>
        <w:t xml:space="preserve">She moreover alleges that a complementary provision in said Decree-Law limited the right </w:t>
      </w:r>
      <w:r>
        <w:rPr>
          <w:rFonts w:asciiTheme="majorHAnsi" w:hAnsiTheme="majorHAnsi"/>
          <w:sz w:val="20"/>
          <w:szCs w:val="20"/>
        </w:rPr>
        <w:t>to</w:t>
      </w:r>
      <w:r w:rsidRPr="00C259CD">
        <w:rPr>
          <w:rFonts w:asciiTheme="majorHAnsi" w:hAnsiTheme="majorHAnsi"/>
          <w:sz w:val="20"/>
          <w:szCs w:val="20"/>
        </w:rPr>
        <w:t xml:space="preserve"> </w:t>
      </w:r>
      <w:r w:rsidRPr="00C70A8E">
        <w:rPr>
          <w:rFonts w:asciiTheme="majorHAnsi" w:hAnsiTheme="majorHAnsi"/>
          <w:sz w:val="20"/>
          <w:szCs w:val="20"/>
        </w:rPr>
        <w:t>filing</w:t>
      </w:r>
      <w:r w:rsidRPr="00C259CD">
        <w:rPr>
          <w:rFonts w:asciiTheme="majorHAnsi" w:hAnsiTheme="majorHAnsi"/>
          <w:sz w:val="20"/>
          <w:szCs w:val="20"/>
        </w:rPr>
        <w:t xml:space="preserve"> </w:t>
      </w:r>
      <w:r>
        <w:rPr>
          <w:rFonts w:asciiTheme="majorHAnsi" w:hAnsiTheme="majorHAnsi"/>
          <w:sz w:val="20"/>
          <w:szCs w:val="20"/>
        </w:rPr>
        <w:t xml:space="preserve">constitutional </w:t>
      </w:r>
      <w:r w:rsidRPr="00C259CD">
        <w:rPr>
          <w:rFonts w:asciiTheme="majorHAnsi" w:hAnsiTheme="majorHAnsi"/>
          <w:sz w:val="20"/>
          <w:szCs w:val="20"/>
        </w:rPr>
        <w:t xml:space="preserve">appeals, which was re-established </w:t>
      </w:r>
      <w:r>
        <w:rPr>
          <w:rFonts w:asciiTheme="majorHAnsi" w:hAnsiTheme="majorHAnsi"/>
          <w:sz w:val="20"/>
          <w:szCs w:val="20"/>
        </w:rPr>
        <w:t>through the publication of Law No. 27</w:t>
      </w:r>
      <w:r w:rsidRPr="00C259CD">
        <w:rPr>
          <w:rFonts w:asciiTheme="majorHAnsi" w:hAnsiTheme="majorHAnsi"/>
          <w:sz w:val="20"/>
          <w:szCs w:val="20"/>
        </w:rPr>
        <w:t xml:space="preserve">433 of March 10, 2001. </w:t>
      </w:r>
      <w:r>
        <w:rPr>
          <w:rFonts w:asciiTheme="majorHAnsi" w:hAnsiTheme="majorHAnsi"/>
          <w:sz w:val="20"/>
          <w:szCs w:val="20"/>
        </w:rPr>
        <w:t>S</w:t>
      </w:r>
      <w:r w:rsidRPr="00C259CD">
        <w:rPr>
          <w:rFonts w:asciiTheme="majorHAnsi" w:hAnsiTheme="majorHAnsi"/>
          <w:sz w:val="20"/>
          <w:szCs w:val="20"/>
        </w:rPr>
        <w:t>he c</w:t>
      </w:r>
      <w:r>
        <w:rPr>
          <w:rFonts w:asciiTheme="majorHAnsi" w:hAnsiTheme="majorHAnsi"/>
          <w:sz w:val="20"/>
          <w:szCs w:val="20"/>
        </w:rPr>
        <w:t>laims</w:t>
      </w:r>
      <w:r w:rsidRPr="00C259CD">
        <w:rPr>
          <w:rFonts w:asciiTheme="majorHAnsi" w:hAnsiTheme="majorHAnsi"/>
          <w:sz w:val="20"/>
          <w:szCs w:val="20"/>
        </w:rPr>
        <w:t xml:space="preserve"> </w:t>
      </w:r>
      <w:r>
        <w:rPr>
          <w:rFonts w:asciiTheme="majorHAnsi" w:hAnsiTheme="majorHAnsi"/>
          <w:sz w:val="20"/>
          <w:szCs w:val="20"/>
        </w:rPr>
        <w:t>that i</w:t>
      </w:r>
      <w:r w:rsidRPr="00C259CD">
        <w:rPr>
          <w:rFonts w:asciiTheme="majorHAnsi" w:hAnsiTheme="majorHAnsi"/>
          <w:sz w:val="20"/>
          <w:szCs w:val="20"/>
        </w:rPr>
        <w:t xml:space="preserve">n view of this, </w:t>
      </w:r>
      <w:r>
        <w:rPr>
          <w:rFonts w:asciiTheme="majorHAnsi" w:hAnsiTheme="majorHAnsi"/>
          <w:sz w:val="20"/>
          <w:szCs w:val="20"/>
        </w:rPr>
        <w:t>she was unable to lodge a constitutional</w:t>
      </w:r>
      <w:r w:rsidRPr="00C259CD">
        <w:rPr>
          <w:rFonts w:asciiTheme="majorHAnsi" w:hAnsiTheme="majorHAnsi"/>
          <w:sz w:val="20"/>
          <w:szCs w:val="20"/>
        </w:rPr>
        <w:t xml:space="preserve"> appeal</w:t>
      </w:r>
      <w:r>
        <w:rPr>
          <w:rFonts w:asciiTheme="majorHAnsi" w:hAnsiTheme="majorHAnsi"/>
          <w:sz w:val="20"/>
          <w:szCs w:val="20"/>
        </w:rPr>
        <w:t xml:space="preserve"> back</w:t>
      </w:r>
      <w:r w:rsidRPr="00C259CD">
        <w:rPr>
          <w:rFonts w:asciiTheme="majorHAnsi" w:hAnsiTheme="majorHAnsi"/>
          <w:sz w:val="20"/>
          <w:szCs w:val="20"/>
        </w:rPr>
        <w:t xml:space="preserve"> then. The petitioner submits tha</w:t>
      </w:r>
      <w:r>
        <w:rPr>
          <w:rFonts w:asciiTheme="majorHAnsi" w:hAnsiTheme="majorHAnsi"/>
          <w:sz w:val="20"/>
          <w:szCs w:val="20"/>
        </w:rPr>
        <w:t>t on April 10, 2001 she presented a constitutional</w:t>
      </w:r>
      <w:r w:rsidRPr="00C259CD">
        <w:rPr>
          <w:rFonts w:asciiTheme="majorHAnsi" w:hAnsiTheme="majorHAnsi"/>
          <w:sz w:val="20"/>
          <w:szCs w:val="20"/>
        </w:rPr>
        <w:t xml:space="preserve"> appeal against the State, before the First Provisional Corporate Court Specializing in Public Law, so that the application of Article 3 of </w:t>
      </w:r>
      <w:r>
        <w:rPr>
          <w:rFonts w:asciiTheme="majorHAnsi" w:hAnsiTheme="majorHAnsi"/>
          <w:sz w:val="20"/>
          <w:szCs w:val="20"/>
        </w:rPr>
        <w:t>Law No. 25</w:t>
      </w:r>
      <w:r w:rsidRPr="00C259CD">
        <w:rPr>
          <w:rFonts w:asciiTheme="majorHAnsi" w:hAnsiTheme="majorHAnsi"/>
          <w:sz w:val="20"/>
          <w:szCs w:val="20"/>
        </w:rPr>
        <w:t xml:space="preserve">580 be overturned, she be reinstated in </w:t>
      </w:r>
      <w:r>
        <w:rPr>
          <w:rFonts w:asciiTheme="majorHAnsi" w:hAnsiTheme="majorHAnsi"/>
          <w:sz w:val="20"/>
          <w:szCs w:val="20"/>
        </w:rPr>
        <w:t>“</w:t>
      </w:r>
      <w:r w:rsidRPr="00C259CD">
        <w:rPr>
          <w:rFonts w:asciiTheme="majorHAnsi" w:hAnsiTheme="majorHAnsi"/>
          <w:sz w:val="20"/>
          <w:szCs w:val="20"/>
        </w:rPr>
        <w:t>a post similar to that of a court secretary</w:t>
      </w:r>
      <w:r>
        <w:rPr>
          <w:rFonts w:asciiTheme="majorHAnsi" w:hAnsiTheme="majorHAnsi"/>
          <w:sz w:val="20"/>
          <w:szCs w:val="20"/>
        </w:rPr>
        <w:t>”</w:t>
      </w:r>
      <w:r w:rsidRPr="00C259CD">
        <w:rPr>
          <w:rFonts w:asciiTheme="majorHAnsi" w:hAnsiTheme="majorHAnsi"/>
          <w:sz w:val="20"/>
          <w:szCs w:val="20"/>
        </w:rPr>
        <w:t>; her years of work corresponding to the time she was unemployed be recognized; and the lost earnings and all the applicable benefits be paid. She indicates that on September 28, 2001, the First Court Specializing in Public Law rejected the</w:t>
      </w:r>
      <w:r>
        <w:rPr>
          <w:rFonts w:asciiTheme="majorHAnsi" w:hAnsiTheme="majorHAnsi"/>
          <w:sz w:val="20"/>
          <w:szCs w:val="20"/>
        </w:rPr>
        <w:t xml:space="preserve"> constitutional</w:t>
      </w:r>
      <w:r w:rsidRPr="00C259CD">
        <w:rPr>
          <w:rFonts w:asciiTheme="majorHAnsi" w:hAnsiTheme="majorHAnsi"/>
          <w:sz w:val="20"/>
          <w:szCs w:val="20"/>
        </w:rPr>
        <w:t xml:space="preserve"> appeal on the grounds that </w:t>
      </w:r>
      <w:r>
        <w:rPr>
          <w:rFonts w:asciiTheme="majorHAnsi" w:hAnsiTheme="majorHAnsi"/>
          <w:sz w:val="20"/>
          <w:szCs w:val="20"/>
        </w:rPr>
        <w:t>these</w:t>
      </w:r>
      <w:r w:rsidRPr="00C259CD">
        <w:rPr>
          <w:rFonts w:asciiTheme="majorHAnsi" w:hAnsiTheme="majorHAnsi"/>
          <w:sz w:val="20"/>
          <w:szCs w:val="20"/>
        </w:rPr>
        <w:t xml:space="preserve"> </w:t>
      </w:r>
      <w:r>
        <w:rPr>
          <w:rFonts w:asciiTheme="majorHAnsi" w:hAnsiTheme="majorHAnsi"/>
          <w:sz w:val="20"/>
          <w:szCs w:val="20"/>
        </w:rPr>
        <w:t>are</w:t>
      </w:r>
      <w:r w:rsidRPr="00C259CD">
        <w:rPr>
          <w:rFonts w:asciiTheme="majorHAnsi" w:hAnsiTheme="majorHAnsi"/>
          <w:sz w:val="20"/>
          <w:szCs w:val="20"/>
        </w:rPr>
        <w:t xml:space="preserve"> not appropriate to challenge a rule in the abstract but </w:t>
      </w:r>
      <w:r>
        <w:rPr>
          <w:rFonts w:asciiTheme="majorHAnsi" w:hAnsiTheme="majorHAnsi"/>
          <w:sz w:val="20"/>
          <w:szCs w:val="20"/>
        </w:rPr>
        <w:t>to challenge a</w:t>
      </w:r>
      <w:r w:rsidRPr="00C259CD">
        <w:rPr>
          <w:rFonts w:asciiTheme="majorHAnsi" w:hAnsiTheme="majorHAnsi"/>
          <w:sz w:val="20"/>
          <w:szCs w:val="20"/>
        </w:rPr>
        <w:t xml:space="preserve"> rule</w:t>
      </w:r>
      <w:r>
        <w:rPr>
          <w:rFonts w:asciiTheme="majorHAnsi" w:hAnsiTheme="majorHAnsi"/>
          <w:sz w:val="20"/>
          <w:szCs w:val="20"/>
        </w:rPr>
        <w:t>’s actual application</w:t>
      </w:r>
      <w:r w:rsidRPr="00C259CD">
        <w:rPr>
          <w:rFonts w:asciiTheme="majorHAnsi" w:hAnsiTheme="majorHAnsi"/>
          <w:sz w:val="20"/>
          <w:szCs w:val="20"/>
        </w:rPr>
        <w:t xml:space="preserve"> and that while the alleged victim should have presented the remedy within the</w:t>
      </w:r>
      <w:r>
        <w:rPr>
          <w:rFonts w:asciiTheme="majorHAnsi" w:hAnsiTheme="majorHAnsi"/>
          <w:sz w:val="20"/>
          <w:szCs w:val="20"/>
        </w:rPr>
        <w:t xml:space="preserve"> term established by Law No. 23</w:t>
      </w:r>
      <w:r w:rsidRPr="00C259CD">
        <w:rPr>
          <w:rFonts w:asciiTheme="majorHAnsi" w:hAnsiTheme="majorHAnsi"/>
          <w:sz w:val="20"/>
          <w:szCs w:val="20"/>
        </w:rPr>
        <w:t>506, following the publication of Decree-Law No.</w:t>
      </w:r>
      <w:r>
        <w:rPr>
          <w:rFonts w:asciiTheme="majorHAnsi" w:hAnsiTheme="majorHAnsi"/>
          <w:sz w:val="20"/>
          <w:szCs w:val="20"/>
        </w:rPr>
        <w:t xml:space="preserve"> 25</w:t>
      </w:r>
      <w:r w:rsidRPr="00C259CD">
        <w:rPr>
          <w:rFonts w:asciiTheme="majorHAnsi" w:hAnsiTheme="majorHAnsi"/>
          <w:sz w:val="20"/>
          <w:szCs w:val="20"/>
        </w:rPr>
        <w:t>580, she presented her complaint after the term had expired, which led to the application of the exception for expiration that the State had presented. She impugned this resolution, and the Sixth Civil Chamber of the Superior Court of Justice of Lima decided to confirm the resolution on the same grounds</w:t>
      </w:r>
      <w:r>
        <w:rPr>
          <w:rFonts w:asciiTheme="majorHAnsi" w:hAnsiTheme="majorHAnsi"/>
          <w:sz w:val="20"/>
          <w:szCs w:val="20"/>
        </w:rPr>
        <w:t>, through a judgment issued on April 16, 2002</w:t>
      </w:r>
      <w:r w:rsidRPr="00C259CD">
        <w:rPr>
          <w:rFonts w:asciiTheme="majorHAnsi" w:hAnsiTheme="majorHAnsi"/>
          <w:sz w:val="20"/>
          <w:szCs w:val="20"/>
        </w:rPr>
        <w:t>.</w:t>
      </w:r>
      <w:r>
        <w:rPr>
          <w:rFonts w:asciiTheme="majorHAnsi" w:hAnsiTheme="majorHAnsi"/>
          <w:sz w:val="20"/>
          <w:szCs w:val="20"/>
        </w:rPr>
        <w:t xml:space="preserve"> As a result,</w:t>
      </w:r>
      <w:r w:rsidRPr="00C259CD">
        <w:rPr>
          <w:rFonts w:asciiTheme="majorHAnsi" w:hAnsiTheme="majorHAnsi"/>
          <w:sz w:val="20"/>
          <w:szCs w:val="20"/>
        </w:rPr>
        <w:t xml:space="preserve"> the petitioner lodged an appeal for review before the Constitutional Court. On September 15, 2004 said </w:t>
      </w:r>
      <w:r>
        <w:rPr>
          <w:rFonts w:asciiTheme="majorHAnsi" w:hAnsiTheme="majorHAnsi"/>
          <w:sz w:val="20"/>
          <w:szCs w:val="20"/>
        </w:rPr>
        <w:t>c</w:t>
      </w:r>
      <w:r w:rsidRPr="00C259CD">
        <w:rPr>
          <w:rFonts w:asciiTheme="majorHAnsi" w:hAnsiTheme="majorHAnsi"/>
          <w:sz w:val="20"/>
          <w:szCs w:val="20"/>
        </w:rPr>
        <w:t xml:space="preserve">ourt annulled the proceedings </w:t>
      </w:r>
      <w:r>
        <w:rPr>
          <w:rFonts w:asciiTheme="majorHAnsi" w:hAnsiTheme="majorHAnsi"/>
          <w:sz w:val="20"/>
          <w:szCs w:val="20"/>
        </w:rPr>
        <w:t xml:space="preserve">starting </w:t>
      </w:r>
      <w:r w:rsidRPr="00C259CD">
        <w:rPr>
          <w:rFonts w:asciiTheme="majorHAnsi" w:hAnsiTheme="majorHAnsi"/>
          <w:sz w:val="20"/>
          <w:szCs w:val="20"/>
        </w:rPr>
        <w:t>from the admissibility decision on the</w:t>
      </w:r>
      <w:r>
        <w:rPr>
          <w:rFonts w:asciiTheme="majorHAnsi" w:hAnsiTheme="majorHAnsi"/>
          <w:sz w:val="20"/>
          <w:szCs w:val="20"/>
        </w:rPr>
        <w:t xml:space="preserve"> constitutional</w:t>
      </w:r>
      <w:r w:rsidRPr="00C259CD">
        <w:rPr>
          <w:rFonts w:asciiTheme="majorHAnsi" w:hAnsiTheme="majorHAnsi"/>
          <w:sz w:val="20"/>
          <w:szCs w:val="20"/>
        </w:rPr>
        <w:t xml:space="preserve"> appeal, on the basis that under the legal provisions the complaint should have been notified to the Judiciary, not just to the Public Prosecutor.</w:t>
      </w:r>
    </w:p>
    <w:p w14:paraId="15B8F71C" w14:textId="77777777" w:rsidR="00C70A8E" w:rsidRPr="00C259CD" w:rsidRDefault="00C70A8E" w:rsidP="00C70A8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rPr>
      </w:pPr>
      <w:r w:rsidRPr="00C259CD">
        <w:rPr>
          <w:rFonts w:asciiTheme="majorHAnsi" w:hAnsiTheme="majorHAnsi"/>
          <w:sz w:val="20"/>
          <w:szCs w:val="20"/>
        </w:rPr>
        <w:t xml:space="preserve">The petitioner submits that, at the same time, in application of the recommendations made by the Executive Commission </w:t>
      </w:r>
      <w:r>
        <w:rPr>
          <w:rFonts w:asciiTheme="majorHAnsi" w:hAnsiTheme="majorHAnsi"/>
          <w:sz w:val="20"/>
          <w:szCs w:val="20"/>
        </w:rPr>
        <w:t xml:space="preserve">created by virtue of Law No. 27803—which is </w:t>
      </w:r>
      <w:r w:rsidRPr="00C259CD">
        <w:rPr>
          <w:rFonts w:asciiTheme="majorHAnsi" w:hAnsiTheme="majorHAnsi"/>
          <w:sz w:val="20"/>
          <w:szCs w:val="20"/>
        </w:rPr>
        <w:t>in charge of reviewing unlawful collective dismissals</w:t>
      </w:r>
      <w:r>
        <w:rPr>
          <w:rFonts w:asciiTheme="majorHAnsi" w:hAnsiTheme="majorHAnsi"/>
          <w:sz w:val="20"/>
          <w:szCs w:val="20"/>
        </w:rPr>
        <w:t>—</w:t>
      </w:r>
      <w:r w:rsidRPr="00C259CD">
        <w:rPr>
          <w:rFonts w:asciiTheme="majorHAnsi" w:hAnsiTheme="majorHAnsi"/>
          <w:sz w:val="20"/>
          <w:szCs w:val="20"/>
        </w:rPr>
        <w:t xml:space="preserve">on February 1, 2004, she was reinstated </w:t>
      </w:r>
      <w:r>
        <w:rPr>
          <w:rFonts w:asciiTheme="majorHAnsi" w:hAnsiTheme="majorHAnsi"/>
          <w:sz w:val="20"/>
          <w:szCs w:val="20"/>
        </w:rPr>
        <w:t>in the post of</w:t>
      </w:r>
      <w:r w:rsidRPr="00C259CD">
        <w:rPr>
          <w:rFonts w:asciiTheme="majorHAnsi" w:hAnsiTheme="majorHAnsi"/>
          <w:sz w:val="20"/>
          <w:szCs w:val="20"/>
        </w:rPr>
        <w:t xml:space="preserve"> Judicial Secretary at</w:t>
      </w:r>
      <w:r>
        <w:rPr>
          <w:rFonts w:asciiTheme="majorHAnsi" w:hAnsiTheme="majorHAnsi"/>
          <w:sz w:val="20"/>
          <w:szCs w:val="20"/>
        </w:rPr>
        <w:t>tached to</w:t>
      </w:r>
      <w:r w:rsidRPr="00C259CD">
        <w:rPr>
          <w:rFonts w:asciiTheme="majorHAnsi" w:hAnsiTheme="majorHAnsi"/>
          <w:sz w:val="20"/>
          <w:szCs w:val="20"/>
        </w:rPr>
        <w:t xml:space="preserve"> the Superior Court of Justice of Lima. She alleges that her reinstatement was made through an employment contract for specific tasks, under the provisions of the private employment system (Legislative Decree No. 728), not under the state employment system (Legislative Decree No. 276, Conditions of Administrative Staff and Remunerations in the Public Sector) that was applicable to her situation because </w:t>
      </w:r>
      <w:r>
        <w:rPr>
          <w:rFonts w:asciiTheme="majorHAnsi" w:hAnsiTheme="majorHAnsi"/>
          <w:sz w:val="20"/>
          <w:szCs w:val="20"/>
        </w:rPr>
        <w:t>that</w:t>
      </w:r>
      <w:r w:rsidRPr="00C259CD">
        <w:rPr>
          <w:rFonts w:asciiTheme="majorHAnsi" w:hAnsiTheme="majorHAnsi"/>
          <w:sz w:val="20"/>
          <w:szCs w:val="20"/>
        </w:rPr>
        <w:t xml:space="preserve"> was the employment system she belonged to before </w:t>
      </w:r>
      <w:r>
        <w:rPr>
          <w:rFonts w:asciiTheme="majorHAnsi" w:hAnsiTheme="majorHAnsi"/>
          <w:sz w:val="20"/>
          <w:szCs w:val="20"/>
        </w:rPr>
        <w:t>being removal from her post</w:t>
      </w:r>
      <w:r w:rsidRPr="00C259CD">
        <w:rPr>
          <w:rFonts w:asciiTheme="majorHAnsi" w:hAnsiTheme="majorHAnsi"/>
          <w:sz w:val="20"/>
          <w:szCs w:val="20"/>
        </w:rPr>
        <w:t>.</w:t>
      </w:r>
    </w:p>
    <w:p w14:paraId="41BF158A" w14:textId="77777777" w:rsidR="00D92A48" w:rsidRDefault="00C70A8E" w:rsidP="00C70A8E">
      <w:pPr>
        <w:pStyle w:val="ListParagraph"/>
        <w:numPr>
          <w:ilvl w:val="0"/>
          <w:numId w:val="107"/>
        </w:numPr>
        <w:ind w:left="0" w:firstLine="709"/>
        <w:jc w:val="both"/>
        <w:rPr>
          <w:rFonts w:asciiTheme="majorHAnsi" w:hAnsiTheme="majorHAnsi"/>
          <w:sz w:val="20"/>
          <w:szCs w:val="20"/>
        </w:rPr>
      </w:pPr>
      <w:r w:rsidRPr="00D92A48">
        <w:rPr>
          <w:rFonts w:asciiTheme="majorHAnsi" w:hAnsiTheme="majorHAnsi"/>
          <w:sz w:val="20"/>
          <w:szCs w:val="20"/>
        </w:rPr>
        <w:t xml:space="preserve">She asserts that on June 7, 2005, the Thirty-eighth Civil Court of Lima declared the constitutional appeal proceedings well-founded, and ordered her reinstatement as a Court Secretary. Said </w:t>
      </w:r>
      <w:r w:rsidRPr="00D92A48">
        <w:rPr>
          <w:rFonts w:asciiTheme="majorHAnsi" w:hAnsiTheme="majorHAnsi"/>
          <w:sz w:val="20"/>
          <w:szCs w:val="20"/>
        </w:rPr>
        <w:lastRenderedPageBreak/>
        <w:t>Court concluded that she was removed from her post without disciplinary proceedings and that, in light of the legal ban to lodging a constitutional appeal, the period to file said remedy began on the date that said limitation was repealed; that is to say, on the date of publication of Law No. 27433; hence, the constitutional appeal was filed within the legally established term. Likewise, said Court dismissed the remedy in regard to the payment of her salaries, arguing that since what she demanded was compensation, not restitution, a constitutional appeal was inappropriate for that purpose. Subsequently, the State lodged an appeal and on August 17, 2006, the Sixth Civil Chamber of the Superior Court of Justice of Lima declared the constitutional appeal inadmissible on the grounds of the admissibility requirements set forth in the binding decision on case file 0206-2005-PA/TC of December 22, 2005—connected with a case other than the alleged victim’s case—, establishing that the specific legal remedy is the administrative legal action, because the matter at issue concerns the state employment system.</w:t>
      </w:r>
    </w:p>
    <w:p w14:paraId="69B222D0" w14:textId="4398FC71" w:rsidR="00C70A8E" w:rsidRPr="00D92A48" w:rsidRDefault="00C70A8E" w:rsidP="00C70A8E">
      <w:pPr>
        <w:pStyle w:val="ListParagraph"/>
        <w:numPr>
          <w:ilvl w:val="0"/>
          <w:numId w:val="107"/>
        </w:numPr>
        <w:spacing w:before="240"/>
        <w:ind w:left="0" w:firstLine="709"/>
        <w:jc w:val="both"/>
        <w:rPr>
          <w:rFonts w:asciiTheme="majorHAnsi" w:hAnsiTheme="majorHAnsi"/>
          <w:sz w:val="20"/>
          <w:szCs w:val="20"/>
        </w:rPr>
      </w:pPr>
      <w:r w:rsidRPr="00D92A48">
        <w:rPr>
          <w:rFonts w:asciiTheme="majorHAnsi" w:hAnsiTheme="majorHAnsi"/>
          <w:sz w:val="20"/>
          <w:szCs w:val="20"/>
        </w:rPr>
        <w:t>The petitioner asserts that she filed a constitutional appeal against said judgment, and that on January 9, 2007 the Constitutional Court partly admitted said constitutional appeal, ordering her reinstatement and stating that the lack of previous administrative-disciplinary proceedings infringed the right of due process. In addition, it declared that the demand for payment of lost earnings was out of order, on the basis that it is not a demand for restitution but for compensation; and it argued that the petitioner’s unworked time had to be considered “for the purpose of her time worked, seniority and social security contributions.”</w:t>
      </w:r>
    </w:p>
    <w:p w14:paraId="71EE7B6C" w14:textId="77777777" w:rsidR="00C70A8E" w:rsidRDefault="00C70A8E" w:rsidP="00D92A4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rPr>
      </w:pPr>
      <w:r w:rsidRPr="00C259CD">
        <w:rPr>
          <w:rFonts w:asciiTheme="majorHAnsi" w:hAnsiTheme="majorHAnsi"/>
          <w:sz w:val="20"/>
          <w:szCs w:val="20"/>
        </w:rPr>
        <w:t xml:space="preserve"> The petitioner alleges the infringement of her right to labor, labor stability and other labor rights</w:t>
      </w:r>
      <w:r>
        <w:rPr>
          <w:rFonts w:asciiTheme="majorHAnsi" w:hAnsiTheme="majorHAnsi"/>
          <w:sz w:val="20"/>
          <w:szCs w:val="20"/>
        </w:rPr>
        <w:t xml:space="preserve">. She alleges the infringement of her rights to equality—in view of her selective dismissal—and to honor and reputation—in view of the statements by the then President in relation to the dismissed persons. Likewise, she submits that the principle of freedom from </w:t>
      </w:r>
      <w:r w:rsidRPr="00F33CD5">
        <w:rPr>
          <w:rFonts w:asciiTheme="majorHAnsi" w:hAnsiTheme="majorHAnsi"/>
          <w:i/>
          <w:sz w:val="20"/>
          <w:szCs w:val="20"/>
        </w:rPr>
        <w:t>ex post</w:t>
      </w:r>
      <w:r>
        <w:rPr>
          <w:rFonts w:asciiTheme="majorHAnsi" w:hAnsiTheme="majorHAnsi"/>
          <w:sz w:val="20"/>
          <w:szCs w:val="20"/>
        </w:rPr>
        <w:t xml:space="preserve"> </w:t>
      </w:r>
      <w:r w:rsidRPr="008C0F1B">
        <w:rPr>
          <w:rFonts w:asciiTheme="majorHAnsi" w:hAnsiTheme="majorHAnsi"/>
          <w:i/>
          <w:sz w:val="20"/>
          <w:szCs w:val="20"/>
        </w:rPr>
        <w:t>facto</w:t>
      </w:r>
      <w:r>
        <w:rPr>
          <w:rFonts w:asciiTheme="majorHAnsi" w:hAnsiTheme="majorHAnsi"/>
          <w:sz w:val="20"/>
          <w:szCs w:val="20"/>
        </w:rPr>
        <w:t xml:space="preserve"> laws was violated because “the hierarchy of laws and rules was not respected, and rules manifestly fraudulent and contrary to the law were applied instead.” She alleges lack of compensation and payment of earnings lost due to her dismissal, and damage to assets because of her unjustified dismissal from work. Additionally, she claims that, after being dismissed, she was precluded from applying to a state job openings due to Legislative Decree No. 276, under which dismissed state officers cannot be hired again in the public sector for a minimum period of five years; that, in practice, she was unable to work again in the public sector all throughout Fujimori’s government. She alleges the violation of legal safeguards because her dismissal was not decided through previous administrative-disciplinary proceedings, but through a Decree-Law; and the infringement of the right to judicial protection because between 1992 and 2001, she was unable to pursue a constitutional appeal. She asserts that when she lodged a constitutional appeal, she did it beyond the legally established term. Moreover, she indicates that she was reinstated in her post through a labor system different than the one she belonged to until her dismissal, which affected her training opportunities and promotion. Finally, she alleges that she was deprived of a subsidy for her mother’s funeral and burial services, and that she did not receive her social security benefits, such as holidays and bonuses.</w:t>
      </w:r>
    </w:p>
    <w:p w14:paraId="6501D3B8" w14:textId="77777777" w:rsidR="00C70A8E" w:rsidRPr="00C259CD" w:rsidRDefault="00C70A8E" w:rsidP="00C70A8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rPr>
        <w:t>The State claims that the petition is inadmissible. Firstly, it indicates that the Commission is not competent in regard to the claims of violation of the rights to labor, labor stability and other labor rights, since they are not set forth in the American Convention or Article 19.6 of the Additional Protocol to the American Convention on Human Rights in the Area of Economic, Social and Cultural Rights. In addition, it asserts that the petitioner has failed to pursue and exhaust the appropriate and effective domestic remedies concerning the payment of earnings lost due to her removal from work. In this regard, it submits that the petitioner does not indicate whether she resorted to the domestic jurisdiction pursuant to provisions in Article 46.1.a of the Convention, and that, in her case, exceptions to the prior exhaustion of domestic remedies are not applicable, for legal proceedings can be filed to protect her rights.</w:t>
      </w:r>
    </w:p>
    <w:p w14:paraId="122432DB" w14:textId="77777777" w:rsidR="00C70A8E" w:rsidRPr="00C04B44" w:rsidRDefault="00C70A8E" w:rsidP="00C70A8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Pr>
          <w:rFonts w:asciiTheme="majorHAnsi" w:hAnsiTheme="majorHAnsi"/>
          <w:sz w:val="20"/>
          <w:szCs w:val="20"/>
          <w:lang w:val="en-GB"/>
        </w:rPr>
        <w:t>Likewise, the State asserts that the facts do not represent violations of the ACHR</w:t>
      </w:r>
      <w:r w:rsidRPr="00C04B44">
        <w:rPr>
          <w:rFonts w:asciiTheme="majorHAnsi" w:hAnsiTheme="majorHAnsi"/>
          <w:sz w:val="20"/>
          <w:szCs w:val="20"/>
          <w:lang w:val="en-GB"/>
        </w:rPr>
        <w:t>.</w:t>
      </w:r>
      <w:r>
        <w:rPr>
          <w:rFonts w:asciiTheme="majorHAnsi" w:hAnsiTheme="majorHAnsi"/>
          <w:sz w:val="20"/>
          <w:szCs w:val="20"/>
          <w:lang w:val="en-GB"/>
        </w:rPr>
        <w:t xml:space="preserve"> As to the alleged violations of Article 9 of the ACHR, it affirms that the petitioner does not explain why there would be a violation. Concerning the alleged violations of Articles 8 and 25, it indicates that, in accordance with the Constitutional Court’s judgment, the alleged victim was reinstated in the post of Court Secretary at Civil Court No. 26 of Lima, in the framework of due process. Regarding the purported violation of Article 24 of the ACHR, </w:t>
      </w:r>
      <w:r>
        <w:rPr>
          <w:rFonts w:asciiTheme="majorHAnsi" w:hAnsiTheme="majorHAnsi"/>
          <w:sz w:val="20"/>
          <w:szCs w:val="20"/>
          <w:lang w:val="en-GB"/>
        </w:rPr>
        <w:lastRenderedPageBreak/>
        <w:t>it submits that the claim is not connected with the right to equal protection by the law, for she does not indicate whether a domestic ruling has been issued or interpreted against her.</w:t>
      </w:r>
    </w:p>
    <w:p w14:paraId="11BFBC73" w14:textId="77777777" w:rsidR="00C70A8E" w:rsidRPr="000C27C6" w:rsidRDefault="00C70A8E" w:rsidP="00C70A8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rPr>
      </w:pPr>
      <w:r>
        <w:rPr>
          <w:rFonts w:asciiTheme="majorHAnsi" w:hAnsiTheme="majorHAnsi"/>
          <w:sz w:val="20"/>
          <w:szCs w:val="20"/>
        </w:rPr>
        <w:t>11.</w:t>
      </w:r>
      <w:r w:rsidRPr="000C27C6">
        <w:rPr>
          <w:rFonts w:asciiTheme="majorHAnsi" w:hAnsiTheme="majorHAnsi"/>
          <w:sz w:val="20"/>
          <w:szCs w:val="20"/>
        </w:rPr>
        <w:tab/>
        <w:t>According to the State, although the petitioner</w:t>
      </w:r>
      <w:r>
        <w:rPr>
          <w:rFonts w:asciiTheme="majorHAnsi" w:hAnsiTheme="majorHAnsi"/>
          <w:sz w:val="20"/>
          <w:szCs w:val="20"/>
        </w:rPr>
        <w:t>’</w:t>
      </w:r>
      <w:r w:rsidRPr="000C27C6">
        <w:rPr>
          <w:rFonts w:asciiTheme="majorHAnsi" w:hAnsiTheme="majorHAnsi"/>
          <w:sz w:val="20"/>
          <w:szCs w:val="20"/>
        </w:rPr>
        <w:t>s reinstatement</w:t>
      </w:r>
      <w:r>
        <w:rPr>
          <w:rFonts w:asciiTheme="majorHAnsi" w:hAnsiTheme="majorHAnsi"/>
          <w:sz w:val="20"/>
          <w:szCs w:val="20"/>
        </w:rPr>
        <w:t xml:space="preserve"> was undertaken according to Legislative Decree No. 728, Resolution No. 024-2005-TR through which Law No. 27803 is applied establishes that “at the end of the training period state bodies will reinstate their formers employees in posts similar to the ones they were removed from, provided that there are budgeted vacancies for so doing.” With regard to the claim of lack of promotion as a result of being dismissed by Fujimori’s government, the State indicates that the petitioner does not specify or prove such acts of discrimination. It also submits that she was promoted for the post of Provisional Judge several times, which means that she had an increase in her salary and social security benefits during the periods that she mentions; and that to be appointed as a judge, the petitioner must apply to and/or be elected in several competitive selection processes. In this regard, the State claims that, in her case, she does not mention any employee who, being in the same circumstances as hers, has been appointed as a judge. In relation to the payment of her mother’s funeral and burial, the State submits that her demand was declared out of order because under the Supreme Decree regulating the matter, this subsidy is granted to the person who afforded the expenses, but she did not prove having afforded the expenses. Furthermore, it mentions several administrative rulings through which the State accepted to grant her compensation for the time worked, for holidays and for lost earnings, as well as for unworked days between 1992 and 2008, all of which are compensations by judicial order.</w:t>
      </w:r>
    </w:p>
    <w:p w14:paraId="03AD46CC" w14:textId="77777777" w:rsidR="00C70A8E" w:rsidRPr="00C70A8E" w:rsidRDefault="00C70A8E" w:rsidP="00C70A8E">
      <w:pPr>
        <w:pStyle w:val="ListParagraph"/>
        <w:spacing w:before="240" w:after="240"/>
        <w:jc w:val="both"/>
        <w:rPr>
          <w:rFonts w:asciiTheme="majorHAnsi" w:hAnsiTheme="majorHAnsi"/>
          <w:b/>
          <w:bCs/>
          <w:sz w:val="20"/>
          <w:szCs w:val="20"/>
          <w:lang w:val="en-GB"/>
        </w:rPr>
      </w:pPr>
      <w:r w:rsidRPr="00C70A8E">
        <w:rPr>
          <w:rFonts w:asciiTheme="majorHAnsi" w:hAnsiTheme="majorHAnsi"/>
          <w:b/>
          <w:bCs/>
          <w:sz w:val="20"/>
          <w:szCs w:val="20"/>
          <w:lang w:val="en-GB"/>
        </w:rPr>
        <w:t xml:space="preserve">VI. </w:t>
      </w:r>
      <w:r w:rsidRPr="00C70A8E">
        <w:rPr>
          <w:rFonts w:asciiTheme="majorHAnsi" w:hAnsiTheme="majorHAnsi"/>
          <w:b/>
          <w:bCs/>
          <w:sz w:val="20"/>
          <w:szCs w:val="20"/>
          <w:lang w:val="en-GB"/>
        </w:rPr>
        <w:tab/>
        <w:t>EXHAUSTION OF DOMESTIC REMEDIES AND TIMELINESS OF THE PETITION</w:t>
      </w:r>
    </w:p>
    <w:p w14:paraId="2981AA5F" w14:textId="77777777" w:rsidR="00C70A8E" w:rsidRPr="004D291A" w:rsidRDefault="00C70A8E" w:rsidP="00C70A8E">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rPr>
      </w:pPr>
      <w:r w:rsidRPr="004D291A">
        <w:rPr>
          <w:rFonts w:asciiTheme="majorHAnsi" w:hAnsiTheme="majorHAnsi"/>
          <w:sz w:val="20"/>
          <w:szCs w:val="20"/>
        </w:rPr>
        <w:t>The petitioner alleges that at the time of her dismissal s</w:t>
      </w:r>
      <w:r>
        <w:rPr>
          <w:rFonts w:asciiTheme="majorHAnsi" w:hAnsiTheme="majorHAnsi"/>
          <w:sz w:val="20"/>
          <w:szCs w:val="20"/>
        </w:rPr>
        <w:t>he was precluded from lodging a constitutional</w:t>
      </w:r>
      <w:r w:rsidRPr="004D291A">
        <w:rPr>
          <w:rFonts w:asciiTheme="majorHAnsi" w:hAnsiTheme="majorHAnsi"/>
          <w:sz w:val="20"/>
          <w:szCs w:val="20"/>
        </w:rPr>
        <w:t xml:space="preserve"> appeal, that only </w:t>
      </w:r>
      <w:r>
        <w:rPr>
          <w:rFonts w:asciiTheme="majorHAnsi" w:hAnsiTheme="majorHAnsi"/>
          <w:sz w:val="20"/>
          <w:szCs w:val="20"/>
        </w:rPr>
        <w:t>in 2001 was she able to lodge a constitutional</w:t>
      </w:r>
      <w:r w:rsidRPr="004D291A">
        <w:rPr>
          <w:rFonts w:asciiTheme="majorHAnsi" w:hAnsiTheme="majorHAnsi"/>
          <w:sz w:val="20"/>
          <w:szCs w:val="20"/>
        </w:rPr>
        <w:t xml:space="preserve"> appeal, and that after filing several procedural remedies, on January 9, 2007, the Constitutional Court settled </w:t>
      </w:r>
      <w:r>
        <w:rPr>
          <w:rFonts w:asciiTheme="majorHAnsi" w:hAnsiTheme="majorHAnsi"/>
          <w:sz w:val="20"/>
          <w:szCs w:val="20"/>
        </w:rPr>
        <w:t>a constitutional</w:t>
      </w:r>
      <w:r w:rsidRPr="004D291A">
        <w:rPr>
          <w:rFonts w:asciiTheme="majorHAnsi" w:hAnsiTheme="majorHAnsi"/>
          <w:sz w:val="20"/>
          <w:szCs w:val="20"/>
        </w:rPr>
        <w:t xml:space="preserve"> appeal partly in her favor</w:t>
      </w:r>
      <w:r>
        <w:rPr>
          <w:rFonts w:asciiTheme="majorHAnsi" w:hAnsiTheme="majorHAnsi"/>
          <w:sz w:val="20"/>
          <w:szCs w:val="20"/>
        </w:rPr>
        <w:t>. This decision was</w:t>
      </w:r>
      <w:r w:rsidRPr="004D291A">
        <w:rPr>
          <w:rFonts w:asciiTheme="majorHAnsi" w:hAnsiTheme="majorHAnsi"/>
          <w:sz w:val="20"/>
          <w:szCs w:val="20"/>
        </w:rPr>
        <w:t xml:space="preserve"> notified to her on July 31, 2007. For its part, the State claims that the exception to </w:t>
      </w:r>
      <w:r>
        <w:rPr>
          <w:rFonts w:asciiTheme="majorHAnsi" w:hAnsiTheme="majorHAnsi"/>
          <w:sz w:val="20"/>
          <w:szCs w:val="20"/>
        </w:rPr>
        <w:t xml:space="preserve">the </w:t>
      </w:r>
      <w:r w:rsidRPr="004D291A">
        <w:rPr>
          <w:rFonts w:asciiTheme="majorHAnsi" w:hAnsiTheme="majorHAnsi"/>
          <w:sz w:val="20"/>
          <w:szCs w:val="20"/>
        </w:rPr>
        <w:t xml:space="preserve">prior exhaustion of domestic remedies is applicable in light of the salaries lost due to her </w:t>
      </w:r>
      <w:r>
        <w:rPr>
          <w:rFonts w:asciiTheme="majorHAnsi" w:hAnsiTheme="majorHAnsi"/>
          <w:sz w:val="20"/>
          <w:szCs w:val="20"/>
        </w:rPr>
        <w:t>dismissal</w:t>
      </w:r>
      <w:r w:rsidRPr="004D291A">
        <w:rPr>
          <w:rFonts w:asciiTheme="majorHAnsi" w:hAnsiTheme="majorHAnsi"/>
          <w:sz w:val="20"/>
          <w:szCs w:val="20"/>
        </w:rPr>
        <w:t>.</w:t>
      </w:r>
    </w:p>
    <w:p w14:paraId="6E71C312" w14:textId="77777777" w:rsidR="00C70A8E" w:rsidRPr="007B6AC6" w:rsidRDefault="00C70A8E" w:rsidP="00C70A8E">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n-GB"/>
        </w:rPr>
      </w:pPr>
      <w:r>
        <w:rPr>
          <w:rFonts w:asciiTheme="majorHAnsi" w:hAnsiTheme="majorHAnsi"/>
          <w:sz w:val="20"/>
          <w:szCs w:val="20"/>
          <w:lang w:val="en-GB"/>
        </w:rPr>
        <w:t>The Commission believes that</w:t>
      </w:r>
      <w:r w:rsidRPr="00BB2EE4">
        <w:rPr>
          <w:rFonts w:asciiTheme="majorHAnsi" w:hAnsiTheme="majorHAnsi"/>
          <w:sz w:val="20"/>
          <w:szCs w:val="20"/>
          <w:lang w:val="en-GB"/>
        </w:rPr>
        <w:t xml:space="preserve"> </w:t>
      </w:r>
      <w:r>
        <w:rPr>
          <w:rFonts w:asciiTheme="majorHAnsi" w:hAnsiTheme="majorHAnsi"/>
          <w:sz w:val="20"/>
          <w:szCs w:val="20"/>
          <w:lang w:val="en-GB"/>
        </w:rPr>
        <w:t>considering the petitioner’s</w:t>
      </w:r>
      <w:r w:rsidRPr="00BB2EE4">
        <w:rPr>
          <w:rFonts w:asciiTheme="majorHAnsi" w:hAnsiTheme="majorHAnsi"/>
          <w:sz w:val="20"/>
          <w:szCs w:val="20"/>
          <w:lang w:val="en-GB"/>
        </w:rPr>
        <w:t xml:space="preserve"> </w:t>
      </w:r>
      <w:r>
        <w:rPr>
          <w:rFonts w:asciiTheme="majorHAnsi" w:hAnsiTheme="majorHAnsi"/>
          <w:sz w:val="20"/>
          <w:szCs w:val="20"/>
          <w:lang w:val="en-GB"/>
        </w:rPr>
        <w:t>alleged</w:t>
      </w:r>
      <w:r w:rsidRPr="00BB2EE4">
        <w:rPr>
          <w:rFonts w:asciiTheme="majorHAnsi" w:hAnsiTheme="majorHAnsi"/>
          <w:sz w:val="20"/>
          <w:szCs w:val="20"/>
          <w:lang w:val="en-GB"/>
        </w:rPr>
        <w:t xml:space="preserve"> legal preclusi</w:t>
      </w:r>
      <w:r>
        <w:rPr>
          <w:rFonts w:asciiTheme="majorHAnsi" w:hAnsiTheme="majorHAnsi"/>
          <w:sz w:val="20"/>
          <w:szCs w:val="20"/>
          <w:lang w:val="en-GB"/>
        </w:rPr>
        <w:t>on to file a constitutional appeal between 1992 and 2001, and the context of unclear information as to the appropriate remedy to pursue in cases of collective dismissals,</w:t>
      </w:r>
      <w:r w:rsidRPr="00312DBE">
        <w:rPr>
          <w:rStyle w:val="FootnoteReference"/>
          <w:rFonts w:asciiTheme="majorHAnsi" w:hAnsiTheme="majorHAnsi"/>
          <w:sz w:val="20"/>
          <w:szCs w:val="20"/>
          <w:lang w:val="en-GB"/>
        </w:rPr>
        <w:footnoteReference w:id="5"/>
      </w:r>
      <w:r>
        <w:rPr>
          <w:rFonts w:asciiTheme="majorHAnsi" w:hAnsiTheme="majorHAnsi"/>
          <w:sz w:val="20"/>
          <w:szCs w:val="20"/>
          <w:lang w:val="en-GB"/>
        </w:rPr>
        <w:t xml:space="preserve"> the pursuit of a constitutional appeal in this context suffices to consider domestic remedies exhausted. In light of the foregoing, the Commission concludes that the alleged victim exhausted the domestic remedies through the judgment of which she was notified on July 31, 2007, pursuant to Article 46.1.a of the Convention. Since the petition was presented on October 9, 2007, it meets the requirement set forth in Article 46.1.b of the Convention.</w:t>
      </w:r>
    </w:p>
    <w:p w14:paraId="1D556B19" w14:textId="77777777" w:rsidR="00C70A8E" w:rsidRPr="00C259CD" w:rsidRDefault="00C70A8E" w:rsidP="00C70A8E">
      <w:pPr>
        <w:pStyle w:val="ListParagraph"/>
        <w:spacing w:before="240" w:after="240"/>
        <w:jc w:val="both"/>
        <w:rPr>
          <w:rFonts w:asciiTheme="majorHAnsi" w:hAnsiTheme="majorHAnsi"/>
          <w:b/>
          <w:bCs/>
          <w:sz w:val="20"/>
          <w:szCs w:val="20"/>
          <w:lang w:val="es-US"/>
        </w:rPr>
      </w:pPr>
      <w:r w:rsidRPr="00C259CD">
        <w:rPr>
          <w:rFonts w:asciiTheme="majorHAnsi" w:hAnsiTheme="majorHAnsi"/>
          <w:b/>
          <w:bCs/>
          <w:sz w:val="20"/>
          <w:szCs w:val="20"/>
          <w:lang w:val="es-US"/>
        </w:rPr>
        <w:t>VII.</w:t>
      </w:r>
      <w:r w:rsidRPr="00C259CD">
        <w:rPr>
          <w:rFonts w:asciiTheme="majorHAnsi" w:hAnsiTheme="majorHAnsi"/>
          <w:b/>
          <w:bCs/>
          <w:sz w:val="20"/>
          <w:szCs w:val="20"/>
          <w:lang w:val="es-US"/>
        </w:rPr>
        <w:tab/>
        <w:t>COLORABLE CLAIM</w:t>
      </w:r>
    </w:p>
    <w:p w14:paraId="70FA64BD" w14:textId="77777777" w:rsidR="00C70A8E" w:rsidRDefault="00C70A8E" w:rsidP="00C70A8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sidRPr="00A42F57">
        <w:rPr>
          <w:rFonts w:asciiTheme="majorHAnsi" w:hAnsiTheme="majorHAnsi"/>
          <w:sz w:val="20"/>
          <w:szCs w:val="20"/>
          <w:lang w:val="en-GB"/>
        </w:rPr>
        <w:t xml:space="preserve">In view of the elements of fact and law presented by the parties and the nature of the matter brought to its attention, the Commission believes that, if proved, the alleged facts concerning the </w:t>
      </w:r>
      <w:r>
        <w:rPr>
          <w:rFonts w:asciiTheme="majorHAnsi" w:hAnsiTheme="majorHAnsi"/>
          <w:sz w:val="20"/>
          <w:szCs w:val="20"/>
          <w:lang w:val="en-GB"/>
        </w:rPr>
        <w:t>alleged victim’s unlawful removal, and the legal preclusion of constitutional appeals, along with the fact that she has not yet received full compensation or payment of the earnings lost due to her dismissal, all may establish possible violations of Articles 8 and 25 of the American Convention, in relation to its Articles 1.1 and 2.</w:t>
      </w:r>
    </w:p>
    <w:p w14:paraId="50F78B83" w14:textId="77777777" w:rsidR="00C70A8E" w:rsidRDefault="00C70A8E" w:rsidP="00C70A8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Pr>
          <w:rFonts w:asciiTheme="majorHAnsi" w:hAnsiTheme="majorHAnsi"/>
          <w:sz w:val="20"/>
          <w:szCs w:val="20"/>
          <w:lang w:val="en-GB"/>
        </w:rPr>
        <w:t>In regard to the claim of purported violation of Articles 9 and 24 of the American Convention, the Commission notes that the petitioner does not prove such purported violation; therefore, said claim is declared inadmissible.</w:t>
      </w:r>
    </w:p>
    <w:p w14:paraId="43B00D50" w14:textId="77777777" w:rsidR="00C70A8E" w:rsidRPr="00A42F57" w:rsidRDefault="00C70A8E" w:rsidP="00C70A8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Pr>
          <w:rFonts w:asciiTheme="majorHAnsi" w:hAnsiTheme="majorHAnsi"/>
          <w:sz w:val="20"/>
          <w:szCs w:val="20"/>
          <w:lang w:val="en-GB"/>
        </w:rPr>
        <w:lastRenderedPageBreak/>
        <w:t>Moreover, as to the State’s claims of the Commission’s lack of competence, the IACHR understands that the claims presented by the petitioner fall under its competence pursuant to the ACHR; therefore, there is nothing to indicate a possible issue of competence in this regard.</w:t>
      </w:r>
    </w:p>
    <w:p w14:paraId="53FB7F0B" w14:textId="77777777" w:rsidR="00C70A8E" w:rsidRPr="00C259CD" w:rsidRDefault="00C70A8E" w:rsidP="00C70A8E">
      <w:pPr>
        <w:pStyle w:val="ListParagraph"/>
        <w:spacing w:before="240" w:after="240"/>
        <w:jc w:val="both"/>
        <w:rPr>
          <w:rFonts w:asciiTheme="majorHAnsi" w:hAnsiTheme="majorHAnsi"/>
          <w:b/>
          <w:bCs/>
          <w:sz w:val="20"/>
          <w:szCs w:val="20"/>
          <w:lang w:val="es-US"/>
        </w:rPr>
      </w:pPr>
      <w:r w:rsidRPr="00C259CD">
        <w:rPr>
          <w:rFonts w:asciiTheme="majorHAnsi" w:hAnsiTheme="majorHAnsi"/>
          <w:b/>
          <w:bCs/>
          <w:sz w:val="20"/>
          <w:szCs w:val="20"/>
          <w:lang w:val="es-US"/>
        </w:rPr>
        <w:t xml:space="preserve">VIII. </w:t>
      </w:r>
      <w:r w:rsidRPr="00C259CD">
        <w:rPr>
          <w:rFonts w:asciiTheme="majorHAnsi" w:hAnsiTheme="majorHAnsi"/>
          <w:b/>
          <w:bCs/>
          <w:sz w:val="20"/>
          <w:szCs w:val="20"/>
          <w:lang w:val="es-US"/>
        </w:rPr>
        <w:tab/>
        <w:t>DECISION</w:t>
      </w:r>
    </w:p>
    <w:p w14:paraId="72459FAF" w14:textId="77777777" w:rsidR="00C70A8E" w:rsidRDefault="00C70A8E" w:rsidP="00C70A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7C95">
        <w:rPr>
          <w:rFonts w:asciiTheme="majorHAnsi" w:hAnsiTheme="majorHAnsi"/>
          <w:sz w:val="20"/>
          <w:szCs w:val="20"/>
        </w:rPr>
        <w:t>To declare the instant petition admissible in relation to Articles 8 and 25 the American Convention, in relation to its Articles 1.1 and 2;</w:t>
      </w:r>
    </w:p>
    <w:p w14:paraId="740C02D8" w14:textId="77777777" w:rsidR="00C70A8E" w:rsidRPr="00F67C95" w:rsidRDefault="00C70A8E" w:rsidP="00C70A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7C95">
        <w:rPr>
          <w:rFonts w:asciiTheme="majorHAnsi" w:hAnsiTheme="majorHAnsi"/>
          <w:sz w:val="20"/>
          <w:szCs w:val="20"/>
        </w:rPr>
        <w:t xml:space="preserve">To find the instant petition inadmissible in relation to Article </w:t>
      </w:r>
      <w:r>
        <w:rPr>
          <w:rFonts w:asciiTheme="majorHAnsi" w:hAnsiTheme="majorHAnsi"/>
          <w:sz w:val="20"/>
          <w:szCs w:val="20"/>
        </w:rPr>
        <w:t>9 and 24</w:t>
      </w:r>
      <w:r w:rsidRPr="00F67C95">
        <w:rPr>
          <w:rFonts w:asciiTheme="majorHAnsi" w:hAnsiTheme="majorHAnsi"/>
          <w:sz w:val="20"/>
          <w:szCs w:val="20"/>
        </w:rPr>
        <w:t xml:space="preserve"> of the American Convention;</w:t>
      </w:r>
    </w:p>
    <w:p w14:paraId="0BD6057E" w14:textId="77777777" w:rsidR="00C70A8E" w:rsidRPr="00F70670" w:rsidRDefault="00C70A8E" w:rsidP="00C70A8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670">
        <w:rPr>
          <w:rFonts w:asciiTheme="majorHAnsi" w:hAnsiTheme="majorHAnsi"/>
          <w:sz w:val="20"/>
          <w:szCs w:val="20"/>
        </w:rPr>
        <w:t>To notify the parties of this decision;</w:t>
      </w:r>
    </w:p>
    <w:p w14:paraId="2C9D7157" w14:textId="77777777" w:rsidR="00C70A8E" w:rsidRPr="00F70AF2" w:rsidRDefault="00C70A8E" w:rsidP="00C70A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To continue with the analysis on the merits; and</w:t>
      </w:r>
    </w:p>
    <w:p w14:paraId="2F11E3C8" w14:textId="77777777" w:rsidR="00C70A8E" w:rsidRDefault="00C70A8E" w:rsidP="00C70A8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To publish this decision and include it in its Annual Report to the General Assembly of the Organization of American States.</w:t>
      </w:r>
    </w:p>
    <w:p w14:paraId="2FC2CCA9" w14:textId="24C09089" w:rsidR="002C4C47" w:rsidRPr="000B6B7A" w:rsidRDefault="002C4C47" w:rsidP="002C4C47">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Washington, D.C.</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30</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November</w:t>
      </w:r>
      <w:r w:rsidRPr="008A5D2F">
        <w:rPr>
          <w:rFonts w:asciiTheme="majorHAnsi" w:eastAsia="Cambria" w:hAnsiTheme="majorHAnsi" w:cs="Cambria"/>
          <w:color w:val="000000"/>
          <w:sz w:val="20"/>
          <w:szCs w:val="20"/>
          <w:u w:color="000000"/>
          <w:lang w:eastAsia="es-ES"/>
        </w:rPr>
        <w:t xml:space="preserve">, 2017. (Signed): Margarette May Macaulay, First Vice President; Esmeralda E. Arosemena Bernal de Troitiño, Second Vice President; </w:t>
      </w:r>
      <w:r>
        <w:rPr>
          <w:rFonts w:asciiTheme="majorHAnsi" w:eastAsia="Cambria" w:hAnsiTheme="majorHAnsi" w:cs="Cambria"/>
          <w:color w:val="000000"/>
          <w:sz w:val="20"/>
          <w:szCs w:val="20"/>
          <w:u w:color="000000"/>
          <w:lang w:eastAsia="es-ES"/>
        </w:rPr>
        <w:t>Jos</w:t>
      </w:r>
      <w:r w:rsidRPr="00317601">
        <w:rPr>
          <w:rFonts w:asciiTheme="majorHAnsi" w:eastAsia="Cambria" w:hAnsiTheme="majorHAnsi" w:cs="Cambria"/>
          <w:color w:val="000000"/>
          <w:sz w:val="20"/>
          <w:szCs w:val="20"/>
          <w:u w:color="000000"/>
          <w:lang w:eastAsia="es-ES"/>
        </w:rPr>
        <w:t xml:space="preserve">é de Jesús Orozco Henríquez, </w:t>
      </w:r>
      <w:r w:rsidRPr="008A5D2F">
        <w:rPr>
          <w:rFonts w:asciiTheme="majorHAnsi" w:eastAsia="Cambria" w:hAnsiTheme="majorHAnsi" w:cs="Cambria"/>
          <w:color w:val="000000"/>
          <w:sz w:val="20"/>
          <w:szCs w:val="20"/>
          <w:u w:color="000000"/>
          <w:lang w:eastAsia="es-ES"/>
        </w:rPr>
        <w:t>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w:t>
      </w:r>
      <w:r w:rsidRPr="00EB091D">
        <w:rPr>
          <w:rFonts w:asciiTheme="majorHAnsi" w:hAnsiTheme="majorHAnsi"/>
          <w:spacing w:val="-2"/>
          <w:sz w:val="20"/>
          <w:szCs w:val="20"/>
        </w:rPr>
        <w:t>Luis Ernesto Vargas Silva</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14:paraId="5F3238F9" w14:textId="77777777" w:rsidR="002C4C47" w:rsidRPr="00A75A0C" w:rsidRDefault="002C4C47" w:rsidP="002C4C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0C988627" w14:textId="77777777" w:rsidR="002C4C47" w:rsidRPr="00F67C95" w:rsidRDefault="002C4C47" w:rsidP="002C4C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1662" w14:textId="77777777" w:rsidR="002424F9" w:rsidRDefault="002424F9" w:rsidP="00036A8A">
      <w:r>
        <w:separator/>
      </w:r>
    </w:p>
  </w:endnote>
  <w:endnote w:type="continuationSeparator" w:id="0">
    <w:p w14:paraId="064AC882" w14:textId="77777777" w:rsidR="002424F9" w:rsidRDefault="002424F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8FC6" w14:textId="77777777" w:rsidR="00541BCC" w:rsidRDefault="00541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41BC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8769" w14:textId="77777777" w:rsidR="002424F9" w:rsidRPr="00036A8A" w:rsidRDefault="002424F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4B738C9" w14:textId="77777777" w:rsidR="002424F9" w:rsidRPr="00036A8A" w:rsidRDefault="002424F9" w:rsidP="00036A8A">
      <w:pPr>
        <w:rPr>
          <w:rFonts w:asciiTheme="majorHAnsi" w:hAnsiTheme="majorHAnsi"/>
          <w:sz w:val="16"/>
          <w:szCs w:val="16"/>
        </w:rPr>
      </w:pPr>
      <w:r w:rsidRPr="00036A8A">
        <w:rPr>
          <w:rFonts w:asciiTheme="majorHAnsi" w:hAnsiTheme="majorHAnsi"/>
          <w:sz w:val="16"/>
          <w:szCs w:val="16"/>
        </w:rPr>
        <w:separator/>
      </w:r>
    </w:p>
    <w:p w14:paraId="240A3ECE" w14:textId="77777777" w:rsidR="002424F9" w:rsidRPr="00036A8A" w:rsidRDefault="002424F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F7AC5F6" w14:textId="77777777" w:rsidR="002424F9" w:rsidRPr="0093441A" w:rsidRDefault="002424F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5DD250D" w14:textId="77777777" w:rsidR="001B1522" w:rsidRPr="009D77E9" w:rsidRDefault="001B1522" w:rsidP="00D92A48">
      <w:pPr>
        <w:pStyle w:val="FootnoteText"/>
        <w:ind w:firstLine="720"/>
        <w:jc w:val="both"/>
        <w:rPr>
          <w:lang w:val="en-GB"/>
        </w:rPr>
      </w:pPr>
      <w:r>
        <w:rPr>
          <w:rStyle w:val="FootnoteReference"/>
        </w:rPr>
        <w:footnoteRef/>
      </w:r>
      <w:r w:rsidRPr="009D77E9">
        <w:rPr>
          <w:lang w:val="en-GB"/>
        </w:rPr>
        <w:t xml:space="preserve"> </w:t>
      </w:r>
      <w:r w:rsidRPr="009D77E9">
        <w:rPr>
          <w:rFonts w:ascii="Cambria" w:hAnsi="Cambria"/>
          <w:sz w:val="16"/>
          <w:szCs w:val="16"/>
          <w:lang w:val="en-GB"/>
        </w:rPr>
        <w:t>In accordance with Article 17.2.a of the IACHR Rules of Procedure, Commissioner Francisco José Eguirguren Praeli, a Peruvian national, did not participate in the discussion or the decision on this matter.</w:t>
      </w:r>
    </w:p>
  </w:footnote>
  <w:footnote w:id="3">
    <w:p w14:paraId="2C512CD9" w14:textId="5AA1DE3C" w:rsidR="00586301" w:rsidRPr="00D92A48" w:rsidRDefault="00586301" w:rsidP="00D92A48">
      <w:pPr>
        <w:pStyle w:val="FootnoteText"/>
        <w:ind w:firstLine="720"/>
        <w:jc w:val="both"/>
        <w:rPr>
          <w:rFonts w:ascii="Cambria" w:hAnsi="Cambria"/>
          <w:sz w:val="16"/>
          <w:szCs w:val="16"/>
          <w:lang w:val="en-GB"/>
        </w:rPr>
      </w:pPr>
      <w:r w:rsidRPr="00711A2B">
        <w:rPr>
          <w:rFonts w:ascii="Cambria" w:hAnsi="Cambria"/>
          <w:sz w:val="16"/>
          <w:szCs w:val="16"/>
          <w:vertAlign w:val="superscript"/>
          <w:lang w:val="es-ES"/>
        </w:rPr>
        <w:footnoteRef/>
      </w:r>
      <w:r w:rsidRPr="00D92A48">
        <w:rPr>
          <w:rFonts w:ascii="Cambria" w:hAnsi="Cambria"/>
          <w:sz w:val="16"/>
          <w:szCs w:val="16"/>
          <w:lang w:val="en-GB"/>
        </w:rPr>
        <w:t xml:space="preserve"> </w:t>
      </w:r>
      <w:r w:rsidR="00D92A48" w:rsidRPr="00D92A48">
        <w:rPr>
          <w:rFonts w:ascii="Cambria" w:hAnsi="Cambria"/>
          <w:sz w:val="16"/>
          <w:szCs w:val="16"/>
          <w:lang w:val="en-GB"/>
        </w:rPr>
        <w:t>Hereinafter</w:t>
      </w:r>
      <w:r w:rsidRPr="00D92A48">
        <w:rPr>
          <w:rFonts w:ascii="Cambria" w:hAnsi="Cambria"/>
          <w:sz w:val="16"/>
          <w:szCs w:val="16"/>
          <w:lang w:val="en-GB"/>
        </w:rPr>
        <w:t>, “</w:t>
      </w:r>
      <w:r w:rsidR="00D92A48" w:rsidRPr="00D92A48">
        <w:rPr>
          <w:rFonts w:ascii="Cambria" w:hAnsi="Cambria"/>
          <w:sz w:val="16"/>
          <w:szCs w:val="16"/>
          <w:lang w:val="en-GB"/>
        </w:rPr>
        <w:t>Convention” or “American Convention.”</w:t>
      </w:r>
    </w:p>
  </w:footnote>
  <w:footnote w:id="4">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5C5C4CF1" w14:textId="77777777" w:rsidR="00C70A8E" w:rsidRPr="00312DBE" w:rsidRDefault="00C70A8E" w:rsidP="00C70A8E">
      <w:pPr>
        <w:pStyle w:val="FootnoteText"/>
        <w:tabs>
          <w:tab w:val="left" w:pos="1418"/>
        </w:tabs>
        <w:ind w:firstLine="720"/>
        <w:jc w:val="both"/>
        <w:rPr>
          <w:rFonts w:asciiTheme="majorHAnsi" w:hAnsiTheme="majorHAnsi" w:cs="Arial"/>
          <w:sz w:val="16"/>
          <w:szCs w:val="18"/>
        </w:rPr>
      </w:pPr>
      <w:r w:rsidRPr="00312DBE">
        <w:rPr>
          <w:rStyle w:val="FootnoteReference"/>
          <w:rFonts w:asciiTheme="majorHAnsi" w:hAnsiTheme="majorHAnsi"/>
          <w:sz w:val="16"/>
          <w:szCs w:val="18"/>
        </w:rPr>
        <w:footnoteRef/>
      </w:r>
      <w:r w:rsidRPr="00312DBE">
        <w:rPr>
          <w:rFonts w:asciiTheme="majorHAnsi" w:hAnsiTheme="majorHAnsi"/>
          <w:sz w:val="16"/>
          <w:szCs w:val="18"/>
        </w:rPr>
        <w:t xml:space="preserve"> In this regard: I/A Court H.R., Case of Huapaya Canales </w:t>
      </w:r>
      <w:r w:rsidRPr="00312DBE">
        <w:rPr>
          <w:rFonts w:asciiTheme="majorHAnsi" w:hAnsiTheme="majorHAnsi"/>
          <w:i/>
          <w:sz w:val="16"/>
          <w:szCs w:val="18"/>
        </w:rPr>
        <w:t>et al</w:t>
      </w:r>
      <w:r w:rsidRPr="00312DBE">
        <w:rPr>
          <w:rFonts w:asciiTheme="majorHAnsi" w:hAnsiTheme="majorHAnsi"/>
          <w:sz w:val="16"/>
          <w:szCs w:val="18"/>
        </w:rPr>
        <w:t xml:space="preserve">. v Peru. Preliminary Objections, Merits, Reparations and Costs. Judgment of June 24, 2015. Series C No. 296, par. 103; and I/A Court H.R., Case of </w:t>
      </w:r>
      <w:r w:rsidRPr="00312DBE">
        <w:rPr>
          <w:rStyle w:val="Strong"/>
          <w:rFonts w:asciiTheme="majorHAnsi" w:hAnsiTheme="majorHAnsi"/>
          <w:b w:val="0"/>
          <w:sz w:val="16"/>
          <w:szCs w:val="18"/>
        </w:rPr>
        <w:t xml:space="preserve">the Dismissed Congressional Employees (Aguado - Alfaro </w:t>
      </w:r>
      <w:r w:rsidRPr="00312DBE">
        <w:rPr>
          <w:rStyle w:val="Strong"/>
          <w:rFonts w:asciiTheme="majorHAnsi" w:hAnsiTheme="majorHAnsi"/>
          <w:b w:val="0"/>
          <w:i/>
          <w:sz w:val="16"/>
          <w:szCs w:val="18"/>
        </w:rPr>
        <w:t>et al</w:t>
      </w:r>
      <w:r w:rsidRPr="00312DBE">
        <w:rPr>
          <w:rStyle w:val="Strong"/>
          <w:rFonts w:asciiTheme="majorHAnsi" w:hAnsiTheme="majorHAnsi"/>
          <w:b w:val="0"/>
          <w:sz w:val="16"/>
          <w:szCs w:val="18"/>
        </w:rPr>
        <w:t>.) v. Peru. Preliminary Objections, Merits, Reparations and Costs. Judgment of November 24, 2006. Series C No. 158</w:t>
      </w:r>
      <w:r w:rsidRPr="00312DBE">
        <w:rPr>
          <w:rFonts w:asciiTheme="majorHAnsi" w:hAnsiTheme="majorHAnsi"/>
          <w:sz w:val="16"/>
          <w:szCs w:val="18"/>
        </w:rPr>
        <w:t>, par.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424F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A9C0" w14:textId="77777777" w:rsidR="00541BCC" w:rsidRDefault="00541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DE7"/>
    <w:multiLevelType w:val="hybridMultilevel"/>
    <w:tmpl w:val="CB10A6EC"/>
    <w:lvl w:ilvl="0" w:tplc="0409000F">
      <w:start w:val="1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5C10962"/>
    <w:multiLevelType w:val="hybridMultilevel"/>
    <w:tmpl w:val="C1F42C06"/>
    <w:lvl w:ilvl="0" w:tplc="A526549E">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F6207C3"/>
    <w:multiLevelType w:val="hybridMultilevel"/>
    <w:tmpl w:val="D096B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6080C"/>
    <w:multiLevelType w:val="hybridMultilevel"/>
    <w:tmpl w:val="031A5864"/>
    <w:lvl w:ilvl="0" w:tplc="4934BBA2">
      <w:start w:val="8"/>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3CBF269E"/>
    <w:multiLevelType w:val="hybridMultilevel"/>
    <w:tmpl w:val="26A84BC4"/>
    <w:lvl w:ilvl="0" w:tplc="6AAEF3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7"/>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1"/>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4"/>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4"/>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1"/>
  </w:num>
  <w:num w:numId="54">
    <w:abstractNumId w:val="43"/>
  </w:num>
  <w:num w:numId="55">
    <w:abstractNumId w:val="44"/>
  </w:num>
  <w:num w:numId="56">
    <w:abstractNumId w:val="50"/>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3"/>
  </w:num>
  <w:num w:numId="75">
    <w:abstractNumId w:val="35"/>
  </w:num>
  <w:num w:numId="76">
    <w:abstractNumId w:val="36"/>
  </w:num>
  <w:num w:numId="77">
    <w:abstractNumId w:val="37"/>
  </w:num>
  <w:num w:numId="78">
    <w:abstractNumId w:val="38"/>
  </w:num>
  <w:num w:numId="79">
    <w:abstractNumId w:val="39"/>
  </w:num>
  <w:num w:numId="80">
    <w:abstractNumId w:val="40"/>
  </w:num>
  <w:num w:numId="81">
    <w:abstractNumId w:val="41"/>
  </w:num>
  <w:num w:numId="82">
    <w:abstractNumId w:val="45"/>
  </w:num>
  <w:num w:numId="83">
    <w:abstractNumId w:val="46"/>
  </w:num>
  <w:num w:numId="84">
    <w:abstractNumId w:val="52"/>
  </w:num>
  <w:num w:numId="85">
    <w:abstractNumId w:val="55"/>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4"/>
  </w:num>
  <w:num w:numId="95">
    <w:abstractNumId w:val="47"/>
  </w:num>
  <w:num w:numId="96">
    <w:abstractNumId w:val="58"/>
  </w:num>
  <w:num w:numId="97">
    <w:abstractNumId w:val="56"/>
  </w:num>
  <w:num w:numId="98">
    <w:abstractNumId w:val="51"/>
  </w:num>
  <w:num w:numId="99">
    <w:abstractNumId w:val="42"/>
  </w:num>
  <w:num w:numId="100">
    <w:abstractNumId w:val="4"/>
  </w:num>
  <w:num w:numId="101">
    <w:abstractNumId w:val="29"/>
  </w:num>
  <w:num w:numId="102">
    <w:abstractNumId w:val="53"/>
  </w:num>
  <w:num w:numId="103">
    <w:abstractNumId w:val="6"/>
  </w:num>
  <w:num w:numId="104">
    <w:abstractNumId w:val="12"/>
  </w:num>
  <w:num w:numId="105">
    <w:abstractNumId w:val="49"/>
  </w:num>
  <w:num w:numId="106">
    <w:abstractNumId w:val="23"/>
  </w:num>
  <w:num w:numId="107">
    <w:abstractNumId w:val="34"/>
  </w:num>
  <w:num w:numId="108">
    <w:abstractNumId w:val="32"/>
  </w:num>
  <w:num w:numId="109">
    <w:abstractNumId w:val="17"/>
  </w:num>
  <w:num w:numId="110">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0D2F05"/>
    <w:rsid w:val="00124116"/>
    <w:rsid w:val="0013104F"/>
    <w:rsid w:val="00137EBA"/>
    <w:rsid w:val="00145EDC"/>
    <w:rsid w:val="00153084"/>
    <w:rsid w:val="00167A34"/>
    <w:rsid w:val="001714B4"/>
    <w:rsid w:val="0018037F"/>
    <w:rsid w:val="00183E37"/>
    <w:rsid w:val="001A5F27"/>
    <w:rsid w:val="001A65E4"/>
    <w:rsid w:val="001A7870"/>
    <w:rsid w:val="001B1522"/>
    <w:rsid w:val="001C1B41"/>
    <w:rsid w:val="001E366B"/>
    <w:rsid w:val="00210E0E"/>
    <w:rsid w:val="00230163"/>
    <w:rsid w:val="002424F9"/>
    <w:rsid w:val="00247403"/>
    <w:rsid w:val="00247542"/>
    <w:rsid w:val="00257893"/>
    <w:rsid w:val="00266092"/>
    <w:rsid w:val="00266B61"/>
    <w:rsid w:val="0026712A"/>
    <w:rsid w:val="002704DB"/>
    <w:rsid w:val="002760CE"/>
    <w:rsid w:val="002B7A85"/>
    <w:rsid w:val="002C1641"/>
    <w:rsid w:val="002C4C47"/>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A5D6F"/>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1BCC"/>
    <w:rsid w:val="00544C49"/>
    <w:rsid w:val="0057402A"/>
    <w:rsid w:val="005765DD"/>
    <w:rsid w:val="005771D0"/>
    <w:rsid w:val="00586301"/>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53647"/>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167E9"/>
    <w:rsid w:val="00B179ED"/>
    <w:rsid w:val="00B20B47"/>
    <w:rsid w:val="00B314DB"/>
    <w:rsid w:val="00B31EBE"/>
    <w:rsid w:val="00B33C3D"/>
    <w:rsid w:val="00B3718B"/>
    <w:rsid w:val="00B44B23"/>
    <w:rsid w:val="00B4632A"/>
    <w:rsid w:val="00B51771"/>
    <w:rsid w:val="00B92E49"/>
    <w:rsid w:val="00BA276C"/>
    <w:rsid w:val="00BB306F"/>
    <w:rsid w:val="00BD232B"/>
    <w:rsid w:val="00BD2E42"/>
    <w:rsid w:val="00BD4B89"/>
    <w:rsid w:val="00C2039F"/>
    <w:rsid w:val="00C21762"/>
    <w:rsid w:val="00C24543"/>
    <w:rsid w:val="00C256A2"/>
    <w:rsid w:val="00C3492D"/>
    <w:rsid w:val="00C55560"/>
    <w:rsid w:val="00C66B72"/>
    <w:rsid w:val="00C70A8E"/>
    <w:rsid w:val="00C9567A"/>
    <w:rsid w:val="00CA6577"/>
    <w:rsid w:val="00CB2660"/>
    <w:rsid w:val="00CC5E90"/>
    <w:rsid w:val="00CD046C"/>
    <w:rsid w:val="00CE5199"/>
    <w:rsid w:val="00CE66D5"/>
    <w:rsid w:val="00D1475F"/>
    <w:rsid w:val="00D34786"/>
    <w:rsid w:val="00D40A1E"/>
    <w:rsid w:val="00D533C0"/>
    <w:rsid w:val="00D712D3"/>
    <w:rsid w:val="00D71422"/>
    <w:rsid w:val="00D7145E"/>
    <w:rsid w:val="00D75084"/>
    <w:rsid w:val="00D7558D"/>
    <w:rsid w:val="00D804FC"/>
    <w:rsid w:val="00D81D92"/>
    <w:rsid w:val="00D92A48"/>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C70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C70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3F2F130B7245BAB9DA164D770392BA"/>
        <w:category>
          <w:name w:val="General"/>
          <w:gallery w:val="placeholder"/>
        </w:category>
        <w:types>
          <w:type w:val="bbPlcHdr"/>
        </w:types>
        <w:behaviors>
          <w:behavior w:val="content"/>
        </w:behaviors>
        <w:guid w:val="{0CDD7147-9F78-4152-8142-F0041C985BED}"/>
      </w:docPartPr>
      <w:docPartBody>
        <w:p w:rsidR="00913D14" w:rsidRDefault="008F5449" w:rsidP="008F5449">
          <w:pPr>
            <w:pStyle w:val="3A3F2F130B7245BAB9DA164D770392B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6531"/>
    <w:rsid w:val="0029564C"/>
    <w:rsid w:val="004108B1"/>
    <w:rsid w:val="004C66FF"/>
    <w:rsid w:val="00547351"/>
    <w:rsid w:val="00727375"/>
    <w:rsid w:val="008F5449"/>
    <w:rsid w:val="00913D14"/>
    <w:rsid w:val="00AB44F1"/>
    <w:rsid w:val="00B24EE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449"/>
    <w:rPr>
      <w:color w:val="808080"/>
    </w:rPr>
  </w:style>
  <w:style w:type="paragraph" w:customStyle="1" w:styleId="4DBB5F3FC358F64B9E5EFB773263C7D2">
    <w:name w:val="4DBB5F3FC358F64B9E5EFB773263C7D2"/>
    <w:rsid w:val="00AB44F1"/>
  </w:style>
  <w:style w:type="paragraph" w:customStyle="1" w:styleId="00CB7F38D62D4142822D5C33C7C955C7">
    <w:name w:val="00CB7F38D62D4142822D5C33C7C955C7"/>
    <w:rsid w:val="008F5449"/>
    <w:pPr>
      <w:spacing w:after="200" w:line="276" w:lineRule="auto"/>
    </w:pPr>
    <w:rPr>
      <w:sz w:val="22"/>
      <w:szCs w:val="22"/>
      <w:lang w:val="en-GB" w:eastAsia="en-GB"/>
    </w:rPr>
  </w:style>
  <w:style w:type="paragraph" w:customStyle="1" w:styleId="F3A981512B7848C685A67D71F742AF02">
    <w:name w:val="F3A981512B7848C685A67D71F742AF02"/>
    <w:rsid w:val="008F5449"/>
    <w:pPr>
      <w:spacing w:after="200" w:line="276" w:lineRule="auto"/>
    </w:pPr>
    <w:rPr>
      <w:sz w:val="22"/>
      <w:szCs w:val="22"/>
      <w:lang w:val="en-GB" w:eastAsia="en-GB"/>
    </w:rPr>
  </w:style>
  <w:style w:type="paragraph" w:customStyle="1" w:styleId="3A3F2F130B7245BAB9DA164D770392BA">
    <w:name w:val="3A3F2F130B7245BAB9DA164D770392BA"/>
    <w:rsid w:val="008F5449"/>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449"/>
    <w:rPr>
      <w:color w:val="808080"/>
    </w:rPr>
  </w:style>
  <w:style w:type="paragraph" w:customStyle="1" w:styleId="4DBB5F3FC358F64B9E5EFB773263C7D2">
    <w:name w:val="4DBB5F3FC358F64B9E5EFB773263C7D2"/>
    <w:rsid w:val="00AB44F1"/>
  </w:style>
  <w:style w:type="paragraph" w:customStyle="1" w:styleId="00CB7F38D62D4142822D5C33C7C955C7">
    <w:name w:val="00CB7F38D62D4142822D5C33C7C955C7"/>
    <w:rsid w:val="008F5449"/>
    <w:pPr>
      <w:spacing w:after="200" w:line="276" w:lineRule="auto"/>
    </w:pPr>
    <w:rPr>
      <w:sz w:val="22"/>
      <w:szCs w:val="22"/>
      <w:lang w:val="en-GB" w:eastAsia="en-GB"/>
    </w:rPr>
  </w:style>
  <w:style w:type="paragraph" w:customStyle="1" w:styleId="F3A981512B7848C685A67D71F742AF02">
    <w:name w:val="F3A981512B7848C685A67D71F742AF02"/>
    <w:rsid w:val="008F5449"/>
    <w:pPr>
      <w:spacing w:after="200" w:line="276" w:lineRule="auto"/>
    </w:pPr>
    <w:rPr>
      <w:sz w:val="22"/>
      <w:szCs w:val="22"/>
      <w:lang w:val="en-GB" w:eastAsia="en-GB"/>
    </w:rPr>
  </w:style>
  <w:style w:type="paragraph" w:customStyle="1" w:styleId="3A3F2F130B7245BAB9DA164D770392BA">
    <w:name w:val="3A3F2F130B7245BAB9DA164D770392BA"/>
    <w:rsid w:val="008F5449"/>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005C-306B-4C73-85F5-D7D59A7D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13076</Characters>
  <Application>Microsoft Office Word</Application>
  <DocSecurity>0</DocSecurity>
  <Lines>261</Lines>
  <Paragraphs>80</Paragraphs>
  <ScaleCrop>false</ScaleCrop>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163/17</dc:title>
  <dc:creator/>
  <cp:lastModifiedBy/>
  <cp:revision>1</cp:revision>
  <dcterms:created xsi:type="dcterms:W3CDTF">2018-03-16T15:53:00Z</dcterms:created>
  <dcterms:modified xsi:type="dcterms:W3CDTF">2018-03-16T15:53:00Z</dcterms:modified>
</cp:coreProperties>
</file>