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82621B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E650D">
                              <w:rPr>
                                <w:rFonts w:asciiTheme="majorHAnsi" w:hAnsiTheme="majorHAnsi" w:cs="Arial"/>
                                <w:b/>
                                <w:bCs/>
                                <w:color w:val="0D0D0D" w:themeColor="text1" w:themeTint="F2"/>
                                <w:sz w:val="36"/>
                                <w:szCs w:val="40"/>
                              </w:rPr>
                              <w:t>60</w:t>
                            </w:r>
                            <w:r w:rsidR="00322450" w:rsidRPr="004B7EB6">
                              <w:rPr>
                                <w:rFonts w:asciiTheme="majorHAnsi" w:hAnsiTheme="majorHAnsi" w:cs="Arial"/>
                                <w:b/>
                                <w:bCs/>
                                <w:color w:val="0D0D0D" w:themeColor="text1" w:themeTint="F2"/>
                                <w:sz w:val="36"/>
                                <w:szCs w:val="40"/>
                              </w:rPr>
                              <w:t>/1</w:t>
                            </w:r>
                            <w:r w:rsidR="00770323">
                              <w:rPr>
                                <w:rFonts w:asciiTheme="majorHAnsi" w:hAnsiTheme="majorHAnsi" w:cs="Arial"/>
                                <w:b/>
                                <w:bCs/>
                                <w:color w:val="0D0D0D" w:themeColor="text1" w:themeTint="F2"/>
                                <w:sz w:val="36"/>
                                <w:szCs w:val="40"/>
                              </w:rPr>
                              <w:t>7</w:t>
                            </w:r>
                          </w:p>
                          <w:p w14:paraId="081F51F3" w14:textId="4390225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31CB3">
                              <w:rPr>
                                <w:rFonts w:asciiTheme="majorHAnsi" w:hAnsiTheme="majorHAnsi" w:cs="Arial"/>
                                <w:b/>
                                <w:bCs/>
                                <w:color w:val="0D0D0D" w:themeColor="text1" w:themeTint="F2"/>
                                <w:sz w:val="36"/>
                                <w:szCs w:val="40"/>
                              </w:rPr>
                              <w:t>776</w:t>
                            </w:r>
                            <w:r w:rsidR="00F621C3">
                              <w:rPr>
                                <w:rFonts w:asciiTheme="majorHAnsi" w:hAnsiTheme="majorHAnsi" w:cs="Arial"/>
                                <w:b/>
                                <w:bCs/>
                                <w:color w:val="0D0D0D" w:themeColor="text1" w:themeTint="F2"/>
                                <w:sz w:val="36"/>
                                <w:szCs w:val="40"/>
                              </w:rPr>
                              <w:t>-</w:t>
                            </w:r>
                            <w:r w:rsidR="00F31CB3">
                              <w:rPr>
                                <w:rFonts w:asciiTheme="majorHAnsi" w:hAnsiTheme="majorHAnsi" w:cs="Arial"/>
                                <w:b/>
                                <w:bCs/>
                                <w:color w:val="0D0D0D" w:themeColor="text1" w:themeTint="F2"/>
                                <w:sz w:val="36"/>
                                <w:szCs w:val="40"/>
                              </w:rPr>
                              <w:t>06</w:t>
                            </w:r>
                          </w:p>
                          <w:p w14:paraId="34978E5A" w14:textId="5DA28AB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1D8876C" w14:textId="77777777" w:rsidR="00F31CB3" w:rsidRPr="00F31CB3" w:rsidRDefault="00F31CB3" w:rsidP="00F31CB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31CB3">
                              <w:rPr>
                                <w:rFonts w:ascii="Cambria" w:hAnsi="Cambria" w:cs="Arial"/>
                                <w:bCs/>
                                <w:color w:val="0D0D0D"/>
                                <w:szCs w:val="22"/>
                              </w:rPr>
                              <w:t>FOUR MILLION AMERICAN CITIZENS RESIDENTS IN PUERTO RICO</w:t>
                            </w:r>
                          </w:p>
                          <w:p w14:paraId="48EBC31A" w14:textId="5FD798D3" w:rsidR="00F42B71" w:rsidRPr="004B625D" w:rsidRDefault="00F31CB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82621B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E650D">
                        <w:rPr>
                          <w:rFonts w:asciiTheme="majorHAnsi" w:hAnsiTheme="majorHAnsi" w:cs="Arial"/>
                          <w:b/>
                          <w:bCs/>
                          <w:color w:val="0D0D0D" w:themeColor="text1" w:themeTint="F2"/>
                          <w:sz w:val="36"/>
                          <w:szCs w:val="40"/>
                        </w:rPr>
                        <w:t>60</w:t>
                      </w:r>
                      <w:r w:rsidR="00322450" w:rsidRPr="004B7EB6">
                        <w:rPr>
                          <w:rFonts w:asciiTheme="majorHAnsi" w:hAnsiTheme="majorHAnsi" w:cs="Arial"/>
                          <w:b/>
                          <w:bCs/>
                          <w:color w:val="0D0D0D" w:themeColor="text1" w:themeTint="F2"/>
                          <w:sz w:val="36"/>
                          <w:szCs w:val="40"/>
                        </w:rPr>
                        <w:t>/1</w:t>
                      </w:r>
                      <w:r w:rsidR="00770323">
                        <w:rPr>
                          <w:rFonts w:asciiTheme="majorHAnsi" w:hAnsiTheme="majorHAnsi" w:cs="Arial"/>
                          <w:b/>
                          <w:bCs/>
                          <w:color w:val="0D0D0D" w:themeColor="text1" w:themeTint="F2"/>
                          <w:sz w:val="36"/>
                          <w:szCs w:val="40"/>
                        </w:rPr>
                        <w:t>7</w:t>
                      </w:r>
                    </w:p>
                    <w:p w14:paraId="081F51F3" w14:textId="4390225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31CB3">
                        <w:rPr>
                          <w:rFonts w:asciiTheme="majorHAnsi" w:hAnsiTheme="majorHAnsi" w:cs="Arial"/>
                          <w:b/>
                          <w:bCs/>
                          <w:color w:val="0D0D0D" w:themeColor="text1" w:themeTint="F2"/>
                          <w:sz w:val="36"/>
                          <w:szCs w:val="40"/>
                        </w:rPr>
                        <w:t>776</w:t>
                      </w:r>
                      <w:r w:rsidR="00F621C3">
                        <w:rPr>
                          <w:rFonts w:asciiTheme="majorHAnsi" w:hAnsiTheme="majorHAnsi" w:cs="Arial"/>
                          <w:b/>
                          <w:bCs/>
                          <w:color w:val="0D0D0D" w:themeColor="text1" w:themeTint="F2"/>
                          <w:sz w:val="36"/>
                          <w:szCs w:val="40"/>
                        </w:rPr>
                        <w:t>-</w:t>
                      </w:r>
                      <w:r w:rsidR="00F31CB3">
                        <w:rPr>
                          <w:rFonts w:asciiTheme="majorHAnsi" w:hAnsiTheme="majorHAnsi" w:cs="Arial"/>
                          <w:b/>
                          <w:bCs/>
                          <w:color w:val="0D0D0D" w:themeColor="text1" w:themeTint="F2"/>
                          <w:sz w:val="36"/>
                          <w:szCs w:val="40"/>
                        </w:rPr>
                        <w:t>06</w:t>
                      </w:r>
                    </w:p>
                    <w:p w14:paraId="34978E5A" w14:textId="5DA28AB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1D8876C" w14:textId="77777777" w:rsidR="00F31CB3" w:rsidRPr="00F31CB3" w:rsidRDefault="00F31CB3" w:rsidP="00F31CB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31CB3">
                        <w:rPr>
                          <w:rFonts w:ascii="Cambria" w:hAnsi="Cambria" w:cs="Arial"/>
                          <w:bCs/>
                          <w:color w:val="0D0D0D"/>
                          <w:szCs w:val="22"/>
                        </w:rPr>
                        <w:t>FOUR MILLION AMERICAN CITIZENS RESIDENTS IN PUERTO RICO</w:t>
                      </w:r>
                    </w:p>
                    <w:p w14:paraId="48EBC31A" w14:textId="5FD798D3" w:rsidR="00F42B71" w:rsidRPr="004B625D" w:rsidRDefault="00F31CB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761C1" w14:textId="77777777" w:rsidR="00DE650D" w:rsidRPr="00612068" w:rsidRDefault="00DE650D" w:rsidP="00DE650D">
                            <w:pPr>
                              <w:jc w:val="right"/>
                              <w:rPr>
                                <w:rFonts w:asciiTheme="minorHAnsi" w:hAnsiTheme="minorHAnsi"/>
                                <w:color w:val="FFFFFF" w:themeColor="background1"/>
                                <w:sz w:val="22"/>
                                <w:lang w:val="pt-BR"/>
                              </w:rPr>
                            </w:pPr>
                            <w:r w:rsidRPr="00612068">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162</w:t>
                            </w:r>
                          </w:p>
                          <w:p w14:paraId="136DE3A3" w14:textId="77777777" w:rsidR="00DE650D" w:rsidRPr="00612068" w:rsidRDefault="00DE650D" w:rsidP="00DE650D">
                            <w:pPr>
                              <w:jc w:val="right"/>
                              <w:rPr>
                                <w:rFonts w:asciiTheme="minorHAnsi" w:hAnsiTheme="minorHAnsi"/>
                                <w:color w:val="FFFFFF" w:themeColor="background1"/>
                                <w:sz w:val="22"/>
                                <w:lang w:val="pt-BR"/>
                              </w:rPr>
                            </w:pPr>
                            <w:r w:rsidRPr="00612068">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71</w:t>
                            </w:r>
                          </w:p>
                          <w:p w14:paraId="79C2925E" w14:textId="77777777" w:rsidR="00DE650D" w:rsidRPr="00612068" w:rsidRDefault="00DE650D" w:rsidP="00DE650D">
                            <w:pPr>
                              <w:jc w:val="right"/>
                              <w:rPr>
                                <w:rFonts w:asciiTheme="minorHAnsi" w:hAnsiTheme="minorHAnsi"/>
                                <w:color w:val="FFFFFF" w:themeColor="background1"/>
                                <w:sz w:val="22"/>
                              </w:rPr>
                            </w:pPr>
                            <w:r>
                              <w:rPr>
                                <w:rFonts w:asciiTheme="minorHAnsi" w:hAnsiTheme="minorHAnsi"/>
                                <w:color w:val="FFFFFF" w:themeColor="background1"/>
                                <w:sz w:val="22"/>
                                <w:lang w:val="pt-BR"/>
                              </w:rPr>
                              <w:t>25 May 2017</w:t>
                            </w:r>
                          </w:p>
                          <w:p w14:paraId="38761C28" w14:textId="77777777" w:rsidR="00DE650D" w:rsidRPr="00612068" w:rsidRDefault="00DE650D" w:rsidP="00DE650D">
                            <w:pPr>
                              <w:jc w:val="right"/>
                              <w:rPr>
                                <w:rFonts w:asciiTheme="minorHAnsi" w:hAnsiTheme="minorHAnsi"/>
                                <w:color w:val="FFFFFF" w:themeColor="background1"/>
                                <w:sz w:val="22"/>
                              </w:rPr>
                            </w:pPr>
                            <w:r w:rsidRPr="00612068">
                              <w:rPr>
                                <w:rFonts w:asciiTheme="minorHAnsi" w:hAnsiTheme="minorHAnsi"/>
                                <w:color w:val="FFFFFF" w:themeColor="background1"/>
                                <w:sz w:val="22"/>
                              </w:rPr>
                              <w:t>Original: English</w:t>
                            </w:r>
                          </w:p>
                          <w:p w14:paraId="0FC103BD" w14:textId="17D3447E" w:rsidR="00627C9F" w:rsidRPr="00612068"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1EF761C1" w14:textId="77777777" w:rsidR="00DE650D" w:rsidRPr="00612068" w:rsidRDefault="00DE650D" w:rsidP="00DE650D">
                      <w:pPr>
                        <w:jc w:val="right"/>
                        <w:rPr>
                          <w:rFonts w:asciiTheme="minorHAnsi" w:hAnsiTheme="minorHAnsi"/>
                          <w:color w:val="FFFFFF" w:themeColor="background1"/>
                          <w:sz w:val="22"/>
                          <w:lang w:val="pt-BR"/>
                        </w:rPr>
                      </w:pPr>
                      <w:r w:rsidRPr="00612068">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162</w:t>
                      </w:r>
                    </w:p>
                    <w:p w14:paraId="136DE3A3" w14:textId="77777777" w:rsidR="00DE650D" w:rsidRPr="00612068" w:rsidRDefault="00DE650D" w:rsidP="00DE650D">
                      <w:pPr>
                        <w:jc w:val="right"/>
                        <w:rPr>
                          <w:rFonts w:asciiTheme="minorHAnsi" w:hAnsiTheme="minorHAnsi"/>
                          <w:color w:val="FFFFFF" w:themeColor="background1"/>
                          <w:sz w:val="22"/>
                          <w:lang w:val="pt-BR"/>
                        </w:rPr>
                      </w:pPr>
                      <w:r w:rsidRPr="00612068">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71</w:t>
                      </w:r>
                    </w:p>
                    <w:p w14:paraId="79C2925E" w14:textId="77777777" w:rsidR="00DE650D" w:rsidRPr="00612068" w:rsidRDefault="00DE650D" w:rsidP="00DE650D">
                      <w:pPr>
                        <w:jc w:val="right"/>
                        <w:rPr>
                          <w:rFonts w:asciiTheme="minorHAnsi" w:hAnsiTheme="minorHAnsi"/>
                          <w:color w:val="FFFFFF" w:themeColor="background1"/>
                          <w:sz w:val="22"/>
                        </w:rPr>
                      </w:pPr>
                      <w:r>
                        <w:rPr>
                          <w:rFonts w:asciiTheme="minorHAnsi" w:hAnsiTheme="minorHAnsi"/>
                          <w:color w:val="FFFFFF" w:themeColor="background1"/>
                          <w:sz w:val="22"/>
                          <w:lang w:val="pt-BR"/>
                        </w:rPr>
                        <w:t>25 May 2017</w:t>
                      </w:r>
                    </w:p>
                    <w:p w14:paraId="38761C28" w14:textId="77777777" w:rsidR="00DE650D" w:rsidRPr="00612068" w:rsidRDefault="00DE650D" w:rsidP="00DE650D">
                      <w:pPr>
                        <w:jc w:val="right"/>
                        <w:rPr>
                          <w:rFonts w:asciiTheme="minorHAnsi" w:hAnsiTheme="minorHAnsi"/>
                          <w:color w:val="FFFFFF" w:themeColor="background1"/>
                          <w:sz w:val="22"/>
                        </w:rPr>
                      </w:pPr>
                      <w:r w:rsidRPr="00612068">
                        <w:rPr>
                          <w:rFonts w:asciiTheme="minorHAnsi" w:hAnsiTheme="minorHAnsi"/>
                          <w:color w:val="FFFFFF" w:themeColor="background1"/>
                          <w:sz w:val="22"/>
                        </w:rPr>
                        <w:t>Original: English</w:t>
                      </w:r>
                    </w:p>
                    <w:p w14:paraId="0FC103BD" w14:textId="17D3447E" w:rsidR="00627C9F" w:rsidRPr="00612068"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46671F" w14:textId="77777777" w:rsidR="00DE650D" w:rsidRPr="003C32BC" w:rsidRDefault="00DE650D" w:rsidP="00DE650D">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2085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May 25, 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162</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Extraordinary</w:t>
                            </w:r>
                            <w:r w:rsidRPr="003C32BC">
                              <w:rPr>
                                <w:rFonts w:asciiTheme="majorHAnsi" w:hAnsiTheme="majorHAnsi" w:cs="Univers"/>
                                <w:color w:val="0D0D0D" w:themeColor="text1" w:themeTint="F2"/>
                                <w:sz w:val="18"/>
                                <w:szCs w:val="20"/>
                              </w:rPr>
                              <w:t xml:space="preserve"> Period of Sessions</w:t>
                            </w:r>
                          </w:p>
                          <w:p w14:paraId="29BF637A" w14:textId="0C438B5F"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1646671F" w14:textId="77777777" w:rsidR="00DE650D" w:rsidRPr="003C32BC" w:rsidRDefault="00DE650D" w:rsidP="00DE650D">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2085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May 25, 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162</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Extraordinary</w:t>
                      </w:r>
                      <w:r w:rsidRPr="003C32BC">
                        <w:rPr>
                          <w:rFonts w:asciiTheme="majorHAnsi" w:hAnsiTheme="majorHAnsi" w:cs="Univers"/>
                          <w:color w:val="0D0D0D" w:themeColor="text1" w:themeTint="F2"/>
                          <w:sz w:val="18"/>
                          <w:szCs w:val="20"/>
                        </w:rPr>
                        <w:t xml:space="preserve"> Period of Sessions</w:t>
                      </w:r>
                    </w:p>
                    <w:p w14:paraId="29BF637A" w14:textId="0C438B5F"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D2940" w14:textId="587CD0EB" w:rsidR="00DE650D" w:rsidRPr="003C32BC" w:rsidRDefault="00DE650D" w:rsidP="00DE650D">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60/17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776-06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F31CB3">
                              <w:rPr>
                                <w:rFonts w:asciiTheme="majorHAnsi" w:hAnsiTheme="majorHAnsi"/>
                                <w:bCs/>
                                <w:color w:val="595959" w:themeColor="text1" w:themeTint="A6"/>
                                <w:sz w:val="18"/>
                              </w:rPr>
                              <w:t xml:space="preserve">Four Million American Citizens Residents </w:t>
                            </w:r>
                            <w:r w:rsidR="003D6C00" w:rsidRPr="00F31CB3">
                              <w:rPr>
                                <w:rFonts w:asciiTheme="majorHAnsi" w:hAnsiTheme="majorHAnsi"/>
                                <w:bCs/>
                                <w:color w:val="595959" w:themeColor="text1" w:themeTint="A6"/>
                                <w:sz w:val="18"/>
                              </w:rPr>
                              <w:t>in</w:t>
                            </w:r>
                            <w:r w:rsidRPr="00F31CB3">
                              <w:rPr>
                                <w:rFonts w:asciiTheme="majorHAnsi" w:hAnsiTheme="majorHAnsi"/>
                                <w:bCs/>
                                <w:color w:val="595959" w:themeColor="text1" w:themeTint="A6"/>
                                <w:sz w:val="18"/>
                              </w:rPr>
                              <w:t xml:space="preserve"> Puerto Rico</w:t>
                            </w:r>
                            <w:r>
                              <w:rPr>
                                <w:rFonts w:asciiTheme="majorHAnsi" w:hAnsiTheme="majorHAnsi"/>
                                <w:bCs/>
                                <w:color w:val="595959" w:themeColor="text1" w:themeTint="A6"/>
                                <w:sz w:val="18"/>
                              </w:rPr>
                              <w:t>.</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May 25, 2017.</w:t>
                            </w:r>
                          </w:p>
                          <w:p w14:paraId="0126B579" w14:textId="57F40BFF"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487D2940" w14:textId="587CD0EB" w:rsidR="00DE650D" w:rsidRPr="003C32BC" w:rsidRDefault="00DE650D" w:rsidP="00DE650D">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60/17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776-06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Pr>
                          <w:rFonts w:asciiTheme="majorHAnsi" w:hAnsiTheme="majorHAnsi"/>
                          <w:color w:val="595959" w:themeColor="text1" w:themeTint="A6"/>
                          <w:sz w:val="18"/>
                        </w:rPr>
                        <w:t xml:space="preserve"> </w:t>
                      </w:r>
                      <w:proofErr w:type="gramStart"/>
                      <w:r w:rsidRPr="00F31CB3">
                        <w:rPr>
                          <w:rFonts w:asciiTheme="majorHAnsi" w:hAnsiTheme="majorHAnsi"/>
                          <w:bCs/>
                          <w:color w:val="595959" w:themeColor="text1" w:themeTint="A6"/>
                          <w:sz w:val="18"/>
                        </w:rPr>
                        <w:t xml:space="preserve">Four Million American Citizens Residents </w:t>
                      </w:r>
                      <w:bookmarkStart w:id="1" w:name="_GoBack"/>
                      <w:bookmarkEnd w:id="1"/>
                      <w:r w:rsidR="003D6C00" w:rsidRPr="00F31CB3">
                        <w:rPr>
                          <w:rFonts w:asciiTheme="majorHAnsi" w:hAnsiTheme="majorHAnsi"/>
                          <w:bCs/>
                          <w:color w:val="595959" w:themeColor="text1" w:themeTint="A6"/>
                          <w:sz w:val="18"/>
                        </w:rPr>
                        <w:t>in</w:t>
                      </w:r>
                      <w:r w:rsidRPr="00F31CB3">
                        <w:rPr>
                          <w:rFonts w:asciiTheme="majorHAnsi" w:hAnsiTheme="majorHAnsi"/>
                          <w:bCs/>
                          <w:color w:val="595959" w:themeColor="text1" w:themeTint="A6"/>
                          <w:sz w:val="18"/>
                        </w:rPr>
                        <w:t xml:space="preserve"> Puerto Rico</w:t>
                      </w:r>
                      <w:r>
                        <w:rPr>
                          <w:rFonts w:asciiTheme="majorHAnsi" w:hAnsiTheme="majorHAnsi"/>
                          <w:bCs/>
                          <w:color w:val="595959" w:themeColor="text1" w:themeTint="A6"/>
                          <w:sz w:val="18"/>
                        </w:rPr>
                        <w:t>.</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May 25, 2017.</w:t>
                      </w:r>
                    </w:p>
                    <w:p w14:paraId="0126B579" w14:textId="57F40BFF"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5CCF9EBC" w:rsidR="00F621C3" w:rsidRPr="00664D76"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 xml:space="preserve">REPORT No. </w:t>
      </w:r>
      <w:r w:rsidR="00DE650D">
        <w:rPr>
          <w:rFonts w:asciiTheme="majorHAnsi" w:hAnsiTheme="majorHAnsi"/>
          <w:b/>
          <w:sz w:val="18"/>
          <w:szCs w:val="20"/>
        </w:rPr>
        <w:t>60</w:t>
      </w:r>
      <w:r w:rsidRPr="000B6B7A">
        <w:rPr>
          <w:rFonts w:asciiTheme="majorHAnsi" w:hAnsiTheme="majorHAnsi"/>
          <w:b/>
          <w:sz w:val="18"/>
          <w:szCs w:val="20"/>
        </w:rPr>
        <w:t>/1</w:t>
      </w:r>
      <w:r w:rsidR="00612068">
        <w:rPr>
          <w:rFonts w:asciiTheme="majorHAnsi" w:hAnsiTheme="majorHAnsi"/>
          <w:b/>
          <w:sz w:val="18"/>
          <w:szCs w:val="20"/>
        </w:rPr>
        <w:t>7</w:t>
      </w:r>
      <w:r w:rsidR="00F31CB3" w:rsidRPr="0008746C">
        <w:rPr>
          <w:rStyle w:val="FootnoteReference"/>
          <w:rFonts w:ascii="Cambria" w:hAnsi="Cambria"/>
          <w:b/>
          <w:sz w:val="18"/>
          <w:szCs w:val="18"/>
          <w:lang w:val="es-ES_tradnl"/>
        </w:rPr>
        <w:footnoteReference w:id="2"/>
      </w:r>
    </w:p>
    <w:p w14:paraId="0A017AD4" w14:textId="5BB34F0B"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6C0C25">
        <w:rPr>
          <w:rFonts w:asciiTheme="majorHAnsi" w:hAnsiTheme="majorHAnsi"/>
          <w:b/>
          <w:sz w:val="18"/>
          <w:szCs w:val="20"/>
        </w:rPr>
        <w:t>776</w:t>
      </w:r>
      <w:r>
        <w:rPr>
          <w:rFonts w:asciiTheme="majorHAnsi" w:hAnsiTheme="majorHAnsi"/>
          <w:b/>
          <w:sz w:val="18"/>
          <w:szCs w:val="20"/>
        </w:rPr>
        <w:t>-</w:t>
      </w:r>
      <w:r w:rsidR="006C0C25">
        <w:rPr>
          <w:rFonts w:asciiTheme="majorHAnsi" w:hAnsiTheme="majorHAnsi"/>
          <w:b/>
          <w:sz w:val="18"/>
          <w:szCs w:val="20"/>
        </w:rPr>
        <w:t>06</w:t>
      </w:r>
    </w:p>
    <w:p w14:paraId="75D1D7FA" w14:textId="45462E56" w:rsidR="00F621C3" w:rsidRPr="000B6B7A" w:rsidRDefault="00F621C3" w:rsidP="00F621C3">
      <w:pPr>
        <w:tabs>
          <w:tab w:val="center" w:pos="5400"/>
        </w:tabs>
        <w:suppressAutoHyphens/>
        <w:spacing w:line="276" w:lineRule="auto"/>
        <w:jc w:val="center"/>
        <w:rPr>
          <w:rFonts w:asciiTheme="majorHAnsi" w:hAnsiTheme="majorHAnsi"/>
          <w:sz w:val="18"/>
          <w:szCs w:val="20"/>
        </w:rPr>
      </w:pPr>
      <w:r w:rsidRPr="000B6B7A">
        <w:rPr>
          <w:rFonts w:asciiTheme="majorHAnsi" w:hAnsiTheme="majorHAnsi"/>
          <w:sz w:val="18"/>
          <w:szCs w:val="20"/>
        </w:rPr>
        <w:t>REPORT ON ADMISSIBILITY</w:t>
      </w:r>
    </w:p>
    <w:p w14:paraId="0E577E2C" w14:textId="37EDC19C" w:rsidR="00F621C3" w:rsidRPr="000B6B7A" w:rsidRDefault="006C0C25" w:rsidP="00F621C3">
      <w:pPr>
        <w:tabs>
          <w:tab w:val="center" w:pos="5400"/>
        </w:tabs>
        <w:suppressAutoHyphens/>
        <w:spacing w:line="276" w:lineRule="auto"/>
        <w:jc w:val="center"/>
        <w:rPr>
          <w:rFonts w:asciiTheme="majorHAnsi" w:hAnsiTheme="majorHAnsi"/>
          <w:sz w:val="18"/>
          <w:szCs w:val="20"/>
        </w:rPr>
      </w:pPr>
      <w:r>
        <w:rPr>
          <w:rFonts w:ascii="Cambria" w:hAnsi="Cambria"/>
          <w:bCs/>
          <w:sz w:val="20"/>
          <w:szCs w:val="20"/>
        </w:rPr>
        <w:t>FOUR MILLION AMERICAN CITIZENS RESIDENTS IN PUERTO RICO</w:t>
      </w:r>
    </w:p>
    <w:p w14:paraId="4D900446" w14:textId="5959D223" w:rsidR="00F621C3" w:rsidRPr="000B6B7A" w:rsidRDefault="006C0C25"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UNITED STATES</w:t>
      </w:r>
    </w:p>
    <w:p w14:paraId="638B3884" w14:textId="77777777" w:rsidR="00DE650D" w:rsidRPr="00466D0B" w:rsidRDefault="00DE650D" w:rsidP="00DE650D">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MAY 25,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FA4D28"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6B687B35" w:rsidR="00F621C3" w:rsidRPr="000B6B7A" w:rsidRDefault="0077032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w:t>
            </w:r>
            <w:r w:rsidR="00F621C3" w:rsidRPr="000B6B7A">
              <w:rPr>
                <w:rFonts w:ascii="Cambria" w:hAnsi="Cambria"/>
                <w:b/>
                <w:bCs/>
                <w:color w:val="FFFFFF" w:themeColor="background1"/>
                <w:sz w:val="20"/>
                <w:szCs w:val="20"/>
              </w:rPr>
              <w:t>:</w:t>
            </w:r>
          </w:p>
        </w:tc>
        <w:tc>
          <w:tcPr>
            <w:tcW w:w="4680" w:type="dxa"/>
            <w:vAlign w:val="center"/>
          </w:tcPr>
          <w:p w14:paraId="0674C7B8" w14:textId="2871C75B" w:rsidR="00F621C3" w:rsidRPr="00FA4D28" w:rsidRDefault="00F202E2" w:rsidP="009163FC">
            <w:pPr>
              <w:jc w:val="both"/>
              <w:rPr>
                <w:rFonts w:ascii="Cambria" w:hAnsi="Cambria"/>
                <w:bCs/>
                <w:sz w:val="20"/>
                <w:szCs w:val="20"/>
              </w:rPr>
            </w:pPr>
            <w:r w:rsidRPr="00F202E2">
              <w:rPr>
                <w:rFonts w:ascii="Cambria" w:hAnsi="Cambria"/>
                <w:bCs/>
                <w:sz w:val="20"/>
                <w:szCs w:val="20"/>
              </w:rPr>
              <w:t>Gregorio Igartua De La Rosa, Carlos Méndez Martínez, Rafael Zeruto Soto, Fred Soltero Harrington, Jorge Luis Pérez Díaz, Pedro Méndez Soto, Luis Soltero Harrington</w:t>
            </w:r>
          </w:p>
        </w:tc>
      </w:tr>
      <w:tr w:rsidR="00F621C3"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6A8BC085" w:rsidR="00F621C3" w:rsidRPr="000B6B7A" w:rsidRDefault="00CC612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865D12">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4680" w:type="dxa"/>
            <w:vAlign w:val="center"/>
          </w:tcPr>
          <w:p w14:paraId="60895337" w14:textId="0E65987E" w:rsidR="00F621C3" w:rsidRPr="000B6B7A" w:rsidRDefault="00865D12" w:rsidP="009163FC">
            <w:pPr>
              <w:jc w:val="both"/>
              <w:rPr>
                <w:rFonts w:ascii="Cambria" w:hAnsi="Cambria"/>
                <w:bCs/>
                <w:sz w:val="20"/>
                <w:szCs w:val="20"/>
              </w:rPr>
            </w:pPr>
            <w:r>
              <w:rPr>
                <w:rFonts w:ascii="Cambria" w:hAnsi="Cambria"/>
                <w:bCs/>
                <w:sz w:val="20"/>
                <w:szCs w:val="20"/>
              </w:rPr>
              <w:t>Four Million American Citizens Residents in Puerto Rico</w:t>
            </w:r>
          </w:p>
        </w:tc>
      </w:tr>
      <w:tr w:rsidR="00F621C3"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6A97DC02" w:rsidR="00F621C3" w:rsidRPr="000B6B7A" w:rsidRDefault="00865D12" w:rsidP="009163FC">
            <w:pPr>
              <w:jc w:val="both"/>
              <w:rPr>
                <w:rFonts w:ascii="Cambria" w:hAnsi="Cambria"/>
                <w:bCs/>
                <w:sz w:val="20"/>
                <w:szCs w:val="20"/>
              </w:rPr>
            </w:pPr>
            <w:r>
              <w:rPr>
                <w:rFonts w:ascii="Cambria" w:hAnsi="Cambria"/>
                <w:bCs/>
                <w:sz w:val="20"/>
                <w:szCs w:val="20"/>
              </w:rPr>
              <w:t>United States</w:t>
            </w:r>
          </w:p>
        </w:tc>
      </w:tr>
      <w:tr w:rsidR="00876805" w:rsidRPr="000B6B7A" w14:paraId="5666720F" w14:textId="77777777" w:rsidTr="009163FC">
        <w:tc>
          <w:tcPr>
            <w:tcW w:w="4680" w:type="dxa"/>
            <w:tcBorders>
              <w:top w:val="single" w:sz="6" w:space="0" w:color="auto"/>
              <w:bottom w:val="single" w:sz="6" w:space="0" w:color="auto"/>
            </w:tcBorders>
            <w:shd w:val="clear" w:color="auto" w:fill="67AE3C"/>
            <w:vAlign w:val="center"/>
          </w:tcPr>
          <w:p w14:paraId="469E67D4" w14:textId="42A5E2E5" w:rsidR="00876805" w:rsidRPr="000B6B7A" w:rsidRDefault="00876805"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46020429" w14:textId="5FB15F14" w:rsidR="00876805" w:rsidRDefault="00876805" w:rsidP="003828DA">
            <w:pPr>
              <w:jc w:val="both"/>
              <w:rPr>
                <w:rFonts w:ascii="Cambria" w:hAnsi="Cambria"/>
                <w:bCs/>
                <w:sz w:val="20"/>
                <w:szCs w:val="20"/>
              </w:rPr>
            </w:pPr>
            <w:r>
              <w:rPr>
                <w:rFonts w:ascii="Cambria" w:hAnsi="Cambria"/>
                <w:bCs/>
                <w:sz w:val="20"/>
                <w:szCs w:val="20"/>
              </w:rPr>
              <w:t xml:space="preserve">Articles XX </w:t>
            </w:r>
            <w:r w:rsidRPr="00E95F82">
              <w:rPr>
                <w:rFonts w:asciiTheme="majorHAnsi" w:hAnsiTheme="majorHAnsi"/>
                <w:bCs/>
                <w:sz w:val="20"/>
                <w:szCs w:val="20"/>
              </w:rPr>
              <w:t>(right to vote and to participate in government</w:t>
            </w:r>
            <w:r>
              <w:rPr>
                <w:rFonts w:asciiTheme="majorHAnsi" w:hAnsiTheme="majorHAnsi"/>
                <w:bCs/>
                <w:sz w:val="20"/>
                <w:szCs w:val="20"/>
              </w:rPr>
              <w:t xml:space="preserve">) </w:t>
            </w:r>
            <w:r>
              <w:rPr>
                <w:rFonts w:ascii="Cambria" w:hAnsi="Cambria"/>
                <w:bCs/>
                <w:sz w:val="20"/>
                <w:szCs w:val="20"/>
              </w:rPr>
              <w:t>of the American Declaration on the Rights and Duties of Man</w:t>
            </w:r>
            <w:r w:rsidRPr="0092069F">
              <w:rPr>
                <w:rFonts w:ascii="Cambria" w:hAnsi="Cambria"/>
                <w:bCs/>
                <w:sz w:val="20"/>
                <w:szCs w:val="20"/>
                <w:vertAlign w:val="superscript"/>
              </w:rPr>
              <w:footnoteReference w:id="3"/>
            </w:r>
            <w:r>
              <w:rPr>
                <w:rFonts w:ascii="Cambria" w:hAnsi="Cambria"/>
                <w:bCs/>
                <w:sz w:val="20"/>
                <w:szCs w:val="20"/>
              </w:rPr>
              <w:t>; Article 3</w:t>
            </w:r>
            <w:r w:rsidR="003828DA">
              <w:rPr>
                <w:rFonts w:ascii="Cambria" w:hAnsi="Cambria"/>
                <w:bCs/>
                <w:sz w:val="20"/>
                <w:szCs w:val="20"/>
              </w:rPr>
              <w:t xml:space="preserve"> </w:t>
            </w:r>
            <w:r>
              <w:rPr>
                <w:rFonts w:ascii="Cambria" w:hAnsi="Cambria"/>
                <w:bCs/>
                <w:sz w:val="20"/>
                <w:szCs w:val="20"/>
              </w:rPr>
              <w:t>of the Inter-American Democratic Charter</w:t>
            </w:r>
            <w:r w:rsidR="003828DA">
              <w:rPr>
                <w:rFonts w:ascii="Cambria" w:hAnsi="Cambria"/>
                <w:bCs/>
                <w:sz w:val="20"/>
                <w:szCs w:val="20"/>
              </w:rPr>
              <w:t>; Article 21 of the Universal Declaration of Human Rights; and Articles 2 and 25 of the International Covenant on Civil and Political Rights</w:t>
            </w:r>
            <w:r w:rsidR="003828DA" w:rsidRPr="0092069F">
              <w:rPr>
                <w:rFonts w:ascii="Cambria" w:hAnsi="Cambria"/>
                <w:bCs/>
                <w:sz w:val="20"/>
                <w:szCs w:val="20"/>
                <w:vertAlign w:val="superscript"/>
              </w:rPr>
              <w:footnoteReference w:id="4"/>
            </w:r>
          </w:p>
        </w:tc>
      </w:tr>
    </w:tbl>
    <w:p w14:paraId="006E8D49" w14:textId="26224105"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770323" w:rsidRPr="00770323">
        <w:rPr>
          <w:rFonts w:asciiTheme="majorHAnsi" w:hAnsiTheme="majorHAnsi"/>
          <w:b/>
          <w:bCs/>
          <w:sz w:val="20"/>
          <w:szCs w:val="20"/>
          <w:vertAlign w:val="superscript"/>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56EC2C6D" w:rsidR="00F621C3" w:rsidRPr="000B6B7A" w:rsidRDefault="00555D8D" w:rsidP="009163FC">
            <w:pPr>
              <w:jc w:val="both"/>
              <w:rPr>
                <w:rFonts w:ascii="Cambria" w:hAnsi="Cambria"/>
                <w:bCs/>
                <w:sz w:val="20"/>
                <w:szCs w:val="20"/>
              </w:rPr>
            </w:pPr>
            <w:r>
              <w:rPr>
                <w:rFonts w:ascii="Cambria" w:hAnsi="Cambria"/>
                <w:bCs/>
                <w:sz w:val="20"/>
                <w:szCs w:val="20"/>
              </w:rPr>
              <w:t>July 27, 2006</w:t>
            </w:r>
          </w:p>
        </w:tc>
      </w:tr>
      <w:tr w:rsidR="00F621C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29726624" w:rsidR="00F621C3" w:rsidRPr="000B6B7A" w:rsidRDefault="00555D8D" w:rsidP="009163FC">
            <w:pPr>
              <w:jc w:val="both"/>
              <w:rPr>
                <w:rFonts w:ascii="Cambria" w:hAnsi="Cambria"/>
                <w:bCs/>
                <w:sz w:val="20"/>
                <w:szCs w:val="20"/>
              </w:rPr>
            </w:pPr>
            <w:r>
              <w:rPr>
                <w:rFonts w:ascii="Cambria" w:hAnsi="Cambria"/>
                <w:bCs/>
                <w:sz w:val="20"/>
                <w:szCs w:val="20"/>
              </w:rPr>
              <w:t>April 27, 2009</w:t>
            </w:r>
          </w:p>
        </w:tc>
      </w:tr>
      <w:tr w:rsidR="00F621C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24C53E15" w:rsidR="00F621C3" w:rsidRPr="000B6B7A" w:rsidRDefault="00555D8D" w:rsidP="009163FC">
            <w:pPr>
              <w:jc w:val="both"/>
              <w:rPr>
                <w:rFonts w:ascii="Cambria" w:hAnsi="Cambria"/>
                <w:bCs/>
                <w:sz w:val="20"/>
                <w:szCs w:val="20"/>
              </w:rPr>
            </w:pPr>
            <w:r>
              <w:rPr>
                <w:rFonts w:ascii="Cambria" w:hAnsi="Cambria"/>
                <w:bCs/>
                <w:sz w:val="20"/>
                <w:szCs w:val="20"/>
              </w:rPr>
              <w:t>June 28, 2010</w:t>
            </w:r>
          </w:p>
        </w:tc>
      </w:tr>
      <w:tr w:rsidR="00770323"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1A55135C" w:rsidR="00770323" w:rsidRPr="000B6B7A" w:rsidRDefault="00770323" w:rsidP="009163FC">
            <w:pPr>
              <w:ind w:left="-288"/>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Additional </w:t>
            </w:r>
            <w:r w:rsidRPr="000B6B7A">
              <w:rPr>
                <w:rFonts w:ascii="Cambria" w:hAnsi="Cambria"/>
                <w:b/>
                <w:bCs/>
                <w:color w:val="FFFFFF" w:themeColor="background1"/>
                <w:sz w:val="20"/>
                <w:szCs w:val="20"/>
              </w:rPr>
              <w:t>observations from the petition</w:t>
            </w:r>
            <w:r>
              <w:rPr>
                <w:rFonts w:ascii="Cambria" w:hAnsi="Cambria"/>
                <w:b/>
                <w:bCs/>
                <w:color w:val="FFFFFF" w:themeColor="background1"/>
                <w:sz w:val="20"/>
                <w:szCs w:val="20"/>
              </w:rPr>
              <w:t>er:</w:t>
            </w:r>
          </w:p>
        </w:tc>
        <w:tc>
          <w:tcPr>
            <w:tcW w:w="4680" w:type="dxa"/>
            <w:vAlign w:val="center"/>
          </w:tcPr>
          <w:p w14:paraId="2A863ACD" w14:textId="5A1E3BEB" w:rsidR="00770323" w:rsidRPr="000B6B7A" w:rsidRDefault="00770323" w:rsidP="009163FC">
            <w:pPr>
              <w:jc w:val="both"/>
              <w:rPr>
                <w:rFonts w:ascii="Cambria" w:hAnsi="Cambria"/>
                <w:bCs/>
                <w:sz w:val="20"/>
                <w:szCs w:val="20"/>
              </w:rPr>
            </w:pPr>
            <w:r>
              <w:rPr>
                <w:rFonts w:ascii="Cambria" w:hAnsi="Cambria"/>
                <w:bCs/>
                <w:sz w:val="20"/>
                <w:szCs w:val="20"/>
              </w:rPr>
              <w:t>August 11, 2010; May 5, 2011; May 10, 2011; March 31, 2015</w:t>
            </w:r>
          </w:p>
        </w:tc>
      </w:tr>
      <w:tr w:rsidR="00770323"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0B22C317" w:rsidR="00770323" w:rsidRPr="000B6B7A" w:rsidRDefault="0077032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0E668A0A" w:rsidR="00770323" w:rsidRPr="000B6B7A" w:rsidRDefault="00770323" w:rsidP="009163FC">
            <w:pPr>
              <w:jc w:val="both"/>
              <w:rPr>
                <w:rFonts w:ascii="Cambria" w:hAnsi="Cambria"/>
                <w:bCs/>
                <w:sz w:val="20"/>
                <w:szCs w:val="20"/>
              </w:rPr>
            </w:pPr>
            <w:r>
              <w:rPr>
                <w:rFonts w:ascii="Cambria" w:hAnsi="Cambria"/>
                <w:bCs/>
                <w:sz w:val="20"/>
                <w:szCs w:val="20"/>
              </w:rPr>
              <w:t>April 15, 2011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15168262" w:rsidR="00F621C3" w:rsidRPr="000B6B7A" w:rsidRDefault="00555D8D"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1B94A493" w:rsidR="00F621C3" w:rsidRPr="000B6B7A" w:rsidRDefault="00555D8D"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132FB8EE" w:rsidR="00F621C3" w:rsidRPr="00555D8D" w:rsidRDefault="00555D8D"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616C63B3" w:rsidR="00F621C3" w:rsidRPr="000B6B7A" w:rsidRDefault="00770323" w:rsidP="00A50D55">
            <w:pPr>
              <w:jc w:val="both"/>
              <w:rPr>
                <w:rFonts w:asciiTheme="majorHAnsi" w:hAnsiTheme="majorHAnsi"/>
                <w:bCs/>
                <w:sz w:val="20"/>
                <w:szCs w:val="20"/>
              </w:rPr>
            </w:pPr>
            <w:r w:rsidRPr="00770323">
              <w:rPr>
                <w:rFonts w:asciiTheme="majorHAnsi" w:hAnsiTheme="majorHAnsi"/>
                <w:bCs/>
                <w:sz w:val="20"/>
                <w:szCs w:val="20"/>
              </w:rPr>
              <w:t>Yes, American Declaration (ratification of the OAS Charter on June 19, 1951 and in conformit</w:t>
            </w:r>
            <w:r>
              <w:rPr>
                <w:rFonts w:asciiTheme="majorHAnsi" w:hAnsiTheme="majorHAnsi"/>
                <w:bCs/>
                <w:sz w:val="20"/>
                <w:szCs w:val="20"/>
              </w:rPr>
              <w:t>y with Article 20 of the IACHR’s</w:t>
            </w:r>
            <w:r w:rsidRPr="00770323">
              <w:rPr>
                <w:rFonts w:asciiTheme="majorHAnsi" w:hAnsiTheme="majorHAnsi"/>
                <w:bCs/>
                <w:sz w:val="20"/>
                <w:szCs w:val="20"/>
              </w:rPr>
              <w:t xml:space="preserve"> Statute and Articl</w:t>
            </w:r>
            <w:r>
              <w:rPr>
                <w:rFonts w:asciiTheme="majorHAnsi" w:hAnsiTheme="majorHAnsi"/>
                <w:bCs/>
                <w:sz w:val="20"/>
                <w:szCs w:val="20"/>
              </w:rPr>
              <w:t>e 51 of its Rules of Procedure)</w:t>
            </w:r>
          </w:p>
        </w:tc>
      </w:tr>
    </w:tbl>
    <w:p w14:paraId="1843F7EA" w14:textId="77777777" w:rsidR="0055485F" w:rsidRDefault="0055485F"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B945E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317BD2A2" w:rsidR="00B945EC" w:rsidRPr="000B6B7A" w:rsidRDefault="00555D8D"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B945E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4C215005" w:rsidR="00F621C3" w:rsidRPr="00681D2A" w:rsidRDefault="00770323" w:rsidP="009163FC">
            <w:pPr>
              <w:jc w:val="both"/>
              <w:rPr>
                <w:rFonts w:ascii="Cambria" w:hAnsi="Cambria"/>
                <w:bCs/>
                <w:sz w:val="20"/>
                <w:szCs w:val="20"/>
              </w:rPr>
            </w:pPr>
            <w:r w:rsidRPr="00681D2A">
              <w:rPr>
                <w:rFonts w:ascii="Cambria" w:hAnsi="Cambria"/>
                <w:bCs/>
                <w:sz w:val="20"/>
                <w:szCs w:val="20"/>
              </w:rPr>
              <w:t>Articles II (right to equality before the law), XVII (recognition of juridical personality and civil rights)</w:t>
            </w:r>
            <w:r w:rsidR="00AE1BAB" w:rsidRPr="00681D2A">
              <w:rPr>
                <w:rFonts w:ascii="Cambria" w:hAnsi="Cambria"/>
                <w:bCs/>
                <w:sz w:val="20"/>
                <w:szCs w:val="20"/>
              </w:rPr>
              <w:t>, XVIII (right to a fair trial)</w:t>
            </w:r>
            <w:r w:rsidRPr="00681D2A">
              <w:rPr>
                <w:rFonts w:ascii="Cambria" w:hAnsi="Cambria"/>
                <w:bCs/>
                <w:sz w:val="20"/>
                <w:szCs w:val="20"/>
              </w:rPr>
              <w:t xml:space="preserve"> and XX (right to vote and to participate in government) of the American Declaration</w:t>
            </w:r>
          </w:p>
        </w:tc>
      </w:tr>
      <w:tr w:rsidR="00F621C3" w:rsidRPr="000B6B7A" w14:paraId="4DFB74FC" w14:textId="77777777" w:rsidTr="00B945E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129BD0B3" w:rsidR="00F621C3" w:rsidRPr="00681D2A" w:rsidRDefault="00770323" w:rsidP="00AE1BAB">
            <w:pPr>
              <w:rPr>
                <w:rFonts w:ascii="Cambria" w:hAnsi="Cambria"/>
                <w:bCs/>
                <w:sz w:val="20"/>
                <w:szCs w:val="20"/>
              </w:rPr>
            </w:pPr>
            <w:r w:rsidRPr="00681D2A">
              <w:rPr>
                <w:rFonts w:ascii="Cambria" w:hAnsi="Cambria"/>
                <w:bCs/>
                <w:sz w:val="20"/>
                <w:szCs w:val="20"/>
              </w:rPr>
              <w:t xml:space="preserve">Yes, </w:t>
            </w:r>
            <w:r w:rsidR="00AE1BAB" w:rsidRPr="00681D2A">
              <w:rPr>
                <w:rFonts w:ascii="Cambria" w:hAnsi="Cambria"/>
                <w:bCs/>
                <w:sz w:val="20"/>
                <w:szCs w:val="20"/>
              </w:rPr>
              <w:t>March 20, 2006</w:t>
            </w:r>
          </w:p>
        </w:tc>
      </w:tr>
      <w:tr w:rsidR="00F621C3" w:rsidRPr="000B6B7A" w14:paraId="6D900199" w14:textId="77777777" w:rsidTr="00681D2A">
        <w:trPr>
          <w:cantSplit/>
          <w:trHeight w:val="210"/>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487CEAB9" w:rsidR="00F621C3" w:rsidRPr="000B6B7A" w:rsidRDefault="00770323" w:rsidP="00AE1BAB">
            <w:pPr>
              <w:rPr>
                <w:rFonts w:asciiTheme="majorHAnsi" w:hAnsiTheme="majorHAnsi"/>
                <w:bCs/>
                <w:sz w:val="20"/>
                <w:szCs w:val="20"/>
              </w:rPr>
            </w:pPr>
            <w:r w:rsidRPr="00681D2A">
              <w:rPr>
                <w:rFonts w:asciiTheme="majorHAnsi" w:hAnsiTheme="majorHAnsi"/>
                <w:bCs/>
                <w:sz w:val="20"/>
                <w:szCs w:val="20"/>
              </w:rPr>
              <w:t xml:space="preserve">Yes, </w:t>
            </w:r>
            <w:r w:rsidR="00AE1BAB" w:rsidRPr="00681D2A">
              <w:rPr>
                <w:rFonts w:asciiTheme="majorHAnsi" w:hAnsiTheme="majorHAnsi"/>
                <w:bCs/>
                <w:sz w:val="20"/>
                <w:szCs w:val="20"/>
              </w:rPr>
              <w:t>July 27, 2006</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75938988" w14:textId="497767F8" w:rsidR="004A3912" w:rsidRPr="00681D2A" w:rsidRDefault="00BC3455" w:rsidP="007703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37CE">
        <w:rPr>
          <w:rFonts w:ascii="Cambria" w:hAnsi="Cambria"/>
          <w:sz w:val="20"/>
          <w:szCs w:val="20"/>
        </w:rPr>
        <w:t>According to the petitioners, all American citizens residing in Puerto Rico are denied the right to vote</w:t>
      </w:r>
      <w:r w:rsidR="001211C1" w:rsidRPr="00D637CE">
        <w:rPr>
          <w:rFonts w:ascii="Cambria" w:hAnsi="Cambria"/>
          <w:sz w:val="20"/>
          <w:szCs w:val="20"/>
        </w:rPr>
        <w:t xml:space="preserve"> in </w:t>
      </w:r>
      <w:r w:rsidR="009473A4" w:rsidRPr="00D637CE">
        <w:rPr>
          <w:rFonts w:ascii="Cambria" w:hAnsi="Cambria"/>
          <w:sz w:val="20"/>
          <w:szCs w:val="20"/>
        </w:rPr>
        <w:t xml:space="preserve">the </w:t>
      </w:r>
      <w:r w:rsidR="00D637CE">
        <w:rPr>
          <w:rFonts w:ascii="Cambria" w:hAnsi="Cambria"/>
          <w:sz w:val="20"/>
          <w:szCs w:val="20"/>
        </w:rPr>
        <w:t>U.S.</w:t>
      </w:r>
      <w:r w:rsidR="009473A4" w:rsidRPr="00D637CE">
        <w:rPr>
          <w:rFonts w:ascii="Cambria" w:hAnsi="Cambria"/>
          <w:sz w:val="20"/>
          <w:szCs w:val="20"/>
        </w:rPr>
        <w:t xml:space="preserve"> </w:t>
      </w:r>
      <w:r w:rsidR="001211C1" w:rsidRPr="00D637CE">
        <w:rPr>
          <w:rFonts w:ascii="Cambria" w:hAnsi="Cambria"/>
          <w:sz w:val="20"/>
          <w:szCs w:val="20"/>
        </w:rPr>
        <w:t xml:space="preserve">presidential </w:t>
      </w:r>
      <w:r w:rsidR="001211C1" w:rsidRPr="00681D2A">
        <w:rPr>
          <w:rFonts w:ascii="Cambria" w:hAnsi="Cambria"/>
          <w:sz w:val="20"/>
          <w:szCs w:val="20"/>
        </w:rPr>
        <w:t>elections</w:t>
      </w:r>
      <w:r w:rsidRPr="00681D2A">
        <w:rPr>
          <w:rFonts w:ascii="Cambria" w:hAnsi="Cambria"/>
          <w:sz w:val="20"/>
          <w:szCs w:val="20"/>
        </w:rPr>
        <w:t xml:space="preserve"> on the discriminatory basis </w:t>
      </w:r>
      <w:r w:rsidR="00603BCB" w:rsidRPr="00681D2A">
        <w:rPr>
          <w:rFonts w:ascii="Cambria" w:hAnsi="Cambria"/>
          <w:sz w:val="20"/>
          <w:szCs w:val="20"/>
        </w:rPr>
        <w:t>that they reside in a U.S.</w:t>
      </w:r>
      <w:r w:rsidR="009473A4" w:rsidRPr="00681D2A">
        <w:rPr>
          <w:rFonts w:ascii="Cambria" w:hAnsi="Cambria"/>
          <w:sz w:val="20"/>
          <w:szCs w:val="20"/>
        </w:rPr>
        <w:t> </w:t>
      </w:r>
      <w:r w:rsidR="00603BCB" w:rsidRPr="00681D2A">
        <w:rPr>
          <w:rFonts w:ascii="Cambria" w:hAnsi="Cambria"/>
          <w:sz w:val="20"/>
          <w:szCs w:val="20"/>
        </w:rPr>
        <w:t>territory and not in a state</w:t>
      </w:r>
      <w:r w:rsidR="001211C1" w:rsidRPr="00681D2A">
        <w:rPr>
          <w:rFonts w:ascii="Cambria" w:hAnsi="Cambria"/>
          <w:sz w:val="20"/>
          <w:szCs w:val="20"/>
        </w:rPr>
        <w:t xml:space="preserve">; </w:t>
      </w:r>
      <w:r w:rsidR="008C1E3D" w:rsidRPr="00681D2A">
        <w:rPr>
          <w:rFonts w:ascii="Cambria" w:hAnsi="Cambria"/>
          <w:sz w:val="20"/>
          <w:szCs w:val="20"/>
        </w:rPr>
        <w:t>while</w:t>
      </w:r>
      <w:r w:rsidR="001211C1" w:rsidRPr="00681D2A">
        <w:rPr>
          <w:rFonts w:ascii="Cambria" w:hAnsi="Cambria"/>
          <w:sz w:val="20"/>
          <w:szCs w:val="20"/>
        </w:rPr>
        <w:t xml:space="preserve"> other American citizens </w:t>
      </w:r>
      <w:r w:rsidR="00603BCB" w:rsidRPr="00681D2A">
        <w:rPr>
          <w:rFonts w:ascii="Cambria" w:hAnsi="Cambria"/>
          <w:sz w:val="20"/>
          <w:szCs w:val="20"/>
        </w:rPr>
        <w:t xml:space="preserve">can </w:t>
      </w:r>
      <w:r w:rsidR="008C1E3D" w:rsidRPr="00681D2A">
        <w:rPr>
          <w:rFonts w:ascii="Cambria" w:hAnsi="Cambria"/>
          <w:sz w:val="20"/>
          <w:szCs w:val="20"/>
        </w:rPr>
        <w:t>change their</w:t>
      </w:r>
      <w:r w:rsidR="00603BCB" w:rsidRPr="00681D2A">
        <w:rPr>
          <w:rFonts w:ascii="Cambria" w:hAnsi="Cambria"/>
          <w:sz w:val="20"/>
          <w:szCs w:val="20"/>
        </w:rPr>
        <w:t xml:space="preserve"> residence from one state to another, or even to foreign countries, and continue to vote</w:t>
      </w:r>
      <w:r w:rsidR="008C1E3D" w:rsidRPr="00681D2A">
        <w:rPr>
          <w:rFonts w:ascii="Cambria" w:hAnsi="Cambria"/>
          <w:sz w:val="20"/>
          <w:szCs w:val="20"/>
        </w:rPr>
        <w:t>, this is not the case for Puerto Rico</w:t>
      </w:r>
      <w:r w:rsidR="006A4388" w:rsidRPr="00681D2A">
        <w:rPr>
          <w:rFonts w:ascii="Cambria" w:hAnsi="Cambria"/>
          <w:sz w:val="20"/>
          <w:szCs w:val="20"/>
        </w:rPr>
        <w:t>.</w:t>
      </w:r>
      <w:r w:rsidR="00FB4FF0" w:rsidRPr="00681D2A">
        <w:rPr>
          <w:rFonts w:ascii="Cambria" w:hAnsi="Cambria"/>
          <w:sz w:val="20"/>
          <w:szCs w:val="20"/>
        </w:rPr>
        <w:t xml:space="preserve">  They submit that there are over four million U.S. citizens residing in Puerto Rico, a population which is larger than that of 25 or 26 states and which meets the minimum required to qualify </w:t>
      </w:r>
      <w:r w:rsidR="00CC3153" w:rsidRPr="00681D2A">
        <w:rPr>
          <w:rFonts w:ascii="Cambria" w:hAnsi="Cambria"/>
          <w:sz w:val="20"/>
          <w:szCs w:val="20"/>
        </w:rPr>
        <w:t>for electors</w:t>
      </w:r>
      <w:r w:rsidR="00CE4128" w:rsidRPr="00681D2A">
        <w:rPr>
          <w:rFonts w:ascii="Cambria" w:hAnsi="Cambria"/>
          <w:sz w:val="20"/>
          <w:szCs w:val="20"/>
        </w:rPr>
        <w:t xml:space="preserve"> for the electoral college</w:t>
      </w:r>
      <w:r w:rsidR="00CC3153" w:rsidRPr="00681D2A">
        <w:rPr>
          <w:rFonts w:ascii="Cambria" w:hAnsi="Cambria"/>
          <w:sz w:val="20"/>
          <w:szCs w:val="20"/>
        </w:rPr>
        <w:t>.</w:t>
      </w:r>
      <w:r w:rsidR="00FB4FF0" w:rsidRPr="00681D2A">
        <w:rPr>
          <w:rFonts w:ascii="Cambria" w:hAnsi="Cambria"/>
          <w:sz w:val="20"/>
          <w:szCs w:val="20"/>
        </w:rPr>
        <w:t xml:space="preserve"> </w:t>
      </w:r>
      <w:r w:rsidR="00CC3153" w:rsidRPr="00681D2A">
        <w:rPr>
          <w:rFonts w:ascii="Cambria" w:hAnsi="Cambria"/>
          <w:sz w:val="20"/>
          <w:szCs w:val="20"/>
        </w:rPr>
        <w:t xml:space="preserve"> </w:t>
      </w:r>
      <w:r w:rsidR="00FB4FF0" w:rsidRPr="00681D2A">
        <w:rPr>
          <w:rFonts w:ascii="Cambria" w:hAnsi="Cambria"/>
          <w:sz w:val="20"/>
          <w:szCs w:val="20"/>
        </w:rPr>
        <w:t>They claim</w:t>
      </w:r>
      <w:r w:rsidR="00CC3153" w:rsidRPr="00681D2A">
        <w:rPr>
          <w:rFonts w:ascii="Cambria" w:hAnsi="Cambria"/>
          <w:sz w:val="20"/>
          <w:szCs w:val="20"/>
        </w:rPr>
        <w:t>,</w:t>
      </w:r>
      <w:r w:rsidR="00FB4FF0" w:rsidRPr="00681D2A">
        <w:rPr>
          <w:rFonts w:ascii="Cambria" w:hAnsi="Cambria"/>
          <w:sz w:val="20"/>
          <w:szCs w:val="20"/>
        </w:rPr>
        <w:t xml:space="preserve"> </w:t>
      </w:r>
      <w:r w:rsidR="00CC3153" w:rsidRPr="00681D2A">
        <w:rPr>
          <w:rFonts w:ascii="Cambria" w:hAnsi="Cambria"/>
          <w:sz w:val="20"/>
          <w:szCs w:val="20"/>
        </w:rPr>
        <w:t xml:space="preserve">however, </w:t>
      </w:r>
      <w:r w:rsidR="00FB4FF0" w:rsidRPr="00681D2A">
        <w:rPr>
          <w:rFonts w:ascii="Cambria" w:hAnsi="Cambria"/>
          <w:sz w:val="20"/>
          <w:szCs w:val="20"/>
        </w:rPr>
        <w:t>that their right to vote in U.S. presidential elections is denied even though U.S. citizens residing in Puerto Rico have the same obligations as citizens residing in other states and also serve in the armed forces.</w:t>
      </w:r>
    </w:p>
    <w:p w14:paraId="08C9721A" w14:textId="7BC11AF0" w:rsidR="008E1F32" w:rsidRDefault="00D637CE" w:rsidP="00603B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1D2A">
        <w:rPr>
          <w:rFonts w:ascii="Cambria" w:hAnsi="Cambria"/>
          <w:sz w:val="20"/>
          <w:szCs w:val="20"/>
        </w:rPr>
        <w:t xml:space="preserve"> The petitioners allege </w:t>
      </w:r>
      <w:r w:rsidR="008C1E3D" w:rsidRPr="00681D2A">
        <w:rPr>
          <w:rFonts w:ascii="Cambria" w:hAnsi="Cambria"/>
          <w:sz w:val="20"/>
          <w:szCs w:val="20"/>
        </w:rPr>
        <w:t>having</w:t>
      </w:r>
      <w:r w:rsidR="00095DF0" w:rsidRPr="00681D2A">
        <w:rPr>
          <w:rFonts w:ascii="Cambria" w:hAnsi="Cambria"/>
          <w:sz w:val="20"/>
          <w:szCs w:val="20"/>
        </w:rPr>
        <w:t xml:space="preserve"> filed judicial </w:t>
      </w:r>
      <w:r w:rsidR="00FC49E7" w:rsidRPr="00681D2A">
        <w:rPr>
          <w:rFonts w:ascii="Cambria" w:hAnsi="Cambria"/>
          <w:sz w:val="20"/>
          <w:szCs w:val="20"/>
        </w:rPr>
        <w:t>com</w:t>
      </w:r>
      <w:r w:rsidR="00095DF0" w:rsidRPr="00681D2A">
        <w:rPr>
          <w:rFonts w:ascii="Cambria" w:hAnsi="Cambria"/>
          <w:sz w:val="20"/>
          <w:szCs w:val="20"/>
        </w:rPr>
        <w:t xml:space="preserve">plaints </w:t>
      </w:r>
      <w:r w:rsidR="004E3757" w:rsidRPr="00681D2A">
        <w:rPr>
          <w:rFonts w:ascii="Cambria" w:hAnsi="Cambria"/>
          <w:sz w:val="20"/>
          <w:szCs w:val="20"/>
        </w:rPr>
        <w:t>on their behalf and on behalf of all persons similarly situated and to have</w:t>
      </w:r>
      <w:r w:rsidR="00095DF0" w:rsidRPr="00681D2A">
        <w:rPr>
          <w:rFonts w:ascii="Cambria" w:hAnsi="Cambria"/>
          <w:sz w:val="20"/>
          <w:szCs w:val="20"/>
        </w:rPr>
        <w:t xml:space="preserve"> exhausted domestic </w:t>
      </w:r>
      <w:r w:rsidR="006E680F" w:rsidRPr="00681D2A">
        <w:rPr>
          <w:rFonts w:ascii="Cambria" w:hAnsi="Cambria"/>
          <w:sz w:val="20"/>
          <w:szCs w:val="20"/>
        </w:rPr>
        <w:t>remedies</w:t>
      </w:r>
      <w:r w:rsidR="00095DF0" w:rsidRPr="00681D2A">
        <w:rPr>
          <w:rFonts w:ascii="Cambria" w:hAnsi="Cambria"/>
          <w:sz w:val="20"/>
          <w:szCs w:val="20"/>
        </w:rPr>
        <w:t xml:space="preserve"> on several occasions seeking the recognition of </w:t>
      </w:r>
      <w:r w:rsidRPr="00681D2A">
        <w:rPr>
          <w:rFonts w:ascii="Cambria" w:hAnsi="Cambria"/>
          <w:sz w:val="20"/>
          <w:szCs w:val="20"/>
        </w:rPr>
        <w:t>their right to vote in U.S. presidential elections</w:t>
      </w:r>
      <w:r w:rsidR="00095DF0" w:rsidRPr="00681D2A">
        <w:rPr>
          <w:rFonts w:ascii="Cambria" w:hAnsi="Cambria"/>
          <w:sz w:val="20"/>
          <w:szCs w:val="20"/>
        </w:rPr>
        <w:t>.</w:t>
      </w:r>
      <w:r w:rsidR="00F83BD2" w:rsidRPr="00681D2A">
        <w:rPr>
          <w:rFonts w:ascii="Cambria" w:hAnsi="Cambria"/>
          <w:sz w:val="20"/>
          <w:szCs w:val="20"/>
        </w:rPr>
        <w:t xml:space="preserve">  </w:t>
      </w:r>
      <w:r w:rsidR="00095DF0" w:rsidRPr="00681D2A">
        <w:rPr>
          <w:rFonts w:ascii="Cambria" w:hAnsi="Cambria"/>
          <w:sz w:val="20"/>
          <w:szCs w:val="20"/>
        </w:rPr>
        <w:t xml:space="preserve">The initial complaint (hereinafter, “Igartúa I”) was filed before the </w:t>
      </w:r>
      <w:r w:rsidR="002F742B" w:rsidRPr="00681D2A">
        <w:rPr>
          <w:rFonts w:ascii="Cambria" w:hAnsi="Cambria"/>
          <w:sz w:val="20"/>
          <w:szCs w:val="20"/>
        </w:rPr>
        <w:t>Federal </w:t>
      </w:r>
      <w:r w:rsidR="00095DF0" w:rsidRPr="00681D2A">
        <w:rPr>
          <w:rFonts w:ascii="Cambria" w:hAnsi="Cambria"/>
          <w:sz w:val="20"/>
          <w:szCs w:val="20"/>
        </w:rPr>
        <w:t>District Court of Puerto Rico (henceforth, “the District Court”) in 1992.  The District Court dismissed that complaint and its decision was upheld by the United States Court of Appeals for the First Circuit (hereinafter, “the Appeals Court”) on the basis that American citizens resident in Puerto Rico do not have a right to vote in presidential elections because Puerto Rico is not entitled under Article II of the U.S. Constitution to choose electors for the</w:t>
      </w:r>
      <w:r w:rsidR="008C1E3D" w:rsidRPr="00681D2A">
        <w:rPr>
          <w:rFonts w:ascii="Cambria" w:hAnsi="Cambria"/>
          <w:sz w:val="20"/>
          <w:szCs w:val="20"/>
        </w:rPr>
        <w:t xml:space="preserve"> electoral college, the body responsible for electing the</w:t>
      </w:r>
      <w:r w:rsidR="00095DF0" w:rsidRPr="00681D2A">
        <w:rPr>
          <w:rFonts w:ascii="Cambria" w:hAnsi="Cambria"/>
          <w:sz w:val="20"/>
          <w:szCs w:val="20"/>
        </w:rPr>
        <w:t xml:space="preserve"> President. </w:t>
      </w:r>
      <w:r w:rsidR="00FB08BF" w:rsidRPr="00681D2A">
        <w:rPr>
          <w:rFonts w:ascii="Cambria" w:hAnsi="Cambria"/>
          <w:sz w:val="20"/>
          <w:szCs w:val="20"/>
        </w:rPr>
        <w:t xml:space="preserve"> According to the petitioners, their </w:t>
      </w:r>
      <w:r w:rsidR="00FB08BF" w:rsidRPr="00681D2A">
        <w:rPr>
          <w:rFonts w:ascii="Cambria" w:hAnsi="Cambria"/>
          <w:i/>
          <w:sz w:val="20"/>
          <w:szCs w:val="20"/>
        </w:rPr>
        <w:t xml:space="preserve">writ </w:t>
      </w:r>
      <w:r w:rsidR="008C1E3D" w:rsidRPr="00681D2A">
        <w:rPr>
          <w:rFonts w:ascii="Cambria" w:hAnsi="Cambria"/>
          <w:i/>
          <w:sz w:val="20"/>
          <w:szCs w:val="20"/>
        </w:rPr>
        <w:t>of</w:t>
      </w:r>
      <w:r w:rsidR="00FB08BF" w:rsidRPr="00681D2A">
        <w:rPr>
          <w:rFonts w:ascii="Cambria" w:hAnsi="Cambria"/>
          <w:i/>
          <w:sz w:val="20"/>
          <w:szCs w:val="20"/>
        </w:rPr>
        <w:t xml:space="preserve"> certiorari</w:t>
      </w:r>
      <w:r w:rsidR="00FB08BF" w:rsidRPr="00681D2A">
        <w:rPr>
          <w:rFonts w:ascii="Cambria" w:hAnsi="Cambria"/>
          <w:sz w:val="20"/>
          <w:szCs w:val="20"/>
        </w:rPr>
        <w:t xml:space="preserve"> was also dismissed by the Supreme Court. </w:t>
      </w:r>
      <w:r w:rsidRPr="00681D2A">
        <w:rPr>
          <w:rFonts w:ascii="Cambria" w:hAnsi="Cambria"/>
          <w:sz w:val="20"/>
          <w:szCs w:val="20"/>
        </w:rPr>
        <w:t xml:space="preserve"> I</w:t>
      </w:r>
      <w:r w:rsidR="00FB08BF" w:rsidRPr="00681D2A">
        <w:rPr>
          <w:rFonts w:ascii="Cambria" w:hAnsi="Cambria"/>
          <w:sz w:val="20"/>
          <w:szCs w:val="20"/>
        </w:rPr>
        <w:t>n 2000</w:t>
      </w:r>
      <w:r w:rsidR="009473A4" w:rsidRPr="00681D2A">
        <w:rPr>
          <w:rFonts w:ascii="Cambria" w:hAnsi="Cambria"/>
          <w:sz w:val="20"/>
          <w:szCs w:val="20"/>
        </w:rPr>
        <w:t>,</w:t>
      </w:r>
      <w:r w:rsidR="00FB08BF" w:rsidRPr="00681D2A">
        <w:rPr>
          <w:rFonts w:ascii="Cambria" w:hAnsi="Cambria"/>
          <w:sz w:val="20"/>
          <w:szCs w:val="20"/>
        </w:rPr>
        <w:t xml:space="preserve"> the petitioners filed a second complain</w:t>
      </w:r>
      <w:r w:rsidR="009473A4" w:rsidRPr="00681D2A">
        <w:rPr>
          <w:rFonts w:ascii="Cambria" w:hAnsi="Cambria"/>
          <w:sz w:val="20"/>
          <w:szCs w:val="20"/>
        </w:rPr>
        <w:t>t</w:t>
      </w:r>
      <w:r w:rsidR="00D01D22" w:rsidRPr="00681D2A">
        <w:rPr>
          <w:rFonts w:ascii="Cambria" w:hAnsi="Cambria"/>
          <w:sz w:val="20"/>
          <w:szCs w:val="20"/>
        </w:rPr>
        <w:t xml:space="preserve"> </w:t>
      </w:r>
      <w:r w:rsidR="00FB08BF" w:rsidRPr="00681D2A">
        <w:rPr>
          <w:rFonts w:ascii="Cambria" w:hAnsi="Cambria"/>
          <w:sz w:val="20"/>
          <w:szCs w:val="20"/>
        </w:rPr>
        <w:t xml:space="preserve">before the District Court, which found in favor of the petitioners in light of two decisions issued by the Supreme Court after the dismissal of the first case.  However, </w:t>
      </w:r>
      <w:r w:rsidR="009473A4" w:rsidRPr="00681D2A">
        <w:rPr>
          <w:rFonts w:ascii="Cambria" w:hAnsi="Cambria"/>
          <w:sz w:val="20"/>
          <w:szCs w:val="20"/>
        </w:rPr>
        <w:t>this decision</w:t>
      </w:r>
      <w:r w:rsidR="009473A4" w:rsidRPr="00A242C7">
        <w:rPr>
          <w:rFonts w:ascii="Cambria" w:hAnsi="Cambria"/>
          <w:sz w:val="20"/>
          <w:szCs w:val="20"/>
        </w:rPr>
        <w:t xml:space="preserve"> was appealed</w:t>
      </w:r>
      <w:r w:rsidR="00FB08BF" w:rsidRPr="00A242C7">
        <w:rPr>
          <w:rFonts w:ascii="Cambria" w:hAnsi="Cambria"/>
          <w:sz w:val="20"/>
          <w:szCs w:val="20"/>
        </w:rPr>
        <w:t xml:space="preserve"> and the Appeals Court, on the basis of </w:t>
      </w:r>
      <w:r w:rsidR="00FB08BF" w:rsidRPr="00A242C7">
        <w:rPr>
          <w:rFonts w:ascii="Cambria" w:hAnsi="Cambria"/>
          <w:i/>
          <w:sz w:val="20"/>
          <w:szCs w:val="20"/>
        </w:rPr>
        <w:t>stare decisis</w:t>
      </w:r>
      <w:r w:rsidR="00FB08BF" w:rsidRPr="00A242C7">
        <w:rPr>
          <w:rFonts w:ascii="Cambria" w:hAnsi="Cambria"/>
          <w:sz w:val="20"/>
          <w:szCs w:val="20"/>
        </w:rPr>
        <w:t xml:space="preserve">, overturned </w:t>
      </w:r>
      <w:r w:rsidR="009473A4" w:rsidRPr="00A242C7">
        <w:rPr>
          <w:rFonts w:ascii="Cambria" w:hAnsi="Cambria"/>
          <w:sz w:val="20"/>
          <w:szCs w:val="20"/>
        </w:rPr>
        <w:t>the District Court’s</w:t>
      </w:r>
      <w:r w:rsidR="00FB08BF" w:rsidRPr="00A242C7">
        <w:rPr>
          <w:rFonts w:ascii="Cambria" w:hAnsi="Cambria"/>
          <w:sz w:val="20"/>
          <w:szCs w:val="20"/>
        </w:rPr>
        <w:t xml:space="preserve"> decision, reaffirming </w:t>
      </w:r>
      <w:r w:rsidR="009473A4" w:rsidRPr="00A242C7">
        <w:rPr>
          <w:rFonts w:ascii="Cambria" w:hAnsi="Cambria"/>
          <w:sz w:val="20"/>
          <w:szCs w:val="20"/>
        </w:rPr>
        <w:t xml:space="preserve">its previous decision </w:t>
      </w:r>
      <w:r w:rsidR="00D01D22" w:rsidRPr="00A242C7">
        <w:rPr>
          <w:rFonts w:ascii="Cambria" w:hAnsi="Cambria"/>
          <w:sz w:val="20"/>
          <w:szCs w:val="20"/>
        </w:rPr>
        <w:t>from</w:t>
      </w:r>
      <w:r w:rsidR="00FB08BF" w:rsidRPr="00A242C7">
        <w:rPr>
          <w:rFonts w:ascii="Cambria" w:hAnsi="Cambria"/>
          <w:sz w:val="20"/>
          <w:szCs w:val="20"/>
        </w:rPr>
        <w:t xml:space="preserve"> Igartúa </w:t>
      </w:r>
      <w:r w:rsidR="00FC49E7" w:rsidRPr="00A242C7">
        <w:rPr>
          <w:rFonts w:ascii="Cambria" w:hAnsi="Cambria"/>
          <w:sz w:val="20"/>
          <w:szCs w:val="20"/>
        </w:rPr>
        <w:t>I</w:t>
      </w:r>
      <w:r w:rsidR="009473A4" w:rsidRPr="00A242C7">
        <w:rPr>
          <w:rFonts w:ascii="Cambria" w:hAnsi="Cambria"/>
          <w:sz w:val="20"/>
          <w:szCs w:val="20"/>
        </w:rPr>
        <w:t xml:space="preserve">.  They claim that their </w:t>
      </w:r>
      <w:r w:rsidR="009473A4" w:rsidRPr="00A242C7">
        <w:rPr>
          <w:rFonts w:ascii="Cambria" w:hAnsi="Cambria"/>
          <w:i/>
          <w:sz w:val="20"/>
          <w:szCs w:val="20"/>
        </w:rPr>
        <w:t xml:space="preserve">writ of certiorari </w:t>
      </w:r>
      <w:r w:rsidR="009473A4" w:rsidRPr="00A242C7">
        <w:rPr>
          <w:rFonts w:ascii="Cambria" w:hAnsi="Cambria"/>
          <w:sz w:val="20"/>
          <w:szCs w:val="20"/>
        </w:rPr>
        <w:t>was once again dismissed by the Supreme Court.</w:t>
      </w:r>
      <w:r w:rsidRPr="00A242C7">
        <w:rPr>
          <w:rFonts w:ascii="Cambria" w:hAnsi="Cambria"/>
          <w:sz w:val="20"/>
          <w:szCs w:val="20"/>
        </w:rPr>
        <w:t xml:space="preserve">  </w:t>
      </w:r>
      <w:r w:rsidR="00D01D22" w:rsidRPr="00A242C7">
        <w:rPr>
          <w:rFonts w:ascii="Cambria" w:hAnsi="Cambria"/>
          <w:sz w:val="20"/>
          <w:szCs w:val="20"/>
        </w:rPr>
        <w:t>A third complaint was filed in 2003 and dismissed by the District Court</w:t>
      </w:r>
      <w:r w:rsidR="00D5001E" w:rsidRPr="00A242C7">
        <w:rPr>
          <w:rFonts w:ascii="Cambria" w:hAnsi="Cambria"/>
          <w:sz w:val="20"/>
          <w:szCs w:val="20"/>
        </w:rPr>
        <w:t xml:space="preserve"> on August 19, 2004</w:t>
      </w:r>
      <w:r w:rsidR="00D01D22" w:rsidRPr="00A242C7">
        <w:rPr>
          <w:rFonts w:ascii="Cambria" w:hAnsi="Cambria"/>
          <w:sz w:val="20"/>
          <w:szCs w:val="20"/>
        </w:rPr>
        <w:t xml:space="preserve">.  </w:t>
      </w:r>
      <w:r w:rsidR="00D5001E" w:rsidRPr="00A242C7">
        <w:rPr>
          <w:rFonts w:ascii="Cambria" w:hAnsi="Cambria"/>
          <w:sz w:val="20"/>
          <w:szCs w:val="20"/>
        </w:rPr>
        <w:t xml:space="preserve">This decision was appealed and on </w:t>
      </w:r>
      <w:r w:rsidR="00B945EC" w:rsidRPr="00A242C7">
        <w:rPr>
          <w:rFonts w:ascii="Cambria" w:hAnsi="Cambria"/>
          <w:sz w:val="20"/>
          <w:szCs w:val="20"/>
        </w:rPr>
        <w:t>August 3, 2005, t</w:t>
      </w:r>
      <w:r w:rsidR="00D5001E" w:rsidRPr="00A242C7">
        <w:rPr>
          <w:rFonts w:ascii="Cambria" w:hAnsi="Cambria"/>
          <w:sz w:val="20"/>
          <w:szCs w:val="20"/>
        </w:rPr>
        <w:t>he</w:t>
      </w:r>
      <w:r w:rsidR="00433B2E" w:rsidRPr="00A242C7">
        <w:rPr>
          <w:rFonts w:ascii="Cambria" w:hAnsi="Cambria"/>
          <w:sz w:val="20"/>
          <w:szCs w:val="20"/>
        </w:rPr>
        <w:t xml:space="preserve"> Appeals Court, in an </w:t>
      </w:r>
      <w:r w:rsidR="00433B2E" w:rsidRPr="00A242C7">
        <w:rPr>
          <w:rFonts w:ascii="Cambria" w:hAnsi="Cambria"/>
          <w:i/>
          <w:sz w:val="20"/>
          <w:szCs w:val="20"/>
        </w:rPr>
        <w:t>en banc</w:t>
      </w:r>
      <w:r w:rsidR="00433B2E" w:rsidRPr="00A242C7">
        <w:rPr>
          <w:rFonts w:ascii="Cambria" w:hAnsi="Cambria"/>
          <w:sz w:val="20"/>
          <w:szCs w:val="20"/>
        </w:rPr>
        <w:t xml:space="preserve"> decision, dismissed the case on the basis of </w:t>
      </w:r>
      <w:r w:rsidR="00433B2E" w:rsidRPr="00A242C7">
        <w:rPr>
          <w:rFonts w:ascii="Cambria" w:hAnsi="Cambria"/>
          <w:i/>
          <w:sz w:val="20"/>
          <w:szCs w:val="20"/>
        </w:rPr>
        <w:t>stare decisis</w:t>
      </w:r>
      <w:r w:rsidR="00433B2E" w:rsidRPr="00A242C7">
        <w:rPr>
          <w:rFonts w:ascii="Cambria" w:hAnsi="Cambria"/>
          <w:sz w:val="20"/>
          <w:szCs w:val="20"/>
        </w:rPr>
        <w:t xml:space="preserve">, once again reaffirming its finding that American citizens residing in Puerto Rico do not have a constitutional right to vote in U.S. presidential elections.  The petitioners filed a </w:t>
      </w:r>
      <w:r w:rsidR="00433B2E" w:rsidRPr="00A242C7">
        <w:rPr>
          <w:rFonts w:ascii="Cambria" w:hAnsi="Cambria"/>
          <w:i/>
          <w:sz w:val="20"/>
          <w:szCs w:val="20"/>
        </w:rPr>
        <w:t xml:space="preserve">writ of certiorari </w:t>
      </w:r>
      <w:r w:rsidR="00433B2E" w:rsidRPr="00A242C7">
        <w:rPr>
          <w:rFonts w:ascii="Cambria" w:hAnsi="Cambria"/>
          <w:sz w:val="20"/>
          <w:szCs w:val="20"/>
        </w:rPr>
        <w:t>before the Supreme Court and it was dismissed on March</w:t>
      </w:r>
      <w:r w:rsidR="00B945EC" w:rsidRPr="00A242C7">
        <w:rPr>
          <w:rFonts w:ascii="Cambria" w:hAnsi="Cambria"/>
          <w:sz w:val="20"/>
          <w:szCs w:val="20"/>
        </w:rPr>
        <w:t> </w:t>
      </w:r>
      <w:r w:rsidR="00433B2E" w:rsidRPr="00A242C7">
        <w:rPr>
          <w:rFonts w:ascii="Cambria" w:hAnsi="Cambria"/>
          <w:sz w:val="20"/>
          <w:szCs w:val="20"/>
        </w:rPr>
        <w:t>20, 2006.</w:t>
      </w:r>
    </w:p>
    <w:p w14:paraId="79004237" w14:textId="60CDFC4B" w:rsidR="00A242C7" w:rsidRPr="00681D2A" w:rsidRDefault="00A242C7" w:rsidP="00603B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1D2A">
        <w:rPr>
          <w:rFonts w:ascii="Cambria" w:hAnsi="Cambria"/>
          <w:sz w:val="20"/>
          <w:szCs w:val="20"/>
        </w:rPr>
        <w:t xml:space="preserve">The petitioners claim that the inaction of Congress and of the Executive Branch </w:t>
      </w:r>
      <w:r w:rsidR="007435F8">
        <w:rPr>
          <w:rFonts w:ascii="Cambria" w:hAnsi="Cambria"/>
          <w:sz w:val="20"/>
          <w:szCs w:val="20"/>
        </w:rPr>
        <w:t>with respect to</w:t>
      </w:r>
      <w:r w:rsidRPr="00681D2A">
        <w:rPr>
          <w:rFonts w:ascii="Cambria" w:hAnsi="Cambria"/>
          <w:sz w:val="20"/>
          <w:szCs w:val="20"/>
        </w:rPr>
        <w:t xml:space="preserve"> federal voting rights for U.S. citizens residing in Puerto Rico and the restrictive interpretation of the Federal Courts are confining these persons to government without consent</w:t>
      </w:r>
      <w:r w:rsidR="00A90E8B" w:rsidRPr="00681D2A">
        <w:rPr>
          <w:rFonts w:ascii="Cambria" w:hAnsi="Cambria"/>
          <w:sz w:val="20"/>
          <w:szCs w:val="20"/>
        </w:rPr>
        <w:t xml:space="preserve"> and</w:t>
      </w:r>
      <w:r w:rsidRPr="00681D2A">
        <w:rPr>
          <w:rFonts w:ascii="Cambria" w:hAnsi="Cambria"/>
          <w:sz w:val="20"/>
          <w:szCs w:val="20"/>
        </w:rPr>
        <w:t xml:space="preserve"> to a state of servitude by dis</w:t>
      </w:r>
      <w:r w:rsidR="00A90E8B" w:rsidRPr="00681D2A">
        <w:rPr>
          <w:rFonts w:ascii="Cambria" w:hAnsi="Cambria"/>
          <w:sz w:val="20"/>
          <w:szCs w:val="20"/>
        </w:rPr>
        <w:t>en</w:t>
      </w:r>
      <w:r w:rsidRPr="00681D2A">
        <w:rPr>
          <w:rFonts w:ascii="Cambria" w:hAnsi="Cambria"/>
          <w:sz w:val="20"/>
          <w:szCs w:val="20"/>
        </w:rPr>
        <w:t xml:space="preserve">franchisement. </w:t>
      </w:r>
      <w:r w:rsidR="00C80DB4" w:rsidRPr="00681D2A">
        <w:rPr>
          <w:rFonts w:ascii="Cambria" w:hAnsi="Cambria"/>
          <w:sz w:val="20"/>
          <w:szCs w:val="20"/>
        </w:rPr>
        <w:t xml:space="preserve"> They assert that Federal Courts are adhering to the procedural element of the presidential election, the electors requirement, in order to deny their right to vote, thus ignoring the substantive element, </w:t>
      </w:r>
      <w:r w:rsidR="001A03EE" w:rsidRPr="00681D2A">
        <w:rPr>
          <w:rFonts w:ascii="Cambria" w:hAnsi="Cambria"/>
          <w:sz w:val="20"/>
          <w:szCs w:val="20"/>
        </w:rPr>
        <w:t>the right to vote which flows to the people through U.S. citizenship. They allege that the right to vote in U.S. presidential elections has evolved since the adoption of the U.S. Constitution by amendments, legislation, jurisprudence and treaty law, and claim that their right to vote in presidential elections should be determined by their citizenship</w:t>
      </w:r>
      <w:r w:rsidR="002535A7" w:rsidRPr="00681D2A">
        <w:rPr>
          <w:rFonts w:ascii="Cambria" w:hAnsi="Cambria"/>
          <w:sz w:val="20"/>
          <w:szCs w:val="20"/>
        </w:rPr>
        <w:t xml:space="preserve"> and not statehood</w:t>
      </w:r>
      <w:r w:rsidR="001A03EE" w:rsidRPr="00681D2A">
        <w:rPr>
          <w:rFonts w:ascii="Cambria" w:hAnsi="Cambria"/>
          <w:sz w:val="20"/>
          <w:szCs w:val="20"/>
        </w:rPr>
        <w:t xml:space="preserve">.  They submit, however, that Federal </w:t>
      </w:r>
      <w:r w:rsidR="001A03EE" w:rsidRPr="00681D2A">
        <w:rPr>
          <w:rFonts w:ascii="Cambria" w:hAnsi="Cambria"/>
          <w:sz w:val="20"/>
          <w:szCs w:val="20"/>
        </w:rPr>
        <w:lastRenderedPageBreak/>
        <w:t>Courts have ignored U.S. treaty obligations, which have been labeled as mere aspirational instruments, and that the State</w:t>
      </w:r>
      <w:r w:rsidR="00CE4128" w:rsidRPr="00681D2A">
        <w:rPr>
          <w:rFonts w:ascii="Cambria" w:hAnsi="Cambria"/>
          <w:sz w:val="20"/>
          <w:szCs w:val="20"/>
        </w:rPr>
        <w:t>’</w:t>
      </w:r>
      <w:r w:rsidR="001A03EE" w:rsidRPr="00681D2A">
        <w:rPr>
          <w:rFonts w:ascii="Cambria" w:hAnsi="Cambria"/>
          <w:sz w:val="20"/>
          <w:szCs w:val="20"/>
        </w:rPr>
        <w:t>s lack of compliance with its international obligations is at issue in the present petition.</w:t>
      </w:r>
    </w:p>
    <w:p w14:paraId="6C7980D8" w14:textId="0B97AF5A" w:rsidR="001A03EE" w:rsidRPr="00681D2A" w:rsidRDefault="001A03EE" w:rsidP="00603B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1D2A">
        <w:rPr>
          <w:rFonts w:ascii="Cambria" w:hAnsi="Cambria"/>
          <w:sz w:val="20"/>
          <w:szCs w:val="20"/>
        </w:rPr>
        <w:t xml:space="preserve">Moreover the petitioners assert that contradictory, and/or conflicting opinions by Federal Courts are also affecting their request for relief in their claim for voting rights.  In this regard, they submit that </w:t>
      </w:r>
      <w:r w:rsidR="002802E4" w:rsidRPr="00681D2A">
        <w:rPr>
          <w:rFonts w:ascii="Cambria" w:hAnsi="Cambria"/>
          <w:sz w:val="20"/>
          <w:szCs w:val="20"/>
        </w:rPr>
        <w:t xml:space="preserve">for some purposes, the U.S. Constitution is applied by the Federal Courts </w:t>
      </w:r>
      <w:r w:rsidR="00AC7DFE" w:rsidRPr="00681D2A">
        <w:rPr>
          <w:rFonts w:ascii="Cambria" w:hAnsi="Cambria"/>
          <w:sz w:val="20"/>
          <w:szCs w:val="20"/>
        </w:rPr>
        <w:t xml:space="preserve">to American citizens residing in Puerto Rico </w:t>
      </w:r>
      <w:r w:rsidR="002802E4" w:rsidRPr="00681D2A">
        <w:rPr>
          <w:rFonts w:ascii="Cambria" w:hAnsi="Cambria"/>
          <w:sz w:val="20"/>
          <w:szCs w:val="20"/>
        </w:rPr>
        <w:t xml:space="preserve">without considering any need for constitutional amendment, Congressional Legislation or without the requirement that Puerto Rico become a state, and different treatment is given in other cases, including those dealing with fundamental rights. </w:t>
      </w:r>
    </w:p>
    <w:p w14:paraId="367D3233" w14:textId="34C3BEEB" w:rsidR="009C1518" w:rsidRDefault="0062585D" w:rsidP="009C15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66AF0">
        <w:rPr>
          <w:rFonts w:ascii="Cambria" w:hAnsi="Cambria"/>
          <w:sz w:val="20"/>
          <w:szCs w:val="20"/>
        </w:rPr>
        <w:t xml:space="preserve">The State </w:t>
      </w:r>
      <w:r w:rsidR="00FC49E7" w:rsidRPr="00566AF0">
        <w:rPr>
          <w:rFonts w:ascii="Cambria" w:hAnsi="Cambria"/>
          <w:sz w:val="20"/>
          <w:szCs w:val="20"/>
        </w:rPr>
        <w:t>acknowledges that</w:t>
      </w:r>
      <w:r w:rsidR="00096357" w:rsidRPr="00566AF0">
        <w:rPr>
          <w:rFonts w:ascii="Cambria" w:hAnsi="Cambria"/>
          <w:sz w:val="20"/>
          <w:szCs w:val="20"/>
        </w:rPr>
        <w:t xml:space="preserve"> </w:t>
      </w:r>
      <w:r w:rsidR="00BB346F" w:rsidRPr="00566AF0">
        <w:rPr>
          <w:rFonts w:ascii="Cambria" w:hAnsi="Cambria"/>
          <w:sz w:val="20"/>
          <w:szCs w:val="20"/>
        </w:rPr>
        <w:t xml:space="preserve">American citizens residing </w:t>
      </w:r>
      <w:r w:rsidR="00CE4128">
        <w:rPr>
          <w:rFonts w:ascii="Cambria" w:hAnsi="Cambria"/>
          <w:sz w:val="20"/>
          <w:szCs w:val="20"/>
        </w:rPr>
        <w:t xml:space="preserve">in </w:t>
      </w:r>
      <w:r w:rsidR="00BB346F" w:rsidRPr="00566AF0">
        <w:rPr>
          <w:rFonts w:ascii="Cambria" w:hAnsi="Cambria"/>
          <w:sz w:val="20"/>
          <w:szCs w:val="20"/>
        </w:rPr>
        <w:t xml:space="preserve">Puerto Rico cannot vote in U.S. presidential elections since the U.S. Constitution only affords this right to citizens residing in states </w:t>
      </w:r>
      <w:r w:rsidR="00FE33B4" w:rsidRPr="00566AF0">
        <w:rPr>
          <w:rFonts w:ascii="Cambria" w:hAnsi="Cambria"/>
          <w:sz w:val="20"/>
          <w:szCs w:val="20"/>
        </w:rPr>
        <w:t>and</w:t>
      </w:r>
      <w:r w:rsidR="00BB346F" w:rsidRPr="00566AF0">
        <w:rPr>
          <w:rFonts w:ascii="Cambria" w:hAnsi="Cambria"/>
          <w:sz w:val="20"/>
          <w:szCs w:val="20"/>
        </w:rPr>
        <w:t xml:space="preserve"> in the District of Columbia.  </w:t>
      </w:r>
      <w:r w:rsidR="006A06F4" w:rsidRPr="00566AF0">
        <w:rPr>
          <w:rFonts w:ascii="Cambria" w:hAnsi="Cambria"/>
          <w:sz w:val="20"/>
          <w:szCs w:val="20"/>
        </w:rPr>
        <w:t>It claims, however,</w:t>
      </w:r>
      <w:r w:rsidR="00566AF0">
        <w:rPr>
          <w:rFonts w:ascii="Cambria" w:hAnsi="Cambria"/>
          <w:sz w:val="20"/>
          <w:szCs w:val="20"/>
        </w:rPr>
        <w:t xml:space="preserve"> that </w:t>
      </w:r>
      <w:r w:rsidR="009C1518">
        <w:rPr>
          <w:rFonts w:ascii="Cambria" w:hAnsi="Cambria"/>
          <w:sz w:val="20"/>
          <w:szCs w:val="20"/>
        </w:rPr>
        <w:t xml:space="preserve">this does not constitute a violation of the American Declaration since </w:t>
      </w:r>
      <w:r w:rsidR="00566AF0">
        <w:rPr>
          <w:rFonts w:ascii="Cambria" w:hAnsi="Cambria"/>
          <w:sz w:val="20"/>
          <w:szCs w:val="20"/>
        </w:rPr>
        <w:t>the facts alleged by the petitioners do not</w:t>
      </w:r>
      <w:r w:rsidR="00566AF0" w:rsidRPr="00566AF0">
        <w:rPr>
          <w:rFonts w:ascii="Cambria" w:hAnsi="Cambria"/>
          <w:sz w:val="20"/>
          <w:szCs w:val="20"/>
        </w:rPr>
        <w:t xml:space="preserve"> establish any discrimination against specific individuals </w:t>
      </w:r>
      <w:r w:rsidR="00566AF0">
        <w:rPr>
          <w:rFonts w:ascii="Cambria" w:hAnsi="Cambria"/>
          <w:sz w:val="20"/>
          <w:szCs w:val="20"/>
        </w:rPr>
        <w:t>or</w:t>
      </w:r>
      <w:r w:rsidR="00566AF0" w:rsidRPr="00566AF0">
        <w:rPr>
          <w:rFonts w:ascii="Cambria" w:hAnsi="Cambria"/>
          <w:sz w:val="20"/>
          <w:szCs w:val="20"/>
        </w:rPr>
        <w:t xml:space="preserve"> any inappropriate denial of the rights to vot</w:t>
      </w:r>
      <w:r w:rsidR="00566AF0">
        <w:rPr>
          <w:rFonts w:ascii="Cambria" w:hAnsi="Cambria"/>
          <w:sz w:val="20"/>
          <w:szCs w:val="20"/>
        </w:rPr>
        <w:t>e or participate in government.</w:t>
      </w:r>
      <w:r w:rsidR="006A06F4" w:rsidRPr="00566AF0">
        <w:rPr>
          <w:rFonts w:ascii="Cambria" w:hAnsi="Cambria"/>
          <w:sz w:val="20"/>
          <w:szCs w:val="20"/>
        </w:rPr>
        <w:t xml:space="preserve"> </w:t>
      </w:r>
      <w:r w:rsidR="00566AF0">
        <w:rPr>
          <w:rFonts w:ascii="Cambria" w:hAnsi="Cambria"/>
          <w:sz w:val="20"/>
          <w:szCs w:val="20"/>
        </w:rPr>
        <w:t xml:space="preserve"> </w:t>
      </w:r>
    </w:p>
    <w:p w14:paraId="5A1470BE" w14:textId="77777777" w:rsidR="003269A0" w:rsidRDefault="00CF39CC" w:rsidP="009124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C64C0">
        <w:rPr>
          <w:rFonts w:ascii="Cambria" w:hAnsi="Cambria"/>
          <w:sz w:val="20"/>
          <w:szCs w:val="20"/>
        </w:rPr>
        <w:t>With regard to the alleged discriminatory restriction of voting rights, the</w:t>
      </w:r>
      <w:r w:rsidR="006A06F4" w:rsidRPr="009C64C0">
        <w:rPr>
          <w:rFonts w:ascii="Cambria" w:hAnsi="Cambria"/>
          <w:sz w:val="20"/>
          <w:szCs w:val="20"/>
        </w:rPr>
        <w:t xml:space="preserve"> State submits that the right to equal treatment before the law means that the law may not treat similarly situated persons differently</w:t>
      </w:r>
      <w:r w:rsidR="00566AF0" w:rsidRPr="009C64C0">
        <w:rPr>
          <w:rFonts w:ascii="Cambria" w:hAnsi="Cambria"/>
          <w:sz w:val="20"/>
          <w:szCs w:val="20"/>
        </w:rPr>
        <w:t xml:space="preserve"> and claims that </w:t>
      </w:r>
      <w:r w:rsidR="006A06F4" w:rsidRPr="009C64C0">
        <w:rPr>
          <w:rFonts w:ascii="Cambria" w:hAnsi="Cambria"/>
          <w:sz w:val="20"/>
          <w:szCs w:val="20"/>
        </w:rPr>
        <w:t xml:space="preserve">American citizens residing Puerto Rico </w:t>
      </w:r>
      <w:r w:rsidR="00566AF0" w:rsidRPr="009C64C0">
        <w:rPr>
          <w:rFonts w:ascii="Cambria" w:hAnsi="Cambria"/>
          <w:sz w:val="20"/>
          <w:szCs w:val="20"/>
        </w:rPr>
        <w:t>are not in the same situation as citizens residing in states and the District of Columbia, but rather in the same situation as citizens residing in other U.S. territories</w:t>
      </w:r>
      <w:r w:rsidR="00AA0735" w:rsidRPr="009C64C0">
        <w:rPr>
          <w:rFonts w:ascii="Cambria" w:hAnsi="Cambria"/>
          <w:sz w:val="20"/>
          <w:szCs w:val="20"/>
        </w:rPr>
        <w:t xml:space="preserve"> such as Guam and the U.S. Virgin Islands</w:t>
      </w:r>
      <w:r w:rsidR="00566AF0" w:rsidRPr="009C64C0">
        <w:rPr>
          <w:rFonts w:ascii="Cambria" w:hAnsi="Cambria"/>
          <w:sz w:val="20"/>
          <w:szCs w:val="20"/>
        </w:rPr>
        <w:t>.</w:t>
      </w:r>
      <w:r w:rsidR="006A06F4" w:rsidRPr="009C64C0">
        <w:rPr>
          <w:rFonts w:ascii="Cambria" w:hAnsi="Cambria"/>
          <w:sz w:val="20"/>
          <w:szCs w:val="20"/>
        </w:rPr>
        <w:t xml:space="preserve"> </w:t>
      </w:r>
      <w:r w:rsidR="009C1518" w:rsidRPr="009C64C0">
        <w:rPr>
          <w:rFonts w:ascii="Cambria" w:hAnsi="Cambria"/>
          <w:sz w:val="20"/>
          <w:szCs w:val="20"/>
        </w:rPr>
        <w:t xml:space="preserve"> </w:t>
      </w:r>
      <w:r w:rsidRPr="009C64C0">
        <w:rPr>
          <w:rFonts w:ascii="Cambria" w:hAnsi="Cambria"/>
          <w:sz w:val="20"/>
          <w:szCs w:val="20"/>
        </w:rPr>
        <w:t xml:space="preserve">It asserts that citizens residing in Puerto Rico are treated equally to citizens residing in other U.S. territories.  </w:t>
      </w:r>
    </w:p>
    <w:p w14:paraId="76476767" w14:textId="6C1B36D3" w:rsidR="009C64C0" w:rsidRPr="009C64C0" w:rsidRDefault="003269A0" w:rsidP="009124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w:t>
      </w:r>
      <w:r w:rsidR="006A06F4" w:rsidRPr="009C64C0">
        <w:rPr>
          <w:rFonts w:ascii="Cambria" w:hAnsi="Cambria"/>
          <w:sz w:val="20"/>
          <w:szCs w:val="20"/>
        </w:rPr>
        <w:t xml:space="preserve"> State</w:t>
      </w:r>
      <w:r>
        <w:rPr>
          <w:rFonts w:ascii="Cambria" w:hAnsi="Cambria"/>
          <w:sz w:val="20"/>
          <w:szCs w:val="20"/>
        </w:rPr>
        <w:t xml:space="preserve"> asserts that</w:t>
      </w:r>
      <w:r w:rsidR="006A06F4" w:rsidRPr="009C64C0">
        <w:rPr>
          <w:rFonts w:ascii="Cambria" w:hAnsi="Cambria"/>
          <w:sz w:val="20"/>
          <w:szCs w:val="20"/>
        </w:rPr>
        <w:t xml:space="preserve"> </w:t>
      </w:r>
      <w:r w:rsidR="00BB346F" w:rsidRPr="009C64C0">
        <w:rPr>
          <w:rFonts w:ascii="Cambria" w:hAnsi="Cambria"/>
          <w:sz w:val="20"/>
          <w:szCs w:val="20"/>
        </w:rPr>
        <w:t xml:space="preserve">the difference in voting rights of these two groups is not based on race, sex, language, creed or any other </w:t>
      </w:r>
      <w:r w:rsidR="00FE33B4" w:rsidRPr="009C64C0">
        <w:rPr>
          <w:rFonts w:ascii="Cambria" w:hAnsi="Cambria"/>
          <w:sz w:val="20"/>
          <w:szCs w:val="20"/>
        </w:rPr>
        <w:t>invidious</w:t>
      </w:r>
      <w:r w:rsidR="00BB346F" w:rsidRPr="009C64C0">
        <w:rPr>
          <w:rFonts w:ascii="Cambria" w:hAnsi="Cambria"/>
          <w:sz w:val="20"/>
          <w:szCs w:val="20"/>
        </w:rPr>
        <w:t xml:space="preserve"> distinction </w:t>
      </w:r>
      <w:r w:rsidR="00FE33B4" w:rsidRPr="009C64C0">
        <w:rPr>
          <w:rFonts w:ascii="Cambria" w:hAnsi="Cambria"/>
          <w:sz w:val="20"/>
          <w:szCs w:val="20"/>
        </w:rPr>
        <w:t xml:space="preserve">barred by Article II of the American Declaration, but rather on the very nature of statehood under the U.S. Constitution. </w:t>
      </w:r>
      <w:r w:rsidR="009C64C0">
        <w:rPr>
          <w:rFonts w:ascii="Cambria" w:hAnsi="Cambria"/>
          <w:sz w:val="20"/>
          <w:szCs w:val="20"/>
        </w:rPr>
        <w:t xml:space="preserve"> </w:t>
      </w:r>
      <w:r w:rsidR="00FE33B4" w:rsidRPr="009C64C0">
        <w:rPr>
          <w:rFonts w:ascii="Cambria" w:hAnsi="Cambria"/>
          <w:sz w:val="20"/>
          <w:szCs w:val="20"/>
        </w:rPr>
        <w:t xml:space="preserve">It submits that through the Constitution, the people of the United States created a federal union, and provided for the structured distribution of political power among states in the union.  Within that structure, states that elected to join the union gave up a portion of their sovereignty, took on certain responsibilities and obligations, and at the same time acquired certain rights, for themselves or their citizens, including the rights to choose the President, Vice President, and members of Congress. </w:t>
      </w:r>
      <w:r w:rsidR="009537D8" w:rsidRPr="009C64C0">
        <w:rPr>
          <w:rFonts w:ascii="Cambria" w:hAnsi="Cambria"/>
          <w:sz w:val="20"/>
          <w:szCs w:val="20"/>
        </w:rPr>
        <w:t xml:space="preserve"> Citizens residing in Puerto Rico </w:t>
      </w:r>
      <w:r w:rsidR="008702C6" w:rsidRPr="009C64C0">
        <w:rPr>
          <w:rFonts w:ascii="Cambria" w:hAnsi="Cambria"/>
          <w:sz w:val="20"/>
          <w:szCs w:val="20"/>
        </w:rPr>
        <w:t xml:space="preserve">cannot participate in U.S. presidential elections, but they can </w:t>
      </w:r>
      <w:r w:rsidR="009537D8" w:rsidRPr="009C64C0">
        <w:rPr>
          <w:rFonts w:ascii="Cambria" w:hAnsi="Cambria"/>
          <w:sz w:val="20"/>
          <w:szCs w:val="20"/>
        </w:rPr>
        <w:t xml:space="preserve">elect their own Governor and legislature and the Commonwealth government exercises a range of autonomous authority similar to that of the state.  As all states, Puerto Rico has its own local court system and a Federal District Court.  They are also represented in the United States House of Representatives by a Resident Commissioner.  </w:t>
      </w:r>
      <w:r w:rsidR="008702C6" w:rsidRPr="009C64C0">
        <w:rPr>
          <w:rFonts w:ascii="Cambria" w:hAnsi="Cambria"/>
          <w:sz w:val="20"/>
          <w:szCs w:val="20"/>
        </w:rPr>
        <w:t>R</w:t>
      </w:r>
      <w:r w:rsidR="009537D8" w:rsidRPr="009C64C0">
        <w:rPr>
          <w:rFonts w:ascii="Cambria" w:hAnsi="Cambria"/>
          <w:sz w:val="20"/>
          <w:szCs w:val="20"/>
        </w:rPr>
        <w:t>esidents of Puerto Rico enjoy the freedom to move inside the United States with no restrictions and they automatically gain the right to vote in U.S. presidential elections if they take up residence in any of the states or the District of Columbia.</w:t>
      </w:r>
      <w:r w:rsidR="009C64C0" w:rsidRPr="009C64C0">
        <w:rPr>
          <w:rFonts w:ascii="Cambria" w:hAnsi="Cambria"/>
          <w:sz w:val="20"/>
          <w:szCs w:val="20"/>
        </w:rPr>
        <w:t xml:space="preserve">  </w:t>
      </w:r>
    </w:p>
    <w:p w14:paraId="1A76CDEB" w14:textId="2C56D2E7" w:rsidR="0091249C" w:rsidRPr="009C64C0" w:rsidRDefault="001C0D96" w:rsidP="009124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C64C0">
        <w:rPr>
          <w:rFonts w:ascii="Cambria" w:hAnsi="Cambria"/>
          <w:sz w:val="20"/>
          <w:szCs w:val="20"/>
        </w:rPr>
        <w:t>With regard to the alleged infringement of voting rights, the S</w:t>
      </w:r>
      <w:r w:rsidR="00817A39" w:rsidRPr="009C64C0">
        <w:rPr>
          <w:rFonts w:ascii="Cambria" w:hAnsi="Cambria"/>
          <w:sz w:val="20"/>
          <w:szCs w:val="20"/>
        </w:rPr>
        <w:t>tate submits that the system adopted by the U.S. Constitution</w:t>
      </w:r>
      <w:r w:rsidR="0091249C" w:rsidRPr="009C64C0">
        <w:rPr>
          <w:rFonts w:ascii="Cambria" w:hAnsi="Cambria"/>
          <w:sz w:val="20"/>
          <w:szCs w:val="20"/>
        </w:rPr>
        <w:t xml:space="preserve"> </w:t>
      </w:r>
      <w:r w:rsidR="00817A39" w:rsidRPr="009C64C0">
        <w:rPr>
          <w:rFonts w:ascii="Cambria" w:hAnsi="Cambria"/>
          <w:sz w:val="20"/>
          <w:szCs w:val="20"/>
        </w:rPr>
        <w:t xml:space="preserve">is not inconsistent with </w:t>
      </w:r>
      <w:r w:rsidR="003260D3" w:rsidRPr="009C64C0">
        <w:rPr>
          <w:rFonts w:ascii="Cambria" w:hAnsi="Cambria"/>
          <w:sz w:val="20"/>
          <w:szCs w:val="20"/>
        </w:rPr>
        <w:t>Article XX of the American Declaration</w:t>
      </w:r>
      <w:r w:rsidR="00817A39" w:rsidRPr="009C64C0">
        <w:rPr>
          <w:rFonts w:ascii="Cambria" w:hAnsi="Cambria"/>
          <w:sz w:val="20"/>
          <w:szCs w:val="20"/>
        </w:rPr>
        <w:t>.</w:t>
      </w:r>
      <w:r w:rsidR="0091249C" w:rsidRPr="009C64C0">
        <w:rPr>
          <w:rFonts w:ascii="Cambria" w:hAnsi="Cambria"/>
          <w:sz w:val="20"/>
          <w:szCs w:val="20"/>
        </w:rPr>
        <w:t xml:space="preserve">  In this regard, it claims that this article provides for the right to take part in the governance of one’s country and to vote in popular elections, which shall be by secret ballot, honest, periodic, and free, but neither it nor any other provision of the American Declaration or the Inter-American Democratic Charter dictates the exact modalities of such participation.</w:t>
      </w:r>
    </w:p>
    <w:p w14:paraId="7BC2D084" w14:textId="62CEC23D" w:rsidR="00C20614" w:rsidRDefault="00C20614" w:rsidP="009124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20614">
        <w:rPr>
          <w:rFonts w:ascii="Cambria" w:hAnsi="Cambria"/>
          <w:sz w:val="20"/>
          <w:szCs w:val="20"/>
        </w:rPr>
        <w:t>The State submits that there is nothing unreasonable or discriminatory in its constitutional structure and that American citizens residing in Puerto Rico have accepted this system by voting to reject statehood and independence on three separate occasions.  Moreover, it claims that all of the petitioners’ claims have been litigated and rejected in domestic courts.</w:t>
      </w:r>
    </w:p>
    <w:p w14:paraId="5004D0C8" w14:textId="4CFD6988" w:rsidR="004E3757" w:rsidRPr="00681D2A" w:rsidRDefault="004E3757" w:rsidP="009124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1D2A">
        <w:rPr>
          <w:rFonts w:ascii="Cambria" w:hAnsi="Cambria"/>
          <w:sz w:val="20"/>
          <w:szCs w:val="20"/>
        </w:rPr>
        <w:t>Fin</w:t>
      </w:r>
      <w:r w:rsidR="001013E8" w:rsidRPr="00681D2A">
        <w:rPr>
          <w:rFonts w:ascii="Cambria" w:hAnsi="Cambria"/>
          <w:sz w:val="20"/>
          <w:szCs w:val="20"/>
        </w:rPr>
        <w:t xml:space="preserve">ally, the State notes that the present petition is similar to petition P-1105-06 in the sense that both petitions claim that U.S. citizens residing in Puerto Rico do not enjoy the same rights to vote in U.S. national elections as U.S. citizens residing </w:t>
      </w:r>
      <w:r w:rsidR="00044EA1" w:rsidRPr="00681D2A">
        <w:rPr>
          <w:rFonts w:ascii="Cambria" w:hAnsi="Cambria"/>
          <w:sz w:val="20"/>
          <w:szCs w:val="20"/>
        </w:rPr>
        <w:t xml:space="preserve">in the fifty states.  It notes however, that the present petition raises this matter with regard to U.S. presidential elections while petition P-1105-06 raises it with regard to presidential and congressional elections. </w:t>
      </w:r>
    </w:p>
    <w:p w14:paraId="55505107" w14:textId="028A8F86" w:rsidR="00F621C3" w:rsidRDefault="00612068" w:rsidP="0055485F">
      <w:pPr>
        <w:ind w:firstLine="720"/>
        <w:rPr>
          <w:rFonts w:asciiTheme="majorHAnsi" w:eastAsia="Cambria" w:hAnsiTheme="majorHAnsi" w:cs="Cambria"/>
          <w:b/>
          <w:bCs/>
          <w:color w:val="000000"/>
          <w:sz w:val="20"/>
          <w:szCs w:val="20"/>
          <w:u w:color="000000"/>
          <w:lang w:eastAsia="es-ES"/>
        </w:rPr>
      </w:pPr>
      <w:r>
        <w:rPr>
          <w:rFonts w:asciiTheme="majorHAnsi" w:eastAsia="Cambria" w:hAnsiTheme="majorHAnsi" w:cs="Cambria"/>
          <w:b/>
          <w:bCs/>
          <w:color w:val="000000"/>
          <w:sz w:val="20"/>
          <w:szCs w:val="20"/>
          <w:u w:color="000000"/>
          <w:lang w:eastAsia="es-ES"/>
        </w:rPr>
        <w:br w:type="page"/>
      </w:r>
      <w:r w:rsidR="00F621C3" w:rsidRPr="000B6B7A">
        <w:rPr>
          <w:rFonts w:asciiTheme="majorHAnsi" w:eastAsia="Cambria" w:hAnsiTheme="majorHAnsi" w:cs="Cambria"/>
          <w:b/>
          <w:bCs/>
          <w:color w:val="000000"/>
          <w:sz w:val="20"/>
          <w:szCs w:val="20"/>
          <w:u w:color="000000"/>
          <w:lang w:eastAsia="es-ES"/>
        </w:rPr>
        <w:lastRenderedPageBreak/>
        <w:t>VI.</w:t>
      </w:r>
      <w:r w:rsidR="00F621C3" w:rsidRPr="000B6B7A">
        <w:rPr>
          <w:rFonts w:asciiTheme="majorHAnsi" w:eastAsia="Cambria" w:hAnsiTheme="majorHAnsi" w:cs="Cambria"/>
          <w:b/>
          <w:bCs/>
          <w:color w:val="000000"/>
          <w:sz w:val="20"/>
          <w:szCs w:val="20"/>
          <w:u w:color="000000"/>
          <w:lang w:eastAsia="es-ES"/>
        </w:rPr>
        <w:tab/>
      </w:r>
      <w:r w:rsidR="00F621C3" w:rsidRPr="000B6B7A">
        <w:rPr>
          <w:rFonts w:asciiTheme="majorHAnsi" w:hAnsiTheme="majorHAnsi"/>
          <w:b/>
          <w:sz w:val="20"/>
          <w:szCs w:val="20"/>
        </w:rPr>
        <w:t>EXHAUSTION OF DOMESTIC REMEDIES AND TIMELINESS OF THE PETITION</w:t>
      </w:r>
      <w:r w:rsidR="00F621C3" w:rsidRPr="000B6B7A">
        <w:rPr>
          <w:rFonts w:asciiTheme="majorHAnsi" w:eastAsia="Cambria" w:hAnsiTheme="majorHAnsi" w:cs="Cambria"/>
          <w:b/>
          <w:bCs/>
          <w:color w:val="000000"/>
          <w:sz w:val="20"/>
          <w:szCs w:val="20"/>
          <w:u w:color="000000"/>
          <w:lang w:eastAsia="es-ES"/>
        </w:rPr>
        <w:t xml:space="preserve"> </w:t>
      </w:r>
    </w:p>
    <w:p w14:paraId="18B0AE0C" w14:textId="77777777" w:rsidR="0055485F" w:rsidRPr="000B6B7A" w:rsidRDefault="0055485F" w:rsidP="0055485F">
      <w:pPr>
        <w:ind w:firstLine="720"/>
        <w:rPr>
          <w:rFonts w:ascii="Cambria" w:hAnsi="Cambria"/>
          <w:sz w:val="20"/>
          <w:szCs w:val="20"/>
        </w:rPr>
      </w:pPr>
    </w:p>
    <w:p w14:paraId="6F66F601" w14:textId="00BBDB2E" w:rsidR="00D47067" w:rsidRPr="00681D2A" w:rsidRDefault="00D4706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1D2A">
        <w:rPr>
          <w:rFonts w:ascii="Cambria" w:hAnsi="Cambria"/>
          <w:sz w:val="20"/>
          <w:szCs w:val="20"/>
        </w:rPr>
        <w:t xml:space="preserve">The petitioners submit that </w:t>
      </w:r>
      <w:r w:rsidR="00AC368E" w:rsidRPr="00681D2A">
        <w:rPr>
          <w:rFonts w:ascii="Cambria" w:hAnsi="Cambria"/>
          <w:sz w:val="20"/>
          <w:szCs w:val="20"/>
        </w:rPr>
        <w:t>after the dismissal of their original complaint,</w:t>
      </w:r>
      <w:r w:rsidR="004F30CB" w:rsidRPr="00681D2A">
        <w:rPr>
          <w:rFonts w:ascii="Cambria" w:hAnsi="Cambria"/>
          <w:sz w:val="20"/>
          <w:szCs w:val="20"/>
        </w:rPr>
        <w:t xml:space="preserve"> Igartúa I, </w:t>
      </w:r>
      <w:r w:rsidR="00181B7E" w:rsidRPr="00681D2A">
        <w:rPr>
          <w:rFonts w:ascii="Cambria" w:hAnsi="Cambria"/>
          <w:sz w:val="20"/>
          <w:szCs w:val="20"/>
        </w:rPr>
        <w:t xml:space="preserve">a new complaint </w:t>
      </w:r>
      <w:r w:rsidR="00AC368E" w:rsidRPr="00681D2A">
        <w:rPr>
          <w:rFonts w:ascii="Cambria" w:hAnsi="Cambria"/>
          <w:sz w:val="20"/>
          <w:szCs w:val="20"/>
        </w:rPr>
        <w:t xml:space="preserve">was filed </w:t>
      </w:r>
      <w:r w:rsidR="00181B7E" w:rsidRPr="00681D2A">
        <w:rPr>
          <w:rFonts w:ascii="Cambria" w:hAnsi="Cambria"/>
          <w:sz w:val="20"/>
          <w:szCs w:val="20"/>
        </w:rPr>
        <w:t xml:space="preserve">in 2000 and the District Court ruled in </w:t>
      </w:r>
      <w:r w:rsidR="00AC368E" w:rsidRPr="00681D2A">
        <w:rPr>
          <w:rFonts w:ascii="Cambria" w:hAnsi="Cambria"/>
          <w:sz w:val="20"/>
          <w:szCs w:val="20"/>
        </w:rPr>
        <w:t>their</w:t>
      </w:r>
      <w:r w:rsidR="00181B7E" w:rsidRPr="00681D2A">
        <w:rPr>
          <w:rFonts w:ascii="Cambria" w:hAnsi="Cambria"/>
          <w:sz w:val="20"/>
          <w:szCs w:val="20"/>
        </w:rPr>
        <w:t xml:space="preserve"> favor in light of decisions rendered by the U.S. Supreme Court subsequent to the dismissal of Iguartúa I. </w:t>
      </w:r>
      <w:r w:rsidR="00A46F20" w:rsidRPr="00681D2A">
        <w:rPr>
          <w:rFonts w:ascii="Cambria" w:hAnsi="Cambria"/>
          <w:sz w:val="20"/>
          <w:szCs w:val="20"/>
        </w:rPr>
        <w:t xml:space="preserve"> </w:t>
      </w:r>
      <w:r w:rsidR="00AC368E" w:rsidRPr="00681D2A">
        <w:rPr>
          <w:rFonts w:ascii="Cambria" w:hAnsi="Cambria"/>
          <w:sz w:val="20"/>
          <w:szCs w:val="20"/>
        </w:rPr>
        <w:t xml:space="preserve">They claim, however, that </w:t>
      </w:r>
      <w:r w:rsidR="00181B7E" w:rsidRPr="00681D2A">
        <w:rPr>
          <w:rFonts w:ascii="Cambria" w:hAnsi="Cambria"/>
          <w:sz w:val="20"/>
          <w:szCs w:val="20"/>
        </w:rPr>
        <w:t xml:space="preserve">this decision was later overturned by the Appeals Court on the basis of </w:t>
      </w:r>
      <w:r w:rsidR="00181B7E" w:rsidRPr="00681D2A">
        <w:rPr>
          <w:rFonts w:ascii="Cambria" w:hAnsi="Cambria"/>
          <w:i/>
          <w:sz w:val="20"/>
          <w:szCs w:val="20"/>
        </w:rPr>
        <w:t>stare decisis</w:t>
      </w:r>
      <w:r w:rsidR="00181B7E" w:rsidRPr="00681D2A">
        <w:rPr>
          <w:rFonts w:ascii="Cambria" w:hAnsi="Cambria"/>
          <w:sz w:val="20"/>
          <w:szCs w:val="20"/>
        </w:rPr>
        <w:t xml:space="preserve"> and the U.S. Supreme Court </w:t>
      </w:r>
      <w:r w:rsidR="00AC368E" w:rsidRPr="00681D2A">
        <w:rPr>
          <w:rFonts w:ascii="Cambria" w:hAnsi="Cambria"/>
          <w:sz w:val="20"/>
          <w:szCs w:val="20"/>
        </w:rPr>
        <w:t xml:space="preserve">later </w:t>
      </w:r>
      <w:r w:rsidR="00181B7E" w:rsidRPr="00681D2A">
        <w:rPr>
          <w:rFonts w:ascii="Cambria" w:hAnsi="Cambria"/>
          <w:sz w:val="20"/>
          <w:szCs w:val="20"/>
        </w:rPr>
        <w:t>dismissed the</w:t>
      </w:r>
      <w:r w:rsidR="00AC368E" w:rsidRPr="00681D2A">
        <w:rPr>
          <w:rFonts w:ascii="Cambria" w:hAnsi="Cambria"/>
          <w:sz w:val="20"/>
          <w:szCs w:val="20"/>
        </w:rPr>
        <w:t>ir</w:t>
      </w:r>
      <w:r w:rsidR="00181B7E" w:rsidRPr="00681D2A">
        <w:rPr>
          <w:rFonts w:ascii="Cambria" w:hAnsi="Cambria"/>
          <w:sz w:val="20"/>
          <w:szCs w:val="20"/>
        </w:rPr>
        <w:t xml:space="preserve"> </w:t>
      </w:r>
      <w:r w:rsidR="00181B7E" w:rsidRPr="00681D2A">
        <w:rPr>
          <w:rFonts w:ascii="Cambria" w:hAnsi="Cambria"/>
          <w:i/>
          <w:sz w:val="20"/>
          <w:szCs w:val="20"/>
        </w:rPr>
        <w:t>writ of certiorari</w:t>
      </w:r>
      <w:r w:rsidR="00181B7E" w:rsidRPr="00681D2A">
        <w:rPr>
          <w:rFonts w:ascii="Cambria" w:hAnsi="Cambria"/>
          <w:sz w:val="20"/>
          <w:szCs w:val="20"/>
        </w:rPr>
        <w:t>.</w:t>
      </w:r>
      <w:r w:rsidR="00A46F20" w:rsidRPr="00681D2A">
        <w:rPr>
          <w:rFonts w:ascii="Cambria" w:hAnsi="Cambria"/>
          <w:sz w:val="20"/>
          <w:szCs w:val="20"/>
        </w:rPr>
        <w:t xml:space="preserve">  </w:t>
      </w:r>
      <w:r w:rsidR="00681D2A" w:rsidRPr="00681D2A">
        <w:rPr>
          <w:rFonts w:ascii="Cambria" w:hAnsi="Cambria"/>
          <w:sz w:val="20"/>
          <w:szCs w:val="20"/>
        </w:rPr>
        <w:t>After</w:t>
      </w:r>
      <w:r w:rsidR="00A46F20" w:rsidRPr="00681D2A">
        <w:rPr>
          <w:rFonts w:ascii="Cambria" w:hAnsi="Cambria"/>
          <w:sz w:val="20"/>
          <w:szCs w:val="20"/>
        </w:rPr>
        <w:t xml:space="preserve"> the dismissal of </w:t>
      </w:r>
      <w:r w:rsidR="00644BDE" w:rsidRPr="00681D2A">
        <w:rPr>
          <w:rFonts w:ascii="Cambria" w:hAnsi="Cambria"/>
          <w:sz w:val="20"/>
          <w:szCs w:val="20"/>
        </w:rPr>
        <w:t>their second</w:t>
      </w:r>
      <w:r w:rsidR="00972B76" w:rsidRPr="00681D2A">
        <w:rPr>
          <w:rFonts w:ascii="Cambria" w:hAnsi="Cambria"/>
          <w:sz w:val="20"/>
          <w:szCs w:val="20"/>
        </w:rPr>
        <w:t xml:space="preserve"> complaint</w:t>
      </w:r>
      <w:r w:rsidR="00A46F20" w:rsidRPr="00681D2A">
        <w:rPr>
          <w:rFonts w:ascii="Cambria" w:hAnsi="Cambria"/>
          <w:sz w:val="20"/>
          <w:szCs w:val="20"/>
        </w:rPr>
        <w:t>, the petitioners filed a new complaint</w:t>
      </w:r>
      <w:r w:rsidR="00AC368E" w:rsidRPr="00681D2A">
        <w:rPr>
          <w:rFonts w:ascii="Cambria" w:hAnsi="Cambria"/>
          <w:sz w:val="20"/>
          <w:szCs w:val="20"/>
        </w:rPr>
        <w:t xml:space="preserve"> in 2003</w:t>
      </w:r>
      <w:r w:rsidR="00A46F20" w:rsidRPr="00681D2A">
        <w:rPr>
          <w:rFonts w:ascii="Cambria" w:hAnsi="Cambria"/>
          <w:sz w:val="20"/>
          <w:szCs w:val="20"/>
        </w:rPr>
        <w:t>, one which was rejected by the District Court</w:t>
      </w:r>
      <w:r w:rsidR="00AC368E" w:rsidRPr="00681D2A">
        <w:rPr>
          <w:rFonts w:ascii="Cambria" w:hAnsi="Cambria"/>
          <w:sz w:val="20"/>
          <w:szCs w:val="20"/>
        </w:rPr>
        <w:t>, a decision</w:t>
      </w:r>
      <w:r w:rsidR="00A46F20" w:rsidRPr="00681D2A">
        <w:rPr>
          <w:rFonts w:ascii="Cambria" w:hAnsi="Cambria"/>
          <w:sz w:val="20"/>
          <w:szCs w:val="20"/>
        </w:rPr>
        <w:t xml:space="preserve"> later confirmed by the Appeal Court </w:t>
      </w:r>
      <w:r w:rsidR="00A46F20" w:rsidRPr="00681D2A">
        <w:rPr>
          <w:rFonts w:ascii="Cambria" w:hAnsi="Cambria"/>
          <w:i/>
          <w:sz w:val="20"/>
          <w:szCs w:val="20"/>
        </w:rPr>
        <w:t>en banc</w:t>
      </w:r>
      <w:r w:rsidR="00A46F20" w:rsidRPr="00681D2A">
        <w:rPr>
          <w:rFonts w:ascii="Cambria" w:hAnsi="Cambria"/>
          <w:sz w:val="20"/>
          <w:szCs w:val="20"/>
        </w:rPr>
        <w:t xml:space="preserve"> in 2005.  </w:t>
      </w:r>
      <w:r w:rsidR="00AC368E" w:rsidRPr="00681D2A">
        <w:rPr>
          <w:rFonts w:ascii="Cambria" w:hAnsi="Cambria"/>
          <w:sz w:val="20"/>
          <w:szCs w:val="20"/>
        </w:rPr>
        <w:t xml:space="preserve">They assert that domestic remedies </w:t>
      </w:r>
      <w:r w:rsidR="00CE4128" w:rsidRPr="00681D2A">
        <w:rPr>
          <w:rFonts w:ascii="Cambria" w:hAnsi="Cambria"/>
          <w:sz w:val="20"/>
          <w:szCs w:val="20"/>
        </w:rPr>
        <w:t xml:space="preserve">were </w:t>
      </w:r>
      <w:r w:rsidR="00AC368E" w:rsidRPr="00681D2A">
        <w:rPr>
          <w:rFonts w:ascii="Cambria" w:hAnsi="Cambria"/>
          <w:sz w:val="20"/>
          <w:szCs w:val="20"/>
        </w:rPr>
        <w:t xml:space="preserve">then exhausted on </w:t>
      </w:r>
      <w:r w:rsidR="00A46F20" w:rsidRPr="00681D2A">
        <w:rPr>
          <w:rFonts w:ascii="Cambria" w:hAnsi="Cambria"/>
          <w:sz w:val="20"/>
          <w:szCs w:val="20"/>
        </w:rPr>
        <w:t>March 20, 2006,</w:t>
      </w:r>
      <w:r w:rsidR="00AC368E" w:rsidRPr="00681D2A">
        <w:rPr>
          <w:rFonts w:ascii="Cambria" w:hAnsi="Cambria"/>
          <w:sz w:val="20"/>
          <w:szCs w:val="20"/>
        </w:rPr>
        <w:t xml:space="preserve"> when</w:t>
      </w:r>
      <w:r w:rsidR="00A46F20" w:rsidRPr="00681D2A">
        <w:rPr>
          <w:rFonts w:ascii="Cambria" w:hAnsi="Cambria"/>
          <w:sz w:val="20"/>
          <w:szCs w:val="20"/>
        </w:rPr>
        <w:t xml:space="preserve"> the U.S. Supreme dismissed </w:t>
      </w:r>
      <w:r w:rsidR="00AC368E" w:rsidRPr="00681D2A">
        <w:rPr>
          <w:rFonts w:ascii="Cambria" w:hAnsi="Cambria"/>
          <w:sz w:val="20"/>
          <w:szCs w:val="20"/>
        </w:rPr>
        <w:t xml:space="preserve">their </w:t>
      </w:r>
      <w:r w:rsidR="00A46F20" w:rsidRPr="00681D2A">
        <w:rPr>
          <w:rFonts w:ascii="Cambria" w:hAnsi="Cambria"/>
          <w:i/>
          <w:sz w:val="20"/>
          <w:szCs w:val="20"/>
        </w:rPr>
        <w:t>writ of certiorari</w:t>
      </w:r>
      <w:r w:rsidR="00AC368E" w:rsidRPr="00681D2A">
        <w:rPr>
          <w:rFonts w:ascii="Cambria" w:hAnsi="Cambria"/>
          <w:sz w:val="20"/>
          <w:szCs w:val="20"/>
        </w:rPr>
        <w:t xml:space="preserve">.  The State does not challenge the petitioners’ compliance with </w:t>
      </w:r>
      <w:r w:rsidR="00CB4EA6" w:rsidRPr="00681D2A">
        <w:rPr>
          <w:rFonts w:ascii="Cambria" w:hAnsi="Cambria"/>
          <w:sz w:val="20"/>
          <w:szCs w:val="20"/>
        </w:rPr>
        <w:t>Articles</w:t>
      </w:r>
      <w:r w:rsidR="00AC368E" w:rsidRPr="00681D2A">
        <w:rPr>
          <w:rFonts w:ascii="Cambria" w:hAnsi="Cambria"/>
          <w:sz w:val="20"/>
          <w:szCs w:val="20"/>
        </w:rPr>
        <w:t xml:space="preserve"> 31.1 and 32.1 of the IACHR Rules of Procedure.  </w:t>
      </w:r>
    </w:p>
    <w:p w14:paraId="4E28DC22" w14:textId="04F2CDF6" w:rsidR="00AC368E" w:rsidRPr="00681D2A" w:rsidRDefault="00AC368E" w:rsidP="00AC36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1D2A">
        <w:rPr>
          <w:rFonts w:ascii="Cambria" w:hAnsi="Cambria"/>
          <w:sz w:val="20"/>
          <w:szCs w:val="20"/>
        </w:rPr>
        <w:t xml:space="preserve">The IACHR notes that several complaints were filed by the petitioners with the same objective but that </w:t>
      </w:r>
      <w:r w:rsidR="004F30CB" w:rsidRPr="00681D2A">
        <w:rPr>
          <w:rFonts w:ascii="Cambria" w:hAnsi="Cambria"/>
          <w:sz w:val="20"/>
          <w:szCs w:val="20"/>
        </w:rPr>
        <w:t xml:space="preserve">certain </w:t>
      </w:r>
      <w:r w:rsidRPr="00681D2A">
        <w:rPr>
          <w:rFonts w:ascii="Cambria" w:hAnsi="Cambria"/>
          <w:sz w:val="20"/>
          <w:szCs w:val="20"/>
        </w:rPr>
        <w:t xml:space="preserve">circumstances differentiate each complaint and procedure. </w:t>
      </w:r>
      <w:r w:rsidR="004F30CB" w:rsidRPr="00681D2A">
        <w:rPr>
          <w:rFonts w:ascii="Cambria" w:hAnsi="Cambria"/>
          <w:sz w:val="20"/>
          <w:szCs w:val="20"/>
        </w:rPr>
        <w:t xml:space="preserve"> </w:t>
      </w:r>
      <w:r w:rsidRPr="00681D2A">
        <w:rPr>
          <w:rFonts w:ascii="Cambria" w:hAnsi="Cambria"/>
          <w:sz w:val="20"/>
          <w:szCs w:val="20"/>
        </w:rPr>
        <w:t>In this regard, the Commission notes</w:t>
      </w:r>
      <w:r w:rsidR="004F30CB" w:rsidRPr="00681D2A">
        <w:rPr>
          <w:rFonts w:ascii="Cambria" w:hAnsi="Cambria"/>
          <w:sz w:val="20"/>
          <w:szCs w:val="20"/>
        </w:rPr>
        <w:t xml:space="preserve"> that </w:t>
      </w:r>
      <w:r w:rsidR="005256D4" w:rsidRPr="00681D2A">
        <w:rPr>
          <w:rFonts w:ascii="Cambria" w:hAnsi="Cambria"/>
          <w:sz w:val="20"/>
          <w:szCs w:val="20"/>
        </w:rPr>
        <w:t>the second complaint</w:t>
      </w:r>
      <w:r w:rsidR="004F30CB" w:rsidRPr="00681D2A">
        <w:rPr>
          <w:rFonts w:ascii="Cambria" w:hAnsi="Cambria"/>
          <w:sz w:val="20"/>
          <w:szCs w:val="20"/>
        </w:rPr>
        <w:t xml:space="preserve"> was filed </w:t>
      </w:r>
      <w:r w:rsidR="00681D2A" w:rsidRPr="00681D2A">
        <w:rPr>
          <w:rFonts w:ascii="Cambria" w:hAnsi="Cambria"/>
          <w:sz w:val="20"/>
          <w:szCs w:val="20"/>
        </w:rPr>
        <w:t>based on</w:t>
      </w:r>
      <w:r w:rsidR="004F30CB" w:rsidRPr="00681D2A">
        <w:rPr>
          <w:rFonts w:ascii="Cambria" w:hAnsi="Cambria"/>
          <w:sz w:val="20"/>
          <w:szCs w:val="20"/>
        </w:rPr>
        <w:t xml:space="preserve"> new jurisprudence and that </w:t>
      </w:r>
      <w:r w:rsidR="005256D4" w:rsidRPr="00681D2A">
        <w:rPr>
          <w:rFonts w:ascii="Cambria" w:hAnsi="Cambria"/>
          <w:sz w:val="20"/>
          <w:szCs w:val="20"/>
        </w:rPr>
        <w:t xml:space="preserve">the third complaint </w:t>
      </w:r>
      <w:r w:rsidR="004F30CB" w:rsidRPr="00681D2A">
        <w:rPr>
          <w:rFonts w:ascii="Cambria" w:hAnsi="Cambria"/>
          <w:sz w:val="20"/>
          <w:szCs w:val="20"/>
        </w:rPr>
        <w:t xml:space="preserve">was heard for the first time by the Appeals Court </w:t>
      </w:r>
      <w:r w:rsidR="004F30CB" w:rsidRPr="00681D2A">
        <w:rPr>
          <w:rFonts w:ascii="Cambria" w:hAnsi="Cambria"/>
          <w:i/>
          <w:sz w:val="20"/>
          <w:szCs w:val="20"/>
        </w:rPr>
        <w:t>en banc</w:t>
      </w:r>
      <w:r w:rsidR="004F30CB" w:rsidRPr="00681D2A">
        <w:rPr>
          <w:rFonts w:ascii="Cambria" w:hAnsi="Cambria"/>
          <w:sz w:val="20"/>
          <w:szCs w:val="20"/>
        </w:rPr>
        <w:t>.  The Commission therefore considers that each complaint was properly exhausted</w:t>
      </w:r>
      <w:r w:rsidR="009818AC" w:rsidRPr="00681D2A">
        <w:rPr>
          <w:rFonts w:ascii="Cambria" w:hAnsi="Cambria"/>
          <w:sz w:val="20"/>
          <w:szCs w:val="20"/>
        </w:rPr>
        <w:t xml:space="preserve">, </w:t>
      </w:r>
      <w:r w:rsidR="004F30CB" w:rsidRPr="00681D2A">
        <w:rPr>
          <w:rFonts w:ascii="Cambria" w:hAnsi="Cambria"/>
          <w:sz w:val="20"/>
          <w:szCs w:val="20"/>
        </w:rPr>
        <w:t>that the petitioners exhausted domestic remedies on March 20, 2006, and the</w:t>
      </w:r>
      <w:r w:rsidR="004D11A4" w:rsidRPr="00681D2A">
        <w:rPr>
          <w:rFonts w:ascii="Cambria" w:hAnsi="Cambria"/>
          <w:sz w:val="20"/>
          <w:szCs w:val="20"/>
        </w:rPr>
        <w:t>n</w:t>
      </w:r>
      <w:r w:rsidR="004F30CB" w:rsidRPr="00681D2A">
        <w:rPr>
          <w:rFonts w:ascii="Cambria" w:hAnsi="Cambria"/>
          <w:sz w:val="20"/>
          <w:szCs w:val="20"/>
        </w:rPr>
        <w:t xml:space="preserve"> filed their petition in a timely manner on July 27</w:t>
      </w:r>
      <w:r w:rsidR="00CB4EA6" w:rsidRPr="00681D2A">
        <w:rPr>
          <w:rFonts w:ascii="Cambria" w:hAnsi="Cambria"/>
          <w:sz w:val="20"/>
          <w:szCs w:val="20"/>
        </w:rPr>
        <w:t>, 2006</w:t>
      </w:r>
      <w:r w:rsidR="009818AC" w:rsidRPr="00681D2A">
        <w:rPr>
          <w:rFonts w:ascii="Cambria" w:hAnsi="Cambria"/>
          <w:sz w:val="20"/>
          <w:szCs w:val="20"/>
        </w:rPr>
        <w:t>,</w:t>
      </w:r>
      <w:r w:rsidR="00CB4EA6" w:rsidRPr="00681D2A">
        <w:rPr>
          <w:rFonts w:ascii="Cambria" w:hAnsi="Cambria"/>
          <w:sz w:val="20"/>
          <w:szCs w:val="20"/>
        </w:rPr>
        <w:t xml:space="preserve"> thus satisfying the requirements set forth in Articles 31.1 and 32.1 of the IACHR Rules of Procedure.</w:t>
      </w:r>
    </w:p>
    <w:p w14:paraId="6A213A9F" w14:textId="29C1E7AC" w:rsidR="00CE4128" w:rsidRPr="00681D2A" w:rsidRDefault="00CE4128" w:rsidP="00AC36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81D2A">
        <w:rPr>
          <w:rFonts w:ascii="Cambria" w:hAnsi="Cambria"/>
          <w:sz w:val="20"/>
          <w:szCs w:val="20"/>
        </w:rPr>
        <w:t xml:space="preserve">With respect to Article 33 of the IACHR Rules, which specifies that the Commission will not admit a petition that essentially duplicates one that is pending or already decided by it or by another international governmental organization of which the State concerned is a member, the Commission notes that it admitted the Case of Rosello et al., P-1105-06, on January 27, 2017.  That case, as the State indicated, presents claims concerning the inability of </w:t>
      </w:r>
      <w:r w:rsidR="0039590E" w:rsidRPr="00681D2A">
        <w:rPr>
          <w:rFonts w:ascii="Cambria" w:hAnsi="Cambria"/>
          <w:sz w:val="20"/>
          <w:szCs w:val="20"/>
        </w:rPr>
        <w:t xml:space="preserve">American citizens residing in </w:t>
      </w:r>
      <w:r w:rsidRPr="00681D2A">
        <w:rPr>
          <w:rFonts w:ascii="Cambria" w:hAnsi="Cambria"/>
          <w:sz w:val="20"/>
          <w:szCs w:val="20"/>
        </w:rPr>
        <w:t>Puerto Ric</w:t>
      </w:r>
      <w:r w:rsidR="0039590E" w:rsidRPr="00681D2A">
        <w:rPr>
          <w:rFonts w:ascii="Cambria" w:hAnsi="Cambria"/>
          <w:sz w:val="20"/>
          <w:szCs w:val="20"/>
        </w:rPr>
        <w:t>o</w:t>
      </w:r>
      <w:r w:rsidRPr="00681D2A">
        <w:rPr>
          <w:rFonts w:ascii="Cambria" w:hAnsi="Cambria"/>
          <w:sz w:val="20"/>
          <w:szCs w:val="20"/>
        </w:rPr>
        <w:t xml:space="preserve"> to vote in federal elections for congress and the presidency.  In contrast, the petition presented by Mr. Igartúa focuses exclusively on elections for the presidency.  Further, there are distinctions in the arguments presented in the two petitions.  For example, the </w:t>
      </w:r>
      <w:r w:rsidR="00DA3CD9" w:rsidRPr="00681D2A">
        <w:rPr>
          <w:rFonts w:ascii="Cambria" w:hAnsi="Cambria"/>
          <w:sz w:val="20"/>
          <w:szCs w:val="20"/>
        </w:rPr>
        <w:t>present</w:t>
      </w:r>
      <w:r w:rsidRPr="00681D2A">
        <w:rPr>
          <w:rFonts w:ascii="Cambria" w:hAnsi="Cambria"/>
          <w:sz w:val="20"/>
          <w:szCs w:val="20"/>
        </w:rPr>
        <w:t xml:space="preserve"> petition presents distinct arguments concerning the judicial decisions issued in response to the constitutional claims he brought in the domestic courts.  In this sense, while there is some overlap in the subject matter and juridical interests presented in the two petitions, the distinctions indicated demonstrate that the petitions are not substantially identical in the juridical interests and claims presented.</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36F5EC48" w14:textId="5F44E2A2" w:rsidR="00973DF7" w:rsidRDefault="00973DF7" w:rsidP="00F83B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1B1F2E">
        <w:rPr>
          <w:rFonts w:ascii="Cambria" w:hAnsi="Cambria"/>
          <w:sz w:val="20"/>
          <w:szCs w:val="20"/>
        </w:rPr>
        <w:t>In light of the submissions from both parties, the Commission considers that the alleged facts, if proven, could constitute possible violations of the rights set forth in Articles II (right to equality before the law) and XX (right to vote and to participate in government) of the American Declaration. </w:t>
      </w:r>
      <w:r w:rsidR="003269A0" w:rsidRPr="001B1F2E">
        <w:rPr>
          <w:rFonts w:ascii="Cambria" w:hAnsi="Cambria"/>
          <w:sz w:val="20"/>
          <w:szCs w:val="20"/>
        </w:rPr>
        <w:t xml:space="preserve"> </w:t>
      </w:r>
      <w:r w:rsidRPr="001B1F2E">
        <w:rPr>
          <w:rFonts w:ascii="Cambria" w:hAnsi="Cambria"/>
          <w:sz w:val="20"/>
          <w:szCs w:val="20"/>
        </w:rPr>
        <w:t>The IACHR will also consider at the merits stage whether the situation presented could constitute a violation of Article XVII (right to recognition of juridical personality and civil rights) of the American Declaration</w:t>
      </w:r>
      <w:r w:rsidR="00FC45A5" w:rsidRPr="001B1F2E">
        <w:rPr>
          <w:rFonts w:ascii="Cambria" w:hAnsi="Cambria"/>
          <w:sz w:val="20"/>
          <w:szCs w:val="20"/>
        </w:rPr>
        <w:t>.</w:t>
      </w:r>
      <w:r w:rsidR="001B1F2E">
        <w:rPr>
          <w:rFonts w:ascii="Cambria" w:hAnsi="Cambria"/>
          <w:sz w:val="20"/>
          <w:szCs w:val="20"/>
        </w:rPr>
        <w:t xml:space="preserve">  </w:t>
      </w:r>
      <w:r w:rsidRPr="001B1F2E">
        <w:rPr>
          <w:rFonts w:asciiTheme="majorHAnsi" w:hAnsiTheme="majorHAnsi"/>
          <w:bCs/>
          <w:sz w:val="20"/>
          <w:szCs w:val="20"/>
        </w:rPr>
        <w:t>The Commission considers that the claims presented by the petitioners raise questions concerning the rights of those named as presumed victims and the corresponding obligations of the State that require an analysis at the merits stage</w:t>
      </w:r>
      <w:r w:rsidR="00BD35B7">
        <w:rPr>
          <w:rFonts w:asciiTheme="majorHAnsi" w:hAnsiTheme="majorHAnsi"/>
          <w:bCs/>
          <w:sz w:val="20"/>
          <w:szCs w:val="20"/>
        </w:rPr>
        <w:t xml:space="preserve">. </w:t>
      </w:r>
    </w:p>
    <w:p w14:paraId="1BB2F8E1" w14:textId="7C8F7156" w:rsidR="00AE1BAB" w:rsidRPr="00681D2A" w:rsidRDefault="00AE1BAB" w:rsidP="00F83B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681D2A">
        <w:rPr>
          <w:rFonts w:ascii="Cambria" w:hAnsi="Cambria"/>
          <w:sz w:val="20"/>
          <w:szCs w:val="20"/>
        </w:rPr>
        <w:t xml:space="preserve">Moreover, </w:t>
      </w:r>
      <w:r w:rsidR="00BD35B7" w:rsidRPr="00681D2A">
        <w:rPr>
          <w:rFonts w:ascii="Cambria" w:hAnsi="Cambria"/>
          <w:sz w:val="20"/>
          <w:szCs w:val="20"/>
        </w:rPr>
        <w:t xml:space="preserve">at the merits stage </w:t>
      </w:r>
      <w:r w:rsidRPr="00681D2A">
        <w:rPr>
          <w:rFonts w:ascii="Cambria" w:hAnsi="Cambria"/>
          <w:sz w:val="20"/>
          <w:szCs w:val="20"/>
        </w:rPr>
        <w:t xml:space="preserve">the Commission will analyze </w:t>
      </w:r>
      <w:r w:rsidR="00BD35B7" w:rsidRPr="00681D2A">
        <w:rPr>
          <w:rFonts w:ascii="Cambria" w:hAnsi="Cambria"/>
          <w:sz w:val="20"/>
          <w:szCs w:val="20"/>
        </w:rPr>
        <w:t xml:space="preserve">whether </w:t>
      </w:r>
      <w:r w:rsidRPr="00681D2A">
        <w:rPr>
          <w:rFonts w:ascii="Cambria" w:hAnsi="Cambria"/>
          <w:sz w:val="20"/>
          <w:szCs w:val="20"/>
        </w:rPr>
        <w:t xml:space="preserve">the </w:t>
      </w:r>
      <w:r w:rsidR="00BD35B7" w:rsidRPr="00681D2A">
        <w:rPr>
          <w:rFonts w:ascii="Cambria" w:hAnsi="Cambria"/>
          <w:sz w:val="20"/>
          <w:szCs w:val="20"/>
        </w:rPr>
        <w:t xml:space="preserve">allegedly </w:t>
      </w:r>
      <w:r w:rsidRPr="00681D2A">
        <w:rPr>
          <w:rFonts w:ascii="Cambria" w:hAnsi="Cambria"/>
          <w:sz w:val="20"/>
          <w:szCs w:val="20"/>
        </w:rPr>
        <w:t xml:space="preserve">contradictory and restrictive decisions of Federal Courts could constitute a violation of </w:t>
      </w:r>
      <w:r w:rsidR="00BD35B7" w:rsidRPr="00681D2A">
        <w:rPr>
          <w:rFonts w:ascii="Cambria" w:hAnsi="Cambria"/>
          <w:sz w:val="20"/>
          <w:szCs w:val="20"/>
        </w:rPr>
        <w:t>the petitioners’ right to effective judicial remedies</w:t>
      </w:r>
      <w:r w:rsidRPr="00681D2A">
        <w:rPr>
          <w:rFonts w:ascii="Cambria" w:hAnsi="Cambria"/>
          <w:sz w:val="20"/>
          <w:szCs w:val="20"/>
        </w:rPr>
        <w:t>.</w:t>
      </w:r>
    </w:p>
    <w:p w14:paraId="383364CE" w14:textId="5543F7FE" w:rsidR="00A50D55" w:rsidRPr="00973DF7" w:rsidRDefault="00973DF7" w:rsidP="00F83BD2">
      <w:pPr>
        <w:numPr>
          <w:ilvl w:val="0"/>
          <w:numId w:val="103"/>
        </w:numPr>
        <w:spacing w:before="240" w:after="240"/>
        <w:jc w:val="both"/>
        <w:rPr>
          <w:rFonts w:asciiTheme="majorHAnsi" w:hAnsiTheme="majorHAnsi"/>
          <w:bCs/>
          <w:sz w:val="20"/>
          <w:szCs w:val="20"/>
        </w:rPr>
      </w:pPr>
      <w:r w:rsidRPr="00973DF7">
        <w:rPr>
          <w:rFonts w:asciiTheme="majorHAnsi" w:hAnsiTheme="majorHAnsi"/>
          <w:bCs/>
          <w:sz w:val="20"/>
          <w:szCs w:val="20"/>
        </w:rPr>
        <w:t xml:space="preserve">With respect to the Inter-American Democratic Charter, the Commission notes that this instrument was adopted by the General Assembly of the OAS and provides an important statement of principles and standards concerning the relationship between democracy and human rights.  It has been referred to by the Commission many times in interpreting and applying related articles of the American Declaration and Convention.  The Democratic Charter does not refer to the individual petition system as a direct mechanism of implementation; rather it has served to inform the interpretation of certain rights protected under the American Declaration and Convention.  In accordance with basic cannons of </w:t>
      </w:r>
      <w:r w:rsidRPr="00973DF7">
        <w:rPr>
          <w:rFonts w:asciiTheme="majorHAnsi" w:hAnsiTheme="majorHAnsi"/>
          <w:bCs/>
          <w:sz w:val="20"/>
          <w:szCs w:val="20"/>
        </w:rPr>
        <w:lastRenderedPageBreak/>
        <w:t>interpretation, the Commission will take the terms of the Democratic Charter into account in applying the American Declaration, in relation to the OAS Charter and its Statute and Rules of Procedure, in the present case. Similarly, the IACHR will also take into account the terms of the Universal Declaration of Human Rights and the ICCPR into account in applying the American Declaration in the present case.</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3507BD96"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w:t>
      </w:r>
      <w:r w:rsidR="00072BAE">
        <w:rPr>
          <w:rFonts w:asciiTheme="majorHAnsi" w:hAnsiTheme="majorHAnsi"/>
          <w:sz w:val="20"/>
          <w:szCs w:val="20"/>
        </w:rPr>
        <w:t>present</w:t>
      </w:r>
      <w:r w:rsidRPr="000B6B7A">
        <w:rPr>
          <w:rFonts w:asciiTheme="majorHAnsi" w:hAnsiTheme="majorHAnsi"/>
          <w:sz w:val="20"/>
          <w:szCs w:val="20"/>
        </w:rPr>
        <w:t xml:space="preserve"> petition admissible in relation to Articles </w:t>
      </w:r>
      <w:r w:rsidR="00770323" w:rsidRPr="00770323">
        <w:rPr>
          <w:rFonts w:asciiTheme="majorHAnsi" w:hAnsiTheme="majorHAnsi"/>
          <w:sz w:val="20"/>
          <w:szCs w:val="20"/>
        </w:rPr>
        <w:t>II, XVII</w:t>
      </w:r>
      <w:r w:rsidR="00AE1BAB" w:rsidRPr="000A23C6">
        <w:rPr>
          <w:rFonts w:asciiTheme="majorHAnsi" w:hAnsiTheme="majorHAnsi"/>
          <w:sz w:val="20"/>
          <w:szCs w:val="20"/>
        </w:rPr>
        <w:t>, XVIII,</w:t>
      </w:r>
      <w:r w:rsidR="00770323" w:rsidRPr="00770323">
        <w:rPr>
          <w:rFonts w:asciiTheme="majorHAnsi" w:hAnsiTheme="majorHAnsi"/>
          <w:sz w:val="20"/>
          <w:szCs w:val="20"/>
        </w:rPr>
        <w:t xml:space="preserve"> and XX </w:t>
      </w:r>
      <w:r w:rsidR="00C20614">
        <w:rPr>
          <w:rFonts w:asciiTheme="majorHAnsi" w:hAnsiTheme="majorHAnsi"/>
          <w:sz w:val="20"/>
          <w:szCs w:val="20"/>
        </w:rPr>
        <w:t>of the American Declaration</w:t>
      </w:r>
      <w:r w:rsidRPr="000B6B7A">
        <w:rPr>
          <w:rFonts w:asciiTheme="majorHAnsi" w:hAnsiTheme="majorHAnsi"/>
          <w:sz w:val="20"/>
          <w:szCs w:val="20"/>
        </w:rPr>
        <w:t>;</w:t>
      </w:r>
    </w:p>
    <w:p w14:paraId="51BC4E6B"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22CC8DDA" w14:textId="77777777" w:rsidR="00F621C3" w:rsidRPr="00DE650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22BCA70B" w14:textId="77777777" w:rsidR="00DE650D" w:rsidRPr="0019756B" w:rsidRDefault="00DE650D" w:rsidP="00DE650D">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xml:space="preserve">, </w:t>
      </w:r>
      <w:r>
        <w:rPr>
          <w:rFonts w:ascii="Cambria" w:hAnsi="Cambria"/>
          <w:spacing w:val="-2"/>
          <w:sz w:val="20"/>
        </w:rPr>
        <w:t>on the 25</w:t>
      </w:r>
      <w:r w:rsidRPr="00420252">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and Luis Ernesto Vargas Silva, </w:t>
      </w:r>
      <w:r w:rsidRPr="00365F2F">
        <w:rPr>
          <w:rFonts w:ascii="Cambria" w:hAnsi="Cambria"/>
          <w:spacing w:val="-2"/>
          <w:sz w:val="20"/>
        </w:rPr>
        <w:t>Commissioners.</w:t>
      </w:r>
    </w:p>
    <w:p w14:paraId="3A61133C" w14:textId="77777777" w:rsidR="00DE650D" w:rsidRDefault="00DE650D" w:rsidP="00DE650D">
      <w:pPr>
        <w:ind w:firstLine="720"/>
        <w:jc w:val="both"/>
        <w:rPr>
          <w:rFonts w:ascii="Cambria" w:hAnsi="Cambria"/>
          <w:sz w:val="20"/>
        </w:rPr>
      </w:pPr>
    </w:p>
    <w:p w14:paraId="31469748" w14:textId="77777777" w:rsidR="00DE650D" w:rsidRPr="000B6B7A" w:rsidRDefault="00DE650D" w:rsidP="00DE65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DE650D" w:rsidRPr="000B6B7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03F24" w14:textId="77777777" w:rsidR="00CC6129" w:rsidRDefault="00CC6129" w:rsidP="00036A8A">
      <w:r>
        <w:separator/>
      </w:r>
    </w:p>
  </w:endnote>
  <w:endnote w:type="continuationSeparator" w:id="0">
    <w:p w14:paraId="5AD8E0AF" w14:textId="77777777" w:rsidR="00CC6129" w:rsidRDefault="00CC612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F018" w14:textId="77777777" w:rsidR="00363F8D" w:rsidRDefault="00363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63F8D">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978F5" w14:textId="77777777" w:rsidR="00CC6129" w:rsidRPr="00036A8A" w:rsidRDefault="00CC612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96DCAD2" w14:textId="77777777" w:rsidR="00CC6129" w:rsidRPr="00036A8A" w:rsidRDefault="00CC6129" w:rsidP="00036A8A">
      <w:pPr>
        <w:rPr>
          <w:rFonts w:asciiTheme="majorHAnsi" w:hAnsiTheme="majorHAnsi"/>
          <w:sz w:val="16"/>
          <w:szCs w:val="16"/>
        </w:rPr>
      </w:pPr>
      <w:r w:rsidRPr="00036A8A">
        <w:rPr>
          <w:rFonts w:asciiTheme="majorHAnsi" w:hAnsiTheme="majorHAnsi"/>
          <w:sz w:val="16"/>
          <w:szCs w:val="16"/>
        </w:rPr>
        <w:separator/>
      </w:r>
    </w:p>
    <w:p w14:paraId="740AB134" w14:textId="77777777" w:rsidR="00CC6129" w:rsidRPr="00036A8A" w:rsidRDefault="00CC612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61D3620" w14:textId="77777777" w:rsidR="00CC6129" w:rsidRPr="0093441A" w:rsidRDefault="00CC612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15A804C" w14:textId="55BF095C" w:rsidR="00F31CB3" w:rsidRPr="00664D76" w:rsidRDefault="00F31CB3" w:rsidP="00F31CB3">
      <w:pPr>
        <w:pStyle w:val="FootnoteText"/>
        <w:spacing w:after="120"/>
        <w:ind w:firstLine="720"/>
        <w:jc w:val="both"/>
        <w:rPr>
          <w:rFonts w:ascii="Cambria" w:hAnsi="Cambria"/>
          <w:color w:val="0070C0"/>
          <w:sz w:val="16"/>
          <w:szCs w:val="16"/>
        </w:rPr>
      </w:pPr>
      <w:r w:rsidRPr="007A5062">
        <w:rPr>
          <w:rStyle w:val="FootnoteReference"/>
          <w:rFonts w:ascii="Cambria" w:hAnsi="Cambria"/>
          <w:color w:val="auto"/>
          <w:sz w:val="16"/>
          <w:szCs w:val="16"/>
        </w:rPr>
        <w:footnoteRef/>
      </w:r>
      <w:r w:rsidRPr="00664D76">
        <w:rPr>
          <w:rFonts w:ascii="Cambria" w:hAnsi="Cambria"/>
          <w:color w:val="auto"/>
          <w:sz w:val="16"/>
          <w:szCs w:val="16"/>
        </w:rPr>
        <w:t xml:space="preserve"> </w:t>
      </w:r>
      <w:r w:rsidR="00664D76">
        <w:rPr>
          <w:rFonts w:ascii="Cambria" w:hAnsi="Cambria"/>
          <w:color w:val="auto"/>
          <w:sz w:val="16"/>
          <w:szCs w:val="16"/>
        </w:rPr>
        <w:t>Com</w:t>
      </w:r>
      <w:r w:rsidR="00664D76" w:rsidRPr="00664D76">
        <w:rPr>
          <w:rFonts w:ascii="Cambria" w:hAnsi="Cambria"/>
          <w:color w:val="auto"/>
          <w:sz w:val="16"/>
          <w:szCs w:val="16"/>
        </w:rPr>
        <w:t>missioner James L. Cavallaro did not take part in the discussion or voting on this petition, pursuant to Article 17(2) of the Inter-American Commission’s Rules of Procedure</w:t>
      </w:r>
      <w:r w:rsidRPr="00664D76">
        <w:rPr>
          <w:rFonts w:ascii="Cambria" w:hAnsi="Cambria" w:cs="Arial"/>
          <w:color w:val="auto"/>
          <w:sz w:val="16"/>
          <w:szCs w:val="16"/>
        </w:rPr>
        <w:t xml:space="preserve">. </w:t>
      </w:r>
    </w:p>
  </w:footnote>
  <w:footnote w:id="3">
    <w:p w14:paraId="2AEA39D8" w14:textId="77777777" w:rsidR="00876805" w:rsidRPr="009C45AD" w:rsidRDefault="00876805" w:rsidP="009C45AD">
      <w:pPr>
        <w:pStyle w:val="FootnoteText"/>
        <w:spacing w:before="120"/>
        <w:ind w:firstLine="720"/>
        <w:jc w:val="both"/>
        <w:rPr>
          <w:rFonts w:asciiTheme="majorHAnsi" w:hAnsiTheme="majorHAnsi"/>
          <w:sz w:val="16"/>
          <w:szCs w:val="16"/>
        </w:rPr>
      </w:pPr>
      <w:r w:rsidRPr="009C45AD">
        <w:rPr>
          <w:rStyle w:val="FootnoteReference"/>
          <w:rFonts w:asciiTheme="majorHAnsi" w:hAnsiTheme="majorHAnsi"/>
          <w:sz w:val="16"/>
          <w:szCs w:val="16"/>
        </w:rPr>
        <w:footnoteRef/>
      </w:r>
      <w:r w:rsidRPr="009C45AD">
        <w:rPr>
          <w:rFonts w:asciiTheme="majorHAnsi" w:hAnsiTheme="majorHAnsi"/>
          <w:sz w:val="16"/>
          <w:szCs w:val="16"/>
        </w:rPr>
        <w:t xml:space="preserve"> Hereinafter referred to as “Declaration” or “American Declaration”. </w:t>
      </w:r>
    </w:p>
  </w:footnote>
  <w:footnote w:id="4">
    <w:p w14:paraId="3299683F" w14:textId="67ACE0F9" w:rsidR="003828DA" w:rsidRPr="009C45AD" w:rsidRDefault="003828DA" w:rsidP="003828DA">
      <w:pPr>
        <w:pStyle w:val="FootnoteText"/>
        <w:spacing w:before="120"/>
        <w:ind w:firstLine="720"/>
        <w:jc w:val="both"/>
        <w:rPr>
          <w:rFonts w:asciiTheme="majorHAnsi" w:hAnsiTheme="majorHAnsi"/>
          <w:sz w:val="16"/>
          <w:szCs w:val="16"/>
        </w:rPr>
      </w:pPr>
      <w:r w:rsidRPr="009C45AD">
        <w:rPr>
          <w:rStyle w:val="FootnoteReference"/>
          <w:rFonts w:asciiTheme="majorHAnsi" w:hAnsiTheme="majorHAnsi"/>
          <w:sz w:val="16"/>
          <w:szCs w:val="16"/>
        </w:rPr>
        <w:footnoteRef/>
      </w:r>
      <w:r w:rsidRPr="009C45AD">
        <w:rPr>
          <w:rFonts w:asciiTheme="majorHAnsi" w:hAnsiTheme="majorHAnsi"/>
          <w:sz w:val="16"/>
          <w:szCs w:val="16"/>
        </w:rPr>
        <w:t xml:space="preserve"> Hereinafter referred to as “</w:t>
      </w:r>
      <w:r>
        <w:rPr>
          <w:rFonts w:asciiTheme="majorHAnsi" w:hAnsiTheme="majorHAnsi"/>
          <w:sz w:val="16"/>
          <w:szCs w:val="16"/>
        </w:rPr>
        <w:t>ICCPR</w:t>
      </w:r>
      <w:r w:rsidRPr="009C45AD">
        <w:rPr>
          <w:rFonts w:asciiTheme="majorHAnsi" w:hAnsiTheme="majorHAnsi"/>
          <w:sz w:val="16"/>
          <w:szCs w:val="16"/>
        </w:rPr>
        <w:t xml:space="preserve">”. </w:t>
      </w:r>
    </w:p>
  </w:footnote>
  <w:footnote w:id="5">
    <w:p w14:paraId="0B2533A9" w14:textId="77777777" w:rsidR="00770323" w:rsidRPr="009C45AD" w:rsidRDefault="00770323" w:rsidP="00770323">
      <w:pPr>
        <w:pStyle w:val="FootnoteText"/>
        <w:spacing w:before="120"/>
        <w:ind w:firstLine="720"/>
        <w:jc w:val="both"/>
        <w:rPr>
          <w:rFonts w:asciiTheme="majorHAnsi" w:hAnsiTheme="majorHAnsi"/>
          <w:sz w:val="16"/>
          <w:szCs w:val="16"/>
        </w:rPr>
      </w:pPr>
      <w:r w:rsidRPr="009C45AD">
        <w:rPr>
          <w:rStyle w:val="FootnoteReference"/>
          <w:rFonts w:asciiTheme="majorHAnsi" w:hAnsiTheme="majorHAnsi"/>
          <w:sz w:val="16"/>
          <w:szCs w:val="16"/>
        </w:rPr>
        <w:footnoteRef/>
      </w:r>
      <w:r w:rsidRPr="009C45AD">
        <w:rPr>
          <w:rFonts w:asciiTheme="majorHAnsi" w:hAnsiTheme="majorHAnsi"/>
          <w:sz w:val="16"/>
          <w:szCs w:val="16"/>
        </w:rPr>
        <w:t xml:space="preserve"> The observations from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C612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8A5A2" w14:textId="77777777" w:rsidR="00363F8D" w:rsidRDefault="00363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91C8408A"/>
    <w:lvl w:ilvl="0" w:tplc="BA98E07C">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6C9"/>
    <w:rsid w:val="000038DB"/>
    <w:rsid w:val="0000592B"/>
    <w:rsid w:val="000070D7"/>
    <w:rsid w:val="000111A8"/>
    <w:rsid w:val="0001788C"/>
    <w:rsid w:val="00022CF5"/>
    <w:rsid w:val="00036A8A"/>
    <w:rsid w:val="00040C3A"/>
    <w:rsid w:val="00044EA1"/>
    <w:rsid w:val="000639C0"/>
    <w:rsid w:val="00070F3A"/>
    <w:rsid w:val="000716C5"/>
    <w:rsid w:val="00072BAE"/>
    <w:rsid w:val="00075E23"/>
    <w:rsid w:val="00092F32"/>
    <w:rsid w:val="0009344A"/>
    <w:rsid w:val="00095DF0"/>
    <w:rsid w:val="00096357"/>
    <w:rsid w:val="0009669B"/>
    <w:rsid w:val="000A23C6"/>
    <w:rsid w:val="000A575F"/>
    <w:rsid w:val="000C4365"/>
    <w:rsid w:val="000D10DB"/>
    <w:rsid w:val="000E709F"/>
    <w:rsid w:val="000F3908"/>
    <w:rsid w:val="001013E8"/>
    <w:rsid w:val="001211C1"/>
    <w:rsid w:val="00124116"/>
    <w:rsid w:val="0013104F"/>
    <w:rsid w:val="00137EBA"/>
    <w:rsid w:val="00145EDC"/>
    <w:rsid w:val="00153084"/>
    <w:rsid w:val="001575CB"/>
    <w:rsid w:val="00167A34"/>
    <w:rsid w:val="001714B4"/>
    <w:rsid w:val="0018037F"/>
    <w:rsid w:val="00181B7E"/>
    <w:rsid w:val="001A03EE"/>
    <w:rsid w:val="001A5F27"/>
    <w:rsid w:val="001A65E4"/>
    <w:rsid w:val="001A7870"/>
    <w:rsid w:val="001B1F2E"/>
    <w:rsid w:val="001C0D96"/>
    <w:rsid w:val="001C1B41"/>
    <w:rsid w:val="001E366B"/>
    <w:rsid w:val="00206E75"/>
    <w:rsid w:val="00210E0E"/>
    <w:rsid w:val="00230163"/>
    <w:rsid w:val="00247403"/>
    <w:rsid w:val="00247542"/>
    <w:rsid w:val="002535A7"/>
    <w:rsid w:val="00257893"/>
    <w:rsid w:val="00266092"/>
    <w:rsid w:val="00266B61"/>
    <w:rsid w:val="0026712A"/>
    <w:rsid w:val="002704DB"/>
    <w:rsid w:val="002802E4"/>
    <w:rsid w:val="002871D6"/>
    <w:rsid w:val="0029265E"/>
    <w:rsid w:val="002B7A85"/>
    <w:rsid w:val="002B7C9F"/>
    <w:rsid w:val="002C1641"/>
    <w:rsid w:val="002D7EA2"/>
    <w:rsid w:val="002E15DF"/>
    <w:rsid w:val="002E187C"/>
    <w:rsid w:val="002E6E57"/>
    <w:rsid w:val="002F6C43"/>
    <w:rsid w:val="002F742B"/>
    <w:rsid w:val="00301075"/>
    <w:rsid w:val="00302733"/>
    <w:rsid w:val="00307240"/>
    <w:rsid w:val="00311A4F"/>
    <w:rsid w:val="00314078"/>
    <w:rsid w:val="00322450"/>
    <w:rsid w:val="003246B5"/>
    <w:rsid w:val="003260D3"/>
    <w:rsid w:val="003269A0"/>
    <w:rsid w:val="0033169F"/>
    <w:rsid w:val="00331E1E"/>
    <w:rsid w:val="003414AC"/>
    <w:rsid w:val="00356185"/>
    <w:rsid w:val="00360380"/>
    <w:rsid w:val="00363F8D"/>
    <w:rsid w:val="00381914"/>
    <w:rsid w:val="003828DA"/>
    <w:rsid w:val="00386CF0"/>
    <w:rsid w:val="0039590E"/>
    <w:rsid w:val="003A4348"/>
    <w:rsid w:val="003C32BC"/>
    <w:rsid w:val="003C690D"/>
    <w:rsid w:val="003D6C00"/>
    <w:rsid w:val="003E3E03"/>
    <w:rsid w:val="003F1BBF"/>
    <w:rsid w:val="003F5932"/>
    <w:rsid w:val="004162B1"/>
    <w:rsid w:val="004165C2"/>
    <w:rsid w:val="00433B2E"/>
    <w:rsid w:val="00450A4A"/>
    <w:rsid w:val="004666FB"/>
    <w:rsid w:val="00466D0B"/>
    <w:rsid w:val="00467B7E"/>
    <w:rsid w:val="0049419D"/>
    <w:rsid w:val="0049490B"/>
    <w:rsid w:val="004A3912"/>
    <w:rsid w:val="004B2762"/>
    <w:rsid w:val="004B7EB6"/>
    <w:rsid w:val="004C41DE"/>
    <w:rsid w:val="004C4B62"/>
    <w:rsid w:val="004D11A4"/>
    <w:rsid w:val="004D6025"/>
    <w:rsid w:val="004D72BC"/>
    <w:rsid w:val="004E3757"/>
    <w:rsid w:val="004F30CB"/>
    <w:rsid w:val="004F6B67"/>
    <w:rsid w:val="00501399"/>
    <w:rsid w:val="00507BC4"/>
    <w:rsid w:val="005128E4"/>
    <w:rsid w:val="00525560"/>
    <w:rsid w:val="005256D4"/>
    <w:rsid w:val="005357A6"/>
    <w:rsid w:val="00542154"/>
    <w:rsid w:val="00544C49"/>
    <w:rsid w:val="0055485F"/>
    <w:rsid w:val="00555D8D"/>
    <w:rsid w:val="00566AF0"/>
    <w:rsid w:val="0057402A"/>
    <w:rsid w:val="005771D0"/>
    <w:rsid w:val="0059191A"/>
    <w:rsid w:val="005921FF"/>
    <w:rsid w:val="00592718"/>
    <w:rsid w:val="005A6D0E"/>
    <w:rsid w:val="005B222D"/>
    <w:rsid w:val="005B52B0"/>
    <w:rsid w:val="005B6806"/>
    <w:rsid w:val="005C00F9"/>
    <w:rsid w:val="005C4225"/>
    <w:rsid w:val="005D707C"/>
    <w:rsid w:val="005F0F33"/>
    <w:rsid w:val="00600DEB"/>
    <w:rsid w:val="00603BCB"/>
    <w:rsid w:val="00611B76"/>
    <w:rsid w:val="00612068"/>
    <w:rsid w:val="00613027"/>
    <w:rsid w:val="0062585D"/>
    <w:rsid w:val="00627C9F"/>
    <w:rsid w:val="00627E7C"/>
    <w:rsid w:val="006311DA"/>
    <w:rsid w:val="006311E9"/>
    <w:rsid w:val="00632354"/>
    <w:rsid w:val="00642810"/>
    <w:rsid w:val="00644BDE"/>
    <w:rsid w:val="00652333"/>
    <w:rsid w:val="00664D76"/>
    <w:rsid w:val="0068009E"/>
    <w:rsid w:val="00680CB3"/>
    <w:rsid w:val="00681D2A"/>
    <w:rsid w:val="00685192"/>
    <w:rsid w:val="006A06F4"/>
    <w:rsid w:val="006A17D2"/>
    <w:rsid w:val="006A381B"/>
    <w:rsid w:val="006A4388"/>
    <w:rsid w:val="006A73E6"/>
    <w:rsid w:val="006B2D5C"/>
    <w:rsid w:val="006C0C25"/>
    <w:rsid w:val="006C4EB1"/>
    <w:rsid w:val="006D4707"/>
    <w:rsid w:val="006E0166"/>
    <w:rsid w:val="006E680F"/>
    <w:rsid w:val="006E7B34"/>
    <w:rsid w:val="006F5880"/>
    <w:rsid w:val="00701B24"/>
    <w:rsid w:val="00712A8A"/>
    <w:rsid w:val="0071495F"/>
    <w:rsid w:val="0073655E"/>
    <w:rsid w:val="0073798E"/>
    <w:rsid w:val="007435F8"/>
    <w:rsid w:val="00745899"/>
    <w:rsid w:val="00745D4D"/>
    <w:rsid w:val="007556D1"/>
    <w:rsid w:val="007607C4"/>
    <w:rsid w:val="0076643F"/>
    <w:rsid w:val="00770323"/>
    <w:rsid w:val="00777CE6"/>
    <w:rsid w:val="00781653"/>
    <w:rsid w:val="007923EC"/>
    <w:rsid w:val="007A2F70"/>
    <w:rsid w:val="007C3334"/>
    <w:rsid w:val="007C52BB"/>
    <w:rsid w:val="007D2B98"/>
    <w:rsid w:val="00803F1C"/>
    <w:rsid w:val="0080600E"/>
    <w:rsid w:val="00817612"/>
    <w:rsid w:val="00817A39"/>
    <w:rsid w:val="00827288"/>
    <w:rsid w:val="00837C45"/>
    <w:rsid w:val="00853419"/>
    <w:rsid w:val="00862465"/>
    <w:rsid w:val="00865D12"/>
    <w:rsid w:val="008702C6"/>
    <w:rsid w:val="00876805"/>
    <w:rsid w:val="008910DC"/>
    <w:rsid w:val="00897E12"/>
    <w:rsid w:val="008A28E9"/>
    <w:rsid w:val="008C1E3D"/>
    <w:rsid w:val="008C6294"/>
    <w:rsid w:val="008D43BA"/>
    <w:rsid w:val="008E1F32"/>
    <w:rsid w:val="008E3759"/>
    <w:rsid w:val="008E473B"/>
    <w:rsid w:val="009041DC"/>
    <w:rsid w:val="009104B4"/>
    <w:rsid w:val="0091249C"/>
    <w:rsid w:val="00913D5E"/>
    <w:rsid w:val="009228DA"/>
    <w:rsid w:val="00925FCD"/>
    <w:rsid w:val="0093441A"/>
    <w:rsid w:val="009473A4"/>
    <w:rsid w:val="009537D8"/>
    <w:rsid w:val="00954BF7"/>
    <w:rsid w:val="0096706E"/>
    <w:rsid w:val="00972B76"/>
    <w:rsid w:val="00973DF7"/>
    <w:rsid w:val="009818AC"/>
    <w:rsid w:val="00981FBA"/>
    <w:rsid w:val="009923FD"/>
    <w:rsid w:val="009A6008"/>
    <w:rsid w:val="009B381B"/>
    <w:rsid w:val="009C1518"/>
    <w:rsid w:val="009C64C0"/>
    <w:rsid w:val="009D1C52"/>
    <w:rsid w:val="009D7611"/>
    <w:rsid w:val="009E53DE"/>
    <w:rsid w:val="009E566A"/>
    <w:rsid w:val="009E58F5"/>
    <w:rsid w:val="009F6C5F"/>
    <w:rsid w:val="00A1227F"/>
    <w:rsid w:val="00A12DBC"/>
    <w:rsid w:val="00A242C7"/>
    <w:rsid w:val="00A337DB"/>
    <w:rsid w:val="00A43458"/>
    <w:rsid w:val="00A46F20"/>
    <w:rsid w:val="00A50D55"/>
    <w:rsid w:val="00A528D1"/>
    <w:rsid w:val="00A66BE5"/>
    <w:rsid w:val="00A773E4"/>
    <w:rsid w:val="00A86C8E"/>
    <w:rsid w:val="00A87CF2"/>
    <w:rsid w:val="00A90E8B"/>
    <w:rsid w:val="00A962F6"/>
    <w:rsid w:val="00AA0735"/>
    <w:rsid w:val="00AB3026"/>
    <w:rsid w:val="00AC368E"/>
    <w:rsid w:val="00AC7DFE"/>
    <w:rsid w:val="00AD37C1"/>
    <w:rsid w:val="00AE1BAB"/>
    <w:rsid w:val="00AE66EC"/>
    <w:rsid w:val="00AE6F91"/>
    <w:rsid w:val="00AF5571"/>
    <w:rsid w:val="00AF6216"/>
    <w:rsid w:val="00B01274"/>
    <w:rsid w:val="00B1581E"/>
    <w:rsid w:val="00B167E9"/>
    <w:rsid w:val="00B179ED"/>
    <w:rsid w:val="00B20037"/>
    <w:rsid w:val="00B22794"/>
    <w:rsid w:val="00B314DB"/>
    <w:rsid w:val="00B31EBE"/>
    <w:rsid w:val="00B3718B"/>
    <w:rsid w:val="00B4632A"/>
    <w:rsid w:val="00B55586"/>
    <w:rsid w:val="00B92E49"/>
    <w:rsid w:val="00B945EC"/>
    <w:rsid w:val="00BA276C"/>
    <w:rsid w:val="00BA518A"/>
    <w:rsid w:val="00BB306F"/>
    <w:rsid w:val="00BB346F"/>
    <w:rsid w:val="00BC3455"/>
    <w:rsid w:val="00BD232B"/>
    <w:rsid w:val="00BD2E42"/>
    <w:rsid w:val="00BD35B7"/>
    <w:rsid w:val="00BD428C"/>
    <w:rsid w:val="00BD4B89"/>
    <w:rsid w:val="00C20614"/>
    <w:rsid w:val="00C21762"/>
    <w:rsid w:val="00C24543"/>
    <w:rsid w:val="00C256A2"/>
    <w:rsid w:val="00C3492D"/>
    <w:rsid w:val="00C40D29"/>
    <w:rsid w:val="00C55560"/>
    <w:rsid w:val="00C66B72"/>
    <w:rsid w:val="00C741E6"/>
    <w:rsid w:val="00C80DB4"/>
    <w:rsid w:val="00C81C68"/>
    <w:rsid w:val="00C9567A"/>
    <w:rsid w:val="00CA2ABB"/>
    <w:rsid w:val="00CA4A78"/>
    <w:rsid w:val="00CA6577"/>
    <w:rsid w:val="00CB2660"/>
    <w:rsid w:val="00CB2D96"/>
    <w:rsid w:val="00CB4EA6"/>
    <w:rsid w:val="00CB6B78"/>
    <w:rsid w:val="00CC3153"/>
    <w:rsid w:val="00CC5E90"/>
    <w:rsid w:val="00CC6129"/>
    <w:rsid w:val="00CD046C"/>
    <w:rsid w:val="00CE4128"/>
    <w:rsid w:val="00CE5199"/>
    <w:rsid w:val="00CE66D5"/>
    <w:rsid w:val="00CF39CC"/>
    <w:rsid w:val="00CF5387"/>
    <w:rsid w:val="00D01D22"/>
    <w:rsid w:val="00D34786"/>
    <w:rsid w:val="00D40A1E"/>
    <w:rsid w:val="00D44C59"/>
    <w:rsid w:val="00D47067"/>
    <w:rsid w:val="00D5001E"/>
    <w:rsid w:val="00D637CE"/>
    <w:rsid w:val="00D712D3"/>
    <w:rsid w:val="00D71422"/>
    <w:rsid w:val="00D7145E"/>
    <w:rsid w:val="00D75084"/>
    <w:rsid w:val="00D7558D"/>
    <w:rsid w:val="00D81D92"/>
    <w:rsid w:val="00D90B2D"/>
    <w:rsid w:val="00D93446"/>
    <w:rsid w:val="00DA3CD9"/>
    <w:rsid w:val="00DA7B5F"/>
    <w:rsid w:val="00DC4B84"/>
    <w:rsid w:val="00DE64A7"/>
    <w:rsid w:val="00DE650D"/>
    <w:rsid w:val="00DF078B"/>
    <w:rsid w:val="00DF350D"/>
    <w:rsid w:val="00E10E86"/>
    <w:rsid w:val="00E227C1"/>
    <w:rsid w:val="00E43157"/>
    <w:rsid w:val="00E533FF"/>
    <w:rsid w:val="00E548F7"/>
    <w:rsid w:val="00E649FC"/>
    <w:rsid w:val="00E709B3"/>
    <w:rsid w:val="00E850B6"/>
    <w:rsid w:val="00E8789F"/>
    <w:rsid w:val="00E97B71"/>
    <w:rsid w:val="00EB454D"/>
    <w:rsid w:val="00ED0D1B"/>
    <w:rsid w:val="00EE3522"/>
    <w:rsid w:val="00EF495E"/>
    <w:rsid w:val="00EF619B"/>
    <w:rsid w:val="00F00B55"/>
    <w:rsid w:val="00F1380F"/>
    <w:rsid w:val="00F14F0E"/>
    <w:rsid w:val="00F15A3B"/>
    <w:rsid w:val="00F202E2"/>
    <w:rsid w:val="00F24C29"/>
    <w:rsid w:val="00F253CC"/>
    <w:rsid w:val="00F31CB3"/>
    <w:rsid w:val="00F42B71"/>
    <w:rsid w:val="00F56BA5"/>
    <w:rsid w:val="00F621C3"/>
    <w:rsid w:val="00F63A10"/>
    <w:rsid w:val="00F644E6"/>
    <w:rsid w:val="00F64B04"/>
    <w:rsid w:val="00F7551E"/>
    <w:rsid w:val="00F75928"/>
    <w:rsid w:val="00F83BD2"/>
    <w:rsid w:val="00F87C33"/>
    <w:rsid w:val="00F9653B"/>
    <w:rsid w:val="00F96CCA"/>
    <w:rsid w:val="00FA4D28"/>
    <w:rsid w:val="00FB08BF"/>
    <w:rsid w:val="00FB4FF0"/>
    <w:rsid w:val="00FB62CF"/>
    <w:rsid w:val="00FC3EB4"/>
    <w:rsid w:val="00FC45A5"/>
    <w:rsid w:val="00FC49E7"/>
    <w:rsid w:val="00FC6C58"/>
    <w:rsid w:val="00FC7D23"/>
    <w:rsid w:val="00FD440F"/>
    <w:rsid w:val="00FD625D"/>
    <w:rsid w:val="00FE33B4"/>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3603"/>
    <w:rsid w:val="002D2422"/>
    <w:rsid w:val="00361EE1"/>
    <w:rsid w:val="004108B1"/>
    <w:rsid w:val="004C4271"/>
    <w:rsid w:val="00571D7C"/>
    <w:rsid w:val="0067304D"/>
    <w:rsid w:val="006F77FD"/>
    <w:rsid w:val="0086610D"/>
    <w:rsid w:val="009279FC"/>
    <w:rsid w:val="009C0BC6"/>
    <w:rsid w:val="009C4B05"/>
    <w:rsid w:val="009F26E5"/>
    <w:rsid w:val="00AA108A"/>
    <w:rsid w:val="00AA4B2A"/>
    <w:rsid w:val="00AB44F1"/>
    <w:rsid w:val="00BB3C63"/>
    <w:rsid w:val="00CA6A63"/>
    <w:rsid w:val="00D00932"/>
    <w:rsid w:val="00D711C1"/>
    <w:rsid w:val="00DC51AF"/>
    <w:rsid w:val="00E70232"/>
    <w:rsid w:val="00E715BD"/>
    <w:rsid w:val="00EA0868"/>
    <w:rsid w:val="00F21253"/>
    <w:rsid w:val="00FE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1AF"/>
    <w:rPr>
      <w:color w:val="808080"/>
    </w:rPr>
  </w:style>
  <w:style w:type="paragraph" w:customStyle="1" w:styleId="4DBB5F3FC358F64B9E5EFB773263C7D2">
    <w:name w:val="4DBB5F3FC358F64B9E5EFB773263C7D2"/>
    <w:rsid w:val="00AB44F1"/>
  </w:style>
  <w:style w:type="paragraph" w:customStyle="1" w:styleId="4EBF5E9B54D34218B61DCD03A543F6D1">
    <w:name w:val="4EBF5E9B54D34218B61DCD03A543F6D1"/>
    <w:rsid w:val="00DC51AF"/>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1AF"/>
    <w:rPr>
      <w:color w:val="808080"/>
    </w:rPr>
  </w:style>
  <w:style w:type="paragraph" w:customStyle="1" w:styleId="4DBB5F3FC358F64B9E5EFB773263C7D2">
    <w:name w:val="4DBB5F3FC358F64B9E5EFB773263C7D2"/>
    <w:rsid w:val="00AB44F1"/>
  </w:style>
  <w:style w:type="paragraph" w:customStyle="1" w:styleId="4EBF5E9B54D34218B61DCD03A543F6D1">
    <w:name w:val="4EBF5E9B54D34218B61DCD03A543F6D1"/>
    <w:rsid w:val="00DC51AF"/>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6D4B-E0C4-4D2A-8E52-9F33ACE6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2617</Words>
  <Characters>13795</Characters>
  <Application>Microsoft Office Word</Application>
  <DocSecurity>0</DocSecurity>
  <Lines>353</Lines>
  <Paragraphs>132</Paragraphs>
  <ScaleCrop>false</ScaleCrop>
  <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60/17</dc:title>
  <dc:creator/>
  <cp:lastModifiedBy/>
  <cp:revision>1</cp:revision>
  <dcterms:created xsi:type="dcterms:W3CDTF">2017-11-02T18:31:00Z</dcterms:created>
  <dcterms:modified xsi:type="dcterms:W3CDTF">2017-11-02T18:31:00Z</dcterms:modified>
</cp:coreProperties>
</file>