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777C37" w:rsidRDefault="006311DA" w:rsidP="00627C9F">
      <w:pPr>
        <w:jc w:val="both"/>
        <w:rPr>
          <w:rFonts w:asciiTheme="majorHAnsi" w:hAnsiTheme="majorHAnsi" w:cs="Univers"/>
          <w:b/>
          <w:bCs/>
          <w:sz w:val="22"/>
          <w:szCs w:val="22"/>
        </w:rPr>
      </w:pPr>
      <w:bookmarkStart w:id="0" w:name="_GoBack"/>
      <w:bookmarkEnd w:id="0"/>
      <w:r w:rsidRPr="00777C3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B4C8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77C3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B33F6" w:rsidRDefault="003B33F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B33F6" w:rsidRDefault="003B33F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77C37" w:rsidRDefault="00040C3A" w:rsidP="00040C3A">
      <w:pPr>
        <w:tabs>
          <w:tab w:val="center" w:pos="5400"/>
        </w:tabs>
        <w:suppressAutoHyphens/>
        <w:jc w:val="both"/>
        <w:rPr>
          <w:rFonts w:asciiTheme="majorHAnsi" w:hAnsiTheme="majorHAnsi"/>
          <w:sz w:val="22"/>
          <w:szCs w:val="22"/>
        </w:rPr>
      </w:pPr>
    </w:p>
    <w:p w14:paraId="54AC1FBF" w14:textId="77777777" w:rsidR="00040C3A" w:rsidRPr="00777C37" w:rsidRDefault="00040C3A" w:rsidP="00040C3A">
      <w:pPr>
        <w:tabs>
          <w:tab w:val="center" w:pos="5400"/>
        </w:tabs>
        <w:suppressAutoHyphens/>
        <w:jc w:val="both"/>
        <w:rPr>
          <w:rFonts w:asciiTheme="majorHAnsi" w:hAnsiTheme="majorHAnsi"/>
          <w:sz w:val="22"/>
          <w:szCs w:val="22"/>
        </w:rPr>
      </w:pPr>
    </w:p>
    <w:p w14:paraId="6A4AC464" w14:textId="77777777" w:rsidR="005128E4" w:rsidRPr="00777C37" w:rsidRDefault="005128E4" w:rsidP="00040C3A">
      <w:pPr>
        <w:tabs>
          <w:tab w:val="center" w:pos="5400"/>
        </w:tabs>
        <w:suppressAutoHyphens/>
        <w:rPr>
          <w:rFonts w:asciiTheme="majorHAnsi" w:hAnsiTheme="majorHAnsi"/>
          <w:sz w:val="22"/>
          <w:szCs w:val="22"/>
        </w:rPr>
      </w:pPr>
    </w:p>
    <w:p w14:paraId="515D20A5" w14:textId="77777777" w:rsidR="005128E4" w:rsidRPr="00777C37" w:rsidRDefault="005128E4" w:rsidP="00040C3A">
      <w:pPr>
        <w:tabs>
          <w:tab w:val="center" w:pos="5400"/>
        </w:tabs>
        <w:suppressAutoHyphens/>
        <w:rPr>
          <w:rFonts w:asciiTheme="majorHAnsi" w:hAnsiTheme="majorHAnsi"/>
          <w:sz w:val="22"/>
          <w:szCs w:val="22"/>
        </w:rPr>
      </w:pPr>
    </w:p>
    <w:p w14:paraId="7CBA3E7E" w14:textId="77777777" w:rsidR="005128E4" w:rsidRPr="00777C37" w:rsidRDefault="005128E4" w:rsidP="00040C3A">
      <w:pPr>
        <w:tabs>
          <w:tab w:val="center" w:pos="5400"/>
        </w:tabs>
        <w:suppressAutoHyphens/>
        <w:rPr>
          <w:rFonts w:asciiTheme="majorHAnsi" w:hAnsiTheme="majorHAnsi"/>
          <w:sz w:val="22"/>
          <w:szCs w:val="22"/>
        </w:rPr>
      </w:pPr>
    </w:p>
    <w:p w14:paraId="0FFC5ED6" w14:textId="77777777" w:rsidR="00040C3A" w:rsidRPr="00777C37" w:rsidRDefault="00040C3A" w:rsidP="005128E4">
      <w:pPr>
        <w:tabs>
          <w:tab w:val="center" w:pos="5400"/>
        </w:tabs>
        <w:suppressAutoHyphens/>
        <w:jc w:val="center"/>
        <w:rPr>
          <w:rFonts w:asciiTheme="majorHAnsi" w:hAnsiTheme="majorHAnsi"/>
          <w:sz w:val="22"/>
          <w:szCs w:val="22"/>
        </w:rPr>
      </w:pPr>
    </w:p>
    <w:p w14:paraId="5FCF0358" w14:textId="77777777" w:rsidR="00040C3A" w:rsidRPr="00777C37" w:rsidRDefault="00040C3A" w:rsidP="005128E4">
      <w:pPr>
        <w:tabs>
          <w:tab w:val="center" w:pos="5400"/>
        </w:tabs>
        <w:suppressAutoHyphens/>
        <w:jc w:val="center"/>
        <w:rPr>
          <w:rFonts w:asciiTheme="majorHAnsi" w:hAnsiTheme="majorHAnsi"/>
          <w:sz w:val="22"/>
          <w:szCs w:val="22"/>
        </w:rPr>
      </w:pPr>
    </w:p>
    <w:p w14:paraId="23C02B60" w14:textId="77777777" w:rsidR="005B52B0" w:rsidRPr="00777C37" w:rsidRDefault="005B52B0" w:rsidP="005128E4">
      <w:pPr>
        <w:tabs>
          <w:tab w:val="center" w:pos="5400"/>
        </w:tabs>
        <w:suppressAutoHyphens/>
        <w:jc w:val="center"/>
        <w:rPr>
          <w:rFonts w:asciiTheme="majorHAnsi" w:hAnsiTheme="majorHAnsi"/>
          <w:sz w:val="22"/>
          <w:szCs w:val="22"/>
        </w:rPr>
      </w:pPr>
    </w:p>
    <w:p w14:paraId="1E4CC4A3" w14:textId="77777777" w:rsidR="005B52B0" w:rsidRPr="00777C37" w:rsidRDefault="005B52B0" w:rsidP="005128E4">
      <w:pPr>
        <w:tabs>
          <w:tab w:val="center" w:pos="5400"/>
        </w:tabs>
        <w:suppressAutoHyphens/>
        <w:jc w:val="center"/>
        <w:rPr>
          <w:rFonts w:asciiTheme="majorHAnsi" w:hAnsiTheme="majorHAnsi"/>
          <w:sz w:val="22"/>
          <w:szCs w:val="22"/>
        </w:rPr>
      </w:pPr>
    </w:p>
    <w:p w14:paraId="022074FD" w14:textId="77777777" w:rsidR="005B52B0" w:rsidRPr="00777C37" w:rsidRDefault="005B52B0" w:rsidP="005128E4">
      <w:pPr>
        <w:tabs>
          <w:tab w:val="center" w:pos="5400"/>
        </w:tabs>
        <w:suppressAutoHyphens/>
        <w:jc w:val="center"/>
        <w:rPr>
          <w:rFonts w:asciiTheme="majorHAnsi" w:hAnsiTheme="majorHAnsi"/>
          <w:sz w:val="22"/>
          <w:szCs w:val="22"/>
        </w:rPr>
      </w:pPr>
    </w:p>
    <w:p w14:paraId="3234C43C" w14:textId="77777777" w:rsidR="00040C3A" w:rsidRPr="00777C37" w:rsidRDefault="00040C3A" w:rsidP="00040C3A">
      <w:pPr>
        <w:tabs>
          <w:tab w:val="center" w:pos="5400"/>
        </w:tabs>
        <w:suppressAutoHyphens/>
        <w:jc w:val="center"/>
        <w:rPr>
          <w:rFonts w:asciiTheme="majorHAnsi" w:hAnsiTheme="majorHAnsi"/>
          <w:sz w:val="22"/>
          <w:szCs w:val="22"/>
        </w:rPr>
      </w:pPr>
    </w:p>
    <w:p w14:paraId="2D58FFBA" w14:textId="77777777" w:rsidR="00040C3A" w:rsidRPr="00777C37" w:rsidRDefault="00040C3A" w:rsidP="00040C3A">
      <w:pPr>
        <w:tabs>
          <w:tab w:val="center" w:pos="5400"/>
        </w:tabs>
        <w:suppressAutoHyphens/>
        <w:jc w:val="center"/>
        <w:rPr>
          <w:rFonts w:asciiTheme="majorHAnsi" w:hAnsiTheme="majorHAnsi"/>
          <w:sz w:val="22"/>
          <w:szCs w:val="22"/>
        </w:rPr>
      </w:pPr>
    </w:p>
    <w:p w14:paraId="4A574974" w14:textId="77777777" w:rsidR="00040C3A" w:rsidRPr="00777C37" w:rsidRDefault="00040C3A" w:rsidP="00040C3A">
      <w:pPr>
        <w:tabs>
          <w:tab w:val="center" w:pos="5400"/>
        </w:tabs>
        <w:suppressAutoHyphens/>
        <w:jc w:val="center"/>
        <w:rPr>
          <w:rFonts w:asciiTheme="majorHAnsi" w:hAnsiTheme="majorHAnsi"/>
          <w:sz w:val="22"/>
          <w:szCs w:val="22"/>
        </w:rPr>
      </w:pPr>
    </w:p>
    <w:p w14:paraId="11A9BA8A" w14:textId="77777777" w:rsidR="00040C3A" w:rsidRPr="00777C37" w:rsidRDefault="00E533FF" w:rsidP="00040C3A">
      <w:pPr>
        <w:tabs>
          <w:tab w:val="center" w:pos="5400"/>
        </w:tabs>
        <w:suppressAutoHyphens/>
        <w:jc w:val="center"/>
        <w:rPr>
          <w:rFonts w:asciiTheme="majorHAnsi" w:hAnsiTheme="majorHAnsi"/>
          <w:sz w:val="22"/>
          <w:szCs w:val="22"/>
        </w:rPr>
      </w:pPr>
      <w:r w:rsidRPr="00777C3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0FCEC67">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992047F" w:rsidR="003B33F6" w:rsidRPr="004B7EB6" w:rsidRDefault="003B33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17ED2">
                              <w:rPr>
                                <w:rFonts w:asciiTheme="majorHAnsi" w:hAnsiTheme="majorHAnsi" w:cs="Arial"/>
                                <w:b/>
                                <w:bCs/>
                                <w:color w:val="0D0D0D" w:themeColor="text1" w:themeTint="F2"/>
                                <w:sz w:val="36"/>
                                <w:szCs w:val="40"/>
                              </w:rPr>
                              <w:t>116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9F0705D" w:rsidR="003B33F6" w:rsidRPr="004B7EB6" w:rsidRDefault="003B33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1780-10</w:t>
                            </w:r>
                          </w:p>
                          <w:p w14:paraId="34978E5A" w14:textId="40F98098" w:rsidR="003B33F6" w:rsidRPr="004B7EB6" w:rsidRDefault="003B33F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B33F6" w:rsidRPr="004B7EB6" w:rsidRDefault="003B33F6" w:rsidP="004B7EB6">
                            <w:pPr>
                              <w:spacing w:line="276" w:lineRule="auto"/>
                              <w:rPr>
                                <w:rFonts w:asciiTheme="majorHAnsi" w:hAnsiTheme="majorHAnsi" w:cs="Arial"/>
                                <w:color w:val="0D0D0D" w:themeColor="text1" w:themeTint="F2"/>
                                <w:szCs w:val="22"/>
                              </w:rPr>
                            </w:pPr>
                          </w:p>
                          <w:p w14:paraId="7A73D628" w14:textId="5F55A72E" w:rsidR="003B33F6" w:rsidRPr="004B625D" w:rsidRDefault="003B33F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CARLOS FERNANDO BALLIVIAN JIMÉNEZ</w:t>
                            </w:r>
                          </w:p>
                          <w:p w14:paraId="48EBC31A" w14:textId="121AF4B9" w:rsidR="003B33F6" w:rsidRPr="004B625D" w:rsidRDefault="003B33F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3B33F6" w:rsidRPr="000C4365" w:rsidRDefault="003B33F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CkZjS0&#10;fwIAAGoFAAAOAAAAAAAAAAAAAAAAAC4CAABkcnMvZTJvRG9jLnhtbFBLAQItABQABgAIAAAAIQD1&#10;6VmF4QAAAAoBAAAPAAAAAAAAAAAAAAAAANkEAABkcnMvZG93bnJldi54bWxQSwUGAAAAAAQABADz&#10;AAAA5wUAAAAA&#10;" filled="f" stroked="f" strokeweight=".5pt">
                <v:textbox>
                  <w:txbxContent>
                    <w:p w14:paraId="6F7C2188" w14:textId="1992047F" w:rsidR="003B33F6" w:rsidRPr="004B7EB6" w:rsidRDefault="003B33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17ED2">
                        <w:rPr>
                          <w:rFonts w:asciiTheme="majorHAnsi" w:hAnsiTheme="majorHAnsi" w:cs="Arial"/>
                          <w:b/>
                          <w:bCs/>
                          <w:color w:val="0D0D0D" w:themeColor="text1" w:themeTint="F2"/>
                          <w:sz w:val="36"/>
                          <w:szCs w:val="40"/>
                        </w:rPr>
                        <w:t>116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9F0705D" w:rsidR="003B33F6" w:rsidRPr="004B7EB6" w:rsidRDefault="003B33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1780-10</w:t>
                      </w:r>
                    </w:p>
                    <w:p w14:paraId="34978E5A" w14:textId="40F98098" w:rsidR="003B33F6" w:rsidRPr="004B7EB6" w:rsidRDefault="003B33F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B33F6" w:rsidRPr="004B7EB6" w:rsidRDefault="003B33F6" w:rsidP="004B7EB6">
                      <w:pPr>
                        <w:spacing w:line="276" w:lineRule="auto"/>
                        <w:rPr>
                          <w:rFonts w:asciiTheme="majorHAnsi" w:hAnsiTheme="majorHAnsi" w:cs="Arial"/>
                          <w:color w:val="0D0D0D" w:themeColor="text1" w:themeTint="F2"/>
                          <w:szCs w:val="22"/>
                        </w:rPr>
                      </w:pPr>
                    </w:p>
                    <w:p w14:paraId="7A73D628" w14:textId="5F55A72E" w:rsidR="003B33F6" w:rsidRPr="004B625D" w:rsidRDefault="003B33F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CARLOS FERNANDO BALLIVIAN JIMÉNEZ</w:t>
                      </w:r>
                    </w:p>
                    <w:p w14:paraId="48EBC31A" w14:textId="121AF4B9" w:rsidR="003B33F6" w:rsidRPr="004B625D" w:rsidRDefault="003B33F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3B33F6" w:rsidRPr="000C4365" w:rsidRDefault="003B33F6" w:rsidP="00F42B71">
                      <w:pPr>
                        <w:spacing w:line="276" w:lineRule="auto"/>
                        <w:rPr>
                          <w:rFonts w:asciiTheme="majorHAnsi" w:hAnsiTheme="majorHAnsi"/>
                          <w:color w:val="0D0D0D" w:themeColor="text1" w:themeTint="F2"/>
                        </w:rPr>
                      </w:pPr>
                    </w:p>
                  </w:txbxContent>
                </v:textbox>
              </v:shape>
            </w:pict>
          </mc:Fallback>
        </mc:AlternateContent>
      </w:r>
      <w:r w:rsidR="004B7EB6" w:rsidRPr="00777C3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DCB0748" w:rsidR="003B33F6" w:rsidRPr="00517ED2" w:rsidRDefault="003B33F6" w:rsidP="009E566A">
                            <w:pPr>
                              <w:jc w:val="right"/>
                              <w:rPr>
                                <w:rFonts w:asciiTheme="minorHAnsi" w:hAnsiTheme="minorHAnsi"/>
                                <w:color w:val="FFFFFF" w:themeColor="background1"/>
                                <w:sz w:val="22"/>
                                <w:lang w:val="pt-BR"/>
                              </w:rPr>
                            </w:pPr>
                            <w:r w:rsidRPr="00517ED2">
                              <w:rPr>
                                <w:rFonts w:asciiTheme="minorHAnsi" w:hAnsiTheme="minorHAnsi"/>
                                <w:color w:val="FFFFFF" w:themeColor="background1"/>
                                <w:sz w:val="22"/>
                                <w:lang w:val="pt-BR"/>
                              </w:rPr>
                              <w:t>OEA/Ser.L/V/II.</w:t>
                            </w:r>
                          </w:p>
                          <w:p w14:paraId="4AA08A8C" w14:textId="22864C67" w:rsidR="003B33F6" w:rsidRPr="00517ED2" w:rsidRDefault="00517ED2" w:rsidP="009E566A">
                            <w:pPr>
                              <w:jc w:val="right"/>
                              <w:rPr>
                                <w:rFonts w:asciiTheme="minorHAnsi" w:hAnsiTheme="minorHAnsi"/>
                                <w:color w:val="FFFFFF" w:themeColor="background1"/>
                                <w:sz w:val="22"/>
                                <w:lang w:val="pt-BR"/>
                              </w:rPr>
                            </w:pPr>
                            <w:r w:rsidRPr="00517ED2">
                              <w:rPr>
                                <w:rFonts w:asciiTheme="minorHAnsi" w:hAnsiTheme="minorHAnsi"/>
                                <w:color w:val="FFFFFF" w:themeColor="background1"/>
                                <w:sz w:val="22"/>
                                <w:lang w:val="pt-BR"/>
                              </w:rPr>
                              <w:t>Doc. 125</w:t>
                            </w:r>
                          </w:p>
                          <w:p w14:paraId="0BEFF61A" w14:textId="37B38698" w:rsidR="003B33F6" w:rsidRPr="00517ED2" w:rsidRDefault="00517ED2" w:rsidP="009E566A">
                            <w:pPr>
                              <w:jc w:val="right"/>
                              <w:rPr>
                                <w:rFonts w:asciiTheme="minorHAnsi" w:hAnsiTheme="minorHAnsi"/>
                                <w:color w:val="FFFFFF" w:themeColor="background1"/>
                                <w:sz w:val="22"/>
                              </w:rPr>
                            </w:pPr>
                            <w:r w:rsidRPr="00517ED2">
                              <w:rPr>
                                <w:rFonts w:asciiTheme="minorHAnsi" w:hAnsiTheme="minorHAnsi"/>
                                <w:color w:val="FFFFFF" w:themeColor="background1"/>
                                <w:sz w:val="22"/>
                              </w:rPr>
                              <w:t>3 July 2019</w:t>
                            </w:r>
                          </w:p>
                          <w:p w14:paraId="0FC103BD" w14:textId="31DFC907" w:rsidR="003B33F6" w:rsidRPr="00517ED2" w:rsidRDefault="003B33F6" w:rsidP="009E566A">
                            <w:pPr>
                              <w:jc w:val="right"/>
                              <w:rPr>
                                <w:rFonts w:asciiTheme="minorHAnsi" w:hAnsiTheme="minorHAnsi"/>
                                <w:color w:val="FFFFFF" w:themeColor="background1"/>
                                <w:sz w:val="22"/>
                              </w:rPr>
                            </w:pPr>
                            <w:r w:rsidRPr="00517ED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DCB0748" w:rsidR="003B33F6" w:rsidRPr="00517ED2" w:rsidRDefault="003B33F6" w:rsidP="009E566A">
                      <w:pPr>
                        <w:jc w:val="right"/>
                        <w:rPr>
                          <w:rFonts w:asciiTheme="minorHAnsi" w:hAnsiTheme="minorHAnsi"/>
                          <w:color w:val="FFFFFF" w:themeColor="background1"/>
                          <w:sz w:val="22"/>
                          <w:lang w:val="pt-BR"/>
                        </w:rPr>
                      </w:pPr>
                      <w:r w:rsidRPr="00517ED2">
                        <w:rPr>
                          <w:rFonts w:asciiTheme="minorHAnsi" w:hAnsiTheme="minorHAnsi"/>
                          <w:color w:val="FFFFFF" w:themeColor="background1"/>
                          <w:sz w:val="22"/>
                          <w:lang w:val="pt-BR"/>
                        </w:rPr>
                        <w:t>OEA/Ser.L/V/II.</w:t>
                      </w:r>
                    </w:p>
                    <w:p w14:paraId="4AA08A8C" w14:textId="22864C67" w:rsidR="003B33F6" w:rsidRPr="00517ED2" w:rsidRDefault="00517ED2" w:rsidP="009E566A">
                      <w:pPr>
                        <w:jc w:val="right"/>
                        <w:rPr>
                          <w:rFonts w:asciiTheme="minorHAnsi" w:hAnsiTheme="minorHAnsi"/>
                          <w:color w:val="FFFFFF" w:themeColor="background1"/>
                          <w:sz w:val="22"/>
                          <w:lang w:val="pt-BR"/>
                        </w:rPr>
                      </w:pPr>
                      <w:r w:rsidRPr="00517ED2">
                        <w:rPr>
                          <w:rFonts w:asciiTheme="minorHAnsi" w:hAnsiTheme="minorHAnsi"/>
                          <w:color w:val="FFFFFF" w:themeColor="background1"/>
                          <w:sz w:val="22"/>
                          <w:lang w:val="pt-BR"/>
                        </w:rPr>
                        <w:t>Doc. 125</w:t>
                      </w:r>
                    </w:p>
                    <w:p w14:paraId="0BEFF61A" w14:textId="37B38698" w:rsidR="003B33F6" w:rsidRPr="00517ED2" w:rsidRDefault="00517ED2" w:rsidP="009E566A">
                      <w:pPr>
                        <w:jc w:val="right"/>
                        <w:rPr>
                          <w:rFonts w:asciiTheme="minorHAnsi" w:hAnsiTheme="minorHAnsi"/>
                          <w:color w:val="FFFFFF" w:themeColor="background1"/>
                          <w:sz w:val="22"/>
                        </w:rPr>
                      </w:pPr>
                      <w:r w:rsidRPr="00517ED2">
                        <w:rPr>
                          <w:rFonts w:asciiTheme="minorHAnsi" w:hAnsiTheme="minorHAnsi"/>
                          <w:color w:val="FFFFFF" w:themeColor="background1"/>
                          <w:sz w:val="22"/>
                        </w:rPr>
                        <w:t>3 July 2019</w:t>
                      </w:r>
                    </w:p>
                    <w:p w14:paraId="0FC103BD" w14:textId="31DFC907" w:rsidR="003B33F6" w:rsidRPr="00517ED2" w:rsidRDefault="003B33F6" w:rsidP="009E566A">
                      <w:pPr>
                        <w:jc w:val="right"/>
                        <w:rPr>
                          <w:rFonts w:asciiTheme="minorHAnsi" w:hAnsiTheme="minorHAnsi"/>
                          <w:color w:val="FFFFFF" w:themeColor="background1"/>
                          <w:sz w:val="22"/>
                        </w:rPr>
                      </w:pPr>
                      <w:r w:rsidRPr="00517ED2">
                        <w:rPr>
                          <w:rFonts w:asciiTheme="minorHAnsi" w:hAnsiTheme="minorHAnsi"/>
                          <w:color w:val="FFFFFF" w:themeColor="background1"/>
                          <w:sz w:val="22"/>
                        </w:rPr>
                        <w:t>Original: Spanish</w:t>
                      </w:r>
                    </w:p>
                  </w:txbxContent>
                </v:textbox>
              </v:shape>
            </w:pict>
          </mc:Fallback>
        </mc:AlternateContent>
      </w:r>
    </w:p>
    <w:p w14:paraId="3765F9FA" w14:textId="77777777" w:rsidR="00040C3A" w:rsidRPr="00777C37" w:rsidRDefault="00040C3A" w:rsidP="00040C3A">
      <w:pPr>
        <w:tabs>
          <w:tab w:val="center" w:pos="5400"/>
        </w:tabs>
        <w:suppressAutoHyphens/>
        <w:jc w:val="center"/>
        <w:rPr>
          <w:rFonts w:asciiTheme="majorHAnsi" w:hAnsiTheme="majorHAnsi"/>
          <w:sz w:val="22"/>
          <w:szCs w:val="22"/>
        </w:rPr>
      </w:pPr>
    </w:p>
    <w:p w14:paraId="5E33CE59" w14:textId="77777777" w:rsidR="00040C3A" w:rsidRPr="00777C3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77C37" w:rsidRDefault="00040C3A" w:rsidP="00040C3A">
      <w:pPr>
        <w:tabs>
          <w:tab w:val="center" w:pos="5400"/>
        </w:tabs>
        <w:suppressAutoHyphens/>
        <w:jc w:val="center"/>
        <w:rPr>
          <w:rFonts w:asciiTheme="majorHAnsi" w:hAnsiTheme="majorHAnsi"/>
          <w:sz w:val="22"/>
          <w:szCs w:val="22"/>
        </w:rPr>
      </w:pPr>
    </w:p>
    <w:p w14:paraId="43677EE2" w14:textId="77777777" w:rsidR="00040C3A" w:rsidRPr="00777C37" w:rsidRDefault="00040C3A" w:rsidP="00040C3A">
      <w:pPr>
        <w:tabs>
          <w:tab w:val="center" w:pos="5400"/>
        </w:tabs>
        <w:suppressAutoHyphens/>
        <w:jc w:val="center"/>
        <w:rPr>
          <w:rFonts w:asciiTheme="majorHAnsi" w:hAnsiTheme="majorHAnsi"/>
          <w:sz w:val="22"/>
          <w:szCs w:val="22"/>
        </w:rPr>
      </w:pPr>
    </w:p>
    <w:p w14:paraId="747B776B" w14:textId="77777777" w:rsidR="00040C3A" w:rsidRPr="00777C37" w:rsidRDefault="00040C3A" w:rsidP="00040C3A">
      <w:pPr>
        <w:tabs>
          <w:tab w:val="center" w:pos="5400"/>
        </w:tabs>
        <w:suppressAutoHyphens/>
        <w:jc w:val="center"/>
        <w:rPr>
          <w:rFonts w:asciiTheme="majorHAnsi" w:hAnsiTheme="majorHAnsi"/>
          <w:sz w:val="22"/>
          <w:szCs w:val="22"/>
        </w:rPr>
      </w:pPr>
    </w:p>
    <w:p w14:paraId="3FA14379" w14:textId="77777777" w:rsidR="00040C3A" w:rsidRPr="00777C37" w:rsidRDefault="00040C3A" w:rsidP="00040C3A">
      <w:pPr>
        <w:tabs>
          <w:tab w:val="center" w:pos="5400"/>
        </w:tabs>
        <w:suppressAutoHyphens/>
        <w:jc w:val="center"/>
        <w:rPr>
          <w:rFonts w:asciiTheme="majorHAnsi" w:hAnsiTheme="majorHAnsi"/>
          <w:sz w:val="22"/>
          <w:szCs w:val="22"/>
        </w:rPr>
      </w:pPr>
    </w:p>
    <w:p w14:paraId="28A65FAF" w14:textId="77777777" w:rsidR="005128E4" w:rsidRPr="00777C37" w:rsidRDefault="005128E4" w:rsidP="00040C3A">
      <w:pPr>
        <w:tabs>
          <w:tab w:val="center" w:pos="5400"/>
        </w:tabs>
        <w:suppressAutoHyphens/>
        <w:jc w:val="center"/>
        <w:rPr>
          <w:rFonts w:asciiTheme="majorHAnsi" w:hAnsiTheme="majorHAnsi"/>
          <w:sz w:val="22"/>
          <w:szCs w:val="22"/>
        </w:rPr>
      </w:pPr>
    </w:p>
    <w:p w14:paraId="11B1978A" w14:textId="77777777" w:rsidR="00040C3A" w:rsidRPr="00777C37" w:rsidRDefault="00040C3A" w:rsidP="00040C3A">
      <w:pPr>
        <w:tabs>
          <w:tab w:val="center" w:pos="5400"/>
        </w:tabs>
        <w:suppressAutoHyphens/>
        <w:jc w:val="center"/>
        <w:rPr>
          <w:rFonts w:asciiTheme="majorHAnsi" w:hAnsiTheme="majorHAnsi"/>
          <w:sz w:val="22"/>
          <w:szCs w:val="22"/>
        </w:rPr>
      </w:pPr>
    </w:p>
    <w:p w14:paraId="650F503D" w14:textId="77777777" w:rsidR="005128E4" w:rsidRPr="00777C37" w:rsidRDefault="005128E4" w:rsidP="00040C3A">
      <w:pPr>
        <w:tabs>
          <w:tab w:val="center" w:pos="5400"/>
        </w:tabs>
        <w:suppressAutoHyphens/>
        <w:jc w:val="center"/>
        <w:rPr>
          <w:rFonts w:asciiTheme="majorHAnsi" w:hAnsiTheme="majorHAnsi"/>
          <w:sz w:val="22"/>
          <w:szCs w:val="22"/>
        </w:rPr>
      </w:pPr>
    </w:p>
    <w:p w14:paraId="17861C77" w14:textId="77777777" w:rsidR="005128E4" w:rsidRPr="00777C37" w:rsidRDefault="005128E4" w:rsidP="00040C3A">
      <w:pPr>
        <w:tabs>
          <w:tab w:val="center" w:pos="5400"/>
        </w:tabs>
        <w:suppressAutoHyphens/>
        <w:jc w:val="center"/>
        <w:rPr>
          <w:rFonts w:asciiTheme="majorHAnsi" w:hAnsiTheme="majorHAnsi"/>
          <w:sz w:val="22"/>
          <w:szCs w:val="22"/>
        </w:rPr>
      </w:pPr>
    </w:p>
    <w:p w14:paraId="0EFEAEB7" w14:textId="77777777" w:rsidR="005128E4" w:rsidRPr="00777C37" w:rsidRDefault="005128E4" w:rsidP="00040C3A">
      <w:pPr>
        <w:tabs>
          <w:tab w:val="center" w:pos="5400"/>
        </w:tabs>
        <w:suppressAutoHyphens/>
        <w:jc w:val="center"/>
        <w:rPr>
          <w:rFonts w:asciiTheme="majorHAnsi" w:hAnsiTheme="majorHAnsi"/>
          <w:sz w:val="22"/>
          <w:szCs w:val="22"/>
        </w:rPr>
      </w:pPr>
    </w:p>
    <w:p w14:paraId="5B815FC5" w14:textId="77777777" w:rsidR="00040C3A" w:rsidRPr="00777C37" w:rsidRDefault="00040C3A" w:rsidP="00040C3A">
      <w:pPr>
        <w:tabs>
          <w:tab w:val="center" w:pos="5400"/>
        </w:tabs>
        <w:suppressAutoHyphens/>
        <w:jc w:val="center"/>
        <w:rPr>
          <w:rFonts w:asciiTheme="majorHAnsi" w:hAnsiTheme="majorHAnsi"/>
          <w:sz w:val="22"/>
          <w:szCs w:val="22"/>
        </w:rPr>
      </w:pPr>
    </w:p>
    <w:p w14:paraId="0D43F8BD" w14:textId="77777777" w:rsidR="00040C3A" w:rsidRPr="00777C37" w:rsidRDefault="00040C3A" w:rsidP="00040C3A">
      <w:pPr>
        <w:tabs>
          <w:tab w:val="center" w:pos="5400"/>
        </w:tabs>
        <w:suppressAutoHyphens/>
        <w:jc w:val="center"/>
        <w:rPr>
          <w:rFonts w:asciiTheme="majorHAnsi" w:hAnsiTheme="majorHAnsi"/>
          <w:sz w:val="22"/>
          <w:szCs w:val="22"/>
        </w:rPr>
      </w:pPr>
    </w:p>
    <w:p w14:paraId="03AA1AEB" w14:textId="77777777" w:rsidR="002C1641" w:rsidRPr="00777C37" w:rsidRDefault="002C1641" w:rsidP="00040C3A">
      <w:pPr>
        <w:tabs>
          <w:tab w:val="center" w:pos="5400"/>
        </w:tabs>
        <w:suppressAutoHyphens/>
        <w:jc w:val="center"/>
        <w:rPr>
          <w:rFonts w:asciiTheme="majorHAnsi" w:hAnsiTheme="majorHAnsi"/>
          <w:sz w:val="18"/>
          <w:szCs w:val="22"/>
        </w:rPr>
      </w:pPr>
    </w:p>
    <w:p w14:paraId="2FD75BF3" w14:textId="77777777" w:rsidR="002C1641" w:rsidRPr="00777C37" w:rsidRDefault="002C1641" w:rsidP="00040C3A">
      <w:pPr>
        <w:tabs>
          <w:tab w:val="center" w:pos="5400"/>
        </w:tabs>
        <w:suppressAutoHyphens/>
        <w:jc w:val="center"/>
        <w:rPr>
          <w:rFonts w:asciiTheme="majorHAnsi" w:hAnsiTheme="majorHAnsi"/>
          <w:sz w:val="18"/>
          <w:szCs w:val="22"/>
        </w:rPr>
      </w:pPr>
    </w:p>
    <w:p w14:paraId="73EF440E" w14:textId="77777777" w:rsidR="002C1641" w:rsidRPr="00777C37" w:rsidRDefault="002C1641" w:rsidP="00040C3A">
      <w:pPr>
        <w:tabs>
          <w:tab w:val="center" w:pos="5400"/>
        </w:tabs>
        <w:suppressAutoHyphens/>
        <w:jc w:val="center"/>
        <w:rPr>
          <w:rFonts w:asciiTheme="majorHAnsi" w:hAnsiTheme="majorHAnsi"/>
          <w:sz w:val="18"/>
          <w:szCs w:val="22"/>
        </w:rPr>
      </w:pPr>
    </w:p>
    <w:p w14:paraId="3D12B191" w14:textId="77777777" w:rsidR="002C1641" w:rsidRPr="00777C37" w:rsidRDefault="002C1641" w:rsidP="00040C3A">
      <w:pPr>
        <w:tabs>
          <w:tab w:val="center" w:pos="5400"/>
        </w:tabs>
        <w:suppressAutoHyphens/>
        <w:jc w:val="center"/>
        <w:rPr>
          <w:rFonts w:asciiTheme="majorHAnsi" w:hAnsiTheme="majorHAnsi"/>
          <w:sz w:val="18"/>
          <w:szCs w:val="22"/>
        </w:rPr>
      </w:pPr>
    </w:p>
    <w:p w14:paraId="1132D17C" w14:textId="77777777" w:rsidR="002C1641" w:rsidRPr="00777C37" w:rsidRDefault="002C1641" w:rsidP="00040C3A">
      <w:pPr>
        <w:tabs>
          <w:tab w:val="center" w:pos="5400"/>
        </w:tabs>
        <w:suppressAutoHyphens/>
        <w:jc w:val="center"/>
        <w:rPr>
          <w:rFonts w:asciiTheme="majorHAnsi" w:hAnsiTheme="majorHAnsi"/>
          <w:sz w:val="18"/>
          <w:szCs w:val="22"/>
        </w:rPr>
      </w:pPr>
    </w:p>
    <w:p w14:paraId="659B324C" w14:textId="77777777" w:rsidR="002C1641" w:rsidRPr="00777C37" w:rsidRDefault="002C1641" w:rsidP="00040C3A">
      <w:pPr>
        <w:tabs>
          <w:tab w:val="center" w:pos="5400"/>
        </w:tabs>
        <w:suppressAutoHyphens/>
        <w:jc w:val="center"/>
        <w:rPr>
          <w:rFonts w:asciiTheme="majorHAnsi" w:hAnsiTheme="majorHAnsi"/>
          <w:sz w:val="18"/>
          <w:szCs w:val="22"/>
        </w:rPr>
      </w:pPr>
    </w:p>
    <w:p w14:paraId="0DE58CEA" w14:textId="77777777" w:rsidR="002C1641" w:rsidRPr="00777C37" w:rsidRDefault="002C1641" w:rsidP="00040C3A">
      <w:pPr>
        <w:tabs>
          <w:tab w:val="center" w:pos="5400"/>
        </w:tabs>
        <w:suppressAutoHyphens/>
        <w:jc w:val="center"/>
        <w:rPr>
          <w:rFonts w:asciiTheme="majorHAnsi" w:hAnsiTheme="majorHAnsi"/>
          <w:sz w:val="18"/>
          <w:szCs w:val="22"/>
        </w:rPr>
      </w:pPr>
    </w:p>
    <w:p w14:paraId="3A5BB7C9" w14:textId="77777777" w:rsidR="002C1641" w:rsidRPr="00777C37" w:rsidRDefault="002C1641" w:rsidP="00040C3A">
      <w:pPr>
        <w:tabs>
          <w:tab w:val="center" w:pos="5400"/>
        </w:tabs>
        <w:suppressAutoHyphens/>
        <w:jc w:val="center"/>
        <w:rPr>
          <w:rFonts w:asciiTheme="majorHAnsi" w:hAnsiTheme="majorHAnsi"/>
          <w:sz w:val="18"/>
          <w:szCs w:val="22"/>
        </w:rPr>
      </w:pPr>
    </w:p>
    <w:p w14:paraId="6BA67E7F" w14:textId="3A39BAFA" w:rsidR="002C1641" w:rsidRPr="00777C37" w:rsidRDefault="0027395A" w:rsidP="00040C3A">
      <w:pPr>
        <w:tabs>
          <w:tab w:val="center" w:pos="5400"/>
        </w:tabs>
        <w:suppressAutoHyphens/>
        <w:jc w:val="center"/>
        <w:rPr>
          <w:rFonts w:asciiTheme="majorHAnsi" w:hAnsiTheme="majorHAnsi"/>
          <w:sz w:val="18"/>
          <w:szCs w:val="22"/>
        </w:rPr>
      </w:pPr>
      <w:r w:rsidRPr="00777C3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DABC88A">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022BE" w14:textId="15B50DC8" w:rsidR="003B33F6" w:rsidRPr="003C32BC" w:rsidRDefault="003B33F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17ED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517ED2">
                              <w:rPr>
                                <w:rFonts w:asciiTheme="majorHAnsi" w:hAnsiTheme="majorHAnsi"/>
                                <w:color w:val="0D0D0D" w:themeColor="text1" w:themeTint="F2"/>
                                <w:sz w:val="18"/>
                                <w:szCs w:val="20"/>
                              </w:rPr>
                              <w:t>July 3</w:t>
                            </w:r>
                            <w:r>
                              <w:rPr>
                                <w:rFonts w:asciiTheme="majorHAnsi" w:hAnsiTheme="majorHAnsi"/>
                                <w:color w:val="0D0D0D" w:themeColor="text1" w:themeTint="F2"/>
                                <w:sz w:val="18"/>
                                <w:szCs w:val="20"/>
                              </w:rPr>
                              <w:t>, 2019</w:t>
                            </w:r>
                            <w:r w:rsidR="00292C7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432022BE" w14:textId="15B50DC8" w:rsidR="003B33F6" w:rsidRPr="003C32BC" w:rsidRDefault="003B33F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17ED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517ED2">
                        <w:rPr>
                          <w:rFonts w:asciiTheme="majorHAnsi" w:hAnsiTheme="majorHAnsi"/>
                          <w:color w:val="0D0D0D" w:themeColor="text1" w:themeTint="F2"/>
                          <w:sz w:val="18"/>
                          <w:szCs w:val="20"/>
                        </w:rPr>
                        <w:t>July 3</w:t>
                      </w:r>
                      <w:r>
                        <w:rPr>
                          <w:rFonts w:asciiTheme="majorHAnsi" w:hAnsiTheme="majorHAnsi"/>
                          <w:color w:val="0D0D0D" w:themeColor="text1" w:themeTint="F2"/>
                          <w:sz w:val="18"/>
                          <w:szCs w:val="20"/>
                        </w:rPr>
                        <w:t>, 2019</w:t>
                      </w:r>
                      <w:r w:rsidR="00292C7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6D4FBE3A" w14:textId="77777777" w:rsidR="002C1641" w:rsidRPr="00777C37" w:rsidRDefault="002C1641" w:rsidP="00040C3A">
      <w:pPr>
        <w:tabs>
          <w:tab w:val="center" w:pos="5400"/>
        </w:tabs>
        <w:suppressAutoHyphens/>
        <w:jc w:val="center"/>
        <w:rPr>
          <w:rFonts w:asciiTheme="majorHAnsi" w:hAnsiTheme="majorHAnsi"/>
          <w:sz w:val="18"/>
          <w:szCs w:val="22"/>
        </w:rPr>
      </w:pPr>
    </w:p>
    <w:p w14:paraId="2741AD16" w14:textId="77777777" w:rsidR="002C1641" w:rsidRPr="00777C37" w:rsidRDefault="002C1641" w:rsidP="00040C3A">
      <w:pPr>
        <w:tabs>
          <w:tab w:val="center" w:pos="5400"/>
        </w:tabs>
        <w:suppressAutoHyphens/>
        <w:jc w:val="center"/>
        <w:rPr>
          <w:rFonts w:asciiTheme="majorHAnsi" w:hAnsiTheme="majorHAnsi"/>
          <w:sz w:val="18"/>
          <w:szCs w:val="22"/>
        </w:rPr>
      </w:pPr>
    </w:p>
    <w:p w14:paraId="1D99DBC4" w14:textId="77777777" w:rsidR="002C1641" w:rsidRPr="00777C37" w:rsidRDefault="002C1641" w:rsidP="00040C3A">
      <w:pPr>
        <w:tabs>
          <w:tab w:val="center" w:pos="5400"/>
        </w:tabs>
        <w:suppressAutoHyphens/>
        <w:jc w:val="center"/>
        <w:rPr>
          <w:rFonts w:asciiTheme="majorHAnsi" w:hAnsiTheme="majorHAnsi"/>
          <w:sz w:val="18"/>
          <w:szCs w:val="22"/>
        </w:rPr>
      </w:pPr>
    </w:p>
    <w:p w14:paraId="3290BF94" w14:textId="61F2C9EF" w:rsidR="002C1641" w:rsidRPr="00777C37" w:rsidRDefault="002C1641" w:rsidP="00040C3A">
      <w:pPr>
        <w:tabs>
          <w:tab w:val="center" w:pos="5400"/>
        </w:tabs>
        <w:suppressAutoHyphens/>
        <w:jc w:val="center"/>
        <w:rPr>
          <w:rFonts w:asciiTheme="majorHAnsi" w:hAnsiTheme="majorHAnsi"/>
          <w:sz w:val="18"/>
          <w:szCs w:val="22"/>
        </w:rPr>
      </w:pPr>
    </w:p>
    <w:p w14:paraId="76124E47" w14:textId="77777777" w:rsidR="002C1641" w:rsidRPr="00777C37" w:rsidRDefault="002C1641" w:rsidP="00040C3A">
      <w:pPr>
        <w:tabs>
          <w:tab w:val="center" w:pos="5400"/>
        </w:tabs>
        <w:suppressAutoHyphens/>
        <w:jc w:val="center"/>
        <w:rPr>
          <w:rFonts w:asciiTheme="majorHAnsi" w:hAnsiTheme="majorHAnsi"/>
          <w:sz w:val="18"/>
          <w:szCs w:val="22"/>
        </w:rPr>
      </w:pPr>
    </w:p>
    <w:p w14:paraId="3751FEDE" w14:textId="77777777" w:rsidR="002C1641" w:rsidRPr="00777C37" w:rsidRDefault="002C1641" w:rsidP="00040C3A">
      <w:pPr>
        <w:tabs>
          <w:tab w:val="center" w:pos="5400"/>
        </w:tabs>
        <w:suppressAutoHyphens/>
        <w:jc w:val="center"/>
        <w:rPr>
          <w:rFonts w:asciiTheme="majorHAnsi" w:hAnsiTheme="majorHAnsi"/>
          <w:sz w:val="18"/>
          <w:szCs w:val="22"/>
        </w:rPr>
      </w:pPr>
    </w:p>
    <w:p w14:paraId="5FAB54E7" w14:textId="77777777" w:rsidR="002C1641" w:rsidRPr="00777C37" w:rsidRDefault="002C1641" w:rsidP="00040C3A">
      <w:pPr>
        <w:tabs>
          <w:tab w:val="center" w:pos="5400"/>
        </w:tabs>
        <w:suppressAutoHyphens/>
        <w:jc w:val="center"/>
        <w:rPr>
          <w:rFonts w:asciiTheme="majorHAnsi" w:hAnsiTheme="majorHAnsi"/>
          <w:sz w:val="18"/>
          <w:szCs w:val="22"/>
        </w:rPr>
      </w:pPr>
    </w:p>
    <w:p w14:paraId="4AE4FBFB" w14:textId="77777777" w:rsidR="002C1641" w:rsidRPr="00777C37" w:rsidRDefault="002C1641" w:rsidP="00040C3A">
      <w:pPr>
        <w:tabs>
          <w:tab w:val="center" w:pos="5400"/>
        </w:tabs>
        <w:suppressAutoHyphens/>
        <w:jc w:val="center"/>
        <w:rPr>
          <w:rFonts w:asciiTheme="majorHAnsi" w:hAnsiTheme="majorHAnsi"/>
          <w:sz w:val="18"/>
          <w:szCs w:val="22"/>
        </w:rPr>
      </w:pPr>
    </w:p>
    <w:p w14:paraId="4DA3B2C3" w14:textId="77777777" w:rsidR="002C1641" w:rsidRPr="00777C37" w:rsidRDefault="003C32BC" w:rsidP="00040C3A">
      <w:pPr>
        <w:tabs>
          <w:tab w:val="center" w:pos="5400"/>
        </w:tabs>
        <w:suppressAutoHyphens/>
        <w:jc w:val="center"/>
        <w:rPr>
          <w:rFonts w:asciiTheme="majorHAnsi" w:hAnsiTheme="majorHAnsi"/>
          <w:sz w:val="18"/>
          <w:szCs w:val="22"/>
        </w:rPr>
      </w:pPr>
      <w:r w:rsidRPr="00777C3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F9CCCC9" w:rsidR="003B33F6" w:rsidRPr="003C32BC" w:rsidRDefault="003B33F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17ED2">
                              <w:rPr>
                                <w:rFonts w:asciiTheme="majorHAnsi" w:hAnsiTheme="majorHAnsi"/>
                                <w:color w:val="595959" w:themeColor="text1" w:themeTint="A6"/>
                                <w:sz w:val="18"/>
                              </w:rPr>
                              <w:t>116</w:t>
                            </w:r>
                            <w:r w:rsidR="0024745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1780-10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247458">
                              <w:rPr>
                                <w:rFonts w:ascii="Cambria" w:hAnsi="Cambria"/>
                                <w:color w:val="595959"/>
                                <w:sz w:val="18"/>
                                <w:szCs w:val="18"/>
                              </w:rPr>
                              <w:t xml:space="preserve">Carlos Fernando </w:t>
                            </w:r>
                            <w:proofErr w:type="spellStart"/>
                            <w:r w:rsidRPr="00247458">
                              <w:rPr>
                                <w:rFonts w:ascii="Cambria" w:hAnsi="Cambria"/>
                                <w:color w:val="595959"/>
                                <w:sz w:val="18"/>
                                <w:szCs w:val="18"/>
                              </w:rPr>
                              <w:t>Ballivián</w:t>
                            </w:r>
                            <w:proofErr w:type="spellEnd"/>
                            <w:r w:rsidRPr="00247458">
                              <w:rPr>
                                <w:rFonts w:ascii="Cambria" w:hAnsi="Cambria"/>
                                <w:color w:val="595959"/>
                                <w:sz w:val="18"/>
                                <w:szCs w:val="18"/>
                              </w:rPr>
                              <w:t xml:space="preserve"> Jiménez. Argentina</w:t>
                            </w:r>
                            <w:r>
                              <w:rPr>
                                <w:rFonts w:asciiTheme="majorHAnsi" w:hAnsiTheme="majorHAnsi"/>
                                <w:color w:val="595959" w:themeColor="text1" w:themeTint="A6"/>
                                <w:sz w:val="18"/>
                              </w:rPr>
                              <w:t xml:space="preserve">. </w:t>
                            </w:r>
                            <w:r w:rsidR="00517ED2">
                              <w:rPr>
                                <w:rFonts w:asciiTheme="majorHAnsi" w:hAnsiTheme="majorHAnsi"/>
                                <w:color w:val="595959" w:themeColor="text1" w:themeTint="A6"/>
                                <w:sz w:val="18"/>
                              </w:rPr>
                              <w:t>July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F9CCCC9" w:rsidR="003B33F6" w:rsidRPr="003C32BC" w:rsidRDefault="003B33F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17ED2">
                        <w:rPr>
                          <w:rFonts w:asciiTheme="majorHAnsi" w:hAnsiTheme="majorHAnsi"/>
                          <w:color w:val="595959" w:themeColor="text1" w:themeTint="A6"/>
                          <w:sz w:val="18"/>
                        </w:rPr>
                        <w:t>116</w:t>
                      </w:r>
                      <w:r w:rsidR="0024745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1780-10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247458">
                        <w:rPr>
                          <w:rFonts w:ascii="Cambria" w:hAnsi="Cambria"/>
                          <w:color w:val="595959"/>
                          <w:sz w:val="18"/>
                          <w:szCs w:val="18"/>
                        </w:rPr>
                        <w:t xml:space="preserve">Carlos Fernando </w:t>
                      </w:r>
                      <w:proofErr w:type="spellStart"/>
                      <w:r w:rsidRPr="00247458">
                        <w:rPr>
                          <w:rFonts w:ascii="Cambria" w:hAnsi="Cambria"/>
                          <w:color w:val="595959"/>
                          <w:sz w:val="18"/>
                          <w:szCs w:val="18"/>
                        </w:rPr>
                        <w:t>Ballivián</w:t>
                      </w:r>
                      <w:proofErr w:type="spellEnd"/>
                      <w:r w:rsidRPr="00247458">
                        <w:rPr>
                          <w:rFonts w:ascii="Cambria" w:hAnsi="Cambria"/>
                          <w:color w:val="595959"/>
                          <w:sz w:val="18"/>
                          <w:szCs w:val="18"/>
                        </w:rPr>
                        <w:t xml:space="preserve"> Jiménez. Argentina</w:t>
                      </w:r>
                      <w:r>
                        <w:rPr>
                          <w:rFonts w:asciiTheme="majorHAnsi" w:hAnsiTheme="majorHAnsi"/>
                          <w:color w:val="595959" w:themeColor="text1" w:themeTint="A6"/>
                          <w:sz w:val="18"/>
                        </w:rPr>
                        <w:t xml:space="preserve">. </w:t>
                      </w:r>
                      <w:r w:rsidR="00517ED2">
                        <w:rPr>
                          <w:rFonts w:asciiTheme="majorHAnsi" w:hAnsiTheme="majorHAnsi"/>
                          <w:color w:val="595959" w:themeColor="text1" w:themeTint="A6"/>
                          <w:sz w:val="18"/>
                        </w:rPr>
                        <w:t>July 3, 2019.</w:t>
                      </w:r>
                    </w:p>
                  </w:txbxContent>
                </v:textbox>
              </v:shape>
            </w:pict>
          </mc:Fallback>
        </mc:AlternateContent>
      </w:r>
    </w:p>
    <w:p w14:paraId="1C0DAFDE" w14:textId="77777777" w:rsidR="002C1641" w:rsidRPr="00777C37" w:rsidRDefault="002C1641" w:rsidP="00040C3A">
      <w:pPr>
        <w:tabs>
          <w:tab w:val="center" w:pos="5400"/>
        </w:tabs>
        <w:suppressAutoHyphens/>
        <w:jc w:val="center"/>
        <w:rPr>
          <w:rFonts w:asciiTheme="majorHAnsi" w:hAnsiTheme="majorHAnsi"/>
          <w:sz w:val="18"/>
          <w:szCs w:val="22"/>
        </w:rPr>
      </w:pPr>
    </w:p>
    <w:p w14:paraId="5420A6FF" w14:textId="77777777" w:rsidR="002C1641" w:rsidRPr="00777C37" w:rsidRDefault="002C1641" w:rsidP="00040C3A">
      <w:pPr>
        <w:tabs>
          <w:tab w:val="center" w:pos="5400"/>
        </w:tabs>
        <w:suppressAutoHyphens/>
        <w:jc w:val="center"/>
        <w:rPr>
          <w:rFonts w:asciiTheme="majorHAnsi" w:hAnsiTheme="majorHAnsi"/>
          <w:sz w:val="18"/>
          <w:szCs w:val="22"/>
        </w:rPr>
      </w:pPr>
    </w:p>
    <w:p w14:paraId="03B36C31" w14:textId="77777777" w:rsidR="003C32BC" w:rsidRPr="00777C37" w:rsidRDefault="003C32BC" w:rsidP="003C32BC">
      <w:pPr>
        <w:tabs>
          <w:tab w:val="center" w:pos="5400"/>
        </w:tabs>
        <w:suppressAutoHyphens/>
        <w:jc w:val="center"/>
        <w:rPr>
          <w:rFonts w:asciiTheme="majorHAnsi" w:hAnsiTheme="majorHAnsi"/>
          <w:sz w:val="18"/>
          <w:szCs w:val="22"/>
        </w:rPr>
      </w:pPr>
    </w:p>
    <w:p w14:paraId="154A4854" w14:textId="77777777" w:rsidR="003C32BC" w:rsidRPr="00777C37" w:rsidRDefault="006311DA" w:rsidP="003C32BC">
      <w:pPr>
        <w:tabs>
          <w:tab w:val="center" w:pos="5400"/>
        </w:tabs>
        <w:suppressAutoHyphens/>
        <w:jc w:val="center"/>
        <w:rPr>
          <w:rFonts w:asciiTheme="majorHAnsi" w:hAnsiTheme="majorHAnsi"/>
          <w:sz w:val="18"/>
          <w:szCs w:val="22"/>
        </w:rPr>
      </w:pPr>
      <w:r w:rsidRPr="00777C3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B33F6" w:rsidRPr="004B7EB6" w:rsidRDefault="003B33F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B33F6" w:rsidRPr="004B7EB6" w:rsidRDefault="003B33F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77C3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B33F6" w:rsidRDefault="003B33F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B33F6" w:rsidRDefault="003B33F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777C37" w:rsidRDefault="007607C4" w:rsidP="003C32BC">
      <w:pPr>
        <w:tabs>
          <w:tab w:val="center" w:pos="5400"/>
        </w:tabs>
        <w:suppressAutoHyphens/>
        <w:jc w:val="center"/>
        <w:rPr>
          <w:rFonts w:asciiTheme="majorHAnsi" w:hAnsiTheme="majorHAnsi"/>
          <w:sz w:val="18"/>
          <w:szCs w:val="22"/>
        </w:rPr>
        <w:sectPr w:rsidR="007607C4" w:rsidRPr="00777C3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777C37" w:rsidRDefault="00F621C3" w:rsidP="00F621C3">
      <w:pPr>
        <w:spacing w:after="240"/>
        <w:ind w:firstLine="720"/>
        <w:jc w:val="both"/>
        <w:rPr>
          <w:rFonts w:asciiTheme="majorHAnsi" w:hAnsiTheme="majorHAnsi"/>
          <w:b/>
          <w:bCs/>
          <w:sz w:val="20"/>
          <w:szCs w:val="20"/>
        </w:rPr>
      </w:pPr>
      <w:r w:rsidRPr="00777C37">
        <w:rPr>
          <w:rFonts w:asciiTheme="majorHAnsi" w:hAnsiTheme="majorHAnsi"/>
          <w:b/>
          <w:bCs/>
          <w:sz w:val="20"/>
          <w:szCs w:val="20"/>
        </w:rPr>
        <w:lastRenderedPageBreak/>
        <w:t>I.</w:t>
      </w:r>
      <w:r w:rsidRPr="00777C37">
        <w:rPr>
          <w:rFonts w:asciiTheme="majorHAnsi" w:hAnsiTheme="majorHAnsi"/>
          <w:b/>
          <w:bCs/>
          <w:sz w:val="20"/>
          <w:szCs w:val="20"/>
        </w:rPr>
        <w:tab/>
      </w:r>
      <w:r w:rsidR="00592718" w:rsidRPr="00777C37">
        <w:rPr>
          <w:rFonts w:asciiTheme="majorHAnsi" w:hAnsiTheme="majorHAnsi"/>
          <w:b/>
          <w:bCs/>
          <w:sz w:val="20"/>
          <w:szCs w:val="20"/>
        </w:rPr>
        <w:t>INFORMATION ABOUT THE PETITION</w:t>
      </w:r>
      <w:r w:rsidRPr="00777C3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C3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77C37" w:rsidRDefault="003771A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Petitioner</w:t>
            </w:r>
            <w:r w:rsidR="00F621C3" w:rsidRPr="00777C37">
              <w:rPr>
                <w:rFonts w:ascii="Cambria" w:hAnsi="Cambria"/>
                <w:b/>
                <w:bCs/>
                <w:color w:val="FFFFFF" w:themeColor="background1"/>
                <w:sz w:val="20"/>
                <w:szCs w:val="20"/>
              </w:rPr>
              <w:t>:</w:t>
            </w:r>
          </w:p>
        </w:tc>
        <w:tc>
          <w:tcPr>
            <w:tcW w:w="5670" w:type="dxa"/>
            <w:vAlign w:val="center"/>
          </w:tcPr>
          <w:p w14:paraId="0674C7B8" w14:textId="1ECF5F9B" w:rsidR="00F621C3" w:rsidRPr="00777C37" w:rsidRDefault="00122A20" w:rsidP="005E2F3E">
            <w:pPr>
              <w:jc w:val="both"/>
              <w:rPr>
                <w:rFonts w:ascii="Cambria" w:hAnsi="Cambria"/>
                <w:bCs/>
                <w:sz w:val="20"/>
                <w:szCs w:val="20"/>
              </w:rPr>
            </w:pPr>
            <w:r w:rsidRPr="00777C37">
              <w:rPr>
                <w:rFonts w:ascii="Cambria" w:hAnsi="Cambria"/>
                <w:bCs/>
                <w:sz w:val="19"/>
                <w:szCs w:val="19"/>
              </w:rPr>
              <w:t>Elena Carmen Moreno and Myriam Carsen</w:t>
            </w:r>
          </w:p>
        </w:tc>
      </w:tr>
      <w:tr w:rsidR="00F621C3" w:rsidRPr="00517ED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77C37" w:rsidRDefault="00F2617E" w:rsidP="005E2F3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77C37">
                  <w:rPr>
                    <w:rFonts w:ascii="Cambria" w:hAnsi="Cambria"/>
                    <w:b/>
                    <w:bCs/>
                    <w:color w:val="FFFFFF" w:themeColor="background1"/>
                    <w:sz w:val="20"/>
                    <w:szCs w:val="20"/>
                  </w:rPr>
                  <w:t>Alleged victim</w:t>
                </w:r>
              </w:sdtContent>
            </w:sdt>
            <w:r w:rsidR="00F621C3" w:rsidRPr="00777C37">
              <w:rPr>
                <w:rFonts w:ascii="Cambria" w:hAnsi="Cambria"/>
                <w:b/>
                <w:bCs/>
                <w:color w:val="FFFFFF" w:themeColor="background1"/>
                <w:sz w:val="20"/>
                <w:szCs w:val="20"/>
              </w:rPr>
              <w:t>:</w:t>
            </w:r>
          </w:p>
        </w:tc>
        <w:tc>
          <w:tcPr>
            <w:tcW w:w="5670" w:type="dxa"/>
            <w:vAlign w:val="center"/>
          </w:tcPr>
          <w:p w14:paraId="60895337" w14:textId="0BE3536C" w:rsidR="00F621C3" w:rsidRPr="00FE6359" w:rsidRDefault="00122A20" w:rsidP="005E2F3E">
            <w:pPr>
              <w:jc w:val="both"/>
              <w:rPr>
                <w:rFonts w:ascii="Cambria" w:hAnsi="Cambria"/>
                <w:bCs/>
                <w:sz w:val="20"/>
                <w:szCs w:val="20"/>
                <w:lang w:val="es-ES"/>
              </w:rPr>
            </w:pPr>
            <w:r w:rsidRPr="00FE6359">
              <w:rPr>
                <w:rFonts w:ascii="Cambria" w:hAnsi="Cambria"/>
                <w:bCs/>
                <w:sz w:val="19"/>
                <w:szCs w:val="19"/>
                <w:lang w:val="es-ES"/>
              </w:rPr>
              <w:t>Carlos Fernando Antonio Ballivián Jiménez</w:t>
            </w:r>
          </w:p>
        </w:tc>
      </w:tr>
      <w:tr w:rsidR="00F621C3" w:rsidRPr="00777C3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77C37" w:rsidRDefault="005816E5" w:rsidP="005816E5">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 xml:space="preserve">Respondent </w:t>
            </w:r>
            <w:r w:rsidR="00F621C3" w:rsidRPr="00777C37">
              <w:rPr>
                <w:rFonts w:ascii="Cambria" w:hAnsi="Cambria"/>
                <w:b/>
                <w:bCs/>
                <w:color w:val="FFFFFF" w:themeColor="background1"/>
                <w:sz w:val="20"/>
                <w:szCs w:val="20"/>
              </w:rPr>
              <w:t>State:</w:t>
            </w:r>
          </w:p>
        </w:tc>
        <w:tc>
          <w:tcPr>
            <w:tcW w:w="5670" w:type="dxa"/>
            <w:vAlign w:val="center"/>
          </w:tcPr>
          <w:p w14:paraId="3539D391" w14:textId="2B04049E" w:rsidR="00F621C3" w:rsidRPr="00FE6359" w:rsidRDefault="00122A20" w:rsidP="005E2F3E">
            <w:pPr>
              <w:jc w:val="both"/>
              <w:rPr>
                <w:rFonts w:ascii="Cambria" w:hAnsi="Cambria"/>
                <w:bCs/>
                <w:sz w:val="19"/>
                <w:szCs w:val="19"/>
              </w:rPr>
            </w:pPr>
            <w:r w:rsidRPr="00FE6359">
              <w:rPr>
                <w:rFonts w:ascii="Cambria" w:hAnsi="Cambria"/>
                <w:bCs/>
                <w:sz w:val="19"/>
                <w:szCs w:val="19"/>
              </w:rPr>
              <w:t>Argentina</w:t>
            </w:r>
          </w:p>
        </w:tc>
      </w:tr>
      <w:tr w:rsidR="00E47F3D" w:rsidRPr="00777C3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77C37" w:rsidRDefault="00E47F3D" w:rsidP="00E7588C">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 xml:space="preserve">Rights </w:t>
            </w:r>
            <w:r w:rsidR="00E7588C" w:rsidRPr="00777C37">
              <w:rPr>
                <w:rFonts w:ascii="Cambria" w:hAnsi="Cambria"/>
                <w:b/>
                <w:bCs/>
                <w:color w:val="FFFFFF" w:themeColor="background1"/>
                <w:sz w:val="20"/>
                <w:szCs w:val="20"/>
              </w:rPr>
              <w:t>invoked:</w:t>
            </w:r>
          </w:p>
        </w:tc>
        <w:tc>
          <w:tcPr>
            <w:tcW w:w="5670" w:type="dxa"/>
            <w:vAlign w:val="center"/>
          </w:tcPr>
          <w:p w14:paraId="51EEF9D2" w14:textId="5C1CD3DC" w:rsidR="00E47F3D" w:rsidRPr="00777C37" w:rsidRDefault="00122A20" w:rsidP="00122A20">
            <w:pPr>
              <w:jc w:val="both"/>
              <w:rPr>
                <w:rFonts w:ascii="Cambria" w:hAnsi="Cambria"/>
                <w:bCs/>
                <w:sz w:val="20"/>
                <w:szCs w:val="20"/>
              </w:rPr>
            </w:pPr>
            <w:r w:rsidRPr="00FE6359">
              <w:rPr>
                <w:rFonts w:ascii="Cambria" w:hAnsi="Cambria"/>
                <w:bCs/>
                <w:sz w:val="19"/>
                <w:szCs w:val="19"/>
              </w:rPr>
              <w:t>Article 8 (</w:t>
            </w:r>
            <w:r w:rsidRPr="00777C37">
              <w:rPr>
                <w:rFonts w:ascii="Cambria" w:hAnsi="Cambria"/>
                <w:bCs/>
                <w:sz w:val="19"/>
                <w:szCs w:val="19"/>
              </w:rPr>
              <w:t>right to a fair trial), Article 24 (right to equal protection), and Article 25 (right to judicial protection) of the American Convention, in relation to its Article 1 (obligation to respect rights)</w:t>
            </w:r>
          </w:p>
        </w:tc>
      </w:tr>
    </w:tbl>
    <w:p w14:paraId="006E8D49" w14:textId="1C646C41" w:rsidR="00F621C3" w:rsidRPr="00777C37" w:rsidRDefault="00F621C3" w:rsidP="00F621C3">
      <w:pPr>
        <w:spacing w:before="240" w:after="240"/>
        <w:ind w:firstLine="720"/>
        <w:jc w:val="both"/>
        <w:rPr>
          <w:rFonts w:asciiTheme="majorHAnsi" w:hAnsiTheme="majorHAnsi"/>
          <w:b/>
          <w:bCs/>
          <w:sz w:val="20"/>
          <w:szCs w:val="20"/>
        </w:rPr>
      </w:pPr>
      <w:r w:rsidRPr="00777C37">
        <w:rPr>
          <w:rFonts w:asciiTheme="majorHAnsi" w:hAnsiTheme="majorHAnsi"/>
          <w:b/>
          <w:bCs/>
          <w:sz w:val="20"/>
          <w:szCs w:val="20"/>
        </w:rPr>
        <w:t>II.</w:t>
      </w:r>
      <w:r w:rsidRPr="00777C37">
        <w:rPr>
          <w:rFonts w:asciiTheme="majorHAnsi" w:hAnsiTheme="majorHAnsi"/>
          <w:b/>
          <w:bCs/>
          <w:sz w:val="20"/>
          <w:szCs w:val="20"/>
        </w:rPr>
        <w:tab/>
        <w:t>PROCE</w:t>
      </w:r>
      <w:r w:rsidR="00321AFD" w:rsidRPr="00777C37">
        <w:rPr>
          <w:rFonts w:asciiTheme="majorHAnsi" w:hAnsiTheme="majorHAnsi"/>
          <w:b/>
          <w:bCs/>
          <w:sz w:val="20"/>
          <w:szCs w:val="20"/>
        </w:rPr>
        <w:t>EDINGS</w:t>
      </w:r>
      <w:r w:rsidRPr="00777C37">
        <w:rPr>
          <w:rFonts w:asciiTheme="majorHAnsi" w:hAnsiTheme="majorHAnsi"/>
          <w:b/>
          <w:bCs/>
          <w:sz w:val="20"/>
          <w:szCs w:val="20"/>
        </w:rPr>
        <w:t xml:space="preserve"> BEFORE THE IACHR</w:t>
      </w:r>
      <w:r w:rsidR="00653EA6" w:rsidRPr="00777C37">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C3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77C37" w:rsidRDefault="00B06BB7" w:rsidP="00B06BB7">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Filing of the petition</w:t>
            </w:r>
            <w:r w:rsidR="00F621C3" w:rsidRPr="00777C37">
              <w:rPr>
                <w:rFonts w:ascii="Cambria" w:hAnsi="Cambria"/>
                <w:b/>
                <w:bCs/>
                <w:color w:val="FFFFFF" w:themeColor="background1"/>
                <w:sz w:val="20"/>
                <w:szCs w:val="20"/>
              </w:rPr>
              <w:t>:</w:t>
            </w:r>
          </w:p>
        </w:tc>
        <w:tc>
          <w:tcPr>
            <w:tcW w:w="5670" w:type="dxa"/>
            <w:vAlign w:val="center"/>
          </w:tcPr>
          <w:p w14:paraId="1C0C3DE2" w14:textId="0B9979F6" w:rsidR="00F621C3" w:rsidRPr="00777C37" w:rsidRDefault="00526F11" w:rsidP="005E2F3E">
            <w:pPr>
              <w:jc w:val="both"/>
              <w:rPr>
                <w:rFonts w:ascii="Cambria" w:hAnsi="Cambria"/>
                <w:bCs/>
                <w:sz w:val="20"/>
                <w:szCs w:val="20"/>
              </w:rPr>
            </w:pPr>
            <w:r w:rsidRPr="00777C37">
              <w:rPr>
                <w:rFonts w:ascii="Cambria" w:hAnsi="Cambria"/>
                <w:bCs/>
                <w:sz w:val="20"/>
                <w:szCs w:val="20"/>
              </w:rPr>
              <w:t>December 14, 2010</w:t>
            </w:r>
          </w:p>
        </w:tc>
      </w:tr>
      <w:tr w:rsidR="00F621C3" w:rsidRPr="00777C37"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777C37" w:rsidRDefault="00F621C3" w:rsidP="003771A3">
            <w:pPr>
              <w:jc w:val="center"/>
              <w:rPr>
                <w:rFonts w:ascii="Cambria" w:hAnsi="Cambria"/>
                <w:b/>
                <w:color w:val="FFFFFF" w:themeColor="background1"/>
                <w:sz w:val="20"/>
                <w:szCs w:val="20"/>
              </w:rPr>
            </w:pPr>
            <w:r w:rsidRPr="00777C37">
              <w:rPr>
                <w:rFonts w:ascii="Cambria" w:hAnsi="Cambria"/>
                <w:b/>
                <w:color w:val="FFFFFF" w:themeColor="background1"/>
                <w:sz w:val="20"/>
                <w:szCs w:val="20"/>
              </w:rPr>
              <w:t xml:space="preserve">Additional information received at the </w:t>
            </w:r>
            <w:r w:rsidR="003771A3" w:rsidRPr="00777C37">
              <w:rPr>
                <w:rFonts w:ascii="Cambria" w:hAnsi="Cambria"/>
                <w:b/>
                <w:color w:val="FFFFFF" w:themeColor="background1"/>
                <w:sz w:val="20"/>
                <w:szCs w:val="20"/>
              </w:rPr>
              <w:t>s</w:t>
            </w:r>
            <w:r w:rsidRPr="00777C37">
              <w:rPr>
                <w:rFonts w:ascii="Cambria" w:hAnsi="Cambria"/>
                <w:b/>
                <w:color w:val="FFFFFF" w:themeColor="background1"/>
                <w:sz w:val="20"/>
                <w:szCs w:val="20"/>
              </w:rPr>
              <w:t>tage</w:t>
            </w:r>
            <w:r w:rsidR="003771A3" w:rsidRPr="00777C37">
              <w:rPr>
                <w:rFonts w:ascii="Cambria" w:hAnsi="Cambria"/>
                <w:b/>
                <w:color w:val="FFFFFF" w:themeColor="background1"/>
                <w:sz w:val="20"/>
                <w:szCs w:val="20"/>
              </w:rPr>
              <w:t xml:space="preserve"> of initial review</w:t>
            </w:r>
            <w:r w:rsidRPr="00777C37">
              <w:rPr>
                <w:rFonts w:ascii="Cambria" w:hAnsi="Cambria"/>
                <w:b/>
                <w:color w:val="FFFFFF" w:themeColor="background1"/>
                <w:sz w:val="20"/>
                <w:szCs w:val="20"/>
              </w:rPr>
              <w:t>:</w:t>
            </w:r>
          </w:p>
        </w:tc>
        <w:tc>
          <w:tcPr>
            <w:tcW w:w="5670" w:type="dxa"/>
            <w:vAlign w:val="center"/>
          </w:tcPr>
          <w:p w14:paraId="499B90CB" w14:textId="7660321E" w:rsidR="00F621C3" w:rsidRPr="00777C37" w:rsidRDefault="00247458" w:rsidP="00247458">
            <w:pPr>
              <w:jc w:val="both"/>
              <w:rPr>
                <w:rFonts w:ascii="Cambria" w:hAnsi="Cambria"/>
                <w:bCs/>
                <w:sz w:val="20"/>
                <w:szCs w:val="20"/>
              </w:rPr>
            </w:pPr>
            <w:r>
              <w:rPr>
                <w:rFonts w:ascii="Cambria" w:hAnsi="Cambria"/>
                <w:bCs/>
                <w:sz w:val="20"/>
                <w:szCs w:val="20"/>
              </w:rPr>
              <w:t xml:space="preserve">January 2 and </w:t>
            </w:r>
            <w:r w:rsidR="00526F11" w:rsidRPr="00777C37">
              <w:rPr>
                <w:rFonts w:ascii="Cambria" w:hAnsi="Cambria"/>
                <w:bCs/>
                <w:sz w:val="20"/>
                <w:szCs w:val="20"/>
              </w:rPr>
              <w:t>September 4, 2013 and June 8, 2016</w:t>
            </w:r>
          </w:p>
        </w:tc>
      </w:tr>
      <w:tr w:rsidR="00F621C3" w:rsidRPr="00777C3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77C37" w:rsidRDefault="00B06BB7" w:rsidP="00B06BB7">
            <w:pPr>
              <w:jc w:val="center"/>
              <w:rPr>
                <w:rFonts w:ascii="Cambria" w:hAnsi="Cambria"/>
                <w:b/>
                <w:bCs/>
                <w:color w:val="FFFFFF" w:themeColor="background1"/>
                <w:sz w:val="20"/>
                <w:szCs w:val="20"/>
              </w:rPr>
            </w:pPr>
            <w:r w:rsidRPr="00777C37">
              <w:rPr>
                <w:rFonts w:ascii="Cambria" w:hAnsi="Cambria"/>
                <w:b/>
                <w:color w:val="FFFFFF" w:themeColor="background1"/>
                <w:sz w:val="20"/>
                <w:szCs w:val="20"/>
              </w:rPr>
              <w:t>Notification of the petition to</w:t>
            </w:r>
            <w:r w:rsidR="00F621C3" w:rsidRPr="00777C37">
              <w:rPr>
                <w:rFonts w:ascii="Cambria" w:hAnsi="Cambria"/>
                <w:b/>
                <w:color w:val="FFFFFF" w:themeColor="background1"/>
                <w:sz w:val="20"/>
                <w:szCs w:val="20"/>
              </w:rPr>
              <w:t xml:space="preserve"> the State:</w:t>
            </w:r>
          </w:p>
        </w:tc>
        <w:tc>
          <w:tcPr>
            <w:tcW w:w="5670" w:type="dxa"/>
            <w:vAlign w:val="center"/>
          </w:tcPr>
          <w:p w14:paraId="22ADBFFE" w14:textId="09383793" w:rsidR="00F621C3" w:rsidRPr="00777C37" w:rsidRDefault="00526F11" w:rsidP="005E2F3E">
            <w:pPr>
              <w:jc w:val="both"/>
              <w:rPr>
                <w:rFonts w:ascii="Cambria" w:hAnsi="Cambria"/>
                <w:bCs/>
                <w:sz w:val="20"/>
                <w:szCs w:val="20"/>
              </w:rPr>
            </w:pPr>
            <w:r w:rsidRPr="00777C37">
              <w:rPr>
                <w:rFonts w:ascii="Cambria" w:hAnsi="Cambria"/>
                <w:bCs/>
                <w:sz w:val="20"/>
                <w:szCs w:val="20"/>
              </w:rPr>
              <w:t>January 9, 2017</w:t>
            </w:r>
          </w:p>
        </w:tc>
      </w:tr>
      <w:tr w:rsidR="00F621C3" w:rsidRPr="00777C3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77C37" w:rsidRDefault="00F621C3" w:rsidP="005E2F3E">
            <w:pPr>
              <w:jc w:val="center"/>
              <w:rPr>
                <w:rFonts w:ascii="Cambria" w:hAnsi="Cambria"/>
                <w:b/>
                <w:bCs/>
                <w:color w:val="FFFFFF" w:themeColor="background1"/>
                <w:sz w:val="20"/>
                <w:szCs w:val="20"/>
              </w:rPr>
            </w:pPr>
            <w:r w:rsidRPr="00777C37">
              <w:rPr>
                <w:rFonts w:ascii="Cambria" w:hAnsi="Cambria"/>
                <w:b/>
                <w:color w:val="FFFFFF" w:themeColor="background1"/>
                <w:sz w:val="20"/>
                <w:szCs w:val="20"/>
              </w:rPr>
              <w:t>State’s first response:</w:t>
            </w:r>
          </w:p>
        </w:tc>
        <w:tc>
          <w:tcPr>
            <w:tcW w:w="5670" w:type="dxa"/>
            <w:vAlign w:val="center"/>
          </w:tcPr>
          <w:p w14:paraId="19C5DA57" w14:textId="4CB8B760" w:rsidR="00F621C3" w:rsidRPr="00777C37" w:rsidRDefault="00526F11" w:rsidP="005E2F3E">
            <w:pPr>
              <w:jc w:val="both"/>
              <w:rPr>
                <w:rFonts w:ascii="Cambria" w:hAnsi="Cambria"/>
                <w:bCs/>
                <w:sz w:val="20"/>
                <w:szCs w:val="20"/>
              </w:rPr>
            </w:pPr>
            <w:r w:rsidRPr="00777C37">
              <w:rPr>
                <w:rFonts w:ascii="Cambria" w:hAnsi="Cambria"/>
                <w:bCs/>
                <w:sz w:val="20"/>
                <w:szCs w:val="20"/>
              </w:rPr>
              <w:t>September 11, 2017</w:t>
            </w:r>
          </w:p>
        </w:tc>
      </w:tr>
      <w:tr w:rsidR="003771A3" w:rsidRPr="00777C3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777C37" w:rsidRDefault="003771A3" w:rsidP="0023351C">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Additional observations from the petition</w:t>
            </w:r>
            <w:r w:rsidR="0023351C" w:rsidRPr="00777C37">
              <w:rPr>
                <w:rFonts w:ascii="Cambria" w:hAnsi="Cambria"/>
                <w:b/>
                <w:bCs/>
                <w:color w:val="FFFFFF" w:themeColor="background1"/>
                <w:sz w:val="20"/>
                <w:szCs w:val="20"/>
              </w:rPr>
              <w:t>er</w:t>
            </w:r>
            <w:r w:rsidRPr="00777C37">
              <w:rPr>
                <w:rFonts w:ascii="Cambria" w:hAnsi="Cambria"/>
                <w:b/>
                <w:bCs/>
                <w:color w:val="FFFFFF" w:themeColor="background1"/>
                <w:sz w:val="20"/>
                <w:szCs w:val="20"/>
              </w:rPr>
              <w:t>:</w:t>
            </w:r>
          </w:p>
        </w:tc>
        <w:tc>
          <w:tcPr>
            <w:tcW w:w="5670" w:type="dxa"/>
            <w:vAlign w:val="center"/>
          </w:tcPr>
          <w:p w14:paraId="2A863ACD" w14:textId="655FC7D2" w:rsidR="003771A3" w:rsidRPr="00777C37" w:rsidRDefault="00526F11" w:rsidP="005E2F3E">
            <w:pPr>
              <w:jc w:val="both"/>
              <w:rPr>
                <w:rFonts w:ascii="Cambria" w:hAnsi="Cambria"/>
                <w:bCs/>
                <w:sz w:val="20"/>
                <w:szCs w:val="20"/>
              </w:rPr>
            </w:pPr>
            <w:r w:rsidRPr="00777C37">
              <w:rPr>
                <w:rFonts w:ascii="Cambria" w:hAnsi="Cambria"/>
                <w:bCs/>
                <w:sz w:val="20"/>
                <w:szCs w:val="20"/>
              </w:rPr>
              <w:t>October 11, 2017</w:t>
            </w:r>
          </w:p>
        </w:tc>
      </w:tr>
      <w:tr w:rsidR="003771A3" w:rsidRPr="00777C3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777C37" w:rsidRDefault="003771A3" w:rsidP="00653EA6">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Additional observations from the State:</w:t>
            </w:r>
          </w:p>
        </w:tc>
        <w:tc>
          <w:tcPr>
            <w:tcW w:w="5670" w:type="dxa"/>
            <w:vAlign w:val="center"/>
          </w:tcPr>
          <w:p w14:paraId="27F6ADE3" w14:textId="2681BD59" w:rsidR="003771A3" w:rsidRPr="00777C37" w:rsidRDefault="00526F11" w:rsidP="005E2F3E">
            <w:pPr>
              <w:jc w:val="both"/>
              <w:rPr>
                <w:rFonts w:ascii="Cambria" w:hAnsi="Cambria"/>
                <w:bCs/>
                <w:sz w:val="20"/>
                <w:szCs w:val="20"/>
              </w:rPr>
            </w:pPr>
            <w:r w:rsidRPr="00777C37">
              <w:rPr>
                <w:rFonts w:ascii="Cambria" w:hAnsi="Cambria"/>
                <w:bCs/>
                <w:sz w:val="20"/>
                <w:szCs w:val="20"/>
              </w:rPr>
              <w:t>July 16, 2018</w:t>
            </w:r>
          </w:p>
        </w:tc>
      </w:tr>
    </w:tbl>
    <w:p w14:paraId="7F88B361" w14:textId="77777777" w:rsidR="00F621C3" w:rsidRPr="00777C37" w:rsidRDefault="00F621C3" w:rsidP="00F621C3">
      <w:pPr>
        <w:spacing w:before="240" w:after="240"/>
        <w:ind w:firstLine="720"/>
        <w:jc w:val="both"/>
        <w:rPr>
          <w:rFonts w:asciiTheme="majorHAnsi" w:hAnsiTheme="majorHAnsi"/>
          <w:b/>
          <w:bCs/>
          <w:sz w:val="20"/>
          <w:szCs w:val="20"/>
        </w:rPr>
      </w:pPr>
      <w:r w:rsidRPr="00777C37">
        <w:rPr>
          <w:rFonts w:asciiTheme="majorHAnsi" w:hAnsiTheme="majorHAnsi"/>
          <w:b/>
          <w:bCs/>
          <w:sz w:val="20"/>
          <w:szCs w:val="20"/>
        </w:rPr>
        <w:t xml:space="preserve">III. </w:t>
      </w:r>
      <w:r w:rsidRPr="00777C3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C3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77C37" w:rsidRDefault="00F621C3" w:rsidP="005E2F3E">
            <w:pPr>
              <w:jc w:val="center"/>
              <w:rPr>
                <w:rFonts w:ascii="Cambria" w:hAnsi="Cambria"/>
                <w:b/>
                <w:bCs/>
                <w:i/>
                <w:color w:val="FFFFFF" w:themeColor="background1"/>
                <w:sz w:val="20"/>
                <w:szCs w:val="20"/>
              </w:rPr>
            </w:pPr>
            <w:r w:rsidRPr="00777C37">
              <w:rPr>
                <w:rFonts w:ascii="Cambria" w:hAnsi="Cambria"/>
                <w:b/>
                <w:bCs/>
                <w:color w:val="FFFFFF" w:themeColor="background1"/>
                <w:sz w:val="20"/>
                <w:szCs w:val="20"/>
              </w:rPr>
              <w:t>Competence</w:t>
            </w:r>
            <w:r w:rsidRPr="00777C37">
              <w:rPr>
                <w:rFonts w:ascii="Cambria" w:hAnsi="Cambria"/>
                <w:b/>
                <w:bCs/>
                <w:i/>
                <w:color w:val="FFFFFF" w:themeColor="background1"/>
                <w:sz w:val="20"/>
                <w:szCs w:val="20"/>
              </w:rPr>
              <w:t xml:space="preserve"> Ratione personae:</w:t>
            </w:r>
          </w:p>
        </w:tc>
        <w:tc>
          <w:tcPr>
            <w:tcW w:w="5670" w:type="dxa"/>
            <w:vAlign w:val="center"/>
          </w:tcPr>
          <w:p w14:paraId="237A8D0C" w14:textId="5A49D50C" w:rsidR="00F621C3" w:rsidRPr="00777C37" w:rsidRDefault="00526F11" w:rsidP="005E2F3E">
            <w:pPr>
              <w:rPr>
                <w:rFonts w:asciiTheme="majorHAnsi" w:hAnsiTheme="majorHAnsi"/>
                <w:bCs/>
                <w:sz w:val="20"/>
                <w:szCs w:val="20"/>
              </w:rPr>
            </w:pPr>
            <w:r w:rsidRPr="00777C37">
              <w:rPr>
                <w:rFonts w:asciiTheme="majorHAnsi" w:hAnsiTheme="majorHAnsi"/>
                <w:bCs/>
                <w:sz w:val="20"/>
                <w:szCs w:val="20"/>
              </w:rPr>
              <w:t>Yes</w:t>
            </w:r>
          </w:p>
        </w:tc>
      </w:tr>
      <w:tr w:rsidR="00F621C3" w:rsidRPr="00777C3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Competence</w:t>
            </w:r>
            <w:r w:rsidRPr="00777C37">
              <w:rPr>
                <w:rFonts w:ascii="Cambria" w:hAnsi="Cambria"/>
                <w:b/>
                <w:bCs/>
                <w:i/>
                <w:color w:val="FFFFFF" w:themeColor="background1"/>
                <w:sz w:val="20"/>
                <w:szCs w:val="20"/>
              </w:rPr>
              <w:t xml:space="preserve"> Ratione loci</w:t>
            </w:r>
            <w:r w:rsidRPr="00777C37">
              <w:rPr>
                <w:rFonts w:ascii="Cambria" w:hAnsi="Cambria"/>
                <w:b/>
                <w:bCs/>
                <w:color w:val="FFFFFF" w:themeColor="background1"/>
                <w:sz w:val="20"/>
                <w:szCs w:val="20"/>
              </w:rPr>
              <w:t>:</w:t>
            </w:r>
          </w:p>
        </w:tc>
        <w:tc>
          <w:tcPr>
            <w:tcW w:w="5670" w:type="dxa"/>
            <w:vAlign w:val="center"/>
          </w:tcPr>
          <w:p w14:paraId="48257424" w14:textId="5D7F25C5" w:rsidR="00F621C3" w:rsidRPr="00777C37" w:rsidRDefault="00526F11" w:rsidP="005E2F3E">
            <w:pPr>
              <w:rPr>
                <w:rFonts w:asciiTheme="majorHAnsi" w:hAnsiTheme="majorHAnsi"/>
                <w:bCs/>
                <w:sz w:val="20"/>
                <w:szCs w:val="20"/>
              </w:rPr>
            </w:pPr>
            <w:r w:rsidRPr="00777C37">
              <w:rPr>
                <w:rFonts w:asciiTheme="majorHAnsi" w:hAnsiTheme="majorHAnsi"/>
                <w:bCs/>
                <w:sz w:val="20"/>
                <w:szCs w:val="20"/>
              </w:rPr>
              <w:t>Yes</w:t>
            </w:r>
          </w:p>
        </w:tc>
      </w:tr>
      <w:tr w:rsidR="00F621C3" w:rsidRPr="00777C3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Competence</w:t>
            </w:r>
            <w:r w:rsidRPr="00777C37">
              <w:rPr>
                <w:rFonts w:ascii="Cambria" w:hAnsi="Cambria"/>
                <w:b/>
                <w:bCs/>
                <w:i/>
                <w:color w:val="FFFFFF" w:themeColor="background1"/>
                <w:sz w:val="20"/>
                <w:szCs w:val="20"/>
              </w:rPr>
              <w:t xml:space="preserve"> Ratione temporis</w:t>
            </w:r>
            <w:r w:rsidRPr="00777C37">
              <w:rPr>
                <w:rFonts w:ascii="Cambria" w:hAnsi="Cambria"/>
                <w:b/>
                <w:bCs/>
                <w:color w:val="FFFFFF" w:themeColor="background1"/>
                <w:sz w:val="20"/>
                <w:szCs w:val="20"/>
              </w:rPr>
              <w:t>:</w:t>
            </w:r>
          </w:p>
        </w:tc>
        <w:tc>
          <w:tcPr>
            <w:tcW w:w="5670" w:type="dxa"/>
            <w:vAlign w:val="center"/>
          </w:tcPr>
          <w:p w14:paraId="74B3F783" w14:textId="71D8CC6E" w:rsidR="00F621C3" w:rsidRPr="00777C37" w:rsidRDefault="00526F11" w:rsidP="005E2F3E">
            <w:pPr>
              <w:rPr>
                <w:rFonts w:asciiTheme="majorHAnsi" w:hAnsiTheme="majorHAnsi"/>
                <w:bCs/>
                <w:sz w:val="20"/>
                <w:szCs w:val="20"/>
              </w:rPr>
            </w:pPr>
            <w:r w:rsidRPr="00777C37">
              <w:rPr>
                <w:rFonts w:asciiTheme="majorHAnsi" w:hAnsiTheme="majorHAnsi"/>
                <w:bCs/>
                <w:sz w:val="20"/>
                <w:szCs w:val="20"/>
              </w:rPr>
              <w:t>Yes</w:t>
            </w:r>
          </w:p>
        </w:tc>
      </w:tr>
      <w:tr w:rsidR="00F621C3" w:rsidRPr="00777C3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Competence</w:t>
            </w:r>
            <w:r w:rsidRPr="00777C37">
              <w:rPr>
                <w:rFonts w:ascii="Cambria" w:hAnsi="Cambria"/>
                <w:b/>
                <w:bCs/>
                <w:i/>
                <w:color w:val="FFFFFF" w:themeColor="background1"/>
                <w:sz w:val="20"/>
                <w:szCs w:val="20"/>
              </w:rPr>
              <w:t xml:space="preserve"> Ratione materiae</w:t>
            </w:r>
            <w:r w:rsidRPr="00777C37">
              <w:rPr>
                <w:rFonts w:ascii="Cambria" w:hAnsi="Cambria"/>
                <w:b/>
                <w:bCs/>
                <w:color w:val="FFFFFF" w:themeColor="background1"/>
                <w:sz w:val="20"/>
                <w:szCs w:val="20"/>
              </w:rPr>
              <w:t>:</w:t>
            </w:r>
          </w:p>
        </w:tc>
        <w:tc>
          <w:tcPr>
            <w:tcW w:w="5670" w:type="dxa"/>
            <w:vAlign w:val="center"/>
          </w:tcPr>
          <w:p w14:paraId="64B3F199" w14:textId="25279E4F" w:rsidR="00F621C3" w:rsidRPr="00777C37" w:rsidRDefault="00526F11" w:rsidP="005E2F3E">
            <w:pPr>
              <w:jc w:val="both"/>
              <w:rPr>
                <w:rFonts w:asciiTheme="majorHAnsi" w:hAnsiTheme="majorHAnsi"/>
                <w:bCs/>
                <w:sz w:val="20"/>
                <w:szCs w:val="20"/>
              </w:rPr>
            </w:pPr>
            <w:r w:rsidRPr="00777C37">
              <w:rPr>
                <w:rFonts w:asciiTheme="majorHAnsi" w:hAnsiTheme="majorHAnsi"/>
                <w:bCs/>
                <w:sz w:val="20"/>
                <w:szCs w:val="20"/>
              </w:rPr>
              <w:t>Yes, American Convention (deposit of instrument of ratification made on September 5, 1984)</w:t>
            </w:r>
          </w:p>
        </w:tc>
      </w:tr>
    </w:tbl>
    <w:p w14:paraId="0408D4CD" w14:textId="54A61356" w:rsidR="00F621C3" w:rsidRPr="00777C37" w:rsidRDefault="00F621C3" w:rsidP="00F621C3">
      <w:pPr>
        <w:spacing w:before="240" w:after="240"/>
        <w:ind w:firstLine="720"/>
        <w:jc w:val="both"/>
        <w:rPr>
          <w:rFonts w:asciiTheme="majorHAnsi" w:hAnsiTheme="majorHAnsi"/>
          <w:b/>
          <w:bCs/>
          <w:sz w:val="20"/>
          <w:szCs w:val="20"/>
        </w:rPr>
      </w:pPr>
      <w:r w:rsidRPr="00777C37">
        <w:rPr>
          <w:rFonts w:asciiTheme="majorHAnsi" w:hAnsiTheme="majorHAnsi"/>
          <w:b/>
          <w:bCs/>
          <w:sz w:val="20"/>
          <w:szCs w:val="20"/>
        </w:rPr>
        <w:t xml:space="preserve">IV. </w:t>
      </w:r>
      <w:r w:rsidRPr="00777C37">
        <w:rPr>
          <w:rFonts w:asciiTheme="majorHAnsi" w:hAnsiTheme="majorHAnsi"/>
          <w:b/>
          <w:bCs/>
          <w:sz w:val="20"/>
          <w:szCs w:val="20"/>
        </w:rPr>
        <w:tab/>
        <w:t xml:space="preserve">DUPLICATION OF PROCEDURES AND INTERNATIONAL </w:t>
      </w:r>
      <w:r w:rsidRPr="00777C37">
        <w:rPr>
          <w:rFonts w:asciiTheme="majorHAnsi" w:hAnsiTheme="majorHAnsi"/>
          <w:b/>
          <w:bCs/>
          <w:i/>
          <w:sz w:val="20"/>
          <w:szCs w:val="20"/>
        </w:rPr>
        <w:t>RES JUDICATA</w:t>
      </w:r>
      <w:r w:rsidRPr="00777C3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7C3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 xml:space="preserve">Duplication of procedures and International </w:t>
            </w:r>
            <w:r w:rsidRPr="00777C37">
              <w:rPr>
                <w:rFonts w:ascii="Cambria" w:hAnsi="Cambria"/>
                <w:b/>
                <w:bCs/>
                <w:i/>
                <w:color w:val="FFFFFF" w:themeColor="background1"/>
                <w:sz w:val="20"/>
                <w:szCs w:val="20"/>
              </w:rPr>
              <w:t>res judicata</w:t>
            </w:r>
            <w:r w:rsidRPr="00777C37">
              <w:rPr>
                <w:rFonts w:ascii="Cambria" w:hAnsi="Cambria"/>
                <w:b/>
                <w:bCs/>
                <w:color w:val="FFFFFF" w:themeColor="background1"/>
                <w:sz w:val="20"/>
                <w:szCs w:val="20"/>
              </w:rPr>
              <w:t>:</w:t>
            </w:r>
          </w:p>
        </w:tc>
        <w:tc>
          <w:tcPr>
            <w:tcW w:w="5670" w:type="dxa"/>
            <w:vAlign w:val="center"/>
          </w:tcPr>
          <w:p w14:paraId="4773CD23" w14:textId="7BF10A66" w:rsidR="00F621C3" w:rsidRPr="00777C37" w:rsidRDefault="00526F11" w:rsidP="005E2F3E">
            <w:pPr>
              <w:jc w:val="both"/>
              <w:rPr>
                <w:rFonts w:ascii="Cambria" w:hAnsi="Cambria"/>
                <w:bCs/>
                <w:sz w:val="20"/>
                <w:szCs w:val="20"/>
              </w:rPr>
            </w:pPr>
            <w:r w:rsidRPr="00777C37">
              <w:rPr>
                <w:rFonts w:ascii="Cambria" w:hAnsi="Cambria"/>
                <w:bCs/>
                <w:sz w:val="20"/>
                <w:szCs w:val="20"/>
              </w:rPr>
              <w:t>No</w:t>
            </w:r>
          </w:p>
        </w:tc>
      </w:tr>
      <w:tr w:rsidR="00F621C3" w:rsidRPr="00777C3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77C37" w:rsidRDefault="00F621C3" w:rsidP="005E2F3E">
            <w:pPr>
              <w:jc w:val="center"/>
              <w:rPr>
                <w:rFonts w:ascii="Cambria" w:hAnsi="Cambria"/>
                <w:b/>
                <w:bCs/>
                <w:i/>
                <w:color w:val="FFFFFF" w:themeColor="background1"/>
                <w:sz w:val="20"/>
                <w:szCs w:val="20"/>
              </w:rPr>
            </w:pPr>
            <w:r w:rsidRPr="00777C37">
              <w:rPr>
                <w:rFonts w:ascii="Cambria" w:hAnsi="Cambria"/>
                <w:b/>
                <w:bCs/>
                <w:color w:val="FFFFFF" w:themeColor="background1"/>
                <w:sz w:val="20"/>
                <w:szCs w:val="20"/>
              </w:rPr>
              <w:t>Rights declared admissible</w:t>
            </w:r>
          </w:p>
        </w:tc>
        <w:tc>
          <w:tcPr>
            <w:tcW w:w="5670" w:type="dxa"/>
            <w:vAlign w:val="center"/>
          </w:tcPr>
          <w:p w14:paraId="33BE4040" w14:textId="6D2A14F7" w:rsidR="00F621C3" w:rsidRPr="00777C37" w:rsidRDefault="00526F11" w:rsidP="00526F11">
            <w:pPr>
              <w:jc w:val="both"/>
              <w:rPr>
                <w:rFonts w:ascii="Cambria" w:hAnsi="Cambria"/>
                <w:bCs/>
                <w:sz w:val="20"/>
                <w:szCs w:val="20"/>
              </w:rPr>
            </w:pPr>
            <w:r w:rsidRPr="00777C37">
              <w:rPr>
                <w:rFonts w:ascii="Cambria" w:hAnsi="Cambria"/>
                <w:bCs/>
                <w:sz w:val="19"/>
                <w:szCs w:val="19"/>
              </w:rPr>
              <w:t xml:space="preserve">Article 8 (right to a fair trial), and Article 25 (right to judicial protection) of the American Convention in relation to its Article 1 (obligation to respect rights) </w:t>
            </w:r>
          </w:p>
        </w:tc>
      </w:tr>
      <w:tr w:rsidR="00F621C3" w:rsidRPr="00777C3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777C37" w:rsidRDefault="00F621C3" w:rsidP="005E2F3E">
            <w:pPr>
              <w:rPr>
                <w:rFonts w:ascii="Cambria" w:hAnsi="Cambria"/>
                <w:bCs/>
                <w:sz w:val="20"/>
                <w:szCs w:val="20"/>
              </w:rPr>
            </w:pPr>
          </w:p>
          <w:p w14:paraId="432DC56B" w14:textId="02734983" w:rsidR="00F621C3" w:rsidRPr="00777C37" w:rsidRDefault="00526F11" w:rsidP="005E2F3E">
            <w:pPr>
              <w:rPr>
                <w:rFonts w:ascii="Cambria" w:hAnsi="Cambria"/>
                <w:bCs/>
                <w:sz w:val="20"/>
                <w:szCs w:val="20"/>
              </w:rPr>
            </w:pPr>
            <w:r w:rsidRPr="00777C37">
              <w:rPr>
                <w:rFonts w:ascii="Cambria" w:hAnsi="Cambria"/>
                <w:bCs/>
                <w:sz w:val="20"/>
                <w:szCs w:val="20"/>
              </w:rPr>
              <w:t>Yes, in the terms of Section VI</w:t>
            </w:r>
          </w:p>
        </w:tc>
      </w:tr>
      <w:tr w:rsidR="00F621C3" w:rsidRPr="00777C3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77C37" w:rsidRDefault="00F621C3" w:rsidP="005E2F3E">
            <w:pPr>
              <w:jc w:val="center"/>
              <w:rPr>
                <w:rFonts w:ascii="Cambria" w:hAnsi="Cambria"/>
                <w:b/>
                <w:bCs/>
                <w:color w:val="FFFFFF" w:themeColor="background1"/>
                <w:sz w:val="20"/>
                <w:szCs w:val="20"/>
              </w:rPr>
            </w:pPr>
            <w:r w:rsidRPr="00777C37">
              <w:rPr>
                <w:rFonts w:ascii="Cambria" w:hAnsi="Cambria"/>
                <w:b/>
                <w:bCs/>
                <w:color w:val="FFFFFF" w:themeColor="background1"/>
                <w:sz w:val="20"/>
                <w:szCs w:val="20"/>
              </w:rPr>
              <w:t>Timeliness of the petition:</w:t>
            </w:r>
          </w:p>
        </w:tc>
        <w:tc>
          <w:tcPr>
            <w:tcW w:w="5670" w:type="dxa"/>
            <w:vAlign w:val="center"/>
          </w:tcPr>
          <w:p w14:paraId="6A26CCE9" w14:textId="1BD7CAC8" w:rsidR="00F621C3" w:rsidRPr="00777C37" w:rsidRDefault="00526F11" w:rsidP="005E2F3E">
            <w:pPr>
              <w:rPr>
                <w:rFonts w:asciiTheme="majorHAnsi" w:hAnsiTheme="majorHAnsi"/>
                <w:bCs/>
                <w:sz w:val="20"/>
                <w:szCs w:val="20"/>
              </w:rPr>
            </w:pPr>
            <w:r w:rsidRPr="00777C37">
              <w:rPr>
                <w:rFonts w:asciiTheme="majorHAnsi" w:hAnsiTheme="majorHAnsi"/>
                <w:bCs/>
                <w:sz w:val="20"/>
                <w:szCs w:val="20"/>
              </w:rPr>
              <w:t>Yes, in the terms of Section VI</w:t>
            </w:r>
          </w:p>
        </w:tc>
      </w:tr>
    </w:tbl>
    <w:p w14:paraId="030F3F08" w14:textId="77777777" w:rsidR="00210F4B" w:rsidRPr="00777C37" w:rsidRDefault="00210F4B" w:rsidP="00F621C3">
      <w:pPr>
        <w:spacing w:before="240" w:after="240"/>
        <w:ind w:firstLine="720"/>
        <w:jc w:val="both"/>
        <w:rPr>
          <w:rFonts w:asciiTheme="majorHAnsi" w:hAnsiTheme="majorHAnsi"/>
          <w:b/>
          <w:sz w:val="20"/>
          <w:szCs w:val="20"/>
        </w:rPr>
      </w:pPr>
    </w:p>
    <w:p w14:paraId="54172C4F" w14:textId="77777777" w:rsidR="00B06BB7" w:rsidRPr="00777C37" w:rsidRDefault="00B06BB7">
      <w:pPr>
        <w:rPr>
          <w:rFonts w:asciiTheme="majorHAnsi" w:hAnsiTheme="majorHAnsi"/>
          <w:b/>
          <w:sz w:val="20"/>
          <w:szCs w:val="20"/>
        </w:rPr>
      </w:pPr>
      <w:r w:rsidRPr="00777C37">
        <w:rPr>
          <w:rFonts w:asciiTheme="majorHAnsi" w:hAnsiTheme="majorHAnsi"/>
          <w:b/>
          <w:sz w:val="20"/>
          <w:szCs w:val="20"/>
        </w:rPr>
        <w:br w:type="page"/>
      </w:r>
    </w:p>
    <w:p w14:paraId="629E2DE8" w14:textId="62D32F02" w:rsidR="00F621C3" w:rsidRPr="00777C37" w:rsidRDefault="00F621C3" w:rsidP="00F621C3">
      <w:pPr>
        <w:spacing w:before="240" w:after="240"/>
        <w:ind w:firstLine="720"/>
        <w:jc w:val="both"/>
        <w:rPr>
          <w:rFonts w:asciiTheme="majorHAnsi" w:hAnsiTheme="majorHAnsi"/>
          <w:b/>
          <w:sz w:val="20"/>
          <w:szCs w:val="20"/>
        </w:rPr>
      </w:pPr>
      <w:r w:rsidRPr="00777C37">
        <w:rPr>
          <w:rFonts w:asciiTheme="majorHAnsi" w:hAnsiTheme="majorHAnsi"/>
          <w:b/>
          <w:sz w:val="20"/>
          <w:szCs w:val="20"/>
        </w:rPr>
        <w:lastRenderedPageBreak/>
        <w:t xml:space="preserve">V. </w:t>
      </w:r>
      <w:r w:rsidRPr="00777C37">
        <w:rPr>
          <w:rFonts w:asciiTheme="majorHAnsi" w:hAnsiTheme="majorHAnsi"/>
          <w:b/>
          <w:sz w:val="20"/>
          <w:szCs w:val="20"/>
        </w:rPr>
        <w:tab/>
        <w:t xml:space="preserve">FACTS </w:t>
      </w:r>
      <w:r w:rsidR="005816E5" w:rsidRPr="00777C37">
        <w:rPr>
          <w:rFonts w:asciiTheme="majorHAnsi" w:hAnsiTheme="majorHAnsi"/>
          <w:b/>
          <w:sz w:val="20"/>
          <w:szCs w:val="20"/>
        </w:rPr>
        <w:t>ALLEGED</w:t>
      </w:r>
    </w:p>
    <w:p w14:paraId="6953F7A4" w14:textId="632F4EAB" w:rsidR="00F621C3" w:rsidRPr="00777C37" w:rsidRDefault="005E2F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The petitioner</w:t>
      </w:r>
      <w:r w:rsidR="0049249D" w:rsidRPr="00777C37">
        <w:rPr>
          <w:rFonts w:ascii="Cambria" w:hAnsi="Cambria"/>
          <w:sz w:val="20"/>
          <w:szCs w:val="20"/>
        </w:rPr>
        <w:t>s argue</w:t>
      </w:r>
      <w:r w:rsidRPr="00777C37">
        <w:rPr>
          <w:rFonts w:ascii="Cambria" w:hAnsi="Cambria"/>
          <w:sz w:val="20"/>
          <w:szCs w:val="20"/>
        </w:rPr>
        <w:t xml:space="preserve"> that Mr. Carlos Ballivián</w:t>
      </w:r>
      <w:r w:rsidR="00D16A90" w:rsidRPr="00777C37">
        <w:rPr>
          <w:rFonts w:ascii="Cambria" w:hAnsi="Cambria"/>
          <w:sz w:val="20"/>
          <w:szCs w:val="20"/>
        </w:rPr>
        <w:t xml:space="preserve"> Jiménez was forced into</w:t>
      </w:r>
      <w:r w:rsidRPr="00777C37">
        <w:rPr>
          <w:rFonts w:ascii="Cambria" w:hAnsi="Cambria"/>
          <w:sz w:val="20"/>
          <w:szCs w:val="20"/>
        </w:rPr>
        <w:t xml:space="preserve"> exile from Argentina with his family, in order to safeguard his as well as his family</w:t>
      </w:r>
      <w:r w:rsidR="00D16A90" w:rsidRPr="00777C37">
        <w:rPr>
          <w:rFonts w:ascii="Cambria" w:hAnsi="Cambria"/>
          <w:sz w:val="20"/>
          <w:szCs w:val="20"/>
        </w:rPr>
        <w:t>’s life and liberty, for being part of the</w:t>
      </w:r>
      <w:r w:rsidRPr="00777C37">
        <w:rPr>
          <w:rFonts w:ascii="Cambria" w:hAnsi="Cambria"/>
          <w:sz w:val="20"/>
          <w:szCs w:val="20"/>
        </w:rPr>
        <w:t xml:space="preserve"> </w:t>
      </w:r>
      <w:r w:rsidR="00D16A90" w:rsidRPr="00777C37">
        <w:rPr>
          <w:rFonts w:ascii="Cambria" w:hAnsi="Cambria"/>
          <w:sz w:val="20"/>
          <w:szCs w:val="20"/>
        </w:rPr>
        <w:t>“</w:t>
      </w:r>
      <w:r w:rsidRPr="00777C37">
        <w:rPr>
          <w:rFonts w:ascii="Cambria" w:hAnsi="Cambria"/>
          <w:sz w:val="20"/>
          <w:szCs w:val="20"/>
        </w:rPr>
        <w:t xml:space="preserve">Peronist </w:t>
      </w:r>
      <w:r w:rsidR="00D16A90" w:rsidRPr="00777C37">
        <w:rPr>
          <w:rFonts w:ascii="Cambria" w:hAnsi="Cambria"/>
          <w:sz w:val="20"/>
          <w:szCs w:val="20"/>
        </w:rPr>
        <w:t>resistance</w:t>
      </w:r>
      <w:r w:rsidRPr="00777C37">
        <w:rPr>
          <w:rFonts w:ascii="Cambria" w:hAnsi="Cambria"/>
          <w:sz w:val="20"/>
          <w:szCs w:val="20"/>
        </w:rPr>
        <w:t>"</w:t>
      </w:r>
      <w:r w:rsidR="00D16A90" w:rsidRPr="00777C37">
        <w:rPr>
          <w:rFonts w:ascii="Cambria" w:hAnsi="Cambria"/>
          <w:sz w:val="20"/>
          <w:szCs w:val="20"/>
        </w:rPr>
        <w:t xml:space="preserve"> </w:t>
      </w:r>
      <w:r w:rsidRPr="00777C37">
        <w:rPr>
          <w:rFonts w:ascii="Cambria" w:hAnsi="Cambria"/>
          <w:sz w:val="20"/>
          <w:szCs w:val="20"/>
        </w:rPr>
        <w:t xml:space="preserve">and </w:t>
      </w:r>
      <w:r w:rsidR="00D16A90" w:rsidRPr="00777C37">
        <w:rPr>
          <w:rFonts w:ascii="Cambria" w:hAnsi="Cambria"/>
          <w:sz w:val="20"/>
          <w:szCs w:val="20"/>
        </w:rPr>
        <w:t>for participating</w:t>
      </w:r>
      <w:r w:rsidRPr="00777C37">
        <w:rPr>
          <w:rFonts w:ascii="Cambria" w:hAnsi="Cambria"/>
          <w:sz w:val="20"/>
          <w:szCs w:val="20"/>
        </w:rPr>
        <w:t xml:space="preserve"> in the</w:t>
      </w:r>
      <w:r w:rsidR="00D16A90" w:rsidRPr="00777C37">
        <w:rPr>
          <w:rFonts w:ascii="Cambria" w:hAnsi="Cambria"/>
          <w:sz w:val="20"/>
          <w:szCs w:val="20"/>
        </w:rPr>
        <w:t xml:space="preserve"> "political militancy</w:t>
      </w:r>
      <w:r w:rsidR="00F42141" w:rsidRPr="00777C37">
        <w:rPr>
          <w:rFonts w:ascii="Cambria" w:hAnsi="Cambria"/>
          <w:sz w:val="20"/>
          <w:szCs w:val="20"/>
        </w:rPr>
        <w:t>.</w:t>
      </w:r>
      <w:r w:rsidR="00D16A90" w:rsidRPr="00777C37">
        <w:rPr>
          <w:rFonts w:ascii="Cambria" w:hAnsi="Cambria"/>
          <w:sz w:val="20"/>
          <w:szCs w:val="20"/>
        </w:rPr>
        <w:t>”</w:t>
      </w:r>
      <w:r w:rsidR="00F42141" w:rsidRPr="00777C37">
        <w:rPr>
          <w:rStyle w:val="FootnoteReference"/>
          <w:rFonts w:ascii="Cambria" w:hAnsi="Cambria"/>
          <w:sz w:val="20"/>
          <w:szCs w:val="20"/>
        </w:rPr>
        <w:footnoteReference w:id="3"/>
      </w:r>
    </w:p>
    <w:p w14:paraId="408B2A3C" w14:textId="264DC200" w:rsidR="00526F11" w:rsidRPr="00777C37" w:rsidRDefault="00D16A9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They indicate</w:t>
      </w:r>
      <w:r w:rsidR="005E2F3E" w:rsidRPr="00777C37">
        <w:rPr>
          <w:rFonts w:ascii="Cambria" w:hAnsi="Cambria"/>
          <w:sz w:val="20"/>
          <w:szCs w:val="20"/>
        </w:rPr>
        <w:t xml:space="preserve"> that the alleged victim filed an application </w:t>
      </w:r>
      <w:r w:rsidR="00B0232E">
        <w:rPr>
          <w:rFonts w:ascii="Cambria" w:hAnsi="Cambria"/>
          <w:sz w:val="20"/>
          <w:szCs w:val="20"/>
        </w:rPr>
        <w:t xml:space="preserve">for the granting of </w:t>
      </w:r>
      <w:r w:rsidR="005E2F3E" w:rsidRPr="00777C37">
        <w:rPr>
          <w:rFonts w:ascii="Cambria" w:hAnsi="Cambria"/>
          <w:sz w:val="20"/>
          <w:szCs w:val="20"/>
        </w:rPr>
        <w:t>benefit</w:t>
      </w:r>
      <w:r w:rsidR="00B0232E">
        <w:rPr>
          <w:rFonts w:ascii="Cambria" w:hAnsi="Cambria"/>
          <w:sz w:val="20"/>
          <w:szCs w:val="20"/>
        </w:rPr>
        <w:t>s</w:t>
      </w:r>
      <w:r w:rsidR="005E2F3E" w:rsidRPr="00777C37">
        <w:rPr>
          <w:rFonts w:ascii="Cambria" w:hAnsi="Cambria"/>
          <w:sz w:val="20"/>
          <w:szCs w:val="20"/>
        </w:rPr>
        <w:t xml:space="preserve"> </w:t>
      </w:r>
      <w:r w:rsidR="00B0232E">
        <w:rPr>
          <w:rFonts w:ascii="Cambria" w:hAnsi="Cambria"/>
          <w:sz w:val="20"/>
          <w:szCs w:val="20"/>
        </w:rPr>
        <w:t xml:space="preserve">set by the </w:t>
      </w:r>
      <w:r w:rsidRPr="00777C37">
        <w:rPr>
          <w:rFonts w:ascii="Cambria" w:hAnsi="Cambria"/>
          <w:sz w:val="20"/>
          <w:szCs w:val="20"/>
        </w:rPr>
        <w:t>provisions of</w:t>
      </w:r>
      <w:r w:rsidR="005E2F3E" w:rsidRPr="00777C37">
        <w:rPr>
          <w:rFonts w:ascii="Cambria" w:hAnsi="Cambria"/>
          <w:sz w:val="20"/>
          <w:szCs w:val="20"/>
        </w:rPr>
        <w:t xml:space="preserve"> Law No. 24,043 </w:t>
      </w:r>
      <w:r w:rsidR="00B0232E">
        <w:rPr>
          <w:rFonts w:ascii="Cambria" w:hAnsi="Cambria"/>
          <w:sz w:val="20"/>
          <w:szCs w:val="20"/>
        </w:rPr>
        <w:t xml:space="preserve">before </w:t>
      </w:r>
      <w:r w:rsidR="005E2F3E" w:rsidRPr="00777C37">
        <w:rPr>
          <w:rFonts w:ascii="Cambria" w:hAnsi="Cambria"/>
          <w:sz w:val="20"/>
          <w:szCs w:val="20"/>
        </w:rPr>
        <w:t xml:space="preserve">the Ministry of Justice and Human Rights </w:t>
      </w:r>
      <w:r w:rsidRPr="00777C37">
        <w:rPr>
          <w:rFonts w:ascii="Cambria" w:hAnsi="Cambria"/>
          <w:sz w:val="20"/>
          <w:szCs w:val="20"/>
        </w:rPr>
        <w:t>due to his forced exile</w:t>
      </w:r>
      <w:r w:rsidR="005E2F3E" w:rsidRPr="00777C37">
        <w:rPr>
          <w:rFonts w:ascii="Cambria" w:hAnsi="Cambria"/>
          <w:sz w:val="20"/>
          <w:szCs w:val="20"/>
        </w:rPr>
        <w:t>, which was dismiss</w:t>
      </w:r>
      <w:r w:rsidR="0049249D" w:rsidRPr="00777C37">
        <w:rPr>
          <w:rFonts w:ascii="Cambria" w:hAnsi="Cambria"/>
          <w:sz w:val="20"/>
          <w:szCs w:val="20"/>
        </w:rPr>
        <w:t>ed by Resolution No. 3671/08 of</w:t>
      </w:r>
      <w:r w:rsidR="005E2F3E" w:rsidRPr="00777C37">
        <w:rPr>
          <w:rFonts w:ascii="Cambria" w:hAnsi="Cambria"/>
          <w:sz w:val="20"/>
          <w:szCs w:val="20"/>
        </w:rPr>
        <w:t xml:space="preserve"> December</w:t>
      </w:r>
      <w:r w:rsidR="0049249D" w:rsidRPr="00777C37">
        <w:rPr>
          <w:rFonts w:ascii="Cambria" w:hAnsi="Cambria"/>
          <w:sz w:val="20"/>
          <w:szCs w:val="20"/>
        </w:rPr>
        <w:t xml:space="preserve"> 3,</w:t>
      </w:r>
      <w:r w:rsidR="005E2F3E" w:rsidRPr="00777C37">
        <w:rPr>
          <w:rFonts w:ascii="Cambria" w:hAnsi="Cambria"/>
          <w:sz w:val="20"/>
          <w:szCs w:val="20"/>
        </w:rPr>
        <w:t xml:space="preserve"> 2008. The petitioner</w:t>
      </w:r>
      <w:r w:rsidR="0049249D" w:rsidRPr="00777C37">
        <w:rPr>
          <w:rFonts w:ascii="Cambria" w:hAnsi="Cambria"/>
          <w:sz w:val="20"/>
          <w:szCs w:val="20"/>
        </w:rPr>
        <w:t>s</w:t>
      </w:r>
      <w:r w:rsidR="005E2F3E" w:rsidRPr="00777C37">
        <w:rPr>
          <w:rFonts w:ascii="Cambria" w:hAnsi="Cambria"/>
          <w:sz w:val="20"/>
          <w:szCs w:val="20"/>
        </w:rPr>
        <w:t xml:space="preserve"> </w:t>
      </w:r>
      <w:r w:rsidR="0049249D" w:rsidRPr="00777C37">
        <w:rPr>
          <w:rFonts w:ascii="Cambria" w:hAnsi="Cambria"/>
          <w:sz w:val="20"/>
          <w:szCs w:val="20"/>
        </w:rPr>
        <w:t>state</w:t>
      </w:r>
      <w:r w:rsidR="005E2F3E" w:rsidRPr="00777C37">
        <w:rPr>
          <w:rFonts w:ascii="Cambria" w:hAnsi="Cambria"/>
          <w:sz w:val="20"/>
          <w:szCs w:val="20"/>
        </w:rPr>
        <w:t xml:space="preserve"> that the Human Rights Secretariat acknowledged that the alleged victim was </w:t>
      </w:r>
      <w:r w:rsidR="0049249D" w:rsidRPr="00777C37">
        <w:rPr>
          <w:rFonts w:ascii="Cambria" w:hAnsi="Cambria"/>
          <w:sz w:val="20"/>
          <w:szCs w:val="20"/>
        </w:rPr>
        <w:t xml:space="preserve">forced </w:t>
      </w:r>
      <w:r w:rsidR="0003275E">
        <w:rPr>
          <w:rFonts w:ascii="Cambria" w:hAnsi="Cambria"/>
          <w:sz w:val="20"/>
          <w:szCs w:val="20"/>
        </w:rPr>
        <w:t xml:space="preserve">into </w:t>
      </w:r>
      <w:r w:rsidR="0049249D" w:rsidRPr="00777C37">
        <w:rPr>
          <w:rFonts w:ascii="Cambria" w:hAnsi="Cambria"/>
          <w:sz w:val="20"/>
          <w:szCs w:val="20"/>
        </w:rPr>
        <w:t xml:space="preserve">exile </w:t>
      </w:r>
      <w:r w:rsidR="005E2F3E" w:rsidRPr="00777C37">
        <w:rPr>
          <w:rFonts w:ascii="Cambria" w:hAnsi="Cambria"/>
          <w:sz w:val="20"/>
          <w:szCs w:val="20"/>
        </w:rPr>
        <w:t>abroad but considered</w:t>
      </w:r>
      <w:r w:rsidR="001E7F8F" w:rsidRPr="00777C37">
        <w:rPr>
          <w:rFonts w:ascii="Cambria" w:hAnsi="Cambria"/>
          <w:sz w:val="20"/>
          <w:szCs w:val="20"/>
        </w:rPr>
        <w:t>,</w:t>
      </w:r>
      <w:r w:rsidR="005E2F3E" w:rsidRPr="00777C37">
        <w:rPr>
          <w:rFonts w:ascii="Cambria" w:hAnsi="Cambria"/>
          <w:sz w:val="20"/>
          <w:szCs w:val="20"/>
        </w:rPr>
        <w:t xml:space="preserve"> </w:t>
      </w:r>
      <w:r w:rsidR="0003275E">
        <w:rPr>
          <w:rFonts w:ascii="Cambria" w:hAnsi="Cambria"/>
          <w:sz w:val="20"/>
          <w:szCs w:val="20"/>
        </w:rPr>
        <w:t xml:space="preserve">in accordance with </w:t>
      </w:r>
      <w:r w:rsidR="005E2F3E" w:rsidRPr="00777C37">
        <w:rPr>
          <w:rFonts w:ascii="Cambria" w:hAnsi="Cambria"/>
          <w:sz w:val="20"/>
          <w:szCs w:val="20"/>
        </w:rPr>
        <w:t xml:space="preserve">the </w:t>
      </w:r>
      <w:r w:rsidR="0049249D" w:rsidRPr="00777C37">
        <w:rPr>
          <w:rFonts w:ascii="Cambria" w:hAnsi="Cambria"/>
          <w:sz w:val="20"/>
          <w:szCs w:val="20"/>
        </w:rPr>
        <w:t>Nation</w:t>
      </w:r>
      <w:r w:rsidR="0003275E">
        <w:rPr>
          <w:rFonts w:ascii="Cambria" w:hAnsi="Cambria"/>
          <w:sz w:val="20"/>
          <w:szCs w:val="20"/>
        </w:rPr>
        <w:t>’s</w:t>
      </w:r>
      <w:r w:rsidR="0049249D" w:rsidRPr="00777C37">
        <w:rPr>
          <w:rFonts w:ascii="Cambria" w:hAnsi="Cambria"/>
          <w:sz w:val="20"/>
          <w:szCs w:val="20"/>
        </w:rPr>
        <w:t xml:space="preserve"> Procurator</w:t>
      </w:r>
      <w:r w:rsidR="005E2F3E" w:rsidRPr="00777C37">
        <w:rPr>
          <w:rFonts w:ascii="Cambria" w:hAnsi="Cambria"/>
          <w:sz w:val="20"/>
          <w:szCs w:val="20"/>
        </w:rPr>
        <w:t xml:space="preserve"> General</w:t>
      </w:r>
      <w:r w:rsidR="001E7F8F" w:rsidRPr="00777C37">
        <w:rPr>
          <w:rFonts w:ascii="Cambria" w:hAnsi="Cambria"/>
          <w:sz w:val="20"/>
          <w:szCs w:val="20"/>
        </w:rPr>
        <w:t>’s</w:t>
      </w:r>
      <w:r w:rsidR="0003275E">
        <w:rPr>
          <w:rFonts w:ascii="Cambria" w:hAnsi="Cambria"/>
          <w:sz w:val="20"/>
          <w:szCs w:val="20"/>
        </w:rPr>
        <w:t xml:space="preserve"> opinion No. 146-</w:t>
      </w:r>
      <w:r w:rsidR="005E2F3E" w:rsidRPr="00777C37">
        <w:rPr>
          <w:rFonts w:ascii="Cambria" w:hAnsi="Cambria"/>
          <w:sz w:val="20"/>
          <w:szCs w:val="20"/>
        </w:rPr>
        <w:t xml:space="preserve">06, </w:t>
      </w:r>
      <w:r w:rsidR="0049249D" w:rsidRPr="00777C37">
        <w:rPr>
          <w:rFonts w:ascii="Cambria" w:hAnsi="Cambria"/>
          <w:sz w:val="20"/>
          <w:szCs w:val="20"/>
        </w:rPr>
        <w:t xml:space="preserve">that </w:t>
      </w:r>
      <w:r w:rsidR="001E7F8F" w:rsidRPr="00777C37">
        <w:rPr>
          <w:rFonts w:ascii="Cambria" w:hAnsi="Cambria"/>
          <w:sz w:val="20"/>
          <w:szCs w:val="20"/>
        </w:rPr>
        <w:t>the provisions of Law 24</w:t>
      </w:r>
      <w:r w:rsidR="004D795F" w:rsidRPr="00777C37">
        <w:rPr>
          <w:rFonts w:ascii="Cambria" w:hAnsi="Cambria"/>
          <w:sz w:val="20"/>
          <w:szCs w:val="20"/>
        </w:rPr>
        <w:t>,</w:t>
      </w:r>
      <w:r w:rsidR="001E7F8F" w:rsidRPr="00777C37">
        <w:rPr>
          <w:rFonts w:ascii="Cambria" w:hAnsi="Cambria"/>
          <w:sz w:val="20"/>
          <w:szCs w:val="20"/>
        </w:rPr>
        <w:t xml:space="preserve">043 did not cover compensation for </w:t>
      </w:r>
      <w:r w:rsidR="0049249D" w:rsidRPr="00777C37">
        <w:rPr>
          <w:rFonts w:ascii="Cambria" w:hAnsi="Cambria"/>
          <w:sz w:val="20"/>
          <w:szCs w:val="20"/>
        </w:rPr>
        <w:t>exile</w:t>
      </w:r>
      <w:r w:rsidR="005E2F3E" w:rsidRPr="00777C37">
        <w:rPr>
          <w:rFonts w:ascii="Cambria" w:hAnsi="Cambria"/>
          <w:sz w:val="20"/>
          <w:szCs w:val="20"/>
        </w:rPr>
        <w:t xml:space="preserve"> not preced</w:t>
      </w:r>
      <w:r w:rsidR="001E7F8F" w:rsidRPr="00777C37">
        <w:rPr>
          <w:rFonts w:ascii="Cambria" w:hAnsi="Cambria"/>
          <w:sz w:val="20"/>
          <w:szCs w:val="20"/>
        </w:rPr>
        <w:t>ed by a deprivation of liberty</w:t>
      </w:r>
      <w:r w:rsidR="005E2F3E" w:rsidRPr="00777C37">
        <w:rPr>
          <w:rFonts w:ascii="Cambria" w:hAnsi="Cambria"/>
          <w:sz w:val="20"/>
          <w:szCs w:val="20"/>
        </w:rPr>
        <w:t>. Thus, the petitioner</w:t>
      </w:r>
      <w:r w:rsidR="00214BAF" w:rsidRPr="00777C37">
        <w:rPr>
          <w:rFonts w:ascii="Cambria" w:hAnsi="Cambria"/>
          <w:sz w:val="20"/>
          <w:szCs w:val="20"/>
        </w:rPr>
        <w:t>s claim</w:t>
      </w:r>
      <w:r w:rsidR="005E2F3E" w:rsidRPr="00777C37">
        <w:rPr>
          <w:rFonts w:ascii="Cambria" w:hAnsi="Cambria"/>
          <w:sz w:val="20"/>
          <w:szCs w:val="20"/>
        </w:rPr>
        <w:t xml:space="preserve"> that the Mini</w:t>
      </w:r>
      <w:r w:rsidR="0059233F">
        <w:rPr>
          <w:rFonts w:ascii="Cambria" w:hAnsi="Cambria"/>
          <w:sz w:val="20"/>
          <w:szCs w:val="20"/>
        </w:rPr>
        <w:t>stry of Justice and Human Rights by attending to</w:t>
      </w:r>
      <w:r w:rsidR="005E2F3E" w:rsidRPr="00777C37">
        <w:rPr>
          <w:rFonts w:ascii="Cambria" w:hAnsi="Cambria"/>
          <w:sz w:val="20"/>
          <w:szCs w:val="20"/>
        </w:rPr>
        <w:t xml:space="preserve"> the ruling of the </w:t>
      </w:r>
      <w:r w:rsidR="00214BAF" w:rsidRPr="00777C37">
        <w:rPr>
          <w:rFonts w:ascii="Cambria" w:hAnsi="Cambria"/>
          <w:sz w:val="20"/>
          <w:szCs w:val="20"/>
        </w:rPr>
        <w:t xml:space="preserve">Procurator </w:t>
      </w:r>
      <w:r w:rsidR="0059233F" w:rsidRPr="00777C37">
        <w:rPr>
          <w:rFonts w:ascii="Cambria" w:hAnsi="Cambria"/>
          <w:sz w:val="20"/>
          <w:szCs w:val="20"/>
        </w:rPr>
        <w:t>General</w:t>
      </w:r>
      <w:r w:rsidR="0059233F">
        <w:rPr>
          <w:rFonts w:ascii="Cambria" w:hAnsi="Cambria"/>
          <w:sz w:val="20"/>
          <w:szCs w:val="20"/>
        </w:rPr>
        <w:t>,</w:t>
      </w:r>
      <w:r w:rsidR="005E2F3E" w:rsidRPr="00777C37">
        <w:rPr>
          <w:rFonts w:ascii="Cambria" w:hAnsi="Cambria"/>
          <w:sz w:val="20"/>
          <w:szCs w:val="20"/>
        </w:rPr>
        <w:t xml:space="preserve"> </w:t>
      </w:r>
      <w:r w:rsidR="00214BAF" w:rsidRPr="00777C37">
        <w:rPr>
          <w:rFonts w:ascii="Cambria" w:hAnsi="Cambria"/>
          <w:sz w:val="20"/>
          <w:szCs w:val="20"/>
        </w:rPr>
        <w:t>ignored</w:t>
      </w:r>
      <w:r w:rsidR="005E2F3E" w:rsidRPr="00777C37">
        <w:rPr>
          <w:rFonts w:ascii="Cambria" w:hAnsi="Cambria"/>
          <w:sz w:val="20"/>
          <w:szCs w:val="20"/>
        </w:rPr>
        <w:t xml:space="preserve"> the numerous </w:t>
      </w:r>
      <w:r w:rsidR="0059233F" w:rsidRPr="00777C37">
        <w:rPr>
          <w:rFonts w:ascii="Cambria" w:hAnsi="Cambria"/>
          <w:sz w:val="20"/>
          <w:szCs w:val="20"/>
        </w:rPr>
        <w:t xml:space="preserve">compensation </w:t>
      </w:r>
      <w:r w:rsidR="00214BAF" w:rsidRPr="00777C37">
        <w:rPr>
          <w:rFonts w:ascii="Cambria" w:hAnsi="Cambria"/>
          <w:sz w:val="20"/>
          <w:szCs w:val="20"/>
        </w:rPr>
        <w:t xml:space="preserve">cases </w:t>
      </w:r>
      <w:r w:rsidR="005E2F3E" w:rsidRPr="00777C37">
        <w:rPr>
          <w:rFonts w:ascii="Cambria" w:hAnsi="Cambria"/>
          <w:sz w:val="20"/>
          <w:szCs w:val="20"/>
        </w:rPr>
        <w:t>granted under the same circumstances.</w:t>
      </w:r>
    </w:p>
    <w:p w14:paraId="6E6754DD" w14:textId="3792C423" w:rsidR="00526F11" w:rsidRPr="00777C37" w:rsidRDefault="005E2F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The petitioner</w:t>
      </w:r>
      <w:r w:rsidR="001C052F" w:rsidRPr="00777C37">
        <w:rPr>
          <w:rFonts w:ascii="Cambria" w:hAnsi="Cambria"/>
          <w:sz w:val="20"/>
          <w:szCs w:val="20"/>
        </w:rPr>
        <w:t>s state</w:t>
      </w:r>
      <w:r w:rsidRPr="00777C37">
        <w:rPr>
          <w:rFonts w:ascii="Cambria" w:hAnsi="Cambria"/>
          <w:sz w:val="20"/>
          <w:szCs w:val="20"/>
        </w:rPr>
        <w:t xml:space="preserve"> that the alleged victim filed an appeal </w:t>
      </w:r>
      <w:r w:rsidR="0059233F">
        <w:rPr>
          <w:rFonts w:ascii="Cambria" w:hAnsi="Cambria"/>
          <w:sz w:val="20"/>
          <w:szCs w:val="20"/>
        </w:rPr>
        <w:t>before</w:t>
      </w:r>
      <w:r w:rsidR="001C052F" w:rsidRPr="00777C37">
        <w:rPr>
          <w:rFonts w:ascii="Cambria" w:hAnsi="Cambria"/>
          <w:sz w:val="20"/>
          <w:szCs w:val="20"/>
        </w:rPr>
        <w:t xml:space="preserve"> the National </w:t>
      </w:r>
      <w:r w:rsidR="0059233F">
        <w:rPr>
          <w:rFonts w:ascii="Cambria" w:hAnsi="Cambria"/>
          <w:sz w:val="20"/>
          <w:szCs w:val="20"/>
        </w:rPr>
        <w:t>Court</w:t>
      </w:r>
      <w:r w:rsidR="004D795F" w:rsidRPr="00777C37">
        <w:rPr>
          <w:rFonts w:ascii="Cambria" w:hAnsi="Cambria"/>
          <w:sz w:val="20"/>
          <w:szCs w:val="20"/>
        </w:rPr>
        <w:t xml:space="preserve"> of Appeals in Contentious Administrative Matters</w:t>
      </w:r>
      <w:r w:rsidRPr="00777C37">
        <w:rPr>
          <w:rFonts w:ascii="Cambria" w:hAnsi="Cambria"/>
          <w:sz w:val="20"/>
          <w:szCs w:val="20"/>
        </w:rPr>
        <w:t xml:space="preserve"> </w:t>
      </w:r>
      <w:r w:rsidR="001C052F" w:rsidRPr="00777C37">
        <w:rPr>
          <w:rFonts w:ascii="Cambria" w:hAnsi="Cambria"/>
          <w:sz w:val="20"/>
          <w:szCs w:val="20"/>
        </w:rPr>
        <w:t>in order to contest</w:t>
      </w:r>
      <w:r w:rsidRPr="00777C37">
        <w:rPr>
          <w:rFonts w:ascii="Cambria" w:hAnsi="Cambria"/>
          <w:sz w:val="20"/>
          <w:szCs w:val="20"/>
        </w:rPr>
        <w:t xml:space="preserve"> the arbitrary decisi</w:t>
      </w:r>
      <w:r w:rsidR="001C052F" w:rsidRPr="00777C37">
        <w:rPr>
          <w:rFonts w:ascii="Cambria" w:hAnsi="Cambria"/>
          <w:sz w:val="20"/>
          <w:szCs w:val="20"/>
        </w:rPr>
        <w:t>on of the Secretariat and to obtain</w:t>
      </w:r>
      <w:r w:rsidRPr="00777C37">
        <w:rPr>
          <w:rFonts w:ascii="Cambria" w:hAnsi="Cambria"/>
          <w:sz w:val="20"/>
          <w:szCs w:val="20"/>
        </w:rPr>
        <w:t xml:space="preserve"> a ruling on the scope of Law 24,043 </w:t>
      </w:r>
      <w:r w:rsidR="004D795F" w:rsidRPr="00777C37">
        <w:rPr>
          <w:rFonts w:ascii="Cambria" w:hAnsi="Cambria"/>
          <w:sz w:val="20"/>
          <w:szCs w:val="20"/>
        </w:rPr>
        <w:t>regarding</w:t>
      </w:r>
      <w:r w:rsidR="001C052F" w:rsidRPr="00777C37">
        <w:rPr>
          <w:rFonts w:ascii="Cambria" w:hAnsi="Cambria"/>
          <w:sz w:val="20"/>
          <w:szCs w:val="20"/>
        </w:rPr>
        <w:t xml:space="preserve"> cases</w:t>
      </w:r>
      <w:r w:rsidRPr="00777C37">
        <w:rPr>
          <w:rFonts w:ascii="Cambria" w:hAnsi="Cambria"/>
          <w:sz w:val="20"/>
          <w:szCs w:val="20"/>
        </w:rPr>
        <w:t xml:space="preserve"> of forced exile. The petitioner</w:t>
      </w:r>
      <w:r w:rsidR="004D795F" w:rsidRPr="00777C37">
        <w:rPr>
          <w:rFonts w:ascii="Cambria" w:hAnsi="Cambria"/>
          <w:sz w:val="20"/>
          <w:szCs w:val="20"/>
        </w:rPr>
        <w:t xml:space="preserve">s point out that </w:t>
      </w:r>
      <w:r w:rsidR="0059233F">
        <w:rPr>
          <w:rFonts w:ascii="Cambria" w:hAnsi="Cambria"/>
          <w:sz w:val="20"/>
          <w:szCs w:val="20"/>
        </w:rPr>
        <w:t xml:space="preserve">the </w:t>
      </w:r>
      <w:r w:rsidR="004D795F" w:rsidRPr="00777C37">
        <w:rPr>
          <w:rFonts w:ascii="Cambria" w:hAnsi="Cambria"/>
          <w:sz w:val="20"/>
          <w:szCs w:val="20"/>
        </w:rPr>
        <w:t>Chamber IV of the Court</w:t>
      </w:r>
      <w:r w:rsidRPr="00777C37">
        <w:rPr>
          <w:rFonts w:ascii="Cambria" w:hAnsi="Cambria"/>
          <w:sz w:val="20"/>
          <w:szCs w:val="20"/>
        </w:rPr>
        <w:t xml:space="preserve"> </w:t>
      </w:r>
      <w:r w:rsidR="007215EA" w:rsidRPr="00777C37">
        <w:rPr>
          <w:rFonts w:ascii="Cambria" w:hAnsi="Cambria"/>
          <w:sz w:val="20"/>
          <w:szCs w:val="20"/>
        </w:rPr>
        <w:t xml:space="preserve">upheld </w:t>
      </w:r>
      <w:r w:rsidR="004D795F" w:rsidRPr="00777C37">
        <w:rPr>
          <w:rFonts w:ascii="Cambria" w:hAnsi="Cambria"/>
          <w:sz w:val="20"/>
          <w:szCs w:val="20"/>
        </w:rPr>
        <w:t xml:space="preserve">the </w:t>
      </w:r>
      <w:r w:rsidR="007215EA" w:rsidRPr="00777C37">
        <w:rPr>
          <w:rFonts w:ascii="Cambria" w:hAnsi="Cambria"/>
          <w:sz w:val="20"/>
          <w:szCs w:val="20"/>
        </w:rPr>
        <w:t xml:space="preserve">rejection of the claim </w:t>
      </w:r>
      <w:r w:rsidRPr="00777C37">
        <w:rPr>
          <w:rFonts w:ascii="Cambria" w:hAnsi="Cambria"/>
          <w:sz w:val="20"/>
          <w:szCs w:val="20"/>
        </w:rPr>
        <w:t xml:space="preserve">on August 6, 2009, </w:t>
      </w:r>
      <w:r w:rsidR="007215EA" w:rsidRPr="00777C37">
        <w:rPr>
          <w:rFonts w:ascii="Cambria" w:hAnsi="Cambria"/>
          <w:sz w:val="20"/>
          <w:szCs w:val="20"/>
        </w:rPr>
        <w:t>on the ground</w:t>
      </w:r>
      <w:r w:rsidR="0059233F">
        <w:rPr>
          <w:rFonts w:ascii="Cambria" w:hAnsi="Cambria"/>
          <w:sz w:val="20"/>
          <w:szCs w:val="20"/>
        </w:rPr>
        <w:t>s</w:t>
      </w:r>
      <w:r w:rsidRPr="00777C37">
        <w:rPr>
          <w:rFonts w:ascii="Cambria" w:hAnsi="Cambria"/>
          <w:sz w:val="20"/>
          <w:szCs w:val="20"/>
        </w:rPr>
        <w:t xml:space="preserve"> that </w:t>
      </w:r>
      <w:r w:rsidR="007215EA" w:rsidRPr="00777C37">
        <w:rPr>
          <w:rFonts w:ascii="Cambria" w:hAnsi="Cambria"/>
          <w:sz w:val="20"/>
          <w:szCs w:val="20"/>
        </w:rPr>
        <w:t xml:space="preserve">the </w:t>
      </w:r>
      <w:r w:rsidRPr="00777C37">
        <w:rPr>
          <w:rFonts w:ascii="Cambria" w:hAnsi="Cambria"/>
          <w:sz w:val="20"/>
          <w:szCs w:val="20"/>
        </w:rPr>
        <w:t>alleged victim</w:t>
      </w:r>
      <w:r w:rsidR="007215EA" w:rsidRPr="00777C37">
        <w:rPr>
          <w:rFonts w:ascii="Cambria" w:hAnsi="Cambria"/>
          <w:sz w:val="20"/>
          <w:szCs w:val="20"/>
        </w:rPr>
        <w:t>’s departure from the country</w:t>
      </w:r>
      <w:r w:rsidRPr="00777C37">
        <w:rPr>
          <w:rFonts w:ascii="Cambria" w:hAnsi="Cambria"/>
          <w:sz w:val="20"/>
          <w:szCs w:val="20"/>
        </w:rPr>
        <w:t xml:space="preserve"> </w:t>
      </w:r>
      <w:r w:rsidR="0059233F">
        <w:rPr>
          <w:rFonts w:ascii="Cambria" w:hAnsi="Cambria"/>
          <w:sz w:val="20"/>
          <w:szCs w:val="20"/>
        </w:rPr>
        <w:t>sh</w:t>
      </w:r>
      <w:r w:rsidR="007215EA" w:rsidRPr="00777C37">
        <w:rPr>
          <w:rFonts w:ascii="Cambria" w:hAnsi="Cambria"/>
          <w:sz w:val="20"/>
          <w:szCs w:val="20"/>
        </w:rPr>
        <w:t>ould be considered</w:t>
      </w:r>
      <w:r w:rsidRPr="00777C37">
        <w:rPr>
          <w:rFonts w:ascii="Cambria" w:hAnsi="Cambria"/>
          <w:sz w:val="20"/>
          <w:szCs w:val="20"/>
        </w:rPr>
        <w:t xml:space="preserve"> as voluntary self-exile.</w:t>
      </w:r>
    </w:p>
    <w:p w14:paraId="73EA303A" w14:textId="69C95CEE" w:rsidR="00526F11" w:rsidRPr="00777C37" w:rsidRDefault="006B76B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They add</w:t>
      </w:r>
      <w:r w:rsidR="005E2F3E" w:rsidRPr="00777C37">
        <w:rPr>
          <w:rFonts w:ascii="Cambria" w:hAnsi="Cambria"/>
          <w:sz w:val="20"/>
          <w:szCs w:val="20"/>
        </w:rPr>
        <w:t xml:space="preserve"> that an extraordinary federal appeal was </w:t>
      </w:r>
      <w:r w:rsidRPr="00777C37">
        <w:rPr>
          <w:rFonts w:ascii="Cambria" w:hAnsi="Cambria"/>
          <w:sz w:val="20"/>
          <w:szCs w:val="20"/>
        </w:rPr>
        <w:t>filed</w:t>
      </w:r>
      <w:r w:rsidR="005E2F3E" w:rsidRPr="00777C37">
        <w:rPr>
          <w:rFonts w:ascii="Cambria" w:hAnsi="Cambria"/>
          <w:sz w:val="20"/>
          <w:szCs w:val="20"/>
        </w:rPr>
        <w:t xml:space="preserve"> against this decision </w:t>
      </w:r>
      <w:r w:rsidR="00200EA3">
        <w:rPr>
          <w:rFonts w:ascii="Cambria" w:hAnsi="Cambria"/>
          <w:sz w:val="20"/>
          <w:szCs w:val="20"/>
        </w:rPr>
        <w:t>before</w:t>
      </w:r>
      <w:r w:rsidRPr="00777C37">
        <w:rPr>
          <w:rFonts w:ascii="Cambria" w:hAnsi="Cambria"/>
          <w:sz w:val="20"/>
          <w:szCs w:val="20"/>
        </w:rPr>
        <w:t xml:space="preserve"> the Supreme Court of Justice alleging </w:t>
      </w:r>
      <w:r w:rsidR="005E2F3E" w:rsidRPr="00777C37">
        <w:rPr>
          <w:rFonts w:ascii="Cambria" w:hAnsi="Cambria"/>
          <w:sz w:val="20"/>
          <w:szCs w:val="20"/>
        </w:rPr>
        <w:t xml:space="preserve">the unconstitutionality and arbitrariness of the decision, as well as the </w:t>
      </w:r>
      <w:r w:rsidRPr="00777C37">
        <w:rPr>
          <w:rFonts w:ascii="Cambria" w:hAnsi="Cambria"/>
          <w:sz w:val="20"/>
          <w:szCs w:val="20"/>
        </w:rPr>
        <w:t xml:space="preserve">disregard for </w:t>
      </w:r>
      <w:r w:rsidR="005E2F3E" w:rsidRPr="00777C37">
        <w:rPr>
          <w:rFonts w:ascii="Cambria" w:hAnsi="Cambria"/>
          <w:sz w:val="20"/>
          <w:szCs w:val="20"/>
        </w:rPr>
        <w:t xml:space="preserve">international provisions </w:t>
      </w:r>
      <w:r w:rsidRPr="00777C37">
        <w:rPr>
          <w:rFonts w:ascii="Cambria" w:hAnsi="Cambria"/>
          <w:sz w:val="20"/>
          <w:szCs w:val="20"/>
        </w:rPr>
        <w:t>governing</w:t>
      </w:r>
      <w:r w:rsidR="005E2F3E" w:rsidRPr="00777C37">
        <w:rPr>
          <w:rFonts w:ascii="Cambria" w:hAnsi="Cambria"/>
          <w:sz w:val="20"/>
          <w:szCs w:val="20"/>
        </w:rPr>
        <w:t xml:space="preserve"> economic reparation</w:t>
      </w:r>
      <w:r w:rsidR="004D795F" w:rsidRPr="00777C37">
        <w:rPr>
          <w:rFonts w:ascii="Cambria" w:hAnsi="Cambria"/>
          <w:sz w:val="20"/>
          <w:szCs w:val="20"/>
        </w:rPr>
        <w:t>,</w:t>
      </w:r>
      <w:r w:rsidR="005E2F3E" w:rsidRPr="00777C37">
        <w:rPr>
          <w:rFonts w:ascii="Cambria" w:hAnsi="Cambria"/>
          <w:sz w:val="20"/>
          <w:szCs w:val="20"/>
        </w:rPr>
        <w:t xml:space="preserve"> and </w:t>
      </w:r>
      <w:r w:rsidR="00987787" w:rsidRPr="00777C37">
        <w:rPr>
          <w:rFonts w:ascii="Cambria" w:hAnsi="Cambria"/>
          <w:sz w:val="20"/>
          <w:szCs w:val="20"/>
        </w:rPr>
        <w:t>a breach of the legal pri</w:t>
      </w:r>
      <w:r w:rsidR="005E2F3E" w:rsidRPr="00777C37">
        <w:rPr>
          <w:rFonts w:ascii="Cambria" w:hAnsi="Cambria"/>
          <w:sz w:val="20"/>
          <w:szCs w:val="20"/>
        </w:rPr>
        <w:t>nciple of equality before the law</w:t>
      </w:r>
      <w:r w:rsidR="00987787" w:rsidRPr="00777C37">
        <w:rPr>
          <w:rFonts w:ascii="Cambria" w:hAnsi="Cambria"/>
          <w:sz w:val="20"/>
          <w:szCs w:val="20"/>
        </w:rPr>
        <w:t xml:space="preserve"> since reparation had</w:t>
      </w:r>
      <w:r w:rsidR="005E2F3E" w:rsidRPr="00777C37">
        <w:rPr>
          <w:rFonts w:ascii="Cambria" w:hAnsi="Cambria"/>
          <w:sz w:val="20"/>
          <w:szCs w:val="20"/>
        </w:rPr>
        <w:t xml:space="preserve"> been paid in similar situations, including </w:t>
      </w:r>
      <w:r w:rsidR="00987787" w:rsidRPr="00777C37">
        <w:rPr>
          <w:rFonts w:ascii="Cambria" w:hAnsi="Cambria"/>
          <w:sz w:val="20"/>
          <w:szCs w:val="20"/>
        </w:rPr>
        <w:t>in the</w:t>
      </w:r>
      <w:r w:rsidR="005E2F3E" w:rsidRPr="00777C37">
        <w:rPr>
          <w:rFonts w:ascii="Cambria" w:hAnsi="Cambria"/>
          <w:sz w:val="20"/>
          <w:szCs w:val="20"/>
        </w:rPr>
        <w:t xml:space="preserve"> case of </w:t>
      </w:r>
      <w:r w:rsidR="00987787" w:rsidRPr="00777C37">
        <w:rPr>
          <w:rFonts w:ascii="Cambria" w:hAnsi="Cambria"/>
          <w:sz w:val="20"/>
          <w:szCs w:val="20"/>
        </w:rPr>
        <w:t>the alleged victim’s spouse</w:t>
      </w:r>
      <w:r w:rsidR="005E2F3E" w:rsidRPr="00777C37">
        <w:rPr>
          <w:rFonts w:ascii="Cambria" w:hAnsi="Cambria"/>
          <w:sz w:val="20"/>
          <w:szCs w:val="20"/>
        </w:rPr>
        <w:t xml:space="preserve">, who was </w:t>
      </w:r>
      <w:r w:rsidR="00987787" w:rsidRPr="00777C37">
        <w:rPr>
          <w:rFonts w:ascii="Cambria" w:hAnsi="Cambria"/>
          <w:sz w:val="20"/>
          <w:szCs w:val="20"/>
        </w:rPr>
        <w:t xml:space="preserve">in </w:t>
      </w:r>
      <w:r w:rsidR="00200EA3">
        <w:rPr>
          <w:rFonts w:ascii="Cambria" w:hAnsi="Cambria"/>
          <w:sz w:val="20"/>
          <w:szCs w:val="20"/>
        </w:rPr>
        <w:t>the same</w:t>
      </w:r>
      <w:r w:rsidR="00987787" w:rsidRPr="00777C37">
        <w:rPr>
          <w:rFonts w:ascii="Cambria" w:hAnsi="Cambria"/>
          <w:sz w:val="20"/>
          <w:szCs w:val="20"/>
        </w:rPr>
        <w:t xml:space="preserve"> situation</w:t>
      </w:r>
      <w:r w:rsidR="005E2F3E" w:rsidRPr="00777C37">
        <w:rPr>
          <w:rFonts w:ascii="Cambria" w:hAnsi="Cambria"/>
          <w:sz w:val="20"/>
          <w:szCs w:val="20"/>
        </w:rPr>
        <w:t xml:space="preserve"> and </w:t>
      </w:r>
      <w:r w:rsidR="004D795F" w:rsidRPr="00777C37">
        <w:rPr>
          <w:rFonts w:ascii="Cambria" w:hAnsi="Cambria"/>
          <w:sz w:val="20"/>
          <w:szCs w:val="20"/>
        </w:rPr>
        <w:t xml:space="preserve">produced </w:t>
      </w:r>
      <w:r w:rsidR="00200EA3">
        <w:rPr>
          <w:rFonts w:ascii="Cambria" w:hAnsi="Cambria"/>
          <w:sz w:val="20"/>
          <w:szCs w:val="20"/>
        </w:rPr>
        <w:t xml:space="preserve">the same </w:t>
      </w:r>
      <w:r w:rsidR="004D795F" w:rsidRPr="00777C37">
        <w:rPr>
          <w:rFonts w:ascii="Cambria" w:hAnsi="Cambria"/>
          <w:sz w:val="20"/>
          <w:szCs w:val="20"/>
        </w:rPr>
        <w:t>evidence</w:t>
      </w:r>
      <w:r w:rsidR="005E2F3E" w:rsidRPr="00777C37">
        <w:rPr>
          <w:rFonts w:ascii="Cambria" w:hAnsi="Cambria"/>
          <w:sz w:val="20"/>
          <w:szCs w:val="20"/>
        </w:rPr>
        <w:t>. Although the Supreme Court issued a decision on February 9, 2010</w:t>
      </w:r>
      <w:r w:rsidR="00340048" w:rsidRPr="00777C37">
        <w:rPr>
          <w:rFonts w:ascii="Cambria" w:hAnsi="Cambria"/>
          <w:sz w:val="20"/>
          <w:szCs w:val="20"/>
        </w:rPr>
        <w:t>,</w:t>
      </w:r>
      <w:r w:rsidR="005E2F3E" w:rsidRPr="00777C37">
        <w:rPr>
          <w:rFonts w:ascii="Cambria" w:hAnsi="Cambria"/>
          <w:sz w:val="20"/>
          <w:szCs w:val="20"/>
        </w:rPr>
        <w:t xml:space="preserve"> </w:t>
      </w:r>
      <w:r w:rsidR="0047114B">
        <w:rPr>
          <w:rFonts w:ascii="Cambria" w:hAnsi="Cambria"/>
          <w:sz w:val="20"/>
          <w:szCs w:val="20"/>
        </w:rPr>
        <w:t>granting</w:t>
      </w:r>
      <w:r w:rsidR="005E2F3E" w:rsidRPr="00777C37">
        <w:rPr>
          <w:rFonts w:ascii="Cambria" w:hAnsi="Cambria"/>
          <w:sz w:val="20"/>
          <w:szCs w:val="20"/>
        </w:rPr>
        <w:t xml:space="preserve"> the extraordinary appeal, </w:t>
      </w:r>
      <w:r w:rsidR="00340048" w:rsidRPr="00777C37">
        <w:rPr>
          <w:rFonts w:ascii="Cambria" w:hAnsi="Cambria"/>
          <w:sz w:val="20"/>
          <w:szCs w:val="20"/>
        </w:rPr>
        <w:t xml:space="preserve">the Court </w:t>
      </w:r>
      <w:r w:rsidR="0047114B">
        <w:rPr>
          <w:rFonts w:ascii="Cambria" w:hAnsi="Cambria"/>
          <w:sz w:val="20"/>
          <w:szCs w:val="20"/>
        </w:rPr>
        <w:t>on June 1</w:t>
      </w:r>
      <w:r w:rsidR="0047114B" w:rsidRPr="0047114B">
        <w:rPr>
          <w:rFonts w:ascii="Cambria" w:hAnsi="Cambria"/>
          <w:sz w:val="20"/>
          <w:szCs w:val="20"/>
          <w:vertAlign w:val="superscript"/>
        </w:rPr>
        <w:t>st</w:t>
      </w:r>
      <w:r w:rsidR="0047114B">
        <w:rPr>
          <w:rFonts w:ascii="Cambria" w:hAnsi="Cambria"/>
          <w:sz w:val="20"/>
          <w:szCs w:val="20"/>
        </w:rPr>
        <w:t xml:space="preserve"> </w:t>
      </w:r>
      <w:r w:rsidR="00340048" w:rsidRPr="00777C37">
        <w:rPr>
          <w:rFonts w:ascii="Cambria" w:hAnsi="Cambria"/>
          <w:sz w:val="20"/>
          <w:szCs w:val="20"/>
        </w:rPr>
        <w:t>decided that it was inadmissible on the ground that the appeal failed to meet the requirement relating</w:t>
      </w:r>
      <w:r w:rsidR="005E2F3E" w:rsidRPr="00777C37">
        <w:rPr>
          <w:rFonts w:ascii="Cambria" w:hAnsi="Cambria"/>
          <w:sz w:val="20"/>
          <w:szCs w:val="20"/>
        </w:rPr>
        <w:t xml:space="preserve"> to the number of lines per page required in </w:t>
      </w:r>
      <w:r w:rsidR="004D795F" w:rsidRPr="00777C37">
        <w:rPr>
          <w:rFonts w:ascii="Cambria" w:hAnsi="Cambria"/>
          <w:sz w:val="20"/>
          <w:szCs w:val="20"/>
        </w:rPr>
        <w:t xml:space="preserve">Article 1 of </w:t>
      </w:r>
      <w:r w:rsidR="00340048" w:rsidRPr="00777C37">
        <w:rPr>
          <w:rFonts w:ascii="Cambria" w:hAnsi="Cambria"/>
          <w:sz w:val="20"/>
          <w:szCs w:val="20"/>
        </w:rPr>
        <w:t>Regulation 4/2007. The dec</w:t>
      </w:r>
      <w:r w:rsidR="004D795F" w:rsidRPr="00777C37">
        <w:rPr>
          <w:rFonts w:ascii="Cambria" w:hAnsi="Cambria"/>
          <w:sz w:val="20"/>
          <w:szCs w:val="20"/>
        </w:rPr>
        <w:t>ision was served on the petitioners</w:t>
      </w:r>
      <w:r w:rsidR="005E2F3E" w:rsidRPr="00777C37">
        <w:rPr>
          <w:rFonts w:ascii="Cambria" w:hAnsi="Cambria"/>
          <w:sz w:val="20"/>
          <w:szCs w:val="20"/>
        </w:rPr>
        <w:t xml:space="preserve"> on June 16, 2010. </w:t>
      </w:r>
      <w:r w:rsidR="004D795F" w:rsidRPr="00777C37">
        <w:rPr>
          <w:rFonts w:ascii="Cambria" w:hAnsi="Cambria"/>
          <w:sz w:val="20"/>
          <w:szCs w:val="20"/>
        </w:rPr>
        <w:t xml:space="preserve">They indicate that upon learning of the remedy’s denial in </w:t>
      </w:r>
      <w:r w:rsidR="005E2F3E" w:rsidRPr="00777C37">
        <w:rPr>
          <w:rFonts w:ascii="Cambria" w:hAnsi="Cambria"/>
          <w:sz w:val="20"/>
          <w:szCs w:val="20"/>
        </w:rPr>
        <w:t xml:space="preserve">other similar cases, </w:t>
      </w:r>
      <w:r w:rsidR="004D795F" w:rsidRPr="00777C37">
        <w:rPr>
          <w:rFonts w:ascii="Cambria" w:hAnsi="Cambria"/>
          <w:sz w:val="20"/>
          <w:szCs w:val="20"/>
        </w:rPr>
        <w:t>due to the same reasons, they filed</w:t>
      </w:r>
      <w:r w:rsidR="005E2F3E" w:rsidRPr="00777C37">
        <w:rPr>
          <w:rFonts w:ascii="Cambria" w:hAnsi="Cambria"/>
          <w:sz w:val="20"/>
          <w:szCs w:val="20"/>
        </w:rPr>
        <w:t xml:space="preserve"> the same extraordinary federal </w:t>
      </w:r>
      <w:r w:rsidR="009E47DA" w:rsidRPr="00777C37">
        <w:rPr>
          <w:rFonts w:ascii="Cambria" w:hAnsi="Cambria"/>
          <w:sz w:val="20"/>
          <w:szCs w:val="20"/>
        </w:rPr>
        <w:t xml:space="preserve">appeal </w:t>
      </w:r>
      <w:r w:rsidR="005E2F3E" w:rsidRPr="00777C37">
        <w:rPr>
          <w:rFonts w:ascii="Cambria" w:hAnsi="Cambria"/>
          <w:sz w:val="20"/>
          <w:szCs w:val="20"/>
        </w:rPr>
        <w:t xml:space="preserve">with </w:t>
      </w:r>
      <w:r w:rsidR="004D795F" w:rsidRPr="00777C37">
        <w:rPr>
          <w:rFonts w:ascii="Cambria" w:hAnsi="Cambria"/>
          <w:sz w:val="20"/>
          <w:szCs w:val="20"/>
        </w:rPr>
        <w:t>a</w:t>
      </w:r>
      <w:r w:rsidR="005E2F3E" w:rsidRPr="00777C37">
        <w:rPr>
          <w:rFonts w:ascii="Cambria" w:hAnsi="Cambria"/>
          <w:sz w:val="20"/>
          <w:szCs w:val="20"/>
        </w:rPr>
        <w:t xml:space="preserve"> </w:t>
      </w:r>
      <w:r w:rsidR="009E47DA" w:rsidRPr="00777C37">
        <w:rPr>
          <w:rFonts w:ascii="Cambria" w:hAnsi="Cambria"/>
          <w:sz w:val="20"/>
          <w:szCs w:val="20"/>
        </w:rPr>
        <w:t xml:space="preserve">26 line per page </w:t>
      </w:r>
      <w:r w:rsidR="005E2F3E" w:rsidRPr="00777C37">
        <w:rPr>
          <w:rFonts w:ascii="Cambria" w:hAnsi="Cambria"/>
          <w:sz w:val="20"/>
          <w:szCs w:val="20"/>
        </w:rPr>
        <w:t xml:space="preserve">layout, without modifying its content or exceeding the </w:t>
      </w:r>
      <w:r w:rsidR="004D795F" w:rsidRPr="00777C37">
        <w:rPr>
          <w:rFonts w:ascii="Cambria" w:hAnsi="Cambria"/>
          <w:sz w:val="20"/>
          <w:szCs w:val="20"/>
        </w:rPr>
        <w:t>required</w:t>
      </w:r>
      <w:r w:rsidR="005E2F3E" w:rsidRPr="00777C37">
        <w:rPr>
          <w:rFonts w:ascii="Cambria" w:hAnsi="Cambria"/>
          <w:sz w:val="20"/>
          <w:szCs w:val="20"/>
        </w:rPr>
        <w:t xml:space="preserve"> extension</w:t>
      </w:r>
      <w:r w:rsidR="0047114B">
        <w:rPr>
          <w:rFonts w:ascii="Cambria" w:hAnsi="Cambria"/>
          <w:sz w:val="20"/>
          <w:szCs w:val="20"/>
        </w:rPr>
        <w:t>.</w:t>
      </w:r>
      <w:r w:rsidR="004D795F" w:rsidRPr="00777C37">
        <w:rPr>
          <w:rFonts w:ascii="Cambria" w:hAnsi="Cambria"/>
          <w:sz w:val="20"/>
          <w:szCs w:val="20"/>
        </w:rPr>
        <w:t xml:space="preserve"> However, </w:t>
      </w:r>
      <w:r w:rsidR="005E2F3E" w:rsidRPr="00777C37">
        <w:rPr>
          <w:rFonts w:ascii="Cambria" w:hAnsi="Cambria"/>
          <w:sz w:val="20"/>
          <w:szCs w:val="20"/>
        </w:rPr>
        <w:t>the court ordered its return and then refuse</w:t>
      </w:r>
      <w:r w:rsidR="009E47DA" w:rsidRPr="00777C37">
        <w:rPr>
          <w:rFonts w:ascii="Cambria" w:hAnsi="Cambria"/>
          <w:sz w:val="20"/>
          <w:szCs w:val="20"/>
        </w:rPr>
        <w:t>d</w:t>
      </w:r>
      <w:r w:rsidR="005E2F3E" w:rsidRPr="00777C37">
        <w:rPr>
          <w:rFonts w:ascii="Cambria" w:hAnsi="Cambria"/>
          <w:sz w:val="20"/>
          <w:szCs w:val="20"/>
        </w:rPr>
        <w:t xml:space="preserve"> to deal with the complaint.</w:t>
      </w:r>
    </w:p>
    <w:p w14:paraId="5F2193B2" w14:textId="481D6FFD" w:rsidR="00526F11" w:rsidRPr="00777C37" w:rsidRDefault="0047114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F42141" w:rsidRPr="00777C37">
        <w:rPr>
          <w:rFonts w:ascii="Cambria" w:hAnsi="Cambria"/>
          <w:sz w:val="20"/>
          <w:szCs w:val="20"/>
        </w:rPr>
        <w:t xml:space="preserve">he State </w:t>
      </w:r>
      <w:r w:rsidR="00336223" w:rsidRPr="00777C37">
        <w:rPr>
          <w:rFonts w:ascii="Cambria" w:hAnsi="Cambria"/>
          <w:sz w:val="20"/>
          <w:szCs w:val="20"/>
        </w:rPr>
        <w:t xml:space="preserve">highlights the delay in notifying the petition, which it received approximately 6 years after it was filed </w:t>
      </w:r>
      <w:r>
        <w:rPr>
          <w:rFonts w:ascii="Cambria" w:hAnsi="Cambria"/>
          <w:sz w:val="20"/>
          <w:szCs w:val="20"/>
        </w:rPr>
        <w:t xml:space="preserve">before </w:t>
      </w:r>
      <w:r w:rsidR="00336223" w:rsidRPr="00777C37">
        <w:rPr>
          <w:rFonts w:ascii="Cambria" w:hAnsi="Cambria"/>
          <w:sz w:val="20"/>
          <w:szCs w:val="20"/>
        </w:rPr>
        <w:t>the Commission.</w:t>
      </w:r>
      <w:r w:rsidR="00F42141" w:rsidRPr="00777C37">
        <w:rPr>
          <w:rFonts w:ascii="Cambria" w:hAnsi="Cambria"/>
          <w:sz w:val="20"/>
          <w:szCs w:val="20"/>
        </w:rPr>
        <w:t xml:space="preserve"> Likewise, it argues </w:t>
      </w:r>
      <w:r w:rsidR="005320A5" w:rsidRPr="00777C37">
        <w:rPr>
          <w:rFonts w:ascii="Cambria" w:hAnsi="Cambria"/>
          <w:sz w:val="20"/>
          <w:szCs w:val="20"/>
        </w:rPr>
        <w:t>a failure to exhaust domestic remedies</w:t>
      </w:r>
      <w:r w:rsidR="00F42141" w:rsidRPr="00777C37">
        <w:rPr>
          <w:rFonts w:ascii="Cambria" w:hAnsi="Cambria"/>
          <w:sz w:val="20"/>
          <w:szCs w:val="20"/>
        </w:rPr>
        <w:t xml:space="preserve"> given that </w:t>
      </w:r>
      <w:r w:rsidR="005320A5" w:rsidRPr="00777C37">
        <w:rPr>
          <w:rFonts w:ascii="Cambria" w:hAnsi="Cambria"/>
          <w:sz w:val="20"/>
          <w:szCs w:val="20"/>
        </w:rPr>
        <w:t xml:space="preserve">the appropriate and effective remedy for the alleged violation was the </w:t>
      </w:r>
      <w:r w:rsidR="00F42141" w:rsidRPr="00777C37">
        <w:rPr>
          <w:rFonts w:ascii="Cambria" w:hAnsi="Cambria"/>
          <w:sz w:val="20"/>
          <w:szCs w:val="20"/>
        </w:rPr>
        <w:t xml:space="preserve">extraordinary </w:t>
      </w:r>
      <w:r w:rsidR="00874D32">
        <w:rPr>
          <w:rFonts w:ascii="Cambria" w:hAnsi="Cambria"/>
          <w:sz w:val="20"/>
          <w:szCs w:val="20"/>
        </w:rPr>
        <w:t xml:space="preserve">federal </w:t>
      </w:r>
      <w:r w:rsidR="00F42141" w:rsidRPr="00777C37">
        <w:rPr>
          <w:rFonts w:ascii="Cambria" w:hAnsi="Cambria"/>
          <w:sz w:val="20"/>
          <w:szCs w:val="20"/>
        </w:rPr>
        <w:t>appeal befo</w:t>
      </w:r>
      <w:r w:rsidR="005320A5" w:rsidRPr="00777C37">
        <w:rPr>
          <w:rFonts w:ascii="Cambria" w:hAnsi="Cambria"/>
          <w:sz w:val="20"/>
          <w:szCs w:val="20"/>
        </w:rPr>
        <w:t>re the Supreme Court of Justice</w:t>
      </w:r>
      <w:r w:rsidR="00F42141" w:rsidRPr="00777C37">
        <w:rPr>
          <w:rFonts w:ascii="Cambria" w:hAnsi="Cambria"/>
          <w:sz w:val="20"/>
          <w:szCs w:val="20"/>
        </w:rPr>
        <w:t xml:space="preserve">, </w:t>
      </w:r>
      <w:r w:rsidR="005320A5" w:rsidRPr="00777C37">
        <w:rPr>
          <w:rFonts w:ascii="Cambria" w:hAnsi="Cambria"/>
          <w:sz w:val="20"/>
          <w:szCs w:val="20"/>
        </w:rPr>
        <w:t>which was dismissed on</w:t>
      </w:r>
      <w:r w:rsidR="00F42141" w:rsidRPr="00777C37">
        <w:rPr>
          <w:rFonts w:ascii="Cambria" w:hAnsi="Cambria"/>
          <w:sz w:val="20"/>
          <w:szCs w:val="20"/>
        </w:rPr>
        <w:t xml:space="preserve"> </w:t>
      </w:r>
      <w:r w:rsidR="003D1F40" w:rsidRPr="00777C37">
        <w:rPr>
          <w:rFonts w:ascii="Cambria" w:hAnsi="Cambria"/>
          <w:sz w:val="20"/>
          <w:szCs w:val="20"/>
        </w:rPr>
        <w:t>formal deficiency</w:t>
      </w:r>
      <w:r w:rsidR="005320A5" w:rsidRPr="00777C37">
        <w:rPr>
          <w:rFonts w:ascii="Cambria" w:hAnsi="Cambria"/>
          <w:sz w:val="20"/>
          <w:szCs w:val="20"/>
        </w:rPr>
        <w:t xml:space="preserve"> grounds</w:t>
      </w:r>
      <w:r w:rsidR="00F42141" w:rsidRPr="00777C37">
        <w:rPr>
          <w:rFonts w:ascii="Cambria" w:hAnsi="Cambria"/>
          <w:sz w:val="20"/>
          <w:szCs w:val="20"/>
        </w:rPr>
        <w:t xml:space="preserve"> </w:t>
      </w:r>
      <w:r w:rsidR="005320A5" w:rsidRPr="00777C37">
        <w:rPr>
          <w:rFonts w:ascii="Cambria" w:hAnsi="Cambria"/>
          <w:sz w:val="20"/>
          <w:szCs w:val="20"/>
        </w:rPr>
        <w:t>attrib</w:t>
      </w:r>
      <w:r>
        <w:rPr>
          <w:rFonts w:ascii="Cambria" w:hAnsi="Cambria"/>
          <w:sz w:val="20"/>
          <w:szCs w:val="20"/>
        </w:rPr>
        <w:t>utable solely to Mr. Ballivián.</w:t>
      </w:r>
      <w:r w:rsidR="005320A5" w:rsidRPr="00777C37">
        <w:rPr>
          <w:rFonts w:ascii="Cambria" w:hAnsi="Cambria"/>
          <w:sz w:val="20"/>
          <w:szCs w:val="20"/>
        </w:rPr>
        <w:t xml:space="preserve"> </w:t>
      </w:r>
      <w:r w:rsidR="003D1F40" w:rsidRPr="00777C37">
        <w:rPr>
          <w:rFonts w:ascii="Cambria" w:hAnsi="Cambria"/>
          <w:sz w:val="20"/>
          <w:szCs w:val="20"/>
        </w:rPr>
        <w:t>In addition, i</w:t>
      </w:r>
      <w:r w:rsidR="005320A5" w:rsidRPr="00777C37">
        <w:rPr>
          <w:rFonts w:ascii="Cambria" w:hAnsi="Cambria"/>
          <w:sz w:val="20"/>
          <w:szCs w:val="20"/>
        </w:rPr>
        <w:t xml:space="preserve">t argues </w:t>
      </w:r>
      <w:r w:rsidR="00F42141" w:rsidRPr="00777C37">
        <w:rPr>
          <w:rFonts w:ascii="Cambria" w:hAnsi="Cambria"/>
          <w:sz w:val="20"/>
          <w:szCs w:val="20"/>
        </w:rPr>
        <w:t xml:space="preserve">that he also had at his disposal the ordinary system of </w:t>
      </w:r>
      <w:r w:rsidR="005320A5" w:rsidRPr="00777C37">
        <w:rPr>
          <w:rFonts w:ascii="Cambria" w:hAnsi="Cambria"/>
          <w:sz w:val="20"/>
          <w:szCs w:val="20"/>
        </w:rPr>
        <w:t>compensation</w:t>
      </w:r>
      <w:r w:rsidR="00F42141" w:rsidRPr="00777C37">
        <w:rPr>
          <w:rFonts w:ascii="Cambria" w:hAnsi="Cambria"/>
          <w:sz w:val="20"/>
          <w:szCs w:val="20"/>
        </w:rPr>
        <w:t xml:space="preserve"> in the courts </w:t>
      </w:r>
      <w:r w:rsidR="003D1F40" w:rsidRPr="00777C37">
        <w:rPr>
          <w:rFonts w:ascii="Cambria" w:hAnsi="Cambria"/>
          <w:sz w:val="20"/>
          <w:szCs w:val="20"/>
        </w:rPr>
        <w:t>with</w:t>
      </w:r>
      <w:r w:rsidR="00F42141" w:rsidRPr="00777C37">
        <w:rPr>
          <w:rFonts w:ascii="Cambria" w:hAnsi="Cambria"/>
          <w:sz w:val="20"/>
          <w:szCs w:val="20"/>
        </w:rPr>
        <w:t xml:space="preserve"> an action for damages against the National State and the extraordinary appeal.</w:t>
      </w:r>
    </w:p>
    <w:p w14:paraId="7EEFB7C6" w14:textId="7BB18060" w:rsidR="00526F11" w:rsidRPr="00777C37" w:rsidRDefault="0068692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The State argues</w:t>
      </w:r>
      <w:r w:rsidR="00F42141" w:rsidRPr="00777C37">
        <w:rPr>
          <w:rFonts w:ascii="Cambria" w:hAnsi="Cambria"/>
          <w:sz w:val="20"/>
          <w:szCs w:val="20"/>
        </w:rPr>
        <w:t xml:space="preserve"> that the alleged victim </w:t>
      </w:r>
      <w:r w:rsidRPr="00777C37">
        <w:rPr>
          <w:rFonts w:ascii="Cambria" w:hAnsi="Cambria"/>
          <w:sz w:val="20"/>
          <w:szCs w:val="20"/>
        </w:rPr>
        <w:t>has failed to state</w:t>
      </w:r>
      <w:r w:rsidR="00F42141" w:rsidRPr="00777C37">
        <w:rPr>
          <w:rFonts w:ascii="Cambria" w:hAnsi="Cambria"/>
          <w:sz w:val="20"/>
          <w:szCs w:val="20"/>
        </w:rPr>
        <w:t xml:space="preserve"> facts </w:t>
      </w:r>
      <w:r w:rsidRPr="00777C37">
        <w:rPr>
          <w:rFonts w:ascii="Cambria" w:hAnsi="Cambria"/>
          <w:sz w:val="20"/>
          <w:szCs w:val="20"/>
        </w:rPr>
        <w:t>characterizing</w:t>
      </w:r>
      <w:r w:rsidR="00F42141" w:rsidRPr="00777C37">
        <w:rPr>
          <w:rFonts w:ascii="Cambria" w:hAnsi="Cambria"/>
          <w:sz w:val="20"/>
          <w:szCs w:val="20"/>
        </w:rPr>
        <w:t xml:space="preserve"> a violation of human rights</w:t>
      </w:r>
      <w:r w:rsidRPr="00777C37">
        <w:rPr>
          <w:rFonts w:ascii="Cambria" w:hAnsi="Cambria"/>
          <w:sz w:val="20"/>
          <w:szCs w:val="20"/>
        </w:rPr>
        <w:t>,</w:t>
      </w:r>
      <w:r w:rsidR="00F42141" w:rsidRPr="00777C37">
        <w:rPr>
          <w:rFonts w:ascii="Cambria" w:hAnsi="Cambria"/>
          <w:sz w:val="20"/>
          <w:szCs w:val="20"/>
        </w:rPr>
        <w:t xml:space="preserve"> and that it is clear </w:t>
      </w:r>
      <w:r w:rsidRPr="00777C37">
        <w:rPr>
          <w:rFonts w:ascii="Cambria" w:hAnsi="Cambria"/>
          <w:sz w:val="20"/>
          <w:szCs w:val="20"/>
        </w:rPr>
        <w:t>from the case</w:t>
      </w:r>
      <w:r w:rsidR="00F42141" w:rsidRPr="00777C37">
        <w:rPr>
          <w:rFonts w:ascii="Cambria" w:hAnsi="Cambria"/>
          <w:sz w:val="20"/>
          <w:szCs w:val="20"/>
        </w:rPr>
        <w:t xml:space="preserve"> that the Commission </w:t>
      </w:r>
      <w:r w:rsidR="00F85681" w:rsidRPr="00777C37">
        <w:rPr>
          <w:rFonts w:ascii="Cambria" w:hAnsi="Cambria"/>
          <w:sz w:val="20"/>
          <w:szCs w:val="20"/>
        </w:rPr>
        <w:t xml:space="preserve">is </w:t>
      </w:r>
      <w:r w:rsidRPr="00777C37">
        <w:rPr>
          <w:rFonts w:ascii="Cambria" w:hAnsi="Cambria"/>
          <w:sz w:val="20"/>
          <w:szCs w:val="20"/>
        </w:rPr>
        <w:t xml:space="preserve">being asked to </w:t>
      </w:r>
      <w:r w:rsidR="00F42141" w:rsidRPr="00777C37">
        <w:rPr>
          <w:rFonts w:ascii="Cambria" w:hAnsi="Cambria"/>
          <w:sz w:val="20"/>
          <w:szCs w:val="20"/>
        </w:rPr>
        <w:t xml:space="preserve">act as a fourth instance </w:t>
      </w:r>
      <w:r w:rsidR="00F85681" w:rsidRPr="00777C37">
        <w:rPr>
          <w:rFonts w:ascii="Cambria" w:hAnsi="Cambria"/>
          <w:sz w:val="20"/>
          <w:szCs w:val="20"/>
        </w:rPr>
        <w:t>in order to review</w:t>
      </w:r>
      <w:r w:rsidR="00F42141" w:rsidRPr="00777C37">
        <w:rPr>
          <w:rFonts w:ascii="Cambria" w:hAnsi="Cambria"/>
          <w:sz w:val="20"/>
          <w:szCs w:val="20"/>
        </w:rPr>
        <w:t xml:space="preserve"> the factual and legal assessments made by the administrative and judicial </w:t>
      </w:r>
      <w:r w:rsidRPr="00777C37">
        <w:rPr>
          <w:rFonts w:ascii="Cambria" w:hAnsi="Cambria"/>
          <w:sz w:val="20"/>
          <w:szCs w:val="20"/>
        </w:rPr>
        <w:t>courts acting within</w:t>
      </w:r>
      <w:r w:rsidR="00F42141" w:rsidRPr="00777C37">
        <w:rPr>
          <w:rFonts w:ascii="Cambria" w:hAnsi="Cambria"/>
          <w:sz w:val="20"/>
          <w:szCs w:val="20"/>
        </w:rPr>
        <w:t xml:space="preserve"> their sphere of competence.</w:t>
      </w:r>
    </w:p>
    <w:p w14:paraId="55505107" w14:textId="28153572" w:rsidR="00F621C3" w:rsidRPr="00777C37" w:rsidRDefault="00F621C3" w:rsidP="00F621C3">
      <w:pPr>
        <w:spacing w:before="240" w:after="240"/>
        <w:ind w:firstLine="720"/>
        <w:jc w:val="both"/>
        <w:rPr>
          <w:rFonts w:ascii="Cambria" w:hAnsi="Cambria"/>
          <w:sz w:val="20"/>
          <w:szCs w:val="20"/>
        </w:rPr>
      </w:pPr>
      <w:r w:rsidRPr="00777C37">
        <w:rPr>
          <w:rFonts w:asciiTheme="majorHAnsi" w:eastAsia="Cambria" w:hAnsiTheme="majorHAnsi" w:cs="Cambria"/>
          <w:b/>
          <w:bCs/>
          <w:color w:val="000000"/>
          <w:sz w:val="20"/>
          <w:szCs w:val="20"/>
          <w:u w:color="000000"/>
          <w:lang w:eastAsia="es-ES"/>
        </w:rPr>
        <w:lastRenderedPageBreak/>
        <w:t>VI.</w:t>
      </w:r>
      <w:r w:rsidRPr="00777C37">
        <w:rPr>
          <w:rFonts w:asciiTheme="majorHAnsi" w:eastAsia="Cambria" w:hAnsiTheme="majorHAnsi" w:cs="Cambria"/>
          <w:b/>
          <w:bCs/>
          <w:color w:val="000000"/>
          <w:sz w:val="20"/>
          <w:szCs w:val="20"/>
          <w:u w:color="000000"/>
          <w:lang w:eastAsia="es-ES"/>
        </w:rPr>
        <w:tab/>
      </w:r>
      <w:r w:rsidR="001F1902" w:rsidRPr="00777C37">
        <w:rPr>
          <w:rFonts w:asciiTheme="majorHAnsi" w:hAnsiTheme="majorHAnsi"/>
          <w:b/>
          <w:bCs/>
          <w:sz w:val="20"/>
          <w:szCs w:val="20"/>
        </w:rPr>
        <w:t xml:space="preserve">ANALYSIS OF </w:t>
      </w:r>
      <w:r w:rsidRPr="00777C37">
        <w:rPr>
          <w:rFonts w:asciiTheme="majorHAnsi" w:hAnsiTheme="majorHAnsi"/>
          <w:b/>
          <w:sz w:val="20"/>
          <w:szCs w:val="20"/>
        </w:rPr>
        <w:t>EXHAUSTION OF DOMESTIC REMEDIES AND TIMELINESS OF THE PETITION</w:t>
      </w:r>
      <w:r w:rsidRPr="00777C37">
        <w:rPr>
          <w:rFonts w:asciiTheme="majorHAnsi" w:eastAsia="Cambria" w:hAnsiTheme="majorHAnsi" w:cs="Cambria"/>
          <w:b/>
          <w:bCs/>
          <w:color w:val="000000"/>
          <w:sz w:val="20"/>
          <w:szCs w:val="20"/>
          <w:u w:color="000000"/>
          <w:lang w:eastAsia="es-ES"/>
        </w:rPr>
        <w:t xml:space="preserve"> </w:t>
      </w:r>
    </w:p>
    <w:p w14:paraId="05415C74" w14:textId="1D7D2456" w:rsidR="00F621C3"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The State argues that the extraordinary appeal filed </w:t>
      </w:r>
      <w:r w:rsidR="000F65D7">
        <w:rPr>
          <w:rFonts w:ascii="Cambria" w:hAnsi="Cambria"/>
          <w:sz w:val="20"/>
          <w:szCs w:val="20"/>
        </w:rPr>
        <w:t xml:space="preserve">before </w:t>
      </w:r>
      <w:r w:rsidRPr="00777C37">
        <w:rPr>
          <w:rFonts w:ascii="Cambria" w:hAnsi="Cambria"/>
          <w:sz w:val="20"/>
          <w:szCs w:val="20"/>
        </w:rPr>
        <w:t xml:space="preserve">the Supreme Court of Justice was established as the appropriate and effective remedy </w:t>
      </w:r>
      <w:r w:rsidR="005A59B2" w:rsidRPr="00777C37">
        <w:rPr>
          <w:rFonts w:ascii="Cambria" w:hAnsi="Cambria"/>
          <w:sz w:val="20"/>
          <w:szCs w:val="20"/>
        </w:rPr>
        <w:t>against</w:t>
      </w:r>
      <w:r w:rsidRPr="00777C37">
        <w:rPr>
          <w:rFonts w:ascii="Cambria" w:hAnsi="Cambria"/>
          <w:sz w:val="20"/>
          <w:szCs w:val="20"/>
        </w:rPr>
        <w:t xml:space="preserve"> the alleged violation. Therefore, the </w:t>
      </w:r>
      <w:r w:rsidR="00867691" w:rsidRPr="00777C37">
        <w:rPr>
          <w:rFonts w:ascii="Cambria" w:hAnsi="Cambria"/>
          <w:sz w:val="20"/>
          <w:szCs w:val="20"/>
        </w:rPr>
        <w:t>fact that</w:t>
      </w:r>
      <w:r w:rsidRPr="00777C37">
        <w:rPr>
          <w:rFonts w:ascii="Cambria" w:hAnsi="Cambria"/>
          <w:sz w:val="20"/>
          <w:szCs w:val="20"/>
        </w:rPr>
        <w:t xml:space="preserve"> petitioner</w:t>
      </w:r>
      <w:r w:rsidR="005027B9" w:rsidRPr="00777C37">
        <w:rPr>
          <w:rFonts w:ascii="Cambria" w:hAnsi="Cambria"/>
          <w:sz w:val="20"/>
          <w:szCs w:val="20"/>
        </w:rPr>
        <w:t>s have</w:t>
      </w:r>
      <w:r w:rsidRPr="00777C37">
        <w:rPr>
          <w:rFonts w:ascii="Cambria" w:hAnsi="Cambria"/>
          <w:sz w:val="20"/>
          <w:szCs w:val="20"/>
        </w:rPr>
        <w:t xml:space="preserve"> </w:t>
      </w:r>
      <w:r w:rsidR="00867691" w:rsidRPr="00777C37">
        <w:rPr>
          <w:rFonts w:ascii="Cambria" w:hAnsi="Cambria"/>
          <w:sz w:val="20"/>
          <w:szCs w:val="20"/>
        </w:rPr>
        <w:t>failed to file the relevant</w:t>
      </w:r>
      <w:r w:rsidRPr="00777C37">
        <w:rPr>
          <w:rFonts w:ascii="Cambria" w:hAnsi="Cambria"/>
          <w:sz w:val="20"/>
          <w:szCs w:val="20"/>
        </w:rPr>
        <w:t xml:space="preserve"> appeal under the current regulations </w:t>
      </w:r>
      <w:r w:rsidR="00867691" w:rsidRPr="00777C37">
        <w:rPr>
          <w:rFonts w:ascii="Cambria" w:hAnsi="Cambria"/>
          <w:sz w:val="20"/>
          <w:szCs w:val="20"/>
        </w:rPr>
        <w:t xml:space="preserve">governing the formal requirements for </w:t>
      </w:r>
      <w:r w:rsidRPr="00777C37">
        <w:rPr>
          <w:rFonts w:ascii="Cambria" w:hAnsi="Cambria"/>
          <w:sz w:val="20"/>
          <w:szCs w:val="20"/>
        </w:rPr>
        <w:t xml:space="preserve">admissibility </w:t>
      </w:r>
      <w:r w:rsidR="00867691" w:rsidRPr="00777C37">
        <w:rPr>
          <w:rFonts w:ascii="Cambria" w:hAnsi="Cambria"/>
          <w:sz w:val="20"/>
          <w:szCs w:val="20"/>
        </w:rPr>
        <w:t>of pleadings</w:t>
      </w:r>
      <w:r w:rsidRPr="00777C37">
        <w:rPr>
          <w:rFonts w:ascii="Cambria" w:hAnsi="Cambria"/>
          <w:sz w:val="20"/>
          <w:szCs w:val="20"/>
        </w:rPr>
        <w:t xml:space="preserve">, demonstrates </w:t>
      </w:r>
      <w:r w:rsidR="00867691" w:rsidRPr="00777C37">
        <w:rPr>
          <w:rFonts w:ascii="Cambria" w:hAnsi="Cambria"/>
          <w:sz w:val="20"/>
          <w:szCs w:val="20"/>
        </w:rPr>
        <w:t>a</w:t>
      </w:r>
      <w:r w:rsidR="001D5749">
        <w:rPr>
          <w:rFonts w:ascii="Cambria" w:hAnsi="Cambria"/>
          <w:sz w:val="20"/>
          <w:szCs w:val="20"/>
        </w:rPr>
        <w:t xml:space="preserve">n improper </w:t>
      </w:r>
      <w:r w:rsidR="00867691" w:rsidRPr="00777C37">
        <w:rPr>
          <w:rFonts w:ascii="Cambria" w:hAnsi="Cambria"/>
          <w:sz w:val="20"/>
          <w:szCs w:val="20"/>
        </w:rPr>
        <w:t>exhaust</w:t>
      </w:r>
      <w:r w:rsidR="001D5749">
        <w:rPr>
          <w:rFonts w:ascii="Cambria" w:hAnsi="Cambria"/>
          <w:sz w:val="20"/>
          <w:szCs w:val="20"/>
        </w:rPr>
        <w:t>ion of</w:t>
      </w:r>
      <w:r w:rsidRPr="00777C37">
        <w:rPr>
          <w:rFonts w:ascii="Cambria" w:hAnsi="Cambria"/>
          <w:sz w:val="20"/>
          <w:szCs w:val="20"/>
        </w:rPr>
        <w:t xml:space="preserve"> domestic remedies. </w:t>
      </w:r>
      <w:r w:rsidR="00867691" w:rsidRPr="00777C37">
        <w:rPr>
          <w:rFonts w:ascii="Cambria" w:hAnsi="Cambria"/>
          <w:sz w:val="20"/>
          <w:szCs w:val="20"/>
        </w:rPr>
        <w:t>It indicates</w:t>
      </w:r>
      <w:r w:rsidRPr="00777C37">
        <w:rPr>
          <w:rFonts w:ascii="Cambria" w:hAnsi="Cambria"/>
          <w:sz w:val="20"/>
          <w:szCs w:val="20"/>
        </w:rPr>
        <w:t xml:space="preserve"> that the </w:t>
      </w:r>
      <w:r w:rsidR="00867691" w:rsidRPr="00777C37">
        <w:rPr>
          <w:rFonts w:ascii="Cambria" w:hAnsi="Cambria"/>
          <w:sz w:val="20"/>
          <w:szCs w:val="20"/>
        </w:rPr>
        <w:t xml:space="preserve">National </w:t>
      </w:r>
      <w:r w:rsidRPr="00777C37">
        <w:rPr>
          <w:rFonts w:ascii="Cambria" w:hAnsi="Cambria"/>
          <w:sz w:val="20"/>
          <w:szCs w:val="20"/>
        </w:rPr>
        <w:t xml:space="preserve">Supreme Court of Justice has argued that the </w:t>
      </w:r>
      <w:r w:rsidR="00867691" w:rsidRPr="00777C37">
        <w:rPr>
          <w:rFonts w:ascii="Cambria" w:hAnsi="Cambria"/>
          <w:sz w:val="20"/>
          <w:szCs w:val="20"/>
        </w:rPr>
        <w:t>appropriate remedies</w:t>
      </w:r>
      <w:r w:rsidRPr="00777C37">
        <w:rPr>
          <w:rFonts w:ascii="Cambria" w:hAnsi="Cambria"/>
          <w:sz w:val="20"/>
          <w:szCs w:val="20"/>
        </w:rPr>
        <w:t xml:space="preserve"> in relation to the interpretation of a federal rule must be exercised in the manner established by the respective laws</w:t>
      </w:r>
      <w:r w:rsidR="00867691" w:rsidRPr="00777C37">
        <w:rPr>
          <w:rFonts w:ascii="Cambria" w:hAnsi="Cambria"/>
          <w:sz w:val="20"/>
          <w:szCs w:val="20"/>
        </w:rPr>
        <w:t>,</w:t>
      </w:r>
      <w:r w:rsidRPr="00777C37">
        <w:rPr>
          <w:rFonts w:ascii="Cambria" w:hAnsi="Cambria"/>
          <w:sz w:val="20"/>
          <w:szCs w:val="20"/>
        </w:rPr>
        <w:t xml:space="preserve"> that are </w:t>
      </w:r>
      <w:r w:rsidR="00867691" w:rsidRPr="00777C37">
        <w:rPr>
          <w:rFonts w:ascii="Cambria" w:hAnsi="Cambria"/>
          <w:sz w:val="20"/>
          <w:szCs w:val="20"/>
        </w:rPr>
        <w:t>mandatory and of strict observance.  T</w:t>
      </w:r>
      <w:r w:rsidRPr="00777C37">
        <w:rPr>
          <w:rFonts w:ascii="Cambria" w:hAnsi="Cambria"/>
          <w:sz w:val="20"/>
          <w:szCs w:val="20"/>
        </w:rPr>
        <w:t xml:space="preserve">herefore, by failing to comply with the provisions </w:t>
      </w:r>
      <w:r w:rsidR="00A52671" w:rsidRPr="00777C37">
        <w:rPr>
          <w:rFonts w:ascii="Cambria" w:hAnsi="Cambria"/>
          <w:sz w:val="20"/>
          <w:szCs w:val="20"/>
        </w:rPr>
        <w:t>of the applicable rules governing this remedy</w:t>
      </w:r>
      <w:r w:rsidRPr="00777C37">
        <w:rPr>
          <w:rFonts w:ascii="Cambria" w:hAnsi="Cambria"/>
          <w:sz w:val="20"/>
          <w:szCs w:val="20"/>
        </w:rPr>
        <w:t xml:space="preserve">, </w:t>
      </w:r>
      <w:r w:rsidR="000D01E0" w:rsidRPr="00777C37">
        <w:rPr>
          <w:rFonts w:ascii="Cambria" w:hAnsi="Cambria"/>
          <w:sz w:val="20"/>
          <w:szCs w:val="20"/>
        </w:rPr>
        <w:t>the</w:t>
      </w:r>
      <w:r w:rsidRPr="00777C37">
        <w:rPr>
          <w:rFonts w:ascii="Cambria" w:hAnsi="Cambria"/>
          <w:sz w:val="20"/>
          <w:szCs w:val="20"/>
        </w:rPr>
        <w:t xml:space="preserve"> State </w:t>
      </w:r>
      <w:r w:rsidR="000D01E0" w:rsidRPr="00777C37">
        <w:rPr>
          <w:rFonts w:ascii="Cambria" w:hAnsi="Cambria"/>
          <w:sz w:val="20"/>
          <w:szCs w:val="20"/>
        </w:rPr>
        <w:t>was not given an opportunity to adequately respond to their complaints at the domestic level.</w:t>
      </w:r>
    </w:p>
    <w:p w14:paraId="749B45F9" w14:textId="79A9E96A"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The petitioner argues that the </w:t>
      </w:r>
      <w:r w:rsidR="002F7246" w:rsidRPr="00777C37">
        <w:rPr>
          <w:rFonts w:ascii="Cambria" w:hAnsi="Cambria"/>
          <w:sz w:val="20"/>
          <w:szCs w:val="20"/>
        </w:rPr>
        <w:t xml:space="preserve">dismissed </w:t>
      </w:r>
      <w:r w:rsidRPr="00777C37">
        <w:rPr>
          <w:rFonts w:ascii="Cambria" w:hAnsi="Cambria"/>
          <w:sz w:val="20"/>
          <w:szCs w:val="20"/>
        </w:rPr>
        <w:t>extraordinary federal appeal is not an ordinary domestic remedy but is extraordinary</w:t>
      </w:r>
      <w:r w:rsidR="002F7246" w:rsidRPr="00777C37">
        <w:rPr>
          <w:rFonts w:ascii="Cambria" w:hAnsi="Cambria"/>
          <w:sz w:val="20"/>
          <w:szCs w:val="20"/>
        </w:rPr>
        <w:t>,</w:t>
      </w:r>
      <w:r w:rsidRPr="00777C37">
        <w:rPr>
          <w:rFonts w:ascii="Cambria" w:hAnsi="Cambria"/>
          <w:sz w:val="20"/>
          <w:szCs w:val="20"/>
        </w:rPr>
        <w:t xml:space="preserve"> limited to </w:t>
      </w:r>
      <w:r w:rsidR="002F7246" w:rsidRPr="00777C37">
        <w:rPr>
          <w:rFonts w:ascii="Cambria" w:hAnsi="Cambria"/>
          <w:sz w:val="20"/>
          <w:szCs w:val="20"/>
        </w:rPr>
        <w:t>a review of the</w:t>
      </w:r>
      <w:r w:rsidRPr="00777C37">
        <w:rPr>
          <w:rFonts w:ascii="Cambria" w:hAnsi="Cambria"/>
          <w:sz w:val="20"/>
          <w:szCs w:val="20"/>
        </w:rPr>
        <w:t xml:space="preserve"> constitutionality of</w:t>
      </w:r>
      <w:r w:rsidR="002F7246" w:rsidRPr="00777C37">
        <w:rPr>
          <w:rFonts w:ascii="Cambria" w:hAnsi="Cambria"/>
          <w:sz w:val="20"/>
          <w:szCs w:val="20"/>
        </w:rPr>
        <w:t xml:space="preserve"> the laws and their application.</w:t>
      </w:r>
      <w:r w:rsidR="004C7630" w:rsidRPr="00777C37">
        <w:rPr>
          <w:rFonts w:ascii="Cambria" w:hAnsi="Cambria"/>
          <w:sz w:val="20"/>
          <w:szCs w:val="20"/>
        </w:rPr>
        <w:t xml:space="preserve"> T</w:t>
      </w:r>
      <w:r w:rsidRPr="00777C37">
        <w:rPr>
          <w:rFonts w:ascii="Cambria" w:hAnsi="Cambria"/>
          <w:sz w:val="20"/>
          <w:szCs w:val="20"/>
        </w:rPr>
        <w:t xml:space="preserve">herefore, without prejudice to the fact that </w:t>
      </w:r>
      <w:r w:rsidR="005B33BA" w:rsidRPr="00777C37">
        <w:rPr>
          <w:rFonts w:ascii="Cambria" w:hAnsi="Cambria"/>
          <w:sz w:val="20"/>
          <w:szCs w:val="20"/>
        </w:rPr>
        <w:t>it is considered adequate and effective by the party</w:t>
      </w:r>
      <w:r w:rsidRPr="00777C37">
        <w:rPr>
          <w:rFonts w:ascii="Cambria" w:hAnsi="Cambria"/>
          <w:sz w:val="20"/>
          <w:szCs w:val="20"/>
        </w:rPr>
        <w:t xml:space="preserve">, </w:t>
      </w:r>
      <w:r w:rsidR="005B33BA" w:rsidRPr="00777C37">
        <w:rPr>
          <w:rFonts w:ascii="Cambria" w:hAnsi="Cambria"/>
          <w:sz w:val="20"/>
          <w:szCs w:val="20"/>
        </w:rPr>
        <w:t>the manner of its rejection</w:t>
      </w:r>
      <w:r w:rsidRPr="00777C37">
        <w:rPr>
          <w:rFonts w:ascii="Cambria" w:hAnsi="Cambria"/>
          <w:sz w:val="20"/>
          <w:szCs w:val="20"/>
        </w:rPr>
        <w:t xml:space="preserve"> </w:t>
      </w:r>
      <w:r w:rsidR="005B33BA" w:rsidRPr="00777C37">
        <w:rPr>
          <w:rFonts w:ascii="Cambria" w:hAnsi="Cambria"/>
          <w:sz w:val="20"/>
          <w:szCs w:val="20"/>
        </w:rPr>
        <w:t xml:space="preserve">for exclusively formal reasons - </w:t>
      </w:r>
      <w:r w:rsidRPr="00777C37">
        <w:rPr>
          <w:rFonts w:ascii="Cambria" w:hAnsi="Cambria"/>
          <w:sz w:val="20"/>
          <w:szCs w:val="20"/>
        </w:rPr>
        <w:t>in violation of the right of</w:t>
      </w:r>
      <w:r w:rsidR="005B33BA" w:rsidRPr="00777C37">
        <w:rPr>
          <w:rFonts w:ascii="Cambria" w:hAnsi="Cambria"/>
          <w:sz w:val="20"/>
          <w:szCs w:val="20"/>
        </w:rPr>
        <w:t xml:space="preserve"> access to substantial justice – casts doubt on its effectiveness as a </w:t>
      </w:r>
      <w:r w:rsidRPr="00777C37">
        <w:rPr>
          <w:rFonts w:ascii="Cambria" w:hAnsi="Cambria"/>
          <w:sz w:val="20"/>
          <w:szCs w:val="20"/>
        </w:rPr>
        <w:t>remedy for the reinstatement of Ballivián Jiménez's rights. Thus, the petitioner</w:t>
      </w:r>
      <w:r w:rsidR="00D07204" w:rsidRPr="00777C37">
        <w:rPr>
          <w:rFonts w:ascii="Cambria" w:hAnsi="Cambria"/>
          <w:sz w:val="20"/>
          <w:szCs w:val="20"/>
        </w:rPr>
        <w:t>s indicate</w:t>
      </w:r>
      <w:r w:rsidRPr="00777C37">
        <w:rPr>
          <w:rFonts w:ascii="Cambria" w:hAnsi="Cambria"/>
          <w:sz w:val="20"/>
          <w:szCs w:val="20"/>
        </w:rPr>
        <w:t xml:space="preserve"> that the court </w:t>
      </w:r>
      <w:r w:rsidR="00D07204" w:rsidRPr="00777C37">
        <w:rPr>
          <w:rFonts w:ascii="Cambria" w:hAnsi="Cambria"/>
          <w:sz w:val="20"/>
          <w:szCs w:val="20"/>
        </w:rPr>
        <w:t>ordered the</w:t>
      </w:r>
      <w:r w:rsidR="00CC3C28">
        <w:rPr>
          <w:rFonts w:ascii="Cambria" w:hAnsi="Cambria"/>
          <w:sz w:val="20"/>
          <w:szCs w:val="20"/>
        </w:rPr>
        <w:t xml:space="preserve"> return of </w:t>
      </w:r>
      <w:r w:rsidR="00D07204" w:rsidRPr="00777C37">
        <w:rPr>
          <w:rFonts w:ascii="Cambria" w:hAnsi="Cambria"/>
          <w:sz w:val="20"/>
          <w:szCs w:val="20"/>
        </w:rPr>
        <w:t>same</w:t>
      </w:r>
      <w:r w:rsidRPr="00777C37">
        <w:rPr>
          <w:rFonts w:ascii="Cambria" w:hAnsi="Cambria"/>
          <w:sz w:val="20"/>
          <w:szCs w:val="20"/>
        </w:rPr>
        <w:t xml:space="preserve"> document </w:t>
      </w:r>
      <w:r w:rsidR="00CC3C28">
        <w:rPr>
          <w:rFonts w:ascii="Cambria" w:hAnsi="Cambria"/>
          <w:sz w:val="20"/>
          <w:szCs w:val="20"/>
        </w:rPr>
        <w:t xml:space="preserve">presented </w:t>
      </w:r>
      <w:r w:rsidRPr="00777C37">
        <w:rPr>
          <w:rFonts w:ascii="Cambria" w:hAnsi="Cambria"/>
          <w:sz w:val="20"/>
          <w:szCs w:val="20"/>
        </w:rPr>
        <w:t>with the proper layout and refuse</w:t>
      </w:r>
      <w:r w:rsidR="00D07204" w:rsidRPr="00777C37">
        <w:rPr>
          <w:rFonts w:ascii="Cambria" w:hAnsi="Cambria"/>
          <w:sz w:val="20"/>
          <w:szCs w:val="20"/>
        </w:rPr>
        <w:t>d</w:t>
      </w:r>
      <w:r w:rsidRPr="00777C37">
        <w:rPr>
          <w:rFonts w:ascii="Cambria" w:hAnsi="Cambria"/>
          <w:sz w:val="20"/>
          <w:szCs w:val="20"/>
        </w:rPr>
        <w:t xml:space="preserve"> to </w:t>
      </w:r>
      <w:r w:rsidR="00D07204" w:rsidRPr="00777C37">
        <w:rPr>
          <w:rFonts w:ascii="Cambria" w:hAnsi="Cambria"/>
          <w:sz w:val="20"/>
          <w:szCs w:val="20"/>
        </w:rPr>
        <w:t>consider the</w:t>
      </w:r>
      <w:r w:rsidRPr="00777C37">
        <w:rPr>
          <w:rFonts w:ascii="Cambria" w:hAnsi="Cambria"/>
          <w:sz w:val="20"/>
          <w:szCs w:val="20"/>
        </w:rPr>
        <w:t xml:space="preserve"> comp</w:t>
      </w:r>
      <w:r w:rsidR="005027B9" w:rsidRPr="00777C37">
        <w:rPr>
          <w:rFonts w:ascii="Cambria" w:hAnsi="Cambria"/>
          <w:sz w:val="20"/>
          <w:szCs w:val="20"/>
        </w:rPr>
        <w:t>laint on strictly formal issues</w:t>
      </w:r>
      <w:r w:rsidRPr="00777C37">
        <w:rPr>
          <w:rFonts w:ascii="Cambria" w:hAnsi="Cambria"/>
          <w:sz w:val="20"/>
          <w:szCs w:val="20"/>
        </w:rPr>
        <w:t xml:space="preserve"> that it </w:t>
      </w:r>
      <w:r w:rsidR="00CC3C28">
        <w:rPr>
          <w:rFonts w:ascii="Cambria" w:hAnsi="Cambria"/>
          <w:sz w:val="20"/>
          <w:szCs w:val="20"/>
        </w:rPr>
        <w:t xml:space="preserve">prevented </w:t>
      </w:r>
      <w:r w:rsidRPr="00777C37">
        <w:rPr>
          <w:rFonts w:ascii="Cambria" w:hAnsi="Cambria"/>
          <w:sz w:val="20"/>
          <w:szCs w:val="20"/>
        </w:rPr>
        <w:t xml:space="preserve">to rectify. The constant changes of criterion </w:t>
      </w:r>
      <w:r w:rsidR="003E194F" w:rsidRPr="00777C37">
        <w:rPr>
          <w:rFonts w:ascii="Cambria" w:hAnsi="Cambria"/>
          <w:sz w:val="20"/>
          <w:szCs w:val="20"/>
        </w:rPr>
        <w:t>as to whether or not the extraordinary</w:t>
      </w:r>
      <w:r w:rsidRPr="00777C37">
        <w:rPr>
          <w:rFonts w:ascii="Cambria" w:hAnsi="Cambria"/>
          <w:sz w:val="20"/>
          <w:szCs w:val="20"/>
        </w:rPr>
        <w:t xml:space="preserve"> federal </w:t>
      </w:r>
      <w:r w:rsidR="003E194F" w:rsidRPr="00777C37">
        <w:rPr>
          <w:rFonts w:ascii="Cambria" w:hAnsi="Cambria"/>
          <w:sz w:val="20"/>
          <w:szCs w:val="20"/>
        </w:rPr>
        <w:t xml:space="preserve">appeals </w:t>
      </w:r>
      <w:r w:rsidR="005027B9" w:rsidRPr="00777C37">
        <w:rPr>
          <w:rFonts w:ascii="Cambria" w:hAnsi="Cambria"/>
          <w:sz w:val="20"/>
          <w:szCs w:val="20"/>
        </w:rPr>
        <w:t>were</w:t>
      </w:r>
      <w:r w:rsidR="003E194F" w:rsidRPr="00777C37">
        <w:rPr>
          <w:rFonts w:ascii="Cambria" w:hAnsi="Cambria"/>
          <w:sz w:val="20"/>
          <w:szCs w:val="20"/>
        </w:rPr>
        <w:t xml:space="preserve"> admissible</w:t>
      </w:r>
      <w:r w:rsidRPr="00777C37">
        <w:rPr>
          <w:rFonts w:ascii="Cambria" w:hAnsi="Cambria"/>
          <w:sz w:val="20"/>
          <w:szCs w:val="20"/>
        </w:rPr>
        <w:t xml:space="preserve"> </w:t>
      </w:r>
      <w:r w:rsidR="003E194F" w:rsidRPr="00777C37">
        <w:rPr>
          <w:rFonts w:ascii="Cambria" w:hAnsi="Cambria"/>
          <w:sz w:val="20"/>
          <w:szCs w:val="20"/>
        </w:rPr>
        <w:t>confirms that this remedy</w:t>
      </w:r>
      <w:r w:rsidRPr="00777C37">
        <w:rPr>
          <w:rFonts w:ascii="Cambria" w:hAnsi="Cambria"/>
          <w:sz w:val="20"/>
          <w:szCs w:val="20"/>
        </w:rPr>
        <w:t xml:space="preserve"> is randomly adequate and effective for the reinstatement of rights. Consequently, </w:t>
      </w:r>
      <w:r w:rsidR="005027B9" w:rsidRPr="00777C37">
        <w:rPr>
          <w:rFonts w:ascii="Cambria" w:hAnsi="Cambria"/>
          <w:sz w:val="20"/>
          <w:szCs w:val="20"/>
        </w:rPr>
        <w:t>the petitioners insist</w:t>
      </w:r>
      <w:r w:rsidRPr="00777C37">
        <w:rPr>
          <w:rFonts w:ascii="Cambria" w:hAnsi="Cambria"/>
          <w:sz w:val="20"/>
          <w:szCs w:val="20"/>
        </w:rPr>
        <w:t xml:space="preserve"> that </w:t>
      </w:r>
      <w:r w:rsidR="005027B9" w:rsidRPr="00777C37">
        <w:rPr>
          <w:rFonts w:ascii="Cambria" w:hAnsi="Cambria"/>
          <w:sz w:val="20"/>
          <w:szCs w:val="20"/>
        </w:rPr>
        <w:t>they have</w:t>
      </w:r>
      <w:r w:rsidRPr="00777C37">
        <w:rPr>
          <w:rFonts w:ascii="Cambria" w:hAnsi="Cambria"/>
          <w:sz w:val="20"/>
          <w:szCs w:val="20"/>
        </w:rPr>
        <w:t xml:space="preserve"> exhausted </w:t>
      </w:r>
      <w:r w:rsidR="005C6471" w:rsidRPr="00777C37">
        <w:rPr>
          <w:rFonts w:ascii="Cambria" w:hAnsi="Cambria"/>
          <w:sz w:val="20"/>
          <w:szCs w:val="20"/>
        </w:rPr>
        <w:t>all applicable</w:t>
      </w:r>
      <w:r w:rsidRPr="00777C37">
        <w:rPr>
          <w:rFonts w:ascii="Cambria" w:hAnsi="Cambria"/>
          <w:sz w:val="20"/>
          <w:szCs w:val="20"/>
        </w:rPr>
        <w:t xml:space="preserve"> domestic remedies, including the extraordinary one.</w:t>
      </w:r>
    </w:p>
    <w:p w14:paraId="1DDCD0F1" w14:textId="20DFF8D9"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With respect to this point, the </w:t>
      </w:r>
      <w:r w:rsidR="005027B9" w:rsidRPr="00777C37">
        <w:rPr>
          <w:rFonts w:ascii="Cambria" w:hAnsi="Cambria"/>
          <w:sz w:val="20"/>
          <w:szCs w:val="20"/>
        </w:rPr>
        <w:t>Commission observes that Law 24,</w:t>
      </w:r>
      <w:r w:rsidRPr="00777C37">
        <w:rPr>
          <w:rFonts w:ascii="Cambria" w:hAnsi="Cambria"/>
          <w:sz w:val="20"/>
          <w:szCs w:val="20"/>
        </w:rPr>
        <w:t xml:space="preserve">043 </w:t>
      </w:r>
      <w:r w:rsidR="00577BA2" w:rsidRPr="00777C37">
        <w:rPr>
          <w:rFonts w:ascii="Cambria" w:hAnsi="Cambria"/>
          <w:sz w:val="20"/>
          <w:szCs w:val="20"/>
        </w:rPr>
        <w:t>governs</w:t>
      </w:r>
      <w:r w:rsidRPr="00777C37">
        <w:rPr>
          <w:rFonts w:ascii="Cambria" w:hAnsi="Cambria"/>
          <w:sz w:val="20"/>
          <w:szCs w:val="20"/>
        </w:rPr>
        <w:t xml:space="preserve"> the filing of an application </w:t>
      </w:r>
      <w:r w:rsidR="00CC3C28">
        <w:rPr>
          <w:rFonts w:ascii="Cambria" w:hAnsi="Cambria"/>
          <w:sz w:val="20"/>
          <w:szCs w:val="20"/>
        </w:rPr>
        <w:t xml:space="preserve">before </w:t>
      </w:r>
      <w:r w:rsidRPr="00777C37">
        <w:rPr>
          <w:rFonts w:ascii="Cambria" w:hAnsi="Cambria"/>
          <w:sz w:val="20"/>
          <w:szCs w:val="20"/>
        </w:rPr>
        <w:t xml:space="preserve">the Ministry of the Interior, whose resolution is appealable before the National </w:t>
      </w:r>
      <w:r w:rsidR="005027B9" w:rsidRPr="00777C37">
        <w:rPr>
          <w:rFonts w:ascii="Cambria" w:hAnsi="Cambria"/>
          <w:sz w:val="20"/>
          <w:szCs w:val="20"/>
        </w:rPr>
        <w:t>Court</w:t>
      </w:r>
      <w:r w:rsidRPr="00777C37">
        <w:rPr>
          <w:rFonts w:ascii="Cambria" w:hAnsi="Cambria"/>
          <w:sz w:val="20"/>
          <w:szCs w:val="20"/>
        </w:rPr>
        <w:t xml:space="preserve"> of Appeals </w:t>
      </w:r>
      <w:r w:rsidR="005027B9" w:rsidRPr="00777C37">
        <w:rPr>
          <w:rFonts w:ascii="Cambria" w:hAnsi="Cambria"/>
          <w:sz w:val="20"/>
          <w:szCs w:val="20"/>
        </w:rPr>
        <w:t xml:space="preserve">for Federal Contentious </w:t>
      </w:r>
      <w:r w:rsidRPr="00777C37">
        <w:rPr>
          <w:rFonts w:ascii="Cambria" w:hAnsi="Cambria"/>
          <w:sz w:val="20"/>
          <w:szCs w:val="20"/>
        </w:rPr>
        <w:t xml:space="preserve">Administrative Matters of the Federal Capital. The Commission observes that the alleged victim complied with the ordinary remedies established by </w:t>
      </w:r>
      <w:r w:rsidR="00CC3C28">
        <w:rPr>
          <w:rFonts w:ascii="Cambria" w:hAnsi="Cambria"/>
          <w:sz w:val="20"/>
          <w:szCs w:val="20"/>
        </w:rPr>
        <w:t xml:space="preserve">the L </w:t>
      </w:r>
      <w:r w:rsidRPr="00777C37">
        <w:rPr>
          <w:rFonts w:ascii="Cambria" w:hAnsi="Cambria"/>
          <w:sz w:val="20"/>
          <w:szCs w:val="20"/>
        </w:rPr>
        <w:t>aw 24,043</w:t>
      </w:r>
      <w:r w:rsidR="006C798B" w:rsidRPr="00777C37">
        <w:rPr>
          <w:rFonts w:ascii="Cambria" w:hAnsi="Cambria"/>
          <w:sz w:val="20"/>
          <w:szCs w:val="20"/>
        </w:rPr>
        <w:t>. As</w:t>
      </w:r>
      <w:r w:rsidRPr="00777C37">
        <w:rPr>
          <w:rFonts w:ascii="Cambria" w:hAnsi="Cambria"/>
          <w:sz w:val="20"/>
          <w:szCs w:val="20"/>
        </w:rPr>
        <w:t xml:space="preserve"> regards the extraordinary federal remedy, </w:t>
      </w:r>
      <w:r w:rsidR="006C798B" w:rsidRPr="00777C37">
        <w:rPr>
          <w:rFonts w:ascii="Cambria" w:hAnsi="Cambria"/>
          <w:sz w:val="20"/>
          <w:szCs w:val="20"/>
        </w:rPr>
        <w:t>the Commission</w:t>
      </w:r>
      <w:r w:rsidRPr="00777C37">
        <w:rPr>
          <w:rFonts w:ascii="Cambria" w:hAnsi="Cambria"/>
          <w:sz w:val="20"/>
          <w:szCs w:val="20"/>
        </w:rPr>
        <w:t xml:space="preserve"> has already </w:t>
      </w:r>
      <w:r w:rsidR="005027B9" w:rsidRPr="00777C37">
        <w:rPr>
          <w:rFonts w:ascii="Cambria" w:hAnsi="Cambria"/>
          <w:sz w:val="20"/>
          <w:szCs w:val="20"/>
        </w:rPr>
        <w:t>established</w:t>
      </w:r>
      <w:r w:rsidRPr="00777C37">
        <w:rPr>
          <w:rFonts w:ascii="Cambria" w:hAnsi="Cambria"/>
          <w:sz w:val="20"/>
          <w:szCs w:val="20"/>
        </w:rPr>
        <w:t xml:space="preserve"> that it is an extraordinary, exceptional and discretionary remedy</w:t>
      </w:r>
      <w:r w:rsidRPr="00777C37">
        <w:rPr>
          <w:rFonts w:ascii="Cambria" w:hAnsi="Cambria" w:cs="Calibri"/>
          <w:sz w:val="20"/>
          <w:szCs w:val="20"/>
          <w:vertAlign w:val="superscript"/>
        </w:rPr>
        <w:footnoteReference w:id="4"/>
      </w:r>
      <w:r w:rsidRPr="00777C37">
        <w:rPr>
          <w:rFonts w:ascii="Cambria" w:hAnsi="Cambria"/>
          <w:sz w:val="20"/>
          <w:szCs w:val="20"/>
        </w:rPr>
        <w:t xml:space="preserve"> and, as such, </w:t>
      </w:r>
      <w:r w:rsidR="005027B9" w:rsidRPr="00777C37">
        <w:rPr>
          <w:rFonts w:ascii="Cambria" w:hAnsi="Cambria"/>
          <w:sz w:val="20"/>
          <w:szCs w:val="20"/>
        </w:rPr>
        <w:t>is not an instance available in all proceedings</w:t>
      </w:r>
      <w:r w:rsidRPr="00777C37">
        <w:rPr>
          <w:rFonts w:ascii="Cambria" w:hAnsi="Cambria"/>
          <w:sz w:val="20"/>
          <w:szCs w:val="20"/>
        </w:rPr>
        <w:t xml:space="preserve">, but </w:t>
      </w:r>
      <w:r w:rsidR="005027B9" w:rsidRPr="00777C37">
        <w:rPr>
          <w:rFonts w:ascii="Cambria" w:hAnsi="Cambria"/>
          <w:sz w:val="20"/>
          <w:szCs w:val="20"/>
        </w:rPr>
        <w:t xml:space="preserve">rather it functions as a new, </w:t>
      </w:r>
      <w:r w:rsidRPr="00777C37">
        <w:rPr>
          <w:rFonts w:ascii="Cambria" w:hAnsi="Cambria"/>
          <w:sz w:val="20"/>
          <w:szCs w:val="20"/>
        </w:rPr>
        <w:t xml:space="preserve">reduced and partial instance, </w:t>
      </w:r>
      <w:r w:rsidR="005027B9" w:rsidRPr="00777C37">
        <w:rPr>
          <w:rFonts w:ascii="Cambria" w:hAnsi="Cambria"/>
          <w:sz w:val="20"/>
          <w:szCs w:val="20"/>
        </w:rPr>
        <w:t>available</w:t>
      </w:r>
      <w:r w:rsidRPr="00777C37">
        <w:rPr>
          <w:rFonts w:ascii="Cambria" w:hAnsi="Cambria"/>
          <w:sz w:val="20"/>
          <w:szCs w:val="20"/>
        </w:rPr>
        <w:t xml:space="preserve"> to ensure </w:t>
      </w:r>
      <w:r w:rsidR="005027B9" w:rsidRPr="00777C37">
        <w:rPr>
          <w:rFonts w:ascii="Cambria" w:hAnsi="Cambria"/>
          <w:sz w:val="20"/>
          <w:szCs w:val="20"/>
        </w:rPr>
        <w:t>the supremacy of the Constitution, with a restrictive</w:t>
      </w:r>
      <w:r w:rsidRPr="00777C37">
        <w:rPr>
          <w:rFonts w:ascii="Cambria" w:hAnsi="Cambria"/>
          <w:sz w:val="20"/>
          <w:szCs w:val="20"/>
        </w:rPr>
        <w:t xml:space="preserve"> </w:t>
      </w:r>
      <w:r w:rsidR="005027B9" w:rsidRPr="00777C37">
        <w:rPr>
          <w:rFonts w:ascii="Cambria" w:hAnsi="Cambria"/>
          <w:sz w:val="20"/>
          <w:szCs w:val="20"/>
        </w:rPr>
        <w:t>interpretation as to its access</w:t>
      </w:r>
      <w:r w:rsidR="00C3057B" w:rsidRPr="00777C37">
        <w:rPr>
          <w:rFonts w:ascii="Cambria" w:hAnsi="Cambria"/>
          <w:sz w:val="20"/>
          <w:szCs w:val="20"/>
        </w:rPr>
        <w:t>ibility</w:t>
      </w:r>
      <w:r w:rsidRPr="00777C37">
        <w:rPr>
          <w:rFonts w:ascii="Cambria" w:hAnsi="Cambria"/>
          <w:sz w:val="20"/>
          <w:szCs w:val="20"/>
        </w:rPr>
        <w:t>.</w:t>
      </w:r>
      <w:r w:rsidRPr="00777C37">
        <w:rPr>
          <w:rFonts w:ascii="Cambria" w:hAnsi="Cambria" w:cs="Calibri"/>
          <w:sz w:val="20"/>
          <w:szCs w:val="20"/>
          <w:vertAlign w:val="superscript"/>
        </w:rPr>
        <w:footnoteReference w:id="5"/>
      </w:r>
      <w:r w:rsidRPr="00777C37">
        <w:rPr>
          <w:rFonts w:ascii="Cambria" w:hAnsi="Cambria"/>
          <w:sz w:val="20"/>
          <w:szCs w:val="20"/>
        </w:rPr>
        <w:t xml:space="preserve"> In view of this, its exhaustion is not necessarily required by the Commission</w:t>
      </w:r>
      <w:r w:rsidRPr="00777C37">
        <w:rPr>
          <w:rFonts w:ascii="Cambria" w:hAnsi="Cambria" w:cs="Calibri"/>
          <w:sz w:val="20"/>
          <w:szCs w:val="20"/>
          <w:vertAlign w:val="superscript"/>
        </w:rPr>
        <w:footnoteReference w:id="6"/>
      </w:r>
      <w:r w:rsidRPr="00777C37">
        <w:rPr>
          <w:rFonts w:ascii="Cambria" w:hAnsi="Cambria"/>
          <w:sz w:val="20"/>
          <w:szCs w:val="20"/>
        </w:rPr>
        <w:t xml:space="preserve"> and, in fact, taking into account the circumstances of each </w:t>
      </w:r>
      <w:r w:rsidR="00C3057B" w:rsidRPr="00777C37">
        <w:rPr>
          <w:rFonts w:ascii="Cambria" w:hAnsi="Cambria"/>
          <w:sz w:val="20"/>
          <w:szCs w:val="20"/>
        </w:rPr>
        <w:t>claim,</w:t>
      </w:r>
      <w:r w:rsidRPr="00777C37">
        <w:rPr>
          <w:rFonts w:ascii="Cambria" w:hAnsi="Cambria"/>
          <w:sz w:val="20"/>
          <w:szCs w:val="20"/>
        </w:rPr>
        <w:t xml:space="preserve"> numerous petitions </w:t>
      </w:r>
      <w:r w:rsidR="00034F08" w:rsidRPr="00777C37">
        <w:rPr>
          <w:rFonts w:ascii="Cambria" w:hAnsi="Cambria"/>
          <w:sz w:val="20"/>
          <w:szCs w:val="20"/>
        </w:rPr>
        <w:t xml:space="preserve">in the past </w:t>
      </w:r>
      <w:r w:rsidRPr="00777C37">
        <w:rPr>
          <w:rFonts w:ascii="Cambria" w:hAnsi="Cambria"/>
          <w:sz w:val="20"/>
          <w:szCs w:val="20"/>
        </w:rPr>
        <w:t>have been declared admissible without such an appeal having been filed.</w:t>
      </w:r>
      <w:r w:rsidRPr="00777C37">
        <w:rPr>
          <w:rFonts w:ascii="Cambria" w:hAnsi="Cambria" w:cs="Calibri"/>
          <w:sz w:val="20"/>
          <w:szCs w:val="20"/>
          <w:vertAlign w:val="superscript"/>
        </w:rPr>
        <w:footnoteReference w:id="7"/>
      </w:r>
      <w:r w:rsidRPr="00777C37">
        <w:rPr>
          <w:rFonts w:ascii="Cambria" w:hAnsi="Cambria"/>
          <w:sz w:val="20"/>
          <w:szCs w:val="20"/>
        </w:rPr>
        <w:t xml:space="preserve"> In the ins</w:t>
      </w:r>
      <w:r w:rsidR="00B47C4D" w:rsidRPr="00777C37">
        <w:rPr>
          <w:rFonts w:ascii="Cambria" w:hAnsi="Cambria"/>
          <w:sz w:val="20"/>
          <w:szCs w:val="20"/>
        </w:rPr>
        <w:t>tant case, the appeal was filed</w:t>
      </w:r>
      <w:r w:rsidRPr="00777C37">
        <w:rPr>
          <w:rFonts w:ascii="Cambria" w:hAnsi="Cambria"/>
          <w:sz w:val="20"/>
          <w:szCs w:val="20"/>
        </w:rPr>
        <w:t xml:space="preserve">, but the alleged circumstances </w:t>
      </w:r>
      <w:r w:rsidR="00B47C4D" w:rsidRPr="00777C37">
        <w:rPr>
          <w:rFonts w:ascii="Cambria" w:hAnsi="Cambria"/>
          <w:sz w:val="20"/>
          <w:szCs w:val="20"/>
        </w:rPr>
        <w:t>leading to its dismissal</w:t>
      </w:r>
      <w:r w:rsidRPr="00777C37">
        <w:rPr>
          <w:rFonts w:ascii="Cambria" w:hAnsi="Cambria"/>
          <w:sz w:val="20"/>
          <w:szCs w:val="20"/>
        </w:rPr>
        <w:t xml:space="preserve"> </w:t>
      </w:r>
      <w:r w:rsidR="00B47C4D" w:rsidRPr="00777C37">
        <w:rPr>
          <w:rFonts w:ascii="Cambria" w:hAnsi="Cambria"/>
          <w:sz w:val="20"/>
          <w:szCs w:val="20"/>
        </w:rPr>
        <w:t>are part of the substance of this</w:t>
      </w:r>
      <w:r w:rsidRPr="00777C37">
        <w:rPr>
          <w:rFonts w:ascii="Cambria" w:hAnsi="Cambria"/>
          <w:sz w:val="20"/>
          <w:szCs w:val="20"/>
        </w:rPr>
        <w:t xml:space="preserve"> complaint.</w:t>
      </w:r>
      <w:r w:rsidR="00034F08">
        <w:rPr>
          <w:rFonts w:ascii="Cambria" w:hAnsi="Cambria"/>
          <w:sz w:val="20"/>
          <w:szCs w:val="20"/>
        </w:rPr>
        <w:t xml:space="preserve"> </w:t>
      </w:r>
    </w:p>
    <w:p w14:paraId="64B62495" w14:textId="13A87916" w:rsidR="00526F11" w:rsidRPr="00777C37" w:rsidRDefault="00821F4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With respect to the </w:t>
      </w:r>
      <w:r w:rsidR="00F42141" w:rsidRPr="00777C37">
        <w:rPr>
          <w:rFonts w:ascii="Cambria" w:hAnsi="Cambria"/>
          <w:sz w:val="20"/>
          <w:szCs w:val="20"/>
        </w:rPr>
        <w:t>admissibility analysis, the Commission understands that the allegations regarding the alleged arbi</w:t>
      </w:r>
      <w:r w:rsidRPr="00777C37">
        <w:rPr>
          <w:rFonts w:ascii="Cambria" w:hAnsi="Cambria"/>
          <w:sz w:val="20"/>
          <w:szCs w:val="20"/>
        </w:rPr>
        <w:t>trariness and excessive formalism preventing</w:t>
      </w:r>
      <w:r w:rsidR="00F42141" w:rsidRPr="00777C37">
        <w:rPr>
          <w:rFonts w:ascii="Cambria" w:hAnsi="Cambria"/>
          <w:sz w:val="20"/>
          <w:szCs w:val="20"/>
        </w:rPr>
        <w:t xml:space="preserve"> the petitioner</w:t>
      </w:r>
      <w:r w:rsidR="007E4AC1" w:rsidRPr="00777C37">
        <w:rPr>
          <w:rFonts w:ascii="Cambria" w:hAnsi="Cambria"/>
          <w:sz w:val="20"/>
          <w:szCs w:val="20"/>
        </w:rPr>
        <w:t>s</w:t>
      </w:r>
      <w:r w:rsidR="00F42141" w:rsidRPr="00777C37">
        <w:rPr>
          <w:rFonts w:ascii="Cambria" w:hAnsi="Cambria"/>
          <w:sz w:val="20"/>
          <w:szCs w:val="20"/>
        </w:rPr>
        <w:t xml:space="preserve"> </w:t>
      </w:r>
      <w:r w:rsidRPr="00777C37">
        <w:rPr>
          <w:rFonts w:ascii="Cambria" w:hAnsi="Cambria"/>
          <w:sz w:val="20"/>
          <w:szCs w:val="20"/>
        </w:rPr>
        <w:t>from correcting the extraordinary appeal</w:t>
      </w:r>
      <w:r w:rsidR="00F42141" w:rsidRPr="00777C37">
        <w:rPr>
          <w:rFonts w:ascii="Cambria" w:hAnsi="Cambria"/>
          <w:sz w:val="20"/>
          <w:szCs w:val="20"/>
        </w:rPr>
        <w:t xml:space="preserve"> may</w:t>
      </w:r>
      <w:r w:rsidR="007E4AC1" w:rsidRPr="00777C37">
        <w:rPr>
          <w:rFonts w:ascii="Cambria" w:hAnsi="Cambria"/>
          <w:sz w:val="20"/>
          <w:szCs w:val="20"/>
        </w:rPr>
        <w:t xml:space="preserve"> eventually be analyzed </w:t>
      </w:r>
      <w:r w:rsidRPr="00777C37">
        <w:rPr>
          <w:rFonts w:ascii="Cambria" w:hAnsi="Cambria"/>
          <w:sz w:val="20"/>
          <w:szCs w:val="20"/>
        </w:rPr>
        <w:t>at the merits stage.</w:t>
      </w:r>
      <w:r w:rsidR="00F42141" w:rsidRPr="00777C37">
        <w:rPr>
          <w:rFonts w:ascii="Cambria" w:hAnsi="Cambria"/>
          <w:sz w:val="20"/>
          <w:szCs w:val="20"/>
        </w:rPr>
        <w:t xml:space="preserve"> </w:t>
      </w:r>
      <w:r w:rsidRPr="00777C37">
        <w:rPr>
          <w:rFonts w:ascii="Cambria" w:hAnsi="Cambria"/>
          <w:sz w:val="20"/>
          <w:szCs w:val="20"/>
        </w:rPr>
        <w:t>Delving into such an issue</w:t>
      </w:r>
      <w:r w:rsidR="004C18C2" w:rsidRPr="00777C37">
        <w:rPr>
          <w:rFonts w:ascii="Cambria" w:hAnsi="Cambria"/>
          <w:sz w:val="20"/>
          <w:szCs w:val="20"/>
        </w:rPr>
        <w:t xml:space="preserve"> is</w:t>
      </w:r>
      <w:r w:rsidR="00F42141" w:rsidRPr="00777C37">
        <w:rPr>
          <w:rFonts w:ascii="Cambria" w:hAnsi="Cambria"/>
          <w:sz w:val="20"/>
          <w:szCs w:val="20"/>
        </w:rPr>
        <w:t xml:space="preserve"> inappropriate for the admissibility stage.</w:t>
      </w:r>
    </w:p>
    <w:p w14:paraId="18546C39" w14:textId="39A5BE93"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In view of the ordinary system of judicial reparation, the IACHR observes that the State does not allege the lack of suitability of Law 24,043 for similar circumstances, but rather the availability of the ordinary system of reparation in the courts. In this regard, the Commission has indicated that the requirement of exhaustion of domestic remedies does not mean that the alleged victims have an obligation to </w:t>
      </w:r>
      <w:r w:rsidRPr="00777C37">
        <w:rPr>
          <w:rFonts w:ascii="Cambria" w:hAnsi="Cambria"/>
          <w:sz w:val="20"/>
          <w:szCs w:val="20"/>
        </w:rPr>
        <w:lastRenderedPageBreak/>
        <w:t>exhaust all avail</w:t>
      </w:r>
      <w:r w:rsidR="007E4AC1" w:rsidRPr="00777C37">
        <w:rPr>
          <w:rFonts w:ascii="Cambria" w:hAnsi="Cambria"/>
          <w:sz w:val="20"/>
          <w:szCs w:val="20"/>
        </w:rPr>
        <w:t>able remedies at their disposal</w:t>
      </w:r>
      <w:r w:rsidRPr="00777C37">
        <w:rPr>
          <w:rFonts w:ascii="Cambria" w:hAnsi="Cambria"/>
          <w:sz w:val="20"/>
          <w:szCs w:val="20"/>
        </w:rPr>
        <w:t>.</w:t>
      </w:r>
      <w:r w:rsidRPr="00777C37">
        <w:rPr>
          <w:rFonts w:ascii="Cambria" w:hAnsi="Cambria"/>
          <w:sz w:val="20"/>
          <w:szCs w:val="20"/>
          <w:vertAlign w:val="superscript"/>
        </w:rPr>
        <w:footnoteReference w:id="8"/>
      </w:r>
      <w:r w:rsidRPr="00777C37">
        <w:rPr>
          <w:rFonts w:ascii="Cambria" w:hAnsi="Cambria"/>
          <w:sz w:val="20"/>
          <w:szCs w:val="20"/>
        </w:rPr>
        <w:t xml:space="preserve"> In view of the fact that the </w:t>
      </w:r>
      <w:r w:rsidR="00034F08">
        <w:rPr>
          <w:rFonts w:ascii="Cambria" w:hAnsi="Cambria"/>
          <w:sz w:val="20"/>
          <w:szCs w:val="20"/>
        </w:rPr>
        <w:t>avenue</w:t>
      </w:r>
      <w:r w:rsidRPr="00777C37">
        <w:rPr>
          <w:rFonts w:ascii="Cambria" w:hAnsi="Cambria"/>
          <w:sz w:val="20"/>
          <w:szCs w:val="20"/>
        </w:rPr>
        <w:t xml:space="preserve"> filed by the alleged victim is recognized and considered an appropriate remedy, the IACHR observes that in this case the </w:t>
      </w:r>
      <w:r w:rsidR="007E4AC1" w:rsidRPr="00777C37">
        <w:rPr>
          <w:rFonts w:ascii="Cambria" w:hAnsi="Cambria"/>
          <w:sz w:val="20"/>
          <w:szCs w:val="20"/>
        </w:rPr>
        <w:t>issue</w:t>
      </w:r>
      <w:r w:rsidRPr="00777C37">
        <w:rPr>
          <w:rFonts w:ascii="Cambria" w:hAnsi="Cambria"/>
          <w:sz w:val="20"/>
          <w:szCs w:val="20"/>
        </w:rPr>
        <w:t xml:space="preserve"> was raised </w:t>
      </w:r>
      <w:r w:rsidR="00034F08">
        <w:rPr>
          <w:rFonts w:ascii="Cambria" w:hAnsi="Cambria"/>
          <w:sz w:val="20"/>
          <w:szCs w:val="20"/>
        </w:rPr>
        <w:t>before</w:t>
      </w:r>
      <w:r w:rsidRPr="00777C37">
        <w:rPr>
          <w:rFonts w:ascii="Cambria" w:hAnsi="Cambria"/>
          <w:sz w:val="20"/>
          <w:szCs w:val="20"/>
        </w:rPr>
        <w:t xml:space="preserve"> one of the valid and adequate alternatives according to the domestic legal system and the State had the opportunity to remed</w:t>
      </w:r>
      <w:r w:rsidR="007E4AC1" w:rsidRPr="00777C37">
        <w:rPr>
          <w:rFonts w:ascii="Cambria" w:hAnsi="Cambria"/>
          <w:sz w:val="20"/>
          <w:szCs w:val="20"/>
        </w:rPr>
        <w:t>y the issue in its jurisdiction; therefore,</w:t>
      </w:r>
      <w:r w:rsidRPr="00777C37">
        <w:rPr>
          <w:rFonts w:ascii="Cambria" w:hAnsi="Cambria"/>
          <w:sz w:val="20"/>
          <w:szCs w:val="20"/>
        </w:rPr>
        <w:t xml:space="preserve"> the purpose of the international standard must be considered fulfilled.</w:t>
      </w:r>
      <w:r w:rsidRPr="00777C37">
        <w:rPr>
          <w:rFonts w:ascii="Cambria" w:hAnsi="Cambria"/>
          <w:sz w:val="20"/>
          <w:szCs w:val="20"/>
          <w:vertAlign w:val="superscript"/>
        </w:rPr>
        <w:footnoteReference w:id="9"/>
      </w:r>
      <w:r w:rsidRPr="00777C37">
        <w:rPr>
          <w:rFonts w:ascii="Cambria" w:hAnsi="Cambria"/>
          <w:sz w:val="20"/>
          <w:szCs w:val="20"/>
        </w:rPr>
        <w:t xml:space="preserve"> </w:t>
      </w:r>
      <w:r w:rsidR="00034F08" w:rsidRPr="00777C37">
        <w:rPr>
          <w:rFonts w:ascii="Cambria" w:hAnsi="Cambria"/>
          <w:sz w:val="20"/>
          <w:szCs w:val="20"/>
        </w:rPr>
        <w:t>Hence</w:t>
      </w:r>
      <w:r w:rsidRPr="00777C37">
        <w:rPr>
          <w:rFonts w:ascii="Cambria" w:hAnsi="Cambria"/>
          <w:sz w:val="20"/>
          <w:szCs w:val="20"/>
        </w:rPr>
        <w:t xml:space="preserve">, the ordinary trial was not a remedy that had to be exhausted </w:t>
      </w:r>
      <w:r w:rsidR="007E4AC1" w:rsidRPr="00777C37">
        <w:rPr>
          <w:rFonts w:ascii="Cambria" w:hAnsi="Cambria"/>
          <w:sz w:val="20"/>
          <w:szCs w:val="20"/>
        </w:rPr>
        <w:t xml:space="preserve">prior to resorting to </w:t>
      </w:r>
      <w:r w:rsidR="00AA219C" w:rsidRPr="00777C37">
        <w:rPr>
          <w:rFonts w:ascii="Cambria" w:hAnsi="Cambria"/>
          <w:sz w:val="20"/>
          <w:szCs w:val="20"/>
        </w:rPr>
        <w:t>the I</w:t>
      </w:r>
      <w:r w:rsidRPr="00777C37">
        <w:rPr>
          <w:rFonts w:ascii="Cambria" w:hAnsi="Cambria"/>
          <w:sz w:val="20"/>
          <w:szCs w:val="20"/>
        </w:rPr>
        <w:t>nter-American human rights system</w:t>
      </w:r>
      <w:r w:rsidR="00AA219C" w:rsidRPr="00777C37">
        <w:rPr>
          <w:rFonts w:ascii="Cambria" w:hAnsi="Cambria"/>
          <w:sz w:val="20"/>
          <w:szCs w:val="20"/>
        </w:rPr>
        <w:t>,</w:t>
      </w:r>
      <w:r w:rsidRPr="00777C37">
        <w:rPr>
          <w:rFonts w:ascii="Cambria" w:hAnsi="Cambria"/>
          <w:sz w:val="20"/>
          <w:szCs w:val="20"/>
        </w:rPr>
        <w:t xml:space="preserve"> and the IACHR considers that domestic remedies have been exhausted sufficiently for the purposes of this admissibility stage, thus complying </w:t>
      </w:r>
      <w:r w:rsidR="00AA219C" w:rsidRPr="00777C37">
        <w:rPr>
          <w:rFonts w:ascii="Cambria" w:hAnsi="Cambria"/>
          <w:sz w:val="20"/>
          <w:szCs w:val="20"/>
        </w:rPr>
        <w:t>with the provisions of Ar</w:t>
      </w:r>
      <w:r w:rsidRPr="00777C37">
        <w:rPr>
          <w:rFonts w:ascii="Cambria" w:hAnsi="Cambria"/>
          <w:sz w:val="20"/>
          <w:szCs w:val="20"/>
        </w:rPr>
        <w:t>ticle 46.1.a of the Convention.</w:t>
      </w:r>
    </w:p>
    <w:p w14:paraId="1E48A91D" w14:textId="4245CDDD"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Regarding the </w:t>
      </w:r>
      <w:r w:rsidR="00DA35E7" w:rsidRPr="00777C37">
        <w:rPr>
          <w:rFonts w:ascii="Cambria" w:hAnsi="Cambria"/>
          <w:sz w:val="20"/>
          <w:szCs w:val="20"/>
        </w:rPr>
        <w:t>timeliness requirement for</w:t>
      </w:r>
      <w:r w:rsidRPr="00777C37">
        <w:rPr>
          <w:rFonts w:ascii="Cambria" w:hAnsi="Cambria"/>
          <w:sz w:val="20"/>
          <w:szCs w:val="20"/>
        </w:rPr>
        <w:t xml:space="preserve"> submission, the Commission notes that the final decision issued by the </w:t>
      </w:r>
      <w:r w:rsidR="00DA35E7" w:rsidRPr="00777C37">
        <w:rPr>
          <w:rFonts w:ascii="Cambria" w:hAnsi="Cambria"/>
          <w:sz w:val="20"/>
          <w:szCs w:val="20"/>
        </w:rPr>
        <w:t xml:space="preserve">National </w:t>
      </w:r>
      <w:r w:rsidRPr="00777C37">
        <w:rPr>
          <w:rFonts w:ascii="Cambria" w:hAnsi="Cambria"/>
          <w:sz w:val="20"/>
          <w:szCs w:val="20"/>
        </w:rPr>
        <w:t xml:space="preserve">Supreme Court of Justice </w:t>
      </w:r>
      <w:r w:rsidR="00DA35E7" w:rsidRPr="00777C37">
        <w:rPr>
          <w:rFonts w:ascii="Cambria" w:hAnsi="Cambria"/>
          <w:sz w:val="20"/>
          <w:szCs w:val="20"/>
        </w:rPr>
        <w:t xml:space="preserve">was served </w:t>
      </w:r>
      <w:r w:rsidR="009D6893">
        <w:rPr>
          <w:rFonts w:ascii="Cambria" w:hAnsi="Cambria"/>
          <w:sz w:val="20"/>
          <w:szCs w:val="20"/>
        </w:rPr>
        <w:t>to</w:t>
      </w:r>
      <w:r w:rsidRPr="00777C37">
        <w:rPr>
          <w:rFonts w:ascii="Cambria" w:hAnsi="Cambria"/>
          <w:sz w:val="20"/>
          <w:szCs w:val="20"/>
        </w:rPr>
        <w:t xml:space="preserve"> the alleged victim on June 16, 2010, and this petition was received on </w:t>
      </w:r>
      <w:r w:rsidR="00DA35E7" w:rsidRPr="00777C37">
        <w:rPr>
          <w:rFonts w:ascii="Cambria" w:hAnsi="Cambria"/>
          <w:sz w:val="20"/>
          <w:szCs w:val="20"/>
        </w:rPr>
        <w:t>December 14,</w:t>
      </w:r>
      <w:r w:rsidRPr="00777C37">
        <w:rPr>
          <w:rFonts w:ascii="Cambria" w:hAnsi="Cambria"/>
          <w:sz w:val="20"/>
          <w:szCs w:val="20"/>
        </w:rPr>
        <w:t xml:space="preserve"> 2010. Therefore, the Commission considers that the petition was filed within a reasonable time and that the admissibility requirement </w:t>
      </w:r>
      <w:r w:rsidR="000F5535" w:rsidRPr="00777C37">
        <w:rPr>
          <w:rFonts w:ascii="Cambria" w:hAnsi="Cambria"/>
          <w:sz w:val="20"/>
          <w:szCs w:val="20"/>
        </w:rPr>
        <w:t>is fulfilled</w:t>
      </w:r>
      <w:r w:rsidRPr="00777C37">
        <w:rPr>
          <w:rFonts w:ascii="Cambria" w:hAnsi="Cambria"/>
          <w:sz w:val="20"/>
          <w:szCs w:val="20"/>
        </w:rPr>
        <w:t>.</w:t>
      </w:r>
    </w:p>
    <w:p w14:paraId="7F0B6164" w14:textId="5AEAAF71"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On the other hand, the </w:t>
      </w:r>
      <w:r w:rsidR="009D6893" w:rsidRPr="00BA4717">
        <w:rPr>
          <w:rFonts w:ascii="Cambria" w:hAnsi="Cambria" w:cs="Calibri"/>
          <w:sz w:val="20"/>
          <w:szCs w:val="20"/>
        </w:rPr>
        <w:t>Inter-American Commission takes note of the State’s complaint alleging the untimely notification of the petition. In this regard, the IACHR states that after a petition has been received, there is no deadline for it to be referred to the State under neither the American Convention nor the Commission’s Rules of Procedure. It also affirms that the time periods established in the Rules and the Convention for other processing stages do not apply by analogy.</w:t>
      </w:r>
    </w:p>
    <w:p w14:paraId="378478A0" w14:textId="50B01E58" w:rsidR="00F621C3" w:rsidRPr="00777C37" w:rsidRDefault="00F621C3" w:rsidP="00F621C3">
      <w:pPr>
        <w:pStyle w:val="ListParagraph"/>
        <w:spacing w:before="240" w:after="240"/>
        <w:jc w:val="both"/>
        <w:rPr>
          <w:rFonts w:asciiTheme="majorHAnsi" w:hAnsiTheme="majorHAnsi"/>
          <w:b/>
          <w:sz w:val="20"/>
          <w:szCs w:val="20"/>
        </w:rPr>
      </w:pPr>
      <w:r w:rsidRPr="00777C37">
        <w:rPr>
          <w:rFonts w:asciiTheme="majorHAnsi" w:hAnsiTheme="majorHAnsi"/>
          <w:b/>
          <w:bCs/>
          <w:sz w:val="20"/>
          <w:szCs w:val="20"/>
        </w:rPr>
        <w:t>VII.</w:t>
      </w:r>
      <w:r w:rsidRPr="00777C37">
        <w:rPr>
          <w:rFonts w:asciiTheme="majorHAnsi" w:hAnsiTheme="majorHAnsi"/>
          <w:b/>
          <w:bCs/>
          <w:sz w:val="20"/>
          <w:szCs w:val="20"/>
        </w:rPr>
        <w:tab/>
      </w:r>
      <w:r w:rsidR="001F1902" w:rsidRPr="00777C37">
        <w:rPr>
          <w:rFonts w:asciiTheme="majorHAnsi" w:hAnsiTheme="majorHAnsi"/>
          <w:b/>
          <w:bCs/>
          <w:sz w:val="20"/>
          <w:szCs w:val="20"/>
        </w:rPr>
        <w:t xml:space="preserve">ANALYSIS OF </w:t>
      </w:r>
      <w:r w:rsidRPr="00777C37">
        <w:rPr>
          <w:rFonts w:asciiTheme="majorHAnsi" w:hAnsiTheme="majorHAnsi"/>
          <w:b/>
          <w:bCs/>
          <w:sz w:val="20"/>
          <w:szCs w:val="20"/>
        </w:rPr>
        <w:t>COLORABLE CLAIM</w:t>
      </w:r>
    </w:p>
    <w:p w14:paraId="70146B96" w14:textId="419C7F31" w:rsidR="00F621C3"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 xml:space="preserve">In view of the factual and legal elements alleged by the petitioner, the Commission considers that, if proven, the alleged facts related to the procedure followed to obtain compensation for the alleged victim </w:t>
      </w:r>
      <w:r w:rsidR="005B7FB4" w:rsidRPr="00777C37">
        <w:rPr>
          <w:rFonts w:ascii="Cambria" w:hAnsi="Cambria"/>
          <w:sz w:val="20"/>
          <w:szCs w:val="20"/>
        </w:rPr>
        <w:t>arising from his</w:t>
      </w:r>
      <w:r w:rsidRPr="00777C37">
        <w:rPr>
          <w:rFonts w:ascii="Cambria" w:hAnsi="Cambria"/>
          <w:sz w:val="20"/>
          <w:szCs w:val="20"/>
        </w:rPr>
        <w:t xml:space="preserve"> forced exile coul</w:t>
      </w:r>
      <w:r w:rsidR="005B7FB4" w:rsidRPr="00777C37">
        <w:rPr>
          <w:rFonts w:ascii="Cambria" w:hAnsi="Cambria"/>
          <w:sz w:val="20"/>
          <w:szCs w:val="20"/>
        </w:rPr>
        <w:t>d characterize violations of the rights established in A</w:t>
      </w:r>
      <w:r w:rsidRPr="00777C37">
        <w:rPr>
          <w:rFonts w:ascii="Cambria" w:hAnsi="Cambria"/>
          <w:sz w:val="20"/>
          <w:szCs w:val="20"/>
        </w:rPr>
        <w:t>rticles 8 (</w:t>
      </w:r>
      <w:r w:rsidR="005B7FB4" w:rsidRPr="00777C37">
        <w:rPr>
          <w:rFonts w:ascii="Cambria" w:hAnsi="Cambria"/>
          <w:sz w:val="20"/>
          <w:szCs w:val="20"/>
        </w:rPr>
        <w:t>right to a fair trial</w:t>
      </w:r>
      <w:r w:rsidRPr="00777C37">
        <w:rPr>
          <w:rFonts w:ascii="Cambria" w:hAnsi="Cambria"/>
          <w:sz w:val="20"/>
          <w:szCs w:val="20"/>
        </w:rPr>
        <w:t>) and 25 (</w:t>
      </w:r>
      <w:r w:rsidR="005B7FB4" w:rsidRPr="00777C37">
        <w:rPr>
          <w:rFonts w:ascii="Cambria" w:hAnsi="Cambria"/>
          <w:sz w:val="20"/>
          <w:szCs w:val="20"/>
        </w:rPr>
        <w:t xml:space="preserve">right to </w:t>
      </w:r>
      <w:r w:rsidRPr="00777C37">
        <w:rPr>
          <w:rFonts w:ascii="Cambria" w:hAnsi="Cambria"/>
          <w:sz w:val="20"/>
          <w:szCs w:val="20"/>
        </w:rPr>
        <w:t>judicial protection) of the American</w:t>
      </w:r>
      <w:r w:rsidR="005B7FB4" w:rsidRPr="00777C37">
        <w:rPr>
          <w:rFonts w:ascii="Cambria" w:hAnsi="Cambria"/>
          <w:sz w:val="20"/>
          <w:szCs w:val="20"/>
        </w:rPr>
        <w:t xml:space="preserve"> Convention in relation to its A</w:t>
      </w:r>
      <w:r w:rsidRPr="00777C37">
        <w:rPr>
          <w:rFonts w:ascii="Cambria" w:hAnsi="Cambria"/>
          <w:sz w:val="20"/>
          <w:szCs w:val="20"/>
        </w:rPr>
        <w:t>rticle 1.1, to the detriment of Mr. Carlos Fernando Antonio Ballivián Jiménez.</w:t>
      </w:r>
    </w:p>
    <w:p w14:paraId="79CB735B" w14:textId="6BEF9A20" w:rsidR="00526F11" w:rsidRPr="00777C37" w:rsidRDefault="00F4214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Cambria" w:hAnsi="Cambria"/>
          <w:sz w:val="20"/>
          <w:szCs w:val="20"/>
        </w:rPr>
        <w:t>In relation to the alleged</w:t>
      </w:r>
      <w:r w:rsidR="001B1D73" w:rsidRPr="00777C37">
        <w:rPr>
          <w:rFonts w:ascii="Cambria" w:hAnsi="Cambria"/>
          <w:sz w:val="20"/>
          <w:szCs w:val="20"/>
        </w:rPr>
        <w:t xml:space="preserve"> violation of Article 24</w:t>
      </w:r>
      <w:r w:rsidRPr="00777C37">
        <w:rPr>
          <w:rFonts w:ascii="Cambria" w:hAnsi="Cambria"/>
          <w:sz w:val="20"/>
          <w:szCs w:val="20"/>
        </w:rPr>
        <w:t xml:space="preserve">, the Commission has indicated that "the right to </w:t>
      </w:r>
      <w:r w:rsidR="003B33F6" w:rsidRPr="00777C37">
        <w:rPr>
          <w:rFonts w:ascii="Cambria" w:hAnsi="Cambria"/>
          <w:sz w:val="20"/>
          <w:szCs w:val="20"/>
        </w:rPr>
        <w:t>the equal protection of the law</w:t>
      </w:r>
      <w:r w:rsidR="007A736C">
        <w:rPr>
          <w:rFonts w:ascii="Cambria" w:hAnsi="Cambria"/>
          <w:sz w:val="20"/>
          <w:szCs w:val="20"/>
        </w:rPr>
        <w:t xml:space="preserve"> can</w:t>
      </w:r>
      <w:r w:rsidRPr="00777C37">
        <w:rPr>
          <w:rFonts w:ascii="Cambria" w:hAnsi="Cambria"/>
          <w:sz w:val="20"/>
          <w:szCs w:val="20"/>
        </w:rPr>
        <w:t xml:space="preserve">not be assimilated to the right </w:t>
      </w:r>
      <w:r w:rsidR="007A736C" w:rsidRPr="00BA4717">
        <w:rPr>
          <w:rFonts w:ascii="Cambria" w:hAnsi="Cambria" w:cs="Calibri"/>
          <w:sz w:val="20"/>
          <w:szCs w:val="20"/>
        </w:rPr>
        <w:t>to have the same resolution granted in all the proceedings concerning the same matter</w:t>
      </w:r>
      <w:r w:rsidRPr="00777C37">
        <w:rPr>
          <w:rFonts w:ascii="Cambria" w:hAnsi="Cambria"/>
          <w:sz w:val="20"/>
          <w:szCs w:val="20"/>
        </w:rPr>
        <w:t>".</w:t>
      </w:r>
      <w:r w:rsidRPr="00777C37">
        <w:rPr>
          <w:rStyle w:val="FootnoteReference"/>
          <w:rFonts w:ascii="Cambria" w:hAnsi="Cambria"/>
          <w:spacing w:val="-3"/>
          <w:sz w:val="20"/>
          <w:szCs w:val="20"/>
        </w:rPr>
        <w:footnoteReference w:id="10"/>
      </w:r>
      <w:r w:rsidRPr="00777C37">
        <w:rPr>
          <w:rFonts w:ascii="Cambria" w:hAnsi="Cambria"/>
          <w:sz w:val="20"/>
          <w:szCs w:val="20"/>
        </w:rPr>
        <w:t xml:space="preserve"> The Commission considers that the mere </w:t>
      </w:r>
      <w:r w:rsidR="007A736C">
        <w:rPr>
          <w:rFonts w:ascii="Cambria" w:hAnsi="Cambria"/>
          <w:sz w:val="20"/>
          <w:szCs w:val="20"/>
        </w:rPr>
        <w:t>citation</w:t>
      </w:r>
      <w:r w:rsidRPr="00777C37">
        <w:rPr>
          <w:rFonts w:ascii="Cambria" w:hAnsi="Cambria"/>
          <w:sz w:val="20"/>
          <w:szCs w:val="20"/>
        </w:rPr>
        <w:t xml:space="preserve"> of other </w:t>
      </w:r>
      <w:r w:rsidR="007A736C">
        <w:rPr>
          <w:rFonts w:ascii="Cambria" w:hAnsi="Cambria"/>
          <w:sz w:val="20"/>
          <w:szCs w:val="20"/>
        </w:rPr>
        <w:t>decisions</w:t>
      </w:r>
      <w:r w:rsidRPr="00777C37">
        <w:rPr>
          <w:rFonts w:ascii="Cambria" w:hAnsi="Cambria"/>
          <w:sz w:val="20"/>
          <w:szCs w:val="20"/>
        </w:rPr>
        <w:t xml:space="preserve"> </w:t>
      </w:r>
      <w:r w:rsidR="007A736C">
        <w:rPr>
          <w:rFonts w:ascii="Cambria" w:hAnsi="Cambria"/>
          <w:sz w:val="20"/>
          <w:szCs w:val="20"/>
        </w:rPr>
        <w:t xml:space="preserve">made </w:t>
      </w:r>
      <w:r w:rsidRPr="00777C37">
        <w:rPr>
          <w:rFonts w:ascii="Cambria" w:hAnsi="Cambria"/>
          <w:sz w:val="20"/>
          <w:szCs w:val="20"/>
        </w:rPr>
        <w:t xml:space="preserve">on the same </w:t>
      </w:r>
      <w:r w:rsidR="007A736C">
        <w:rPr>
          <w:rFonts w:ascii="Cambria" w:hAnsi="Cambria"/>
          <w:sz w:val="20"/>
          <w:szCs w:val="20"/>
        </w:rPr>
        <w:t>matter</w:t>
      </w:r>
      <w:r w:rsidRPr="00777C37">
        <w:rPr>
          <w:rFonts w:ascii="Cambria" w:hAnsi="Cambria"/>
          <w:sz w:val="20"/>
          <w:szCs w:val="20"/>
        </w:rPr>
        <w:t xml:space="preserve"> with different results </w:t>
      </w:r>
      <w:r w:rsidR="007A736C">
        <w:rPr>
          <w:rFonts w:ascii="Cambria" w:hAnsi="Cambria"/>
          <w:sz w:val="20"/>
          <w:szCs w:val="20"/>
        </w:rPr>
        <w:t xml:space="preserve">does not suffice </w:t>
      </w:r>
      <w:r w:rsidRPr="00777C37">
        <w:rPr>
          <w:rFonts w:ascii="Cambria" w:hAnsi="Cambria"/>
          <w:sz w:val="20"/>
          <w:szCs w:val="20"/>
        </w:rPr>
        <w:t xml:space="preserve">to </w:t>
      </w:r>
      <w:r w:rsidRPr="00777C37">
        <w:rPr>
          <w:rFonts w:ascii="Cambria" w:hAnsi="Cambria"/>
          <w:i/>
          <w:sz w:val="20"/>
          <w:szCs w:val="20"/>
        </w:rPr>
        <w:t>prima facie</w:t>
      </w:r>
      <w:r w:rsidRPr="00777C37">
        <w:rPr>
          <w:rFonts w:ascii="Cambria" w:hAnsi="Cambria"/>
          <w:sz w:val="20"/>
          <w:szCs w:val="20"/>
        </w:rPr>
        <w:t xml:space="preserve"> </w:t>
      </w:r>
      <w:r w:rsidR="007A736C">
        <w:rPr>
          <w:rFonts w:ascii="Cambria" w:hAnsi="Cambria"/>
          <w:sz w:val="20"/>
          <w:szCs w:val="20"/>
        </w:rPr>
        <w:t xml:space="preserve">establish </w:t>
      </w:r>
      <w:r w:rsidRPr="00777C37">
        <w:rPr>
          <w:rFonts w:ascii="Cambria" w:hAnsi="Cambria"/>
          <w:sz w:val="20"/>
          <w:szCs w:val="20"/>
        </w:rPr>
        <w:t>a possible violation of Article 24 of the Convention.</w:t>
      </w:r>
    </w:p>
    <w:p w14:paraId="6D999ED4" w14:textId="2CA3F161" w:rsidR="00526F11" w:rsidRPr="001F5766" w:rsidRDefault="00F42141" w:rsidP="001F5766">
      <w:pPr>
        <w:ind w:firstLine="720"/>
        <w:contextualSpacing/>
        <w:jc w:val="both"/>
        <w:rPr>
          <w:rFonts w:ascii="Cambria" w:hAnsi="Cambria" w:cs="Calibri"/>
          <w:sz w:val="20"/>
          <w:szCs w:val="20"/>
        </w:rPr>
      </w:pPr>
      <w:r w:rsidRPr="00777C37">
        <w:rPr>
          <w:rFonts w:ascii="Cambria" w:hAnsi="Cambria"/>
          <w:sz w:val="20"/>
          <w:szCs w:val="20"/>
        </w:rPr>
        <w:t xml:space="preserve">Finally, the State argued that the petitioner is using the Commission as a fourth instance, insofar as it seeks to review the decisions handed down by the administrative and judicial authorities </w:t>
      </w:r>
      <w:r w:rsidR="003B33F6" w:rsidRPr="00777C37">
        <w:rPr>
          <w:rFonts w:ascii="Cambria" w:hAnsi="Cambria"/>
          <w:sz w:val="20"/>
          <w:szCs w:val="20"/>
        </w:rPr>
        <w:t>acting within their</w:t>
      </w:r>
      <w:r w:rsidR="001F5766">
        <w:rPr>
          <w:rFonts w:ascii="Cambria" w:hAnsi="Cambria"/>
          <w:sz w:val="20"/>
          <w:szCs w:val="20"/>
        </w:rPr>
        <w:t xml:space="preserve"> sphere of competence. With this respect,</w:t>
      </w:r>
      <w:r w:rsidRPr="00777C37">
        <w:rPr>
          <w:rFonts w:ascii="Cambria" w:hAnsi="Cambria"/>
          <w:sz w:val="20"/>
          <w:szCs w:val="20"/>
        </w:rPr>
        <w:t xml:space="preserve"> </w:t>
      </w:r>
      <w:r w:rsidR="001F5766" w:rsidRPr="00BA4717">
        <w:rPr>
          <w:rFonts w:ascii="Cambria" w:hAnsi="Cambria" w:cs="Calibri"/>
          <w:sz w:val="20"/>
          <w:szCs w:val="20"/>
        </w:rPr>
        <w:t xml:space="preserve">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 alleged victim, as provided for under the American </w:t>
      </w:r>
      <w:r w:rsidR="001F5766">
        <w:rPr>
          <w:rFonts w:ascii="Cambria" w:hAnsi="Cambria" w:cs="Calibri"/>
          <w:sz w:val="20"/>
          <w:szCs w:val="20"/>
        </w:rPr>
        <w:t>Convention.</w:t>
      </w:r>
    </w:p>
    <w:p w14:paraId="5A70550C" w14:textId="77777777" w:rsidR="00F621C3" w:rsidRPr="00777C37" w:rsidRDefault="00F621C3" w:rsidP="00F621C3">
      <w:pPr>
        <w:pStyle w:val="ListParagraph"/>
        <w:spacing w:before="240" w:after="240"/>
        <w:jc w:val="both"/>
        <w:rPr>
          <w:rFonts w:asciiTheme="majorHAnsi" w:hAnsiTheme="majorHAnsi"/>
          <w:b/>
          <w:bCs/>
          <w:sz w:val="20"/>
          <w:szCs w:val="20"/>
        </w:rPr>
      </w:pPr>
      <w:r w:rsidRPr="00777C37">
        <w:rPr>
          <w:rFonts w:asciiTheme="majorHAnsi" w:hAnsiTheme="majorHAnsi"/>
          <w:b/>
          <w:bCs/>
          <w:sz w:val="20"/>
          <w:szCs w:val="20"/>
        </w:rPr>
        <w:t xml:space="preserve">VIII. </w:t>
      </w:r>
      <w:r w:rsidRPr="00777C37">
        <w:rPr>
          <w:rFonts w:asciiTheme="majorHAnsi" w:hAnsiTheme="majorHAnsi"/>
          <w:b/>
          <w:bCs/>
          <w:sz w:val="20"/>
          <w:szCs w:val="20"/>
        </w:rPr>
        <w:tab/>
        <w:t>DECISION</w:t>
      </w:r>
    </w:p>
    <w:p w14:paraId="227B9B6E" w14:textId="7F6013AA" w:rsidR="00F621C3" w:rsidRPr="00777C3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Theme="majorHAnsi" w:hAnsiTheme="majorHAnsi"/>
          <w:sz w:val="20"/>
          <w:szCs w:val="20"/>
        </w:rPr>
        <w:t>To d</w:t>
      </w:r>
      <w:r w:rsidR="001A1072">
        <w:rPr>
          <w:rFonts w:asciiTheme="majorHAnsi" w:hAnsiTheme="majorHAnsi"/>
          <w:sz w:val="20"/>
          <w:szCs w:val="20"/>
        </w:rPr>
        <w:t>eclare</w:t>
      </w:r>
      <w:r w:rsidRPr="00777C37">
        <w:rPr>
          <w:rFonts w:asciiTheme="majorHAnsi" w:hAnsiTheme="majorHAnsi"/>
          <w:sz w:val="20"/>
          <w:szCs w:val="20"/>
        </w:rPr>
        <w:t xml:space="preserve"> the petition admiss</w:t>
      </w:r>
      <w:r w:rsidR="00526F11" w:rsidRPr="00777C37">
        <w:rPr>
          <w:rFonts w:asciiTheme="majorHAnsi" w:hAnsiTheme="majorHAnsi"/>
          <w:sz w:val="20"/>
          <w:szCs w:val="20"/>
        </w:rPr>
        <w:t xml:space="preserve">ible </w:t>
      </w:r>
      <w:r w:rsidR="001A1072">
        <w:rPr>
          <w:rFonts w:asciiTheme="majorHAnsi" w:hAnsiTheme="majorHAnsi"/>
          <w:sz w:val="20"/>
          <w:szCs w:val="20"/>
        </w:rPr>
        <w:t xml:space="preserve">as regards to </w:t>
      </w:r>
      <w:r w:rsidR="00526F11" w:rsidRPr="00777C37">
        <w:rPr>
          <w:rFonts w:asciiTheme="majorHAnsi" w:hAnsiTheme="majorHAnsi"/>
          <w:sz w:val="20"/>
          <w:szCs w:val="20"/>
        </w:rPr>
        <w:t xml:space="preserve">Articles 8 and 25 of the American Convention, in </w:t>
      </w:r>
      <w:r w:rsidR="001A1072">
        <w:rPr>
          <w:rFonts w:asciiTheme="majorHAnsi" w:hAnsiTheme="majorHAnsi"/>
          <w:sz w:val="20"/>
          <w:szCs w:val="20"/>
        </w:rPr>
        <w:t>conjunction with</w:t>
      </w:r>
      <w:r w:rsidR="00526F11" w:rsidRPr="00777C37">
        <w:rPr>
          <w:rFonts w:asciiTheme="majorHAnsi" w:hAnsiTheme="majorHAnsi"/>
          <w:sz w:val="20"/>
          <w:szCs w:val="20"/>
        </w:rPr>
        <w:t xml:space="preserve"> Article 1.1 of the same instrument</w:t>
      </w:r>
      <w:r w:rsidRPr="00777C37">
        <w:rPr>
          <w:rFonts w:asciiTheme="majorHAnsi" w:hAnsiTheme="majorHAnsi"/>
          <w:sz w:val="20"/>
          <w:szCs w:val="20"/>
        </w:rPr>
        <w:t>;</w:t>
      </w:r>
      <w:r w:rsidR="00526F11" w:rsidRPr="00777C37">
        <w:rPr>
          <w:rFonts w:asciiTheme="majorHAnsi" w:hAnsiTheme="majorHAnsi"/>
          <w:sz w:val="20"/>
          <w:szCs w:val="20"/>
        </w:rPr>
        <w:t xml:space="preserve"> and</w:t>
      </w:r>
    </w:p>
    <w:p w14:paraId="7B069E47" w14:textId="3560A116" w:rsidR="00F621C3" w:rsidRPr="00517ED2" w:rsidRDefault="00F621C3" w:rsidP="00F621C3">
      <w:pPr>
        <w:pStyle w:val="ListParagraph"/>
        <w:numPr>
          <w:ilvl w:val="0"/>
          <w:numId w:val="105"/>
        </w:numPr>
        <w:rPr>
          <w:rFonts w:eastAsia="Arial Unicode MS" w:cs="Times New Roman"/>
          <w:color w:val="auto"/>
          <w:sz w:val="20"/>
          <w:szCs w:val="20"/>
          <w:lang w:eastAsia="en-US"/>
        </w:rPr>
      </w:pPr>
      <w:r w:rsidRPr="00777C37">
        <w:rPr>
          <w:rFonts w:asciiTheme="majorHAnsi" w:hAnsiTheme="majorHAnsi"/>
          <w:sz w:val="20"/>
          <w:szCs w:val="20"/>
        </w:rPr>
        <w:lastRenderedPageBreak/>
        <w:t xml:space="preserve">To </w:t>
      </w:r>
      <w:r w:rsidR="001A1072">
        <w:rPr>
          <w:rFonts w:asciiTheme="majorHAnsi" w:hAnsiTheme="majorHAnsi"/>
          <w:sz w:val="20"/>
          <w:szCs w:val="20"/>
        </w:rPr>
        <w:t xml:space="preserve">declare the </w:t>
      </w:r>
      <w:r w:rsidRPr="00517ED2">
        <w:rPr>
          <w:rFonts w:asciiTheme="majorHAnsi" w:hAnsiTheme="majorHAnsi"/>
          <w:color w:val="auto"/>
          <w:sz w:val="20"/>
          <w:szCs w:val="20"/>
        </w:rPr>
        <w:t xml:space="preserve">petition inadmissible </w:t>
      </w:r>
      <w:r w:rsidR="001A1072" w:rsidRPr="00517ED2">
        <w:rPr>
          <w:rFonts w:asciiTheme="majorHAnsi" w:hAnsiTheme="majorHAnsi"/>
          <w:color w:val="auto"/>
          <w:sz w:val="20"/>
          <w:szCs w:val="20"/>
        </w:rPr>
        <w:t xml:space="preserve">with respect to </w:t>
      </w:r>
      <w:r w:rsidRPr="00517ED2">
        <w:rPr>
          <w:rFonts w:asciiTheme="majorHAnsi" w:hAnsiTheme="majorHAnsi"/>
          <w:color w:val="auto"/>
          <w:sz w:val="20"/>
          <w:szCs w:val="20"/>
        </w:rPr>
        <w:t>Article</w:t>
      </w:r>
      <w:r w:rsidR="00526F11" w:rsidRPr="00517ED2">
        <w:rPr>
          <w:rFonts w:asciiTheme="majorHAnsi" w:hAnsiTheme="majorHAnsi"/>
          <w:color w:val="auto"/>
          <w:sz w:val="20"/>
          <w:szCs w:val="20"/>
        </w:rPr>
        <w:t xml:space="preserve"> 24 of the American Convention</w:t>
      </w:r>
      <w:r w:rsidRPr="00517ED2">
        <w:rPr>
          <w:rFonts w:eastAsia="Arial Unicode MS" w:cs="Times New Roman"/>
          <w:color w:val="auto"/>
          <w:sz w:val="20"/>
          <w:szCs w:val="20"/>
          <w:lang w:eastAsia="en-US"/>
        </w:rPr>
        <w:t>;</w:t>
      </w:r>
      <w:r w:rsidR="001F1902" w:rsidRPr="00517ED2">
        <w:rPr>
          <w:rFonts w:eastAsia="Arial Unicode MS" w:cs="Times New Roman"/>
          <w:color w:val="auto"/>
          <w:sz w:val="20"/>
          <w:szCs w:val="20"/>
          <w:lang w:eastAsia="en-US"/>
        </w:rPr>
        <w:t xml:space="preserve"> and</w:t>
      </w:r>
    </w:p>
    <w:p w14:paraId="47F30965" w14:textId="77777777" w:rsidR="00F621C3" w:rsidRPr="00777C37" w:rsidRDefault="00F621C3" w:rsidP="00F621C3">
      <w:pPr>
        <w:pStyle w:val="ListParagraph"/>
        <w:rPr>
          <w:rFonts w:eastAsia="Arial Unicode MS" w:cs="Times New Roman"/>
          <w:color w:val="auto"/>
          <w:sz w:val="20"/>
          <w:szCs w:val="20"/>
          <w:lang w:eastAsia="en-US"/>
        </w:rPr>
      </w:pPr>
    </w:p>
    <w:p w14:paraId="22CC8DDA" w14:textId="51ED6D8B" w:rsidR="00F621C3" w:rsidRPr="00777C3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7C37">
        <w:rPr>
          <w:rFonts w:asciiTheme="majorHAnsi" w:hAnsiTheme="majorHAnsi"/>
          <w:sz w:val="20"/>
          <w:szCs w:val="20"/>
        </w:rPr>
        <w:t>To notify the parties of this decision;</w:t>
      </w:r>
      <w:r w:rsidR="001F1902" w:rsidRPr="00777C37">
        <w:rPr>
          <w:rFonts w:asciiTheme="majorHAnsi" w:hAnsiTheme="majorHAnsi"/>
          <w:sz w:val="20"/>
          <w:szCs w:val="20"/>
        </w:rPr>
        <w:t xml:space="preserve"> t</w:t>
      </w:r>
      <w:r w:rsidRPr="00777C37">
        <w:rPr>
          <w:rFonts w:asciiTheme="majorHAnsi" w:hAnsiTheme="majorHAnsi"/>
          <w:sz w:val="20"/>
          <w:szCs w:val="20"/>
        </w:rPr>
        <w:t xml:space="preserve">o continue with the analysis on the merits; and </w:t>
      </w:r>
      <w:r w:rsidR="001F1902" w:rsidRPr="00777C37">
        <w:rPr>
          <w:rFonts w:asciiTheme="majorHAnsi" w:hAnsiTheme="majorHAnsi"/>
          <w:sz w:val="20"/>
          <w:szCs w:val="20"/>
        </w:rPr>
        <w:t>t</w:t>
      </w:r>
      <w:r w:rsidRPr="00777C37">
        <w:rPr>
          <w:rFonts w:asciiTheme="majorHAnsi" w:hAnsiTheme="majorHAnsi"/>
          <w:sz w:val="20"/>
          <w:szCs w:val="20"/>
        </w:rPr>
        <w:t>o publish this decision and include it in its Annual Report to the General Assembly of the Organization of American States.</w:t>
      </w:r>
    </w:p>
    <w:p w14:paraId="2FD67EF1" w14:textId="3436D2FA" w:rsidR="00517ED2" w:rsidRDefault="00517ED2" w:rsidP="00517ED2">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Commission on Human Rights on the 3</w:t>
      </w:r>
      <w:r w:rsidRPr="00517ED2">
        <w:rPr>
          <w:rFonts w:eastAsia="Arial Unicode MS" w:cs="Times New Roman"/>
          <w:color w:val="auto"/>
          <w:sz w:val="20"/>
          <w:szCs w:val="20"/>
          <w:vertAlign w:val="superscript"/>
          <w:lang w:eastAsia="en-US"/>
        </w:rPr>
        <w:t>rd</w:t>
      </w:r>
      <w:r>
        <w:rPr>
          <w:rFonts w:eastAsia="Arial Unicode MS" w:cs="Times New Roman"/>
          <w:color w:val="auto"/>
          <w:sz w:val="20"/>
          <w:szCs w:val="20"/>
          <w:lang w:eastAsia="en-US"/>
        </w:rPr>
        <w:t xml:space="preserve"> day of the month of July, 2019. (Signed):  Esmeralda E. Arosemena Bernal de Troitiño, President; Joel Hernández García, First Vice President</w:t>
      </w:r>
      <w:r w:rsidR="00D67EF3">
        <w:rPr>
          <w:rFonts w:eastAsia="Arial Unicode MS" w:cs="Times New Roman"/>
          <w:color w:val="auto"/>
          <w:sz w:val="20"/>
          <w:szCs w:val="20"/>
          <w:lang w:eastAsia="en-US"/>
        </w:rPr>
        <w:t xml:space="preserve"> (</w:t>
      </w:r>
      <w:r w:rsidR="003F5481">
        <w:rPr>
          <w:rFonts w:eastAsia="Arial Unicode MS" w:cs="Times New Roman"/>
          <w:color w:val="auto"/>
          <w:sz w:val="20"/>
          <w:szCs w:val="20"/>
          <w:lang w:eastAsia="en-US"/>
        </w:rPr>
        <w:t>dissenting opinion</w:t>
      </w:r>
      <w:r w:rsidR="00D67EF3">
        <w:rPr>
          <w:rFonts w:eastAsia="Arial Unicode MS" w:cs="Times New Roman"/>
          <w:color w:val="auto"/>
          <w:sz w:val="20"/>
          <w:szCs w:val="20"/>
          <w:lang w:eastAsia="en-US"/>
        </w:rPr>
        <w:t>)</w:t>
      </w:r>
      <w:r>
        <w:rPr>
          <w:rFonts w:eastAsia="Arial Unicode MS" w:cs="Times New Roman"/>
          <w:color w:val="auto"/>
          <w:sz w:val="20"/>
          <w:szCs w:val="20"/>
          <w:lang w:eastAsia="en-US"/>
        </w:rPr>
        <w:t>; Antonia Urrejola, Second Vice President</w:t>
      </w:r>
      <w:r w:rsidR="00D67EF3">
        <w:rPr>
          <w:rFonts w:eastAsia="Arial Unicode MS" w:cs="Times New Roman"/>
          <w:color w:val="auto"/>
          <w:sz w:val="20"/>
          <w:szCs w:val="20"/>
          <w:lang w:eastAsia="en-US"/>
        </w:rPr>
        <w:t xml:space="preserve"> (</w:t>
      </w:r>
      <w:r w:rsidR="003F5481">
        <w:rPr>
          <w:rFonts w:eastAsia="Arial Unicode MS" w:cs="Times New Roman"/>
          <w:color w:val="auto"/>
          <w:sz w:val="20"/>
          <w:szCs w:val="20"/>
          <w:lang w:eastAsia="en-US"/>
        </w:rPr>
        <w:t>dissenting opinion</w:t>
      </w:r>
      <w:r w:rsidR="00D67EF3">
        <w:rPr>
          <w:rFonts w:eastAsia="Arial Unicode MS" w:cs="Times New Roman"/>
          <w:color w:val="auto"/>
          <w:sz w:val="20"/>
          <w:szCs w:val="20"/>
          <w:lang w:eastAsia="en-US"/>
        </w:rPr>
        <w:t>)</w:t>
      </w:r>
      <w:r>
        <w:rPr>
          <w:rFonts w:eastAsia="Arial Unicode MS" w:cs="Times New Roman"/>
          <w:color w:val="auto"/>
          <w:sz w:val="20"/>
          <w:szCs w:val="20"/>
          <w:lang w:eastAsia="en-US"/>
        </w:rPr>
        <w:t>; Margarette May Macaulay, Francisco José Eguiguren Praeli, Luis Ernesto Vargas Silva and Flávia Piovesan, Commissioners.</w:t>
      </w:r>
    </w:p>
    <w:p w14:paraId="1C6AA622" w14:textId="77777777" w:rsidR="00F621C3" w:rsidRPr="00777C37"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777C37"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777C37"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777C37" w:rsidRDefault="00F621C3" w:rsidP="00F621C3">
      <w:pPr>
        <w:rPr>
          <w:rFonts w:ascii="Cambria" w:hAnsi="Cambria" w:cs="Calibri"/>
          <w:sz w:val="20"/>
          <w:szCs w:val="20"/>
        </w:rPr>
      </w:pPr>
    </w:p>
    <w:p w14:paraId="2122B46A" w14:textId="77777777" w:rsidR="00C55560" w:rsidRPr="00777C37" w:rsidRDefault="00C55560" w:rsidP="00230163">
      <w:pPr>
        <w:tabs>
          <w:tab w:val="left" w:pos="2820"/>
        </w:tabs>
        <w:suppressAutoHyphens/>
        <w:spacing w:line="276" w:lineRule="auto"/>
        <w:rPr>
          <w:rFonts w:asciiTheme="majorHAnsi" w:hAnsiTheme="majorHAnsi"/>
          <w:sz w:val="20"/>
          <w:szCs w:val="20"/>
        </w:rPr>
      </w:pPr>
    </w:p>
    <w:sectPr w:rsidR="00C55560" w:rsidRPr="00777C3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3CD2" w14:textId="77777777" w:rsidR="00F2617E" w:rsidRDefault="00F2617E" w:rsidP="00036A8A">
      <w:r>
        <w:separator/>
      </w:r>
    </w:p>
  </w:endnote>
  <w:endnote w:type="continuationSeparator" w:id="0">
    <w:p w14:paraId="06E2CDE0" w14:textId="77777777" w:rsidR="00F2617E" w:rsidRDefault="00F2617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DCF4" w14:textId="77777777" w:rsidR="00552FB7" w:rsidRDefault="00552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3B33F6" w:rsidRPr="006311DA" w:rsidRDefault="003B33F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52FB7">
          <w:rPr>
            <w:noProof/>
            <w:sz w:val="16"/>
          </w:rPr>
          <w:t>3</w:t>
        </w:r>
        <w:r w:rsidRPr="006311DA">
          <w:rPr>
            <w:noProof/>
            <w:sz w:val="16"/>
          </w:rPr>
          <w:fldChar w:fldCharType="end"/>
        </w:r>
      </w:p>
    </w:sdtContent>
  </w:sdt>
  <w:p w14:paraId="767961CB" w14:textId="77777777" w:rsidR="003B33F6" w:rsidRDefault="003B3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B33F6" w:rsidRDefault="003B33F6">
    <w:pPr>
      <w:pStyle w:val="Footer"/>
      <w:jc w:val="center"/>
    </w:pPr>
  </w:p>
  <w:p w14:paraId="2699B8C1" w14:textId="77777777" w:rsidR="003B33F6" w:rsidRDefault="003B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8415F" w14:textId="77777777" w:rsidR="00F2617E" w:rsidRPr="00036A8A" w:rsidRDefault="00F2617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FF6355E" w14:textId="77777777" w:rsidR="00F2617E" w:rsidRPr="00036A8A" w:rsidRDefault="00F2617E" w:rsidP="00036A8A">
      <w:pPr>
        <w:rPr>
          <w:rFonts w:asciiTheme="majorHAnsi" w:hAnsiTheme="majorHAnsi"/>
          <w:sz w:val="16"/>
          <w:szCs w:val="16"/>
        </w:rPr>
      </w:pPr>
      <w:r w:rsidRPr="00036A8A">
        <w:rPr>
          <w:rFonts w:asciiTheme="majorHAnsi" w:hAnsiTheme="majorHAnsi"/>
          <w:sz w:val="16"/>
          <w:szCs w:val="16"/>
        </w:rPr>
        <w:separator/>
      </w:r>
    </w:p>
    <w:p w14:paraId="236A455F" w14:textId="77777777" w:rsidR="00F2617E" w:rsidRPr="00036A8A" w:rsidRDefault="00F2617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2F62EA7" w14:textId="77777777" w:rsidR="00F2617E" w:rsidRPr="0093441A" w:rsidRDefault="00F2617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3B33F6" w:rsidRPr="00777C37" w:rsidRDefault="003B33F6" w:rsidP="00210F4B">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The observations submitted by each party were duly transmitted to the opposing party.</w:t>
      </w:r>
    </w:p>
  </w:footnote>
  <w:footnote w:id="3">
    <w:p w14:paraId="5FF6CC13" w14:textId="1E414F91"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In particular, the petitioner</w:t>
      </w:r>
      <w:r w:rsidR="00CF7561" w:rsidRPr="00777C37">
        <w:rPr>
          <w:rFonts w:ascii="Cambria" w:hAnsi="Cambria"/>
          <w:color w:val="auto"/>
          <w:sz w:val="16"/>
          <w:szCs w:val="16"/>
        </w:rPr>
        <w:t>s describe</w:t>
      </w:r>
      <w:r w:rsidRPr="00777C37">
        <w:rPr>
          <w:rFonts w:ascii="Cambria" w:hAnsi="Cambria"/>
          <w:color w:val="auto"/>
          <w:sz w:val="16"/>
          <w:szCs w:val="16"/>
        </w:rPr>
        <w:t xml:space="preserve"> that in 1976 he, his wife Liliana </w:t>
      </w:r>
      <w:proofErr w:type="spellStart"/>
      <w:r w:rsidRPr="00777C37">
        <w:rPr>
          <w:rFonts w:ascii="Cambria" w:hAnsi="Cambria"/>
          <w:color w:val="auto"/>
          <w:sz w:val="16"/>
          <w:szCs w:val="16"/>
        </w:rPr>
        <w:t>Belloni</w:t>
      </w:r>
      <w:proofErr w:type="spellEnd"/>
      <w:r w:rsidRPr="00777C37">
        <w:rPr>
          <w:rFonts w:ascii="Cambria" w:hAnsi="Cambria"/>
          <w:color w:val="auto"/>
          <w:sz w:val="16"/>
          <w:szCs w:val="16"/>
        </w:rPr>
        <w:t xml:space="preserve">, his children and his wife's family were victims of persecution, </w:t>
      </w:r>
      <w:r w:rsidR="00874D32">
        <w:rPr>
          <w:rFonts w:ascii="Cambria" w:hAnsi="Cambria"/>
          <w:color w:val="auto"/>
          <w:sz w:val="16"/>
          <w:szCs w:val="16"/>
        </w:rPr>
        <w:t>home raids</w:t>
      </w:r>
      <w:r w:rsidR="00CF7561" w:rsidRPr="00777C37">
        <w:rPr>
          <w:rFonts w:ascii="Cambria" w:hAnsi="Cambria"/>
          <w:color w:val="auto"/>
          <w:sz w:val="16"/>
          <w:szCs w:val="16"/>
        </w:rPr>
        <w:t xml:space="preserve"> and seizures,</w:t>
      </w:r>
      <w:r w:rsidRPr="00777C37">
        <w:rPr>
          <w:rFonts w:ascii="Cambria" w:hAnsi="Cambria"/>
          <w:color w:val="auto"/>
          <w:sz w:val="16"/>
          <w:szCs w:val="16"/>
        </w:rPr>
        <w:t xml:space="preserve"> </w:t>
      </w:r>
      <w:r w:rsidR="00CF7561" w:rsidRPr="00777C37">
        <w:rPr>
          <w:rFonts w:ascii="Cambria" w:hAnsi="Cambria"/>
          <w:color w:val="auto"/>
          <w:sz w:val="16"/>
          <w:szCs w:val="16"/>
        </w:rPr>
        <w:t>and alleges that</w:t>
      </w:r>
      <w:r w:rsidRPr="00777C37">
        <w:rPr>
          <w:rFonts w:ascii="Cambria" w:hAnsi="Cambria"/>
          <w:color w:val="auto"/>
          <w:sz w:val="16"/>
          <w:szCs w:val="16"/>
        </w:rPr>
        <w:t xml:space="preserve"> security agents </w:t>
      </w:r>
      <w:r w:rsidR="00874D32">
        <w:rPr>
          <w:rFonts w:ascii="Cambria" w:hAnsi="Cambria"/>
          <w:color w:val="auto"/>
          <w:sz w:val="16"/>
          <w:szCs w:val="16"/>
        </w:rPr>
        <w:t xml:space="preserve">went to </w:t>
      </w:r>
      <w:r w:rsidR="00CF7561" w:rsidRPr="00777C37">
        <w:rPr>
          <w:rFonts w:ascii="Cambria" w:hAnsi="Cambria"/>
          <w:color w:val="auto"/>
          <w:sz w:val="16"/>
          <w:szCs w:val="16"/>
        </w:rPr>
        <w:t xml:space="preserve">their </w:t>
      </w:r>
      <w:r w:rsidRPr="00777C37">
        <w:rPr>
          <w:rFonts w:ascii="Cambria" w:hAnsi="Cambria"/>
          <w:color w:val="auto"/>
          <w:sz w:val="16"/>
          <w:szCs w:val="16"/>
        </w:rPr>
        <w:t xml:space="preserve">children's school asking about their family. </w:t>
      </w:r>
      <w:r w:rsidR="00CF7561" w:rsidRPr="00777C37">
        <w:rPr>
          <w:rFonts w:ascii="Cambria" w:hAnsi="Cambria"/>
          <w:color w:val="auto"/>
          <w:sz w:val="16"/>
          <w:szCs w:val="16"/>
        </w:rPr>
        <w:t xml:space="preserve">They argue </w:t>
      </w:r>
      <w:r w:rsidRPr="00777C37">
        <w:rPr>
          <w:rFonts w:ascii="Cambria" w:hAnsi="Cambria"/>
          <w:color w:val="auto"/>
          <w:sz w:val="16"/>
          <w:szCs w:val="16"/>
        </w:rPr>
        <w:t xml:space="preserve">that </w:t>
      </w:r>
      <w:r w:rsidR="00CF7561" w:rsidRPr="00777C37">
        <w:rPr>
          <w:rFonts w:ascii="Cambria" w:hAnsi="Cambria"/>
          <w:color w:val="auto"/>
          <w:sz w:val="16"/>
          <w:szCs w:val="16"/>
        </w:rPr>
        <w:t>his</w:t>
      </w:r>
      <w:r w:rsidRPr="00777C37">
        <w:rPr>
          <w:rFonts w:ascii="Cambria" w:hAnsi="Cambria"/>
          <w:color w:val="auto"/>
          <w:sz w:val="16"/>
          <w:szCs w:val="16"/>
        </w:rPr>
        <w:t xml:space="preserve"> brother-in-law, Manuel Eduardo David </w:t>
      </w:r>
      <w:proofErr w:type="spellStart"/>
      <w:r w:rsidRPr="00777C37">
        <w:rPr>
          <w:rFonts w:ascii="Cambria" w:hAnsi="Cambria"/>
          <w:color w:val="auto"/>
          <w:sz w:val="16"/>
          <w:szCs w:val="16"/>
        </w:rPr>
        <w:t>Belloni</w:t>
      </w:r>
      <w:proofErr w:type="spellEnd"/>
      <w:r w:rsidRPr="00777C37">
        <w:rPr>
          <w:rFonts w:ascii="Cambria" w:hAnsi="Cambria"/>
          <w:color w:val="auto"/>
          <w:sz w:val="16"/>
          <w:szCs w:val="16"/>
        </w:rPr>
        <w:t>, was murdered on March 8, 1971</w:t>
      </w:r>
      <w:r w:rsidR="00CF7561" w:rsidRPr="00777C37">
        <w:rPr>
          <w:rFonts w:ascii="Cambria" w:hAnsi="Cambria"/>
          <w:color w:val="auto"/>
          <w:sz w:val="16"/>
          <w:szCs w:val="16"/>
        </w:rPr>
        <w:t>,</w:t>
      </w:r>
      <w:r w:rsidRPr="00777C37">
        <w:rPr>
          <w:rFonts w:ascii="Cambria" w:hAnsi="Cambria"/>
          <w:color w:val="auto"/>
          <w:sz w:val="16"/>
          <w:szCs w:val="16"/>
        </w:rPr>
        <w:t xml:space="preserve"> by security forces of the dictatorship and </w:t>
      </w:r>
      <w:r w:rsidR="00CF7561" w:rsidRPr="00777C37">
        <w:rPr>
          <w:rFonts w:ascii="Cambria" w:hAnsi="Cambria"/>
          <w:color w:val="auto"/>
          <w:sz w:val="16"/>
          <w:szCs w:val="16"/>
        </w:rPr>
        <w:t xml:space="preserve">that his </w:t>
      </w:r>
      <w:r w:rsidRPr="00777C37">
        <w:rPr>
          <w:rFonts w:ascii="Cambria" w:hAnsi="Cambria"/>
          <w:color w:val="auto"/>
          <w:sz w:val="16"/>
          <w:szCs w:val="16"/>
        </w:rPr>
        <w:t xml:space="preserve">mother-in-law, Mrs. Lidia </w:t>
      </w:r>
      <w:proofErr w:type="spellStart"/>
      <w:r w:rsidRPr="00777C37">
        <w:rPr>
          <w:rFonts w:ascii="Cambria" w:hAnsi="Cambria"/>
          <w:color w:val="auto"/>
          <w:sz w:val="16"/>
          <w:szCs w:val="16"/>
        </w:rPr>
        <w:t>Massaferro</w:t>
      </w:r>
      <w:proofErr w:type="spellEnd"/>
      <w:r w:rsidRPr="00777C37">
        <w:rPr>
          <w:rFonts w:ascii="Cambria" w:hAnsi="Cambria"/>
          <w:color w:val="auto"/>
          <w:sz w:val="16"/>
          <w:szCs w:val="16"/>
        </w:rPr>
        <w:t xml:space="preserve">, was arrested and then threatened by the Triple AAA </w:t>
      </w:r>
      <w:r w:rsidR="00CF7561" w:rsidRPr="00777C37">
        <w:rPr>
          <w:rFonts w:ascii="Cambria" w:hAnsi="Cambria"/>
          <w:color w:val="auto"/>
          <w:sz w:val="16"/>
          <w:szCs w:val="16"/>
        </w:rPr>
        <w:t>forcing her into exile</w:t>
      </w:r>
      <w:r w:rsidRPr="00777C37">
        <w:rPr>
          <w:rFonts w:ascii="Cambria" w:hAnsi="Cambria"/>
          <w:color w:val="auto"/>
          <w:sz w:val="16"/>
          <w:szCs w:val="16"/>
        </w:rPr>
        <w:t xml:space="preserve"> in Italy </w:t>
      </w:r>
      <w:r w:rsidR="00CF7561" w:rsidRPr="00777C37">
        <w:rPr>
          <w:rFonts w:ascii="Cambria" w:hAnsi="Cambria"/>
          <w:color w:val="auto"/>
          <w:sz w:val="16"/>
          <w:szCs w:val="16"/>
        </w:rPr>
        <w:t>in 1975. According to the case file</w:t>
      </w:r>
      <w:r w:rsidRPr="00777C37">
        <w:rPr>
          <w:rFonts w:ascii="Cambria" w:hAnsi="Cambria"/>
          <w:color w:val="auto"/>
          <w:sz w:val="16"/>
          <w:szCs w:val="16"/>
        </w:rPr>
        <w:t xml:space="preserve">, Mr. </w:t>
      </w:r>
      <w:proofErr w:type="spellStart"/>
      <w:r w:rsidRPr="00777C37">
        <w:rPr>
          <w:rFonts w:ascii="Cambria" w:hAnsi="Cambria"/>
          <w:color w:val="auto"/>
          <w:sz w:val="16"/>
          <w:szCs w:val="16"/>
        </w:rPr>
        <w:t>Ballivián</w:t>
      </w:r>
      <w:proofErr w:type="spellEnd"/>
      <w:r w:rsidRPr="00777C37">
        <w:rPr>
          <w:rFonts w:ascii="Cambria" w:hAnsi="Cambria"/>
          <w:color w:val="auto"/>
          <w:sz w:val="16"/>
          <w:szCs w:val="16"/>
        </w:rPr>
        <w:t xml:space="preserve"> Jiménez, his wife and children were </w:t>
      </w:r>
      <w:r w:rsidR="00CF7561" w:rsidRPr="00777C37">
        <w:rPr>
          <w:rFonts w:ascii="Cambria" w:hAnsi="Cambria"/>
          <w:color w:val="auto"/>
          <w:sz w:val="16"/>
          <w:szCs w:val="16"/>
        </w:rPr>
        <w:t xml:space="preserve">internally displaced in Argentina, and </w:t>
      </w:r>
      <w:r w:rsidR="00777C37" w:rsidRPr="00777C37">
        <w:rPr>
          <w:rFonts w:ascii="Cambria" w:hAnsi="Cambria"/>
          <w:color w:val="auto"/>
          <w:sz w:val="16"/>
          <w:szCs w:val="16"/>
        </w:rPr>
        <w:t>on</w:t>
      </w:r>
      <w:r w:rsidRPr="00777C37">
        <w:rPr>
          <w:rFonts w:ascii="Cambria" w:hAnsi="Cambria"/>
          <w:color w:val="auto"/>
          <w:sz w:val="16"/>
          <w:szCs w:val="16"/>
        </w:rPr>
        <w:t xml:space="preserve"> April 14, 1977, the alleged victim managed to take hi</w:t>
      </w:r>
      <w:r w:rsidR="00CF7561" w:rsidRPr="00777C37">
        <w:rPr>
          <w:rFonts w:ascii="Cambria" w:hAnsi="Cambria"/>
          <w:color w:val="auto"/>
          <w:sz w:val="16"/>
          <w:szCs w:val="16"/>
        </w:rPr>
        <w:t xml:space="preserve">s children to Bolivia, and rejoin </w:t>
      </w:r>
      <w:r w:rsidRPr="00777C37">
        <w:rPr>
          <w:rFonts w:ascii="Cambria" w:hAnsi="Cambria"/>
          <w:color w:val="auto"/>
          <w:sz w:val="16"/>
          <w:szCs w:val="16"/>
        </w:rPr>
        <w:t>his wife</w:t>
      </w:r>
      <w:r w:rsidR="00CF7561" w:rsidRPr="00777C37">
        <w:rPr>
          <w:rFonts w:ascii="Cambria" w:hAnsi="Cambria"/>
          <w:color w:val="auto"/>
          <w:sz w:val="16"/>
          <w:szCs w:val="16"/>
        </w:rPr>
        <w:t xml:space="preserve"> there in October of that </w:t>
      </w:r>
      <w:r w:rsidRPr="00777C37">
        <w:rPr>
          <w:rFonts w:ascii="Cambria" w:hAnsi="Cambria"/>
          <w:color w:val="auto"/>
          <w:sz w:val="16"/>
          <w:szCs w:val="16"/>
        </w:rPr>
        <w:t xml:space="preserve">year. Finally, </w:t>
      </w:r>
      <w:r w:rsidR="00CF7561" w:rsidRPr="00777C37">
        <w:rPr>
          <w:rFonts w:ascii="Cambria" w:hAnsi="Cambria"/>
          <w:color w:val="auto"/>
          <w:sz w:val="16"/>
          <w:szCs w:val="16"/>
        </w:rPr>
        <w:t>they describe</w:t>
      </w:r>
      <w:r w:rsidRPr="00777C37">
        <w:rPr>
          <w:rFonts w:ascii="Cambria" w:hAnsi="Cambria"/>
          <w:color w:val="auto"/>
          <w:sz w:val="16"/>
          <w:szCs w:val="16"/>
        </w:rPr>
        <w:t xml:space="preserve"> that, with the help of the Spanish Refugee Aid Committee and his mother-in-law, they moved to Spain in 1978 where </w:t>
      </w:r>
      <w:r w:rsidR="00CF7561" w:rsidRPr="00777C37">
        <w:rPr>
          <w:rFonts w:ascii="Cambria" w:hAnsi="Cambria"/>
          <w:color w:val="auto"/>
          <w:sz w:val="16"/>
          <w:szCs w:val="16"/>
        </w:rPr>
        <w:t xml:space="preserve">the </w:t>
      </w:r>
      <w:r w:rsidRPr="00777C37">
        <w:rPr>
          <w:rFonts w:ascii="Cambria" w:hAnsi="Cambria"/>
          <w:color w:val="auto"/>
          <w:sz w:val="16"/>
          <w:szCs w:val="16"/>
        </w:rPr>
        <w:t>UNHCR recognized their refugee status and where they remained until December 1983</w:t>
      </w:r>
      <w:r w:rsidR="00CF7561" w:rsidRPr="00777C37">
        <w:rPr>
          <w:rFonts w:ascii="Cambria" w:hAnsi="Cambria"/>
          <w:color w:val="auto"/>
          <w:sz w:val="16"/>
          <w:szCs w:val="16"/>
        </w:rPr>
        <w:t>.</w:t>
      </w:r>
    </w:p>
  </w:footnote>
  <w:footnote w:id="4">
    <w:p w14:paraId="0E9F8EEB" w14:textId="072F75C0"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17/06, Petition 531-01, Admissibility, </w:t>
      </w:r>
      <w:proofErr w:type="spellStart"/>
      <w:r w:rsidRPr="00777C37">
        <w:rPr>
          <w:rFonts w:ascii="Cambria" w:hAnsi="Cambria"/>
          <w:color w:val="auto"/>
          <w:sz w:val="16"/>
          <w:szCs w:val="16"/>
        </w:rPr>
        <w:t>Sebastián</w:t>
      </w:r>
      <w:proofErr w:type="spellEnd"/>
      <w:r w:rsidRPr="00777C37">
        <w:rPr>
          <w:rFonts w:ascii="Cambria" w:hAnsi="Cambria"/>
          <w:color w:val="auto"/>
          <w:sz w:val="16"/>
          <w:szCs w:val="16"/>
        </w:rPr>
        <w:t xml:space="preserve"> Claus </w:t>
      </w:r>
      <w:proofErr w:type="spellStart"/>
      <w:r w:rsidRPr="00777C37">
        <w:rPr>
          <w:rFonts w:ascii="Cambria" w:hAnsi="Cambria"/>
          <w:color w:val="auto"/>
          <w:sz w:val="16"/>
          <w:szCs w:val="16"/>
        </w:rPr>
        <w:t>Furlan</w:t>
      </w:r>
      <w:proofErr w:type="spellEnd"/>
      <w:r w:rsidRPr="00777C37">
        <w:rPr>
          <w:rFonts w:ascii="Cambria" w:hAnsi="Cambria"/>
          <w:color w:val="auto"/>
          <w:sz w:val="16"/>
          <w:szCs w:val="16"/>
        </w:rPr>
        <w:t xml:space="preserve"> and Family, Argentina, March 2, 2006, para. 39; IACHR, Report No. 69/08, Petition 681-00, Admissibility, Guillermo Patricio Lynn, Argentina, October 16, 2008, para. 41.</w:t>
      </w:r>
    </w:p>
  </w:footnote>
  <w:footnote w:id="5">
    <w:p w14:paraId="00EE2268" w14:textId="5FC2B8F3"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55/97, Case 11.137, Juan Carlos </w:t>
      </w:r>
      <w:proofErr w:type="spellStart"/>
      <w:r w:rsidRPr="00777C37">
        <w:rPr>
          <w:rFonts w:ascii="Cambria" w:hAnsi="Cambria"/>
          <w:color w:val="auto"/>
          <w:sz w:val="16"/>
          <w:szCs w:val="16"/>
        </w:rPr>
        <w:t>Abella</w:t>
      </w:r>
      <w:proofErr w:type="spellEnd"/>
      <w:r w:rsidRPr="00777C37">
        <w:rPr>
          <w:rFonts w:ascii="Cambria" w:hAnsi="Cambria"/>
          <w:color w:val="auto"/>
          <w:sz w:val="16"/>
          <w:szCs w:val="16"/>
        </w:rPr>
        <w:t>, Argentina, November 18, 1997, paras. 264 and 265</w:t>
      </w:r>
    </w:p>
  </w:footnote>
  <w:footnote w:id="6">
    <w:p w14:paraId="0E9D62F7" w14:textId="45B0FA2A"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26/08, Petition 270-02, Admissibility, César Alberto Mendoza and others, Argentina, March 14, 2008, para. 72; IACHR, Report No. 83/09, Case 11.732, Merits, Horacio Anibal </w:t>
      </w:r>
      <w:proofErr w:type="spellStart"/>
      <w:r w:rsidRPr="00777C37">
        <w:rPr>
          <w:rFonts w:ascii="Cambria" w:hAnsi="Cambria"/>
          <w:color w:val="auto"/>
          <w:sz w:val="16"/>
          <w:szCs w:val="16"/>
        </w:rPr>
        <w:t>Schillizzi</w:t>
      </w:r>
      <w:proofErr w:type="spellEnd"/>
      <w:r w:rsidRPr="00777C37">
        <w:rPr>
          <w:rFonts w:ascii="Cambria" w:hAnsi="Cambria"/>
          <w:color w:val="auto"/>
          <w:sz w:val="16"/>
          <w:szCs w:val="16"/>
        </w:rPr>
        <w:t xml:space="preserve"> Moreno, Argentina, August 6, 2009, para. 62.</w:t>
      </w:r>
    </w:p>
  </w:footnote>
  <w:footnote w:id="7">
    <w:p w14:paraId="3A0A580D" w14:textId="41110186"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46/15, Petition 315-01, Cristina </w:t>
      </w:r>
      <w:proofErr w:type="spellStart"/>
      <w:r w:rsidRPr="00777C37">
        <w:rPr>
          <w:rFonts w:ascii="Cambria" w:hAnsi="Cambria"/>
          <w:color w:val="auto"/>
          <w:sz w:val="16"/>
          <w:szCs w:val="16"/>
        </w:rPr>
        <w:t>Britez</w:t>
      </w:r>
      <w:proofErr w:type="spellEnd"/>
      <w:r w:rsidRPr="00777C37">
        <w:rPr>
          <w:rFonts w:ascii="Cambria" w:hAnsi="Cambria"/>
          <w:color w:val="auto"/>
          <w:sz w:val="16"/>
          <w:szCs w:val="16"/>
        </w:rPr>
        <w:t xml:space="preserve"> Arce. Argentina. July 28, 2015, para. 42; IACHR, Report No. 12/10, Admissibility, Case 12.106, Enrique Hermann </w:t>
      </w:r>
      <w:proofErr w:type="spellStart"/>
      <w:r w:rsidRPr="00777C37">
        <w:rPr>
          <w:rFonts w:ascii="Cambria" w:hAnsi="Cambria"/>
          <w:color w:val="auto"/>
          <w:sz w:val="16"/>
          <w:szCs w:val="16"/>
        </w:rPr>
        <w:t>Pfister</w:t>
      </w:r>
      <w:proofErr w:type="spellEnd"/>
      <w:r w:rsidRPr="00777C37">
        <w:rPr>
          <w:rFonts w:ascii="Cambria" w:hAnsi="Cambria"/>
          <w:color w:val="auto"/>
          <w:sz w:val="16"/>
          <w:szCs w:val="16"/>
        </w:rPr>
        <w:t xml:space="preserve"> </w:t>
      </w:r>
      <w:proofErr w:type="spellStart"/>
      <w:r w:rsidRPr="00777C37">
        <w:rPr>
          <w:rFonts w:ascii="Cambria" w:hAnsi="Cambria"/>
          <w:color w:val="auto"/>
          <w:sz w:val="16"/>
          <w:szCs w:val="16"/>
        </w:rPr>
        <w:t>Frías</w:t>
      </w:r>
      <w:proofErr w:type="spellEnd"/>
      <w:r w:rsidRPr="00777C37">
        <w:rPr>
          <w:rFonts w:ascii="Cambria" w:hAnsi="Cambria"/>
          <w:color w:val="auto"/>
          <w:sz w:val="16"/>
          <w:szCs w:val="16"/>
        </w:rPr>
        <w:t xml:space="preserve"> and Lucrecia </w:t>
      </w:r>
      <w:proofErr w:type="spellStart"/>
      <w:r w:rsidRPr="00777C37">
        <w:rPr>
          <w:rFonts w:ascii="Cambria" w:hAnsi="Cambria"/>
          <w:color w:val="auto"/>
          <w:sz w:val="16"/>
          <w:szCs w:val="16"/>
        </w:rPr>
        <w:t>Pfister</w:t>
      </w:r>
      <w:proofErr w:type="spellEnd"/>
      <w:r w:rsidRPr="00777C37">
        <w:rPr>
          <w:rFonts w:ascii="Cambria" w:hAnsi="Cambria"/>
          <w:color w:val="auto"/>
          <w:sz w:val="16"/>
          <w:szCs w:val="16"/>
        </w:rPr>
        <w:t xml:space="preserve"> </w:t>
      </w:r>
      <w:proofErr w:type="spellStart"/>
      <w:r w:rsidRPr="00777C37">
        <w:rPr>
          <w:rFonts w:ascii="Cambria" w:hAnsi="Cambria"/>
          <w:color w:val="auto"/>
          <w:sz w:val="16"/>
          <w:szCs w:val="16"/>
        </w:rPr>
        <w:t>Frías</w:t>
      </w:r>
      <w:proofErr w:type="spellEnd"/>
      <w:r w:rsidRPr="00777C37">
        <w:rPr>
          <w:rFonts w:ascii="Cambria" w:hAnsi="Cambria"/>
          <w:color w:val="auto"/>
          <w:sz w:val="16"/>
          <w:szCs w:val="16"/>
        </w:rPr>
        <w:t xml:space="preserve">, Argentina, March 16, de 2010, para. 39; IACHR, Report No. 117/06, Petition 1070-04, Admissibility, Milagros </w:t>
      </w:r>
      <w:proofErr w:type="spellStart"/>
      <w:r w:rsidRPr="00777C37">
        <w:rPr>
          <w:rFonts w:ascii="Cambria" w:hAnsi="Cambria"/>
          <w:color w:val="auto"/>
          <w:sz w:val="16"/>
          <w:szCs w:val="16"/>
        </w:rPr>
        <w:t>Fornerón</w:t>
      </w:r>
      <w:proofErr w:type="spellEnd"/>
      <w:r w:rsidRPr="00777C37">
        <w:rPr>
          <w:rFonts w:ascii="Cambria" w:hAnsi="Cambria"/>
          <w:color w:val="auto"/>
          <w:sz w:val="16"/>
          <w:szCs w:val="16"/>
        </w:rPr>
        <w:t xml:space="preserve"> and Leonardo </w:t>
      </w:r>
      <w:proofErr w:type="spellStart"/>
      <w:r w:rsidRPr="00777C37">
        <w:rPr>
          <w:rFonts w:ascii="Cambria" w:hAnsi="Cambria"/>
          <w:color w:val="auto"/>
          <w:sz w:val="16"/>
          <w:szCs w:val="16"/>
        </w:rPr>
        <w:t>Aníbal</w:t>
      </w:r>
      <w:proofErr w:type="spellEnd"/>
      <w:r w:rsidRPr="00777C37">
        <w:rPr>
          <w:rFonts w:ascii="Cambria" w:hAnsi="Cambria"/>
          <w:color w:val="auto"/>
          <w:sz w:val="16"/>
          <w:szCs w:val="16"/>
        </w:rPr>
        <w:t xml:space="preserve"> Javier </w:t>
      </w:r>
      <w:proofErr w:type="spellStart"/>
      <w:r w:rsidRPr="00777C37">
        <w:rPr>
          <w:rFonts w:ascii="Cambria" w:hAnsi="Cambria"/>
          <w:color w:val="auto"/>
          <w:sz w:val="16"/>
          <w:szCs w:val="16"/>
        </w:rPr>
        <w:t>Fornerón</w:t>
      </w:r>
      <w:proofErr w:type="spellEnd"/>
      <w:r w:rsidRPr="00777C37">
        <w:rPr>
          <w:rFonts w:ascii="Cambria" w:hAnsi="Cambria"/>
          <w:color w:val="auto"/>
          <w:sz w:val="16"/>
          <w:szCs w:val="16"/>
        </w:rPr>
        <w:t xml:space="preserve">, Argentina, October 26, 2006, para. 42; IACHR, Report No. 17/06, Petition 531-01, Admissibility, </w:t>
      </w:r>
      <w:proofErr w:type="spellStart"/>
      <w:r w:rsidRPr="00777C37">
        <w:rPr>
          <w:rFonts w:ascii="Cambria" w:hAnsi="Cambria"/>
          <w:color w:val="auto"/>
          <w:sz w:val="16"/>
          <w:szCs w:val="16"/>
        </w:rPr>
        <w:t>Sebastián</w:t>
      </w:r>
      <w:proofErr w:type="spellEnd"/>
      <w:r w:rsidRPr="00777C37">
        <w:rPr>
          <w:rFonts w:ascii="Cambria" w:hAnsi="Cambria"/>
          <w:color w:val="auto"/>
          <w:sz w:val="16"/>
          <w:szCs w:val="16"/>
        </w:rPr>
        <w:t xml:space="preserve"> Claus </w:t>
      </w:r>
      <w:proofErr w:type="spellStart"/>
      <w:r w:rsidRPr="00777C37">
        <w:rPr>
          <w:rFonts w:ascii="Cambria" w:hAnsi="Cambria"/>
          <w:color w:val="auto"/>
          <w:sz w:val="16"/>
          <w:szCs w:val="16"/>
        </w:rPr>
        <w:t>Furlan</w:t>
      </w:r>
      <w:proofErr w:type="spellEnd"/>
      <w:r w:rsidRPr="00777C37">
        <w:rPr>
          <w:rFonts w:ascii="Cambria" w:hAnsi="Cambria"/>
          <w:color w:val="auto"/>
          <w:sz w:val="16"/>
          <w:szCs w:val="16"/>
        </w:rPr>
        <w:t xml:space="preserve"> and Family, Argentina, March 2, 2006, para. 40.</w:t>
      </w:r>
    </w:p>
  </w:footnote>
  <w:footnote w:id="8">
    <w:p w14:paraId="064C7BAC" w14:textId="5F7D478F"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76/09, Petition 1473-06, Admissibility, Community of la Oroya. Peru, August 5, 2009, para. 64; IACHR, Report No. 40/08, Petition 270-07. Admissibility. </w:t>
      </w:r>
      <w:r w:rsidRPr="00777C37">
        <w:rPr>
          <w:rFonts w:ascii="Cambria" w:hAnsi="Cambria"/>
          <w:iCs/>
          <w:color w:val="auto"/>
          <w:sz w:val="16"/>
          <w:szCs w:val="16"/>
        </w:rPr>
        <w:t xml:space="preserve">I.V. </w:t>
      </w:r>
      <w:r w:rsidRPr="00777C37">
        <w:rPr>
          <w:rFonts w:ascii="Cambria" w:hAnsi="Cambria"/>
          <w:color w:val="auto"/>
          <w:sz w:val="16"/>
          <w:szCs w:val="16"/>
        </w:rPr>
        <w:t>Bolivia, July 23, 2008, para. 70.</w:t>
      </w:r>
    </w:p>
  </w:footnote>
  <w:footnote w:id="9">
    <w:p w14:paraId="60E9CA91" w14:textId="23945B84" w:rsidR="003B33F6" w:rsidRPr="00777C37" w:rsidRDefault="003B33F6" w:rsidP="00F42141">
      <w:pPr>
        <w:pStyle w:val="FootnoteText"/>
        <w:ind w:firstLine="720"/>
        <w:jc w:val="both"/>
        <w:rPr>
          <w:rFonts w:ascii="Cambria" w:hAnsi="Cambria"/>
          <w:color w:val="auto"/>
          <w:sz w:val="16"/>
          <w:szCs w:val="16"/>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76/09, Petition 1473-06, Admissibility, Community of la Oroya. Peru, August 5, 2009, para. 64; IACHR, Report No. 57/03, Case 12.337, </w:t>
      </w:r>
      <w:r w:rsidRPr="00777C37">
        <w:rPr>
          <w:rFonts w:ascii="Cambria" w:hAnsi="Cambria"/>
          <w:iCs/>
          <w:color w:val="auto"/>
          <w:sz w:val="16"/>
          <w:szCs w:val="16"/>
        </w:rPr>
        <w:t xml:space="preserve">Marcela Andrea Valdés </w:t>
      </w:r>
      <w:proofErr w:type="spellStart"/>
      <w:r w:rsidRPr="00777C37">
        <w:rPr>
          <w:rFonts w:ascii="Cambria" w:hAnsi="Cambria"/>
          <w:iCs/>
          <w:color w:val="auto"/>
          <w:sz w:val="16"/>
          <w:szCs w:val="16"/>
        </w:rPr>
        <w:t>Díaz</w:t>
      </w:r>
      <w:proofErr w:type="spellEnd"/>
      <w:r w:rsidRPr="00777C37">
        <w:rPr>
          <w:rFonts w:ascii="Cambria" w:hAnsi="Cambria"/>
          <w:color w:val="auto"/>
          <w:sz w:val="16"/>
          <w:szCs w:val="16"/>
        </w:rPr>
        <w:t xml:space="preserve">. Chile, October 10, 2003, para. 40; and IACHR, Report No. 12/10. Case12.106. Admissibility. Enrique Hermann </w:t>
      </w:r>
      <w:proofErr w:type="spellStart"/>
      <w:r w:rsidRPr="00777C37">
        <w:rPr>
          <w:rFonts w:ascii="Cambria" w:hAnsi="Cambria"/>
          <w:color w:val="auto"/>
          <w:sz w:val="16"/>
          <w:szCs w:val="16"/>
        </w:rPr>
        <w:t>Pfister</w:t>
      </w:r>
      <w:proofErr w:type="spellEnd"/>
      <w:r w:rsidRPr="00777C37">
        <w:rPr>
          <w:rFonts w:ascii="Cambria" w:hAnsi="Cambria"/>
          <w:color w:val="auto"/>
          <w:sz w:val="16"/>
          <w:szCs w:val="16"/>
        </w:rPr>
        <w:t xml:space="preserve"> </w:t>
      </w:r>
      <w:proofErr w:type="spellStart"/>
      <w:r w:rsidRPr="00777C37">
        <w:rPr>
          <w:rFonts w:ascii="Cambria" w:hAnsi="Cambria"/>
          <w:color w:val="auto"/>
          <w:sz w:val="16"/>
          <w:szCs w:val="16"/>
        </w:rPr>
        <w:t>Frías</w:t>
      </w:r>
      <w:proofErr w:type="spellEnd"/>
      <w:r w:rsidRPr="00777C37">
        <w:rPr>
          <w:rFonts w:ascii="Cambria" w:hAnsi="Cambria"/>
          <w:color w:val="auto"/>
          <w:sz w:val="16"/>
          <w:szCs w:val="16"/>
        </w:rPr>
        <w:t xml:space="preserve"> and Lucrecia </w:t>
      </w:r>
      <w:proofErr w:type="spellStart"/>
      <w:r w:rsidRPr="00777C37">
        <w:rPr>
          <w:rFonts w:ascii="Cambria" w:hAnsi="Cambria"/>
          <w:color w:val="auto"/>
          <w:sz w:val="16"/>
          <w:szCs w:val="16"/>
        </w:rPr>
        <w:t>Pfister</w:t>
      </w:r>
      <w:proofErr w:type="spellEnd"/>
      <w:r w:rsidRPr="00777C37">
        <w:rPr>
          <w:rFonts w:ascii="Cambria" w:hAnsi="Cambria"/>
          <w:color w:val="auto"/>
          <w:sz w:val="16"/>
          <w:szCs w:val="16"/>
        </w:rPr>
        <w:t xml:space="preserve"> </w:t>
      </w:r>
      <w:proofErr w:type="spellStart"/>
      <w:r w:rsidRPr="00777C37">
        <w:rPr>
          <w:rFonts w:ascii="Cambria" w:hAnsi="Cambria"/>
          <w:color w:val="auto"/>
          <w:sz w:val="16"/>
          <w:szCs w:val="16"/>
        </w:rPr>
        <w:t>Frías</w:t>
      </w:r>
      <w:proofErr w:type="spellEnd"/>
      <w:r w:rsidRPr="00777C37">
        <w:rPr>
          <w:rFonts w:ascii="Cambria" w:hAnsi="Cambria"/>
          <w:color w:val="auto"/>
          <w:sz w:val="16"/>
          <w:szCs w:val="16"/>
        </w:rPr>
        <w:t xml:space="preserve">. Argentina. March 16, 2010, para. 10. </w:t>
      </w:r>
    </w:p>
  </w:footnote>
  <w:footnote w:id="10">
    <w:p w14:paraId="1F66DB5C" w14:textId="1652B4F2" w:rsidR="003B33F6" w:rsidRPr="00777C37" w:rsidRDefault="003B33F6" w:rsidP="00F42141">
      <w:pPr>
        <w:pStyle w:val="FootnoteText"/>
        <w:ind w:firstLine="720"/>
        <w:jc w:val="both"/>
        <w:rPr>
          <w:rFonts w:ascii="Cambria" w:hAnsi="Cambria"/>
          <w:color w:val="auto"/>
          <w:sz w:val="16"/>
          <w:szCs w:val="16"/>
          <w:highlight w:val="yellow"/>
        </w:rPr>
      </w:pPr>
      <w:r w:rsidRPr="00777C37">
        <w:rPr>
          <w:rStyle w:val="FootnoteReference"/>
          <w:rFonts w:ascii="Cambria" w:hAnsi="Cambria"/>
          <w:color w:val="auto"/>
          <w:sz w:val="16"/>
          <w:szCs w:val="16"/>
        </w:rPr>
        <w:footnoteRef/>
      </w:r>
      <w:r w:rsidRPr="00777C37">
        <w:rPr>
          <w:rFonts w:ascii="Cambria" w:hAnsi="Cambria"/>
          <w:color w:val="auto"/>
          <w:sz w:val="16"/>
          <w:szCs w:val="16"/>
        </w:rPr>
        <w:t xml:space="preserve"> IACHR, Report No. 39/96, Case 11.673, Admissibility, Santiago </w:t>
      </w:r>
      <w:proofErr w:type="spellStart"/>
      <w:r w:rsidRPr="00777C37">
        <w:rPr>
          <w:rFonts w:ascii="Cambria" w:hAnsi="Cambria"/>
          <w:color w:val="auto"/>
          <w:sz w:val="16"/>
          <w:szCs w:val="16"/>
        </w:rPr>
        <w:t>Marzioni</w:t>
      </w:r>
      <w:proofErr w:type="spellEnd"/>
      <w:r w:rsidRPr="00777C37">
        <w:rPr>
          <w:rFonts w:ascii="Cambria" w:hAnsi="Cambria"/>
          <w:color w:val="auto"/>
          <w:sz w:val="16"/>
          <w:szCs w:val="16"/>
        </w:rPr>
        <w:t>, Argentina, October 15, 1996, para. 43; IACHR 1997 Annual Report, para.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B33F6" w:rsidRDefault="003B33F6" w:rsidP="005E2F3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B33F6" w:rsidRDefault="003B3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B33F6" w:rsidRDefault="003B33F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B33F6" w:rsidRPr="00EC7D62" w:rsidRDefault="00F2617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DDA6" w14:textId="77777777" w:rsidR="00552FB7" w:rsidRDefault="0055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4BAE"/>
    <w:rsid w:val="0001788C"/>
    <w:rsid w:val="00022CF5"/>
    <w:rsid w:val="0003275E"/>
    <w:rsid w:val="00034F08"/>
    <w:rsid w:val="00036A8A"/>
    <w:rsid w:val="00040C3A"/>
    <w:rsid w:val="000639C0"/>
    <w:rsid w:val="00070F3A"/>
    <w:rsid w:val="000716C5"/>
    <w:rsid w:val="00075E23"/>
    <w:rsid w:val="00092F32"/>
    <w:rsid w:val="0009344A"/>
    <w:rsid w:val="000A575F"/>
    <w:rsid w:val="000C4365"/>
    <w:rsid w:val="000D01E0"/>
    <w:rsid w:val="000D10DB"/>
    <w:rsid w:val="000F5535"/>
    <w:rsid w:val="000F65D7"/>
    <w:rsid w:val="00122A20"/>
    <w:rsid w:val="00124116"/>
    <w:rsid w:val="0013104F"/>
    <w:rsid w:val="00137EBA"/>
    <w:rsid w:val="00145EDC"/>
    <w:rsid w:val="00153084"/>
    <w:rsid w:val="00167A34"/>
    <w:rsid w:val="001714B4"/>
    <w:rsid w:val="0018037F"/>
    <w:rsid w:val="001A1072"/>
    <w:rsid w:val="001A5F27"/>
    <w:rsid w:val="001A65E4"/>
    <w:rsid w:val="001A7870"/>
    <w:rsid w:val="001B1D73"/>
    <w:rsid w:val="001C052F"/>
    <w:rsid w:val="001C1B41"/>
    <w:rsid w:val="001D5749"/>
    <w:rsid w:val="001E366B"/>
    <w:rsid w:val="001E7F8F"/>
    <w:rsid w:val="001F1902"/>
    <w:rsid w:val="001F5766"/>
    <w:rsid w:val="00200EA3"/>
    <w:rsid w:val="00210E0E"/>
    <w:rsid w:val="00210F4B"/>
    <w:rsid w:val="00214BAF"/>
    <w:rsid w:val="00230163"/>
    <w:rsid w:val="0023351C"/>
    <w:rsid w:val="00247403"/>
    <w:rsid w:val="00247458"/>
    <w:rsid w:val="00247542"/>
    <w:rsid w:val="00256941"/>
    <w:rsid w:val="00257893"/>
    <w:rsid w:val="00266092"/>
    <w:rsid w:val="00266B61"/>
    <w:rsid w:val="0026712A"/>
    <w:rsid w:val="002704DB"/>
    <w:rsid w:val="0027395A"/>
    <w:rsid w:val="002760CE"/>
    <w:rsid w:val="00292C7D"/>
    <w:rsid w:val="002B7A85"/>
    <w:rsid w:val="002C1641"/>
    <w:rsid w:val="002D7EA2"/>
    <w:rsid w:val="002E15DF"/>
    <w:rsid w:val="002E187C"/>
    <w:rsid w:val="002E6239"/>
    <w:rsid w:val="002E6E57"/>
    <w:rsid w:val="002F7246"/>
    <w:rsid w:val="00301075"/>
    <w:rsid w:val="00302733"/>
    <w:rsid w:val="00311A4F"/>
    <w:rsid w:val="00314078"/>
    <w:rsid w:val="00321AFD"/>
    <w:rsid w:val="00322450"/>
    <w:rsid w:val="003246B5"/>
    <w:rsid w:val="0033169F"/>
    <w:rsid w:val="00336223"/>
    <w:rsid w:val="00340048"/>
    <w:rsid w:val="003414AC"/>
    <w:rsid w:val="00346614"/>
    <w:rsid w:val="00356185"/>
    <w:rsid w:val="00360380"/>
    <w:rsid w:val="003771A3"/>
    <w:rsid w:val="00386CF0"/>
    <w:rsid w:val="003A4348"/>
    <w:rsid w:val="003B33F6"/>
    <w:rsid w:val="003C32BC"/>
    <w:rsid w:val="003D1F40"/>
    <w:rsid w:val="003E194F"/>
    <w:rsid w:val="003E3E03"/>
    <w:rsid w:val="003F1BBF"/>
    <w:rsid w:val="003F5481"/>
    <w:rsid w:val="004162B1"/>
    <w:rsid w:val="004165C2"/>
    <w:rsid w:val="00445766"/>
    <w:rsid w:val="00450A4A"/>
    <w:rsid w:val="004666FB"/>
    <w:rsid w:val="00466D0B"/>
    <w:rsid w:val="00467B7E"/>
    <w:rsid w:val="0047114B"/>
    <w:rsid w:val="0049249D"/>
    <w:rsid w:val="0049419D"/>
    <w:rsid w:val="004B2762"/>
    <w:rsid w:val="004B7EB6"/>
    <w:rsid w:val="004C18C2"/>
    <w:rsid w:val="004C41DE"/>
    <w:rsid w:val="004C4B62"/>
    <w:rsid w:val="004C7630"/>
    <w:rsid w:val="004D6025"/>
    <w:rsid w:val="004D72BC"/>
    <w:rsid w:val="004D795F"/>
    <w:rsid w:val="004F6B67"/>
    <w:rsid w:val="00501399"/>
    <w:rsid w:val="005027B9"/>
    <w:rsid w:val="00507BC4"/>
    <w:rsid w:val="005128E4"/>
    <w:rsid w:val="00517ED2"/>
    <w:rsid w:val="00525560"/>
    <w:rsid w:val="00526F11"/>
    <w:rsid w:val="005320A5"/>
    <w:rsid w:val="005357A6"/>
    <w:rsid w:val="00544C49"/>
    <w:rsid w:val="00552FB7"/>
    <w:rsid w:val="00567D64"/>
    <w:rsid w:val="0057402A"/>
    <w:rsid w:val="005771D0"/>
    <w:rsid w:val="00577BA2"/>
    <w:rsid w:val="005816E5"/>
    <w:rsid w:val="0059191A"/>
    <w:rsid w:val="005921FF"/>
    <w:rsid w:val="0059233F"/>
    <w:rsid w:val="00592718"/>
    <w:rsid w:val="005A59B2"/>
    <w:rsid w:val="005A6D0E"/>
    <w:rsid w:val="005B222D"/>
    <w:rsid w:val="005B33BA"/>
    <w:rsid w:val="005B52B0"/>
    <w:rsid w:val="005B6806"/>
    <w:rsid w:val="005B7FB4"/>
    <w:rsid w:val="005C00F9"/>
    <w:rsid w:val="005C4225"/>
    <w:rsid w:val="005C6471"/>
    <w:rsid w:val="005E2F3E"/>
    <w:rsid w:val="005F0F33"/>
    <w:rsid w:val="00600DEB"/>
    <w:rsid w:val="00605068"/>
    <w:rsid w:val="00613027"/>
    <w:rsid w:val="00627C9F"/>
    <w:rsid w:val="006311DA"/>
    <w:rsid w:val="006311E9"/>
    <w:rsid w:val="006318B2"/>
    <w:rsid w:val="00632354"/>
    <w:rsid w:val="00642810"/>
    <w:rsid w:val="00652333"/>
    <w:rsid w:val="00653EA6"/>
    <w:rsid w:val="0068009E"/>
    <w:rsid w:val="00686926"/>
    <w:rsid w:val="006A17D2"/>
    <w:rsid w:val="006A73E6"/>
    <w:rsid w:val="006B2D5C"/>
    <w:rsid w:val="006B76B9"/>
    <w:rsid w:val="006C4EB1"/>
    <w:rsid w:val="006C798B"/>
    <w:rsid w:val="006D4707"/>
    <w:rsid w:val="006E0166"/>
    <w:rsid w:val="006E7B34"/>
    <w:rsid w:val="00701B24"/>
    <w:rsid w:val="0071495F"/>
    <w:rsid w:val="007215EA"/>
    <w:rsid w:val="007370FE"/>
    <w:rsid w:val="0073798E"/>
    <w:rsid w:val="00745899"/>
    <w:rsid w:val="007607C4"/>
    <w:rsid w:val="0076643F"/>
    <w:rsid w:val="00777C37"/>
    <w:rsid w:val="00781653"/>
    <w:rsid w:val="007A2F70"/>
    <w:rsid w:val="007A736C"/>
    <w:rsid w:val="007C3334"/>
    <w:rsid w:val="007C52BB"/>
    <w:rsid w:val="007D2B98"/>
    <w:rsid w:val="007E4AC1"/>
    <w:rsid w:val="00803F1C"/>
    <w:rsid w:val="0080600E"/>
    <w:rsid w:val="00817612"/>
    <w:rsid w:val="00821F44"/>
    <w:rsid w:val="00837C45"/>
    <w:rsid w:val="00853419"/>
    <w:rsid w:val="00867691"/>
    <w:rsid w:val="00874D32"/>
    <w:rsid w:val="00897E12"/>
    <w:rsid w:val="008D43BA"/>
    <w:rsid w:val="008E3759"/>
    <w:rsid w:val="008F23B3"/>
    <w:rsid w:val="009041DC"/>
    <w:rsid w:val="009104B4"/>
    <w:rsid w:val="009200FE"/>
    <w:rsid w:val="009228DA"/>
    <w:rsid w:val="00925FCD"/>
    <w:rsid w:val="0093441A"/>
    <w:rsid w:val="00954BF7"/>
    <w:rsid w:val="0096706E"/>
    <w:rsid w:val="00981FBA"/>
    <w:rsid w:val="00987787"/>
    <w:rsid w:val="009B381B"/>
    <w:rsid w:val="009D6893"/>
    <w:rsid w:val="009D7611"/>
    <w:rsid w:val="009E47DA"/>
    <w:rsid w:val="009E53DE"/>
    <w:rsid w:val="009E566A"/>
    <w:rsid w:val="00A12DBC"/>
    <w:rsid w:val="00A43458"/>
    <w:rsid w:val="00A52671"/>
    <w:rsid w:val="00A528D1"/>
    <w:rsid w:val="00A66BE5"/>
    <w:rsid w:val="00AA219C"/>
    <w:rsid w:val="00AD25BA"/>
    <w:rsid w:val="00AD37C1"/>
    <w:rsid w:val="00AE66EC"/>
    <w:rsid w:val="00AE6F91"/>
    <w:rsid w:val="00AF5571"/>
    <w:rsid w:val="00B0232E"/>
    <w:rsid w:val="00B03FEC"/>
    <w:rsid w:val="00B06BB7"/>
    <w:rsid w:val="00B11870"/>
    <w:rsid w:val="00B167E9"/>
    <w:rsid w:val="00B179ED"/>
    <w:rsid w:val="00B314DB"/>
    <w:rsid w:val="00B31EBE"/>
    <w:rsid w:val="00B3718B"/>
    <w:rsid w:val="00B44B23"/>
    <w:rsid w:val="00B4632A"/>
    <w:rsid w:val="00B47C4D"/>
    <w:rsid w:val="00B92E49"/>
    <w:rsid w:val="00BA276C"/>
    <w:rsid w:val="00BB306F"/>
    <w:rsid w:val="00BD232B"/>
    <w:rsid w:val="00BD2E42"/>
    <w:rsid w:val="00BD4B89"/>
    <w:rsid w:val="00C000AE"/>
    <w:rsid w:val="00C21762"/>
    <w:rsid w:val="00C24543"/>
    <w:rsid w:val="00C256A2"/>
    <w:rsid w:val="00C3057B"/>
    <w:rsid w:val="00C3492D"/>
    <w:rsid w:val="00C55560"/>
    <w:rsid w:val="00C66B72"/>
    <w:rsid w:val="00C9567A"/>
    <w:rsid w:val="00CA6577"/>
    <w:rsid w:val="00CB2660"/>
    <w:rsid w:val="00CC3C28"/>
    <w:rsid w:val="00CC411A"/>
    <w:rsid w:val="00CC5E90"/>
    <w:rsid w:val="00CD046C"/>
    <w:rsid w:val="00CE5199"/>
    <w:rsid w:val="00CE66D5"/>
    <w:rsid w:val="00CF7561"/>
    <w:rsid w:val="00D07204"/>
    <w:rsid w:val="00D16A90"/>
    <w:rsid w:val="00D213C3"/>
    <w:rsid w:val="00D34786"/>
    <w:rsid w:val="00D40A1E"/>
    <w:rsid w:val="00D533C0"/>
    <w:rsid w:val="00D67EF3"/>
    <w:rsid w:val="00D712D3"/>
    <w:rsid w:val="00D71422"/>
    <w:rsid w:val="00D7145E"/>
    <w:rsid w:val="00D75084"/>
    <w:rsid w:val="00D7558D"/>
    <w:rsid w:val="00D81D92"/>
    <w:rsid w:val="00D93446"/>
    <w:rsid w:val="00DA35E7"/>
    <w:rsid w:val="00DA7B5F"/>
    <w:rsid w:val="00DF078B"/>
    <w:rsid w:val="00DF1463"/>
    <w:rsid w:val="00DF350D"/>
    <w:rsid w:val="00E227C1"/>
    <w:rsid w:val="00E43157"/>
    <w:rsid w:val="00E45458"/>
    <w:rsid w:val="00E47F3D"/>
    <w:rsid w:val="00E533FF"/>
    <w:rsid w:val="00E709B3"/>
    <w:rsid w:val="00E7588C"/>
    <w:rsid w:val="00E771A7"/>
    <w:rsid w:val="00E850B6"/>
    <w:rsid w:val="00E8789F"/>
    <w:rsid w:val="00E97B71"/>
    <w:rsid w:val="00EB454D"/>
    <w:rsid w:val="00ED0D1B"/>
    <w:rsid w:val="00EE3522"/>
    <w:rsid w:val="00EF619B"/>
    <w:rsid w:val="00F00B55"/>
    <w:rsid w:val="00F057F8"/>
    <w:rsid w:val="00F1380F"/>
    <w:rsid w:val="00F14F0E"/>
    <w:rsid w:val="00F15A3B"/>
    <w:rsid w:val="00F24C29"/>
    <w:rsid w:val="00F253CC"/>
    <w:rsid w:val="00F2617E"/>
    <w:rsid w:val="00F42141"/>
    <w:rsid w:val="00F42B71"/>
    <w:rsid w:val="00F56BA5"/>
    <w:rsid w:val="00F621C3"/>
    <w:rsid w:val="00F644E6"/>
    <w:rsid w:val="00F85681"/>
    <w:rsid w:val="00F93D4A"/>
    <w:rsid w:val="00F9653B"/>
    <w:rsid w:val="00FB62CF"/>
    <w:rsid w:val="00FC3EB4"/>
    <w:rsid w:val="00FC6C58"/>
    <w:rsid w:val="00FE635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7742">
      <w:bodyDiv w:val="1"/>
      <w:marLeft w:val="0"/>
      <w:marRight w:val="0"/>
      <w:marTop w:val="0"/>
      <w:marBottom w:val="0"/>
      <w:divBdr>
        <w:top w:val="none" w:sz="0" w:space="0" w:color="auto"/>
        <w:left w:val="none" w:sz="0" w:space="0" w:color="auto"/>
        <w:bottom w:val="none" w:sz="0" w:space="0" w:color="auto"/>
        <w:right w:val="none" w:sz="0" w:space="0" w:color="auto"/>
      </w:divBdr>
    </w:div>
    <w:div w:id="10770980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53EBF"/>
    <w:rsid w:val="001F67B8"/>
    <w:rsid w:val="004108B1"/>
    <w:rsid w:val="00714FC7"/>
    <w:rsid w:val="00926B53"/>
    <w:rsid w:val="00AB44F1"/>
    <w:rsid w:val="00D52F9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197A-B4AC-4D85-8F30-D5FD0033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11511</Characters>
  <Application>Microsoft Office Word</Application>
  <DocSecurity>0</DocSecurity>
  <Lines>217</Lines>
  <Paragraphs>59</Paragraphs>
  <ScaleCrop>false</ScaleCrop>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116/19</dc:title>
  <dc:creator/>
  <cp:lastModifiedBy/>
  <cp:revision>1</cp:revision>
  <dcterms:created xsi:type="dcterms:W3CDTF">2019-10-16T19:14:00Z</dcterms:created>
  <dcterms:modified xsi:type="dcterms:W3CDTF">2019-10-16T19:14:00Z</dcterms:modified>
</cp:coreProperties>
</file>