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288" w:rsidRPr="003F29ED" w:rsidRDefault="005F4A5B" w:rsidP="006B17EC">
      <w:pPr>
        <w:jc w:val="both"/>
        <w:rPr>
          <w:rFonts w:ascii="Cambria" w:hAnsi="Cambria" w:cs="Cambria"/>
          <w:b/>
          <w:bCs/>
          <w:sz w:val="20"/>
          <w:szCs w:val="20"/>
        </w:rPr>
      </w:pPr>
      <w:bookmarkStart w:id="0" w:name="_GoBack"/>
      <w:bookmarkEnd w:id="0"/>
      <w:r w:rsidRPr="003F29ED">
        <w:rPr>
          <w:noProof/>
          <w:sz w:val="20"/>
          <w:szCs w:val="20"/>
        </w:rPr>
        <mc:AlternateContent>
          <mc:Choice Requires="wps">
            <w:drawing>
              <wp:anchor distT="0" distB="0" distL="114300" distR="114300" simplePos="0" relativeHeight="251654144" behindDoc="0" locked="0" layoutInCell="1" allowOverlap="1" wp14:anchorId="37A28EE9" wp14:editId="72514DBE">
                <wp:simplePos x="0" y="0"/>
                <wp:positionH relativeFrom="column">
                  <wp:posOffset>-415925</wp:posOffset>
                </wp:positionH>
                <wp:positionV relativeFrom="paragraph">
                  <wp:posOffset>-439420</wp:posOffset>
                </wp:positionV>
                <wp:extent cx="1543050" cy="9096375"/>
                <wp:effectExtent l="3175" t="0" r="0" b="127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9096375"/>
                        </a:xfrm>
                        <a:prstGeom prst="rect">
                          <a:avLst/>
                        </a:prstGeom>
                        <a:solidFill>
                          <a:srgbClr val="67AE3C"/>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81DBA6"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" fillcolor="#67ae3c" stroked="f" strokeweight="2pt"/>
            </w:pict>
          </mc:Fallback>
        </mc:AlternateContent>
      </w:r>
      <w:r w:rsidRPr="003F29ED">
        <w:rPr>
          <w:noProof/>
          <w:sz w:val="20"/>
          <w:szCs w:val="20"/>
        </w:rPr>
        <mc:AlternateContent>
          <mc:Choice Requires="wps">
            <w:drawing>
              <wp:anchor distT="0" distB="0" distL="114300" distR="114300" simplePos="0" relativeHeight="251658240" behindDoc="0" locked="0" layoutInCell="1" allowOverlap="1" wp14:anchorId="34206EB5" wp14:editId="5B43D2D2">
                <wp:simplePos x="0" y="0"/>
                <wp:positionH relativeFrom="column">
                  <wp:posOffset>1282065</wp:posOffset>
                </wp:positionH>
                <wp:positionV relativeFrom="paragraph">
                  <wp:posOffset>-424180</wp:posOffset>
                </wp:positionV>
                <wp:extent cx="5248275" cy="902335"/>
                <wp:effectExtent l="0" t="4445" r="381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1288" w:rsidRPr="00287BBD" w:rsidRDefault="00001288" w:rsidP="00287BBD">
                            <w:pPr>
                              <w:rPr>
                                <w:noProof/>
                              </w:rPr>
                            </w:pPr>
                            <w:r w:rsidRPr="00287BBD">
                              <w:rPr>
                                <w:noProof/>
                              </w:rPr>
                              <w:tab/>
                            </w:r>
                            <w:r w:rsidR="005F4A5B">
                              <w:rPr>
                                <w:noProof/>
                              </w:rPr>
                              <w:drawing>
                                <wp:inline distT="0" distB="0" distL="0" distR="0" wp14:anchorId="13DD94FD" wp14:editId="36A96B21">
                                  <wp:extent cx="2512695" cy="469265"/>
                                  <wp:effectExtent l="0" t="0" r="1905" b="6985"/>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695" cy="469265"/>
                                          </a:xfrm>
                                          <a:prstGeom prst="rect">
                                            <a:avLst/>
                                          </a:prstGeom>
                                          <a:noFill/>
                                          <a:ln>
                                            <a:noFill/>
                                          </a:ln>
                                        </pic:spPr>
                                      </pic:pic>
                                    </a:graphicData>
                                  </a:graphic>
                                </wp:inline>
                              </w:drawing>
                            </w:r>
                            <w:r w:rsidRPr="00287BBD">
                              <w:rPr>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06EB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kctQIAALs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" filled="f" stroked="f" strokeweight=".5pt">
                <v:textbox>
                  <w:txbxContent>
                    <w:p w:rsidR="00001288" w:rsidRPr="00287BBD" w:rsidRDefault="00001288" w:rsidP="00287BBD">
                      <w:pPr>
                        <w:rPr>
                          <w:noProof/>
                        </w:rPr>
                      </w:pPr>
                      <w:r w:rsidRPr="00287BBD">
                        <w:rPr>
                          <w:noProof/>
                        </w:rPr>
                        <w:tab/>
                      </w:r>
                      <w:r w:rsidR="005F4A5B">
                        <w:rPr>
                          <w:noProof/>
                        </w:rPr>
                        <w:drawing>
                          <wp:inline distT="0" distB="0" distL="0" distR="0" wp14:anchorId="13DD94FD" wp14:editId="36A96B21">
                            <wp:extent cx="2512695" cy="469265"/>
                            <wp:effectExtent l="0" t="0" r="1905" b="6985"/>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695" cy="469265"/>
                                    </a:xfrm>
                                    <a:prstGeom prst="rect">
                                      <a:avLst/>
                                    </a:prstGeom>
                                    <a:noFill/>
                                    <a:ln>
                                      <a:noFill/>
                                    </a:ln>
                                  </pic:spPr>
                                </pic:pic>
                              </a:graphicData>
                            </a:graphic>
                          </wp:inline>
                        </w:drawing>
                      </w:r>
                      <w:r w:rsidRPr="00287BBD">
                        <w:rPr>
                          <w:noProof/>
                        </w:rPr>
                        <w:t xml:space="preserve"> </w:t>
                      </w:r>
                    </w:p>
                  </w:txbxContent>
                </v:textbox>
              </v:shape>
            </w:pict>
          </mc:Fallback>
        </mc:AlternateContent>
      </w:r>
    </w:p>
    <w:p w:rsidR="00001288" w:rsidRPr="003F29ED" w:rsidRDefault="00001288" w:rsidP="006B17EC">
      <w:pPr>
        <w:suppressAutoHyphens/>
        <w:jc w:val="both"/>
        <w:rPr>
          <w:rFonts w:ascii="Cambria" w:hAnsi="Cambria" w:cs="Cambria"/>
          <w:sz w:val="20"/>
          <w:szCs w:val="20"/>
        </w:rPr>
      </w:pPr>
    </w:p>
    <w:p w:rsidR="00001288" w:rsidRPr="003F29ED" w:rsidRDefault="00001288" w:rsidP="006B17EC">
      <w:pPr>
        <w:suppressAutoHyphens/>
        <w:jc w:val="both"/>
        <w:rPr>
          <w:rFonts w:ascii="Cambria" w:hAnsi="Cambria" w:cs="Cambria"/>
          <w:sz w:val="20"/>
          <w:szCs w:val="20"/>
        </w:rPr>
      </w:pPr>
    </w:p>
    <w:p w:rsidR="00001288" w:rsidRPr="003F29ED" w:rsidRDefault="00001288" w:rsidP="006B17EC">
      <w:pPr>
        <w:suppressAutoHyphens/>
        <w:rPr>
          <w:rFonts w:ascii="Cambria" w:hAnsi="Cambria" w:cs="Cambria"/>
          <w:sz w:val="20"/>
          <w:szCs w:val="20"/>
        </w:rPr>
      </w:pPr>
    </w:p>
    <w:p w:rsidR="00001288" w:rsidRPr="003F29ED" w:rsidRDefault="00001288" w:rsidP="006B17EC">
      <w:pPr>
        <w:suppressAutoHyphens/>
        <w:rPr>
          <w:rFonts w:ascii="Cambria" w:hAnsi="Cambria" w:cs="Cambria"/>
          <w:sz w:val="20"/>
          <w:szCs w:val="20"/>
        </w:rPr>
      </w:pPr>
    </w:p>
    <w:p w:rsidR="00001288" w:rsidRPr="003F29ED" w:rsidRDefault="00001288" w:rsidP="006B17EC">
      <w:pPr>
        <w:suppressAutoHyphens/>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5F4A5B" w:rsidP="006B17EC">
      <w:pPr>
        <w:suppressAutoHyphens/>
        <w:jc w:val="center"/>
        <w:rPr>
          <w:rFonts w:ascii="Cambria" w:hAnsi="Cambria" w:cs="Cambria"/>
          <w:sz w:val="20"/>
          <w:szCs w:val="20"/>
        </w:rPr>
      </w:pPr>
      <w:r w:rsidRPr="003F29ED">
        <w:rPr>
          <w:noProof/>
          <w:sz w:val="20"/>
          <w:szCs w:val="20"/>
        </w:rPr>
        <mc:AlternateContent>
          <mc:Choice Requires="wps">
            <w:drawing>
              <wp:anchor distT="0" distB="0" distL="114300" distR="114300" simplePos="0" relativeHeight="251657216" behindDoc="0" locked="0" layoutInCell="1" allowOverlap="1" wp14:anchorId="53FB9D8D" wp14:editId="76D80D33">
                <wp:simplePos x="0" y="0"/>
                <wp:positionH relativeFrom="column">
                  <wp:posOffset>-342900</wp:posOffset>
                </wp:positionH>
                <wp:positionV relativeFrom="paragraph">
                  <wp:posOffset>164465</wp:posOffset>
                </wp:positionV>
                <wp:extent cx="1390650" cy="1377315"/>
                <wp:effectExtent l="0" t="4445"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1288" w:rsidRPr="00FD5274" w:rsidRDefault="00001288" w:rsidP="00287BBD">
                            <w:pPr>
                              <w:spacing w:line="276" w:lineRule="auto"/>
                              <w:jc w:val="right"/>
                              <w:rPr>
                                <w:rFonts w:ascii="Calibri" w:hAnsi="Calibri" w:cs="Calibri"/>
                                <w:noProof/>
                                <w:color w:val="FFFFFF"/>
                                <w:sz w:val="22"/>
                                <w:szCs w:val="22"/>
                                <w:lang w:val="pt-BR"/>
                              </w:rPr>
                            </w:pPr>
                            <w:r w:rsidRPr="00FD5274">
                              <w:rPr>
                                <w:rFonts w:ascii="Calibri" w:hAnsi="Calibri" w:cs="Calibri"/>
                                <w:noProof/>
                                <w:color w:val="FFFFFF"/>
                                <w:sz w:val="22"/>
                                <w:szCs w:val="22"/>
                                <w:lang w:val="pt-BR"/>
                              </w:rPr>
                              <w:t>OEA/Ser.L/V/II.</w:t>
                            </w:r>
                          </w:p>
                          <w:p w:rsidR="00001288" w:rsidRPr="00FD5274" w:rsidRDefault="00001288" w:rsidP="00287BBD">
                            <w:pPr>
                              <w:spacing w:line="276" w:lineRule="auto"/>
                              <w:jc w:val="right"/>
                              <w:rPr>
                                <w:rFonts w:ascii="Calibri" w:hAnsi="Calibri" w:cs="Calibri"/>
                                <w:noProof/>
                                <w:color w:val="FFFFFF"/>
                                <w:sz w:val="22"/>
                                <w:szCs w:val="22"/>
                                <w:lang w:val="pt-BR"/>
                              </w:rPr>
                            </w:pPr>
                            <w:r w:rsidRPr="00FD5274">
                              <w:rPr>
                                <w:rFonts w:ascii="Calibri" w:hAnsi="Calibri" w:cs="Calibri"/>
                                <w:noProof/>
                                <w:color w:val="FFFFFF"/>
                                <w:sz w:val="22"/>
                                <w:szCs w:val="22"/>
                                <w:lang w:val="pt-BR"/>
                              </w:rPr>
                              <w:t xml:space="preserve">Doc. </w:t>
                            </w:r>
                            <w:r w:rsidR="003D489D" w:rsidRPr="00FD5274">
                              <w:rPr>
                                <w:rFonts w:ascii="Calibri" w:hAnsi="Calibri" w:cs="Calibri"/>
                                <w:noProof/>
                                <w:color w:val="FFFFFF"/>
                                <w:sz w:val="22"/>
                                <w:szCs w:val="22"/>
                                <w:lang w:val="pt-BR"/>
                              </w:rPr>
                              <w:t>79</w:t>
                            </w:r>
                          </w:p>
                          <w:p w:rsidR="00001288" w:rsidRPr="00287BBD" w:rsidRDefault="009041E7" w:rsidP="00287BBD">
                            <w:pPr>
                              <w:spacing w:line="276" w:lineRule="auto"/>
                              <w:jc w:val="right"/>
                              <w:rPr>
                                <w:rFonts w:ascii="Calibri" w:hAnsi="Calibri" w:cs="Calibri"/>
                                <w:noProof/>
                                <w:color w:val="FFFFFF"/>
                                <w:sz w:val="22"/>
                                <w:szCs w:val="22"/>
                              </w:rPr>
                            </w:pPr>
                            <w:r>
                              <w:rPr>
                                <w:rFonts w:ascii="Calibri" w:hAnsi="Calibri" w:cs="Calibri"/>
                                <w:noProof/>
                                <w:color w:val="FFFFFF"/>
                                <w:sz w:val="22"/>
                                <w:szCs w:val="22"/>
                              </w:rPr>
                              <w:t xml:space="preserve">15 </w:t>
                            </w:r>
                            <w:r w:rsidR="003D489D">
                              <w:rPr>
                                <w:rFonts w:ascii="Calibri" w:hAnsi="Calibri" w:cs="Calibri"/>
                                <w:noProof/>
                                <w:color w:val="FFFFFF"/>
                                <w:sz w:val="22"/>
                                <w:szCs w:val="22"/>
                              </w:rPr>
                              <w:t xml:space="preserve">May </w:t>
                            </w:r>
                            <w:r w:rsidR="00E940BE">
                              <w:rPr>
                                <w:rFonts w:ascii="Calibri" w:hAnsi="Calibri" w:cs="Calibri"/>
                                <w:noProof/>
                                <w:color w:val="FFFFFF"/>
                                <w:sz w:val="22"/>
                                <w:szCs w:val="22"/>
                              </w:rPr>
                              <w:t>2019</w:t>
                            </w:r>
                          </w:p>
                          <w:p w:rsidR="00001288" w:rsidRPr="00287BBD" w:rsidRDefault="00001288" w:rsidP="00287BBD">
                            <w:pPr>
                              <w:spacing w:line="276" w:lineRule="auto"/>
                              <w:jc w:val="right"/>
                              <w:rPr>
                                <w:rFonts w:ascii="Calibri" w:hAnsi="Calibri" w:cs="Calibri"/>
                                <w:noProof/>
                                <w:color w:val="FFFFFF"/>
                                <w:sz w:val="22"/>
                                <w:szCs w:val="22"/>
                              </w:rPr>
                            </w:pPr>
                            <w:r w:rsidRPr="00287BBD">
                              <w:rPr>
                                <w:rFonts w:ascii="Calibri" w:hAnsi="Calibri" w:cs="Calibri"/>
                                <w:noProof/>
                                <w:color w:val="FFFFFF"/>
                                <w:sz w:val="22"/>
                                <w:szCs w:val="22"/>
                              </w:rPr>
                              <w:t>Original: Spanish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B9D8D" id="Text Box 8" o:spid="_x0000_s1027"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" filled="f" stroked="f" strokeweight=".5pt">
                <v:textbox>
                  <w:txbxContent>
                    <w:p w:rsidR="00001288" w:rsidRPr="00FD5274" w:rsidRDefault="00001288" w:rsidP="00287BBD">
                      <w:pPr>
                        <w:spacing w:line="276" w:lineRule="auto"/>
                        <w:jc w:val="right"/>
                        <w:rPr>
                          <w:rFonts w:ascii="Calibri" w:hAnsi="Calibri" w:cs="Calibri"/>
                          <w:noProof/>
                          <w:color w:val="FFFFFF"/>
                          <w:sz w:val="22"/>
                          <w:szCs w:val="22"/>
                          <w:lang w:val="pt-BR"/>
                        </w:rPr>
                      </w:pPr>
                      <w:r w:rsidRPr="00FD5274">
                        <w:rPr>
                          <w:rFonts w:ascii="Calibri" w:hAnsi="Calibri" w:cs="Calibri"/>
                          <w:noProof/>
                          <w:color w:val="FFFFFF"/>
                          <w:sz w:val="22"/>
                          <w:szCs w:val="22"/>
                          <w:lang w:val="pt-BR"/>
                        </w:rPr>
                        <w:t>OEA/Ser.L/V/II.</w:t>
                      </w:r>
                    </w:p>
                    <w:p w:rsidR="00001288" w:rsidRPr="00FD5274" w:rsidRDefault="00001288" w:rsidP="00287BBD">
                      <w:pPr>
                        <w:spacing w:line="276" w:lineRule="auto"/>
                        <w:jc w:val="right"/>
                        <w:rPr>
                          <w:rFonts w:ascii="Calibri" w:hAnsi="Calibri" w:cs="Calibri"/>
                          <w:noProof/>
                          <w:color w:val="FFFFFF"/>
                          <w:sz w:val="22"/>
                          <w:szCs w:val="22"/>
                          <w:lang w:val="pt-BR"/>
                        </w:rPr>
                      </w:pPr>
                      <w:r w:rsidRPr="00FD5274">
                        <w:rPr>
                          <w:rFonts w:ascii="Calibri" w:hAnsi="Calibri" w:cs="Calibri"/>
                          <w:noProof/>
                          <w:color w:val="FFFFFF"/>
                          <w:sz w:val="22"/>
                          <w:szCs w:val="22"/>
                          <w:lang w:val="pt-BR"/>
                        </w:rPr>
                        <w:t xml:space="preserve">Doc. </w:t>
                      </w:r>
                      <w:r w:rsidR="003D489D" w:rsidRPr="00FD5274">
                        <w:rPr>
                          <w:rFonts w:ascii="Calibri" w:hAnsi="Calibri" w:cs="Calibri"/>
                          <w:noProof/>
                          <w:color w:val="FFFFFF"/>
                          <w:sz w:val="22"/>
                          <w:szCs w:val="22"/>
                          <w:lang w:val="pt-BR"/>
                        </w:rPr>
                        <w:t>79</w:t>
                      </w:r>
                    </w:p>
                    <w:p w:rsidR="00001288" w:rsidRPr="00287BBD" w:rsidRDefault="009041E7" w:rsidP="00287BBD">
                      <w:pPr>
                        <w:spacing w:line="276" w:lineRule="auto"/>
                        <w:jc w:val="right"/>
                        <w:rPr>
                          <w:rFonts w:ascii="Calibri" w:hAnsi="Calibri" w:cs="Calibri"/>
                          <w:noProof/>
                          <w:color w:val="FFFFFF"/>
                          <w:sz w:val="22"/>
                          <w:szCs w:val="22"/>
                        </w:rPr>
                      </w:pPr>
                      <w:r>
                        <w:rPr>
                          <w:rFonts w:ascii="Calibri" w:hAnsi="Calibri" w:cs="Calibri"/>
                          <w:noProof/>
                          <w:color w:val="FFFFFF"/>
                          <w:sz w:val="22"/>
                          <w:szCs w:val="22"/>
                        </w:rPr>
                        <w:t xml:space="preserve">15 </w:t>
                      </w:r>
                      <w:r w:rsidR="003D489D">
                        <w:rPr>
                          <w:rFonts w:ascii="Calibri" w:hAnsi="Calibri" w:cs="Calibri"/>
                          <w:noProof/>
                          <w:color w:val="FFFFFF"/>
                          <w:sz w:val="22"/>
                          <w:szCs w:val="22"/>
                        </w:rPr>
                        <w:t xml:space="preserve">May </w:t>
                      </w:r>
                      <w:r w:rsidR="00E940BE">
                        <w:rPr>
                          <w:rFonts w:ascii="Calibri" w:hAnsi="Calibri" w:cs="Calibri"/>
                          <w:noProof/>
                          <w:color w:val="FFFFFF"/>
                          <w:sz w:val="22"/>
                          <w:szCs w:val="22"/>
                        </w:rPr>
                        <w:t>2019</w:t>
                      </w:r>
                    </w:p>
                    <w:p w:rsidR="00001288" w:rsidRPr="00287BBD" w:rsidRDefault="00001288" w:rsidP="00287BBD">
                      <w:pPr>
                        <w:spacing w:line="276" w:lineRule="auto"/>
                        <w:jc w:val="right"/>
                        <w:rPr>
                          <w:rFonts w:ascii="Calibri" w:hAnsi="Calibri" w:cs="Calibri"/>
                          <w:noProof/>
                          <w:color w:val="FFFFFF"/>
                          <w:sz w:val="22"/>
                          <w:szCs w:val="22"/>
                        </w:rPr>
                      </w:pPr>
                      <w:r w:rsidRPr="00287BBD">
                        <w:rPr>
                          <w:rFonts w:ascii="Calibri" w:hAnsi="Calibri" w:cs="Calibri"/>
                          <w:noProof/>
                          <w:color w:val="FFFFFF"/>
                          <w:sz w:val="22"/>
                          <w:szCs w:val="22"/>
                        </w:rPr>
                        <w:t>Original: Spanish</w:t>
                      </w:r>
                    </w:p>
                  </w:txbxContent>
                </v:textbox>
              </v:shape>
            </w:pict>
          </mc:Fallback>
        </mc:AlternateContent>
      </w:r>
    </w:p>
    <w:p w:rsidR="00001288" w:rsidRPr="003F29ED" w:rsidRDefault="00621B1E" w:rsidP="006B17EC">
      <w:pPr>
        <w:suppressAutoHyphens/>
        <w:jc w:val="center"/>
        <w:rPr>
          <w:rFonts w:ascii="Cambria" w:hAnsi="Cambria" w:cs="Cambria"/>
          <w:sz w:val="20"/>
          <w:szCs w:val="20"/>
        </w:rPr>
      </w:pPr>
      <w:r w:rsidRPr="003F29ED">
        <w:rPr>
          <w:noProof/>
          <w:sz w:val="20"/>
          <w:szCs w:val="20"/>
        </w:rPr>
        <mc:AlternateContent>
          <mc:Choice Requires="wps">
            <w:drawing>
              <wp:anchor distT="0" distB="0" distL="114300" distR="114300" simplePos="0" relativeHeight="251655168" behindDoc="0" locked="0" layoutInCell="1" allowOverlap="1" wp14:anchorId="597F5BB5" wp14:editId="05EE041A">
                <wp:simplePos x="0" y="0"/>
                <wp:positionH relativeFrom="column">
                  <wp:posOffset>1352550</wp:posOffset>
                </wp:positionH>
                <wp:positionV relativeFrom="paragraph">
                  <wp:posOffset>5715</wp:posOffset>
                </wp:positionV>
                <wp:extent cx="4441190" cy="2181225"/>
                <wp:effectExtent l="0" t="0" r="0"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1288" w:rsidRPr="00287BBD" w:rsidRDefault="00001288" w:rsidP="00287BBD">
                            <w:pPr>
                              <w:spacing w:line="276" w:lineRule="auto"/>
                              <w:rPr>
                                <w:rFonts w:ascii="Cambria" w:hAnsi="Cambria" w:cs="Cambria"/>
                                <w:b/>
                                <w:bCs/>
                                <w:noProof/>
                                <w:color w:val="0D0D0D"/>
                                <w:sz w:val="36"/>
                                <w:szCs w:val="36"/>
                              </w:rPr>
                            </w:pPr>
                            <w:r w:rsidRPr="00287BBD">
                              <w:rPr>
                                <w:rFonts w:ascii="Cambria" w:hAnsi="Cambria" w:cs="Cambria"/>
                                <w:b/>
                                <w:bCs/>
                                <w:noProof/>
                                <w:color w:val="0D0D0D"/>
                                <w:sz w:val="36"/>
                                <w:szCs w:val="36"/>
                              </w:rPr>
                              <w:t xml:space="preserve">REPORT No. </w:t>
                            </w:r>
                            <w:r w:rsidR="003D489D">
                              <w:rPr>
                                <w:rFonts w:ascii="Cambria" w:hAnsi="Cambria" w:cs="Cambria"/>
                                <w:b/>
                                <w:bCs/>
                                <w:noProof/>
                                <w:color w:val="0D0D0D"/>
                                <w:sz w:val="36"/>
                                <w:szCs w:val="36"/>
                              </w:rPr>
                              <w:t>71</w:t>
                            </w:r>
                            <w:r w:rsidRPr="00287BBD">
                              <w:rPr>
                                <w:rFonts w:ascii="Cambria" w:hAnsi="Cambria" w:cs="Cambria"/>
                                <w:b/>
                                <w:bCs/>
                                <w:noProof/>
                                <w:color w:val="0D0D0D"/>
                                <w:sz w:val="36"/>
                                <w:szCs w:val="36"/>
                              </w:rPr>
                              <w:t>/1</w:t>
                            </w:r>
                            <w:r w:rsidR="00E940BE">
                              <w:rPr>
                                <w:rFonts w:ascii="Cambria" w:hAnsi="Cambria" w:cs="Cambria"/>
                                <w:b/>
                                <w:bCs/>
                                <w:noProof/>
                                <w:color w:val="0D0D0D"/>
                                <w:sz w:val="36"/>
                                <w:szCs w:val="36"/>
                              </w:rPr>
                              <w:t>9</w:t>
                            </w:r>
                          </w:p>
                          <w:p w:rsidR="00513707" w:rsidRPr="00513707" w:rsidRDefault="00513707" w:rsidP="00513707">
                            <w:pPr>
                              <w:spacing w:line="276" w:lineRule="auto"/>
                              <w:rPr>
                                <w:rFonts w:ascii="Cambria" w:hAnsi="Cambria" w:cs="Cambria"/>
                                <w:b/>
                                <w:bCs/>
                                <w:noProof/>
                                <w:color w:val="0D0D0D"/>
                                <w:sz w:val="36"/>
                                <w:szCs w:val="36"/>
                              </w:rPr>
                            </w:pPr>
                            <w:r w:rsidRPr="00513707">
                              <w:rPr>
                                <w:rFonts w:ascii="Cambria" w:hAnsi="Cambria" w:cs="Cambria"/>
                                <w:b/>
                                <w:bCs/>
                                <w:noProof/>
                                <w:color w:val="0D0D0D"/>
                                <w:sz w:val="36"/>
                                <w:szCs w:val="36"/>
                              </w:rPr>
                              <w:t>CASE 12.</w:t>
                            </w:r>
                            <w:r w:rsidR="00163E72">
                              <w:rPr>
                                <w:rFonts w:ascii="Cambria" w:hAnsi="Cambria" w:cs="Cambria"/>
                                <w:b/>
                                <w:bCs/>
                                <w:noProof/>
                                <w:color w:val="0D0D0D"/>
                                <w:sz w:val="36"/>
                                <w:szCs w:val="36"/>
                              </w:rPr>
                              <w:t>942</w:t>
                            </w:r>
                          </w:p>
                          <w:p w:rsidR="00001288" w:rsidRPr="00287BBD" w:rsidRDefault="00001288" w:rsidP="00287BBD">
                            <w:pPr>
                              <w:spacing w:line="276" w:lineRule="auto"/>
                              <w:rPr>
                                <w:rFonts w:ascii="Cambria" w:hAnsi="Cambria" w:cs="Cambria"/>
                                <w:noProof/>
                                <w:color w:val="0D0D0D"/>
                              </w:rPr>
                            </w:pPr>
                            <w:r w:rsidRPr="00287BBD">
                              <w:rPr>
                                <w:rFonts w:ascii="Cambria" w:hAnsi="Cambria" w:cs="Cambria"/>
                                <w:noProof/>
                                <w:color w:val="0D0D0D"/>
                              </w:rPr>
                              <w:t xml:space="preserve">FRIENDLY SETTLEMENT REPORT </w:t>
                            </w:r>
                          </w:p>
                          <w:p w:rsidR="00001288" w:rsidRPr="00287BBD" w:rsidRDefault="00001288" w:rsidP="00287BBD">
                            <w:pPr>
                              <w:spacing w:line="276" w:lineRule="auto"/>
                              <w:rPr>
                                <w:rFonts w:ascii="Cambria" w:hAnsi="Cambria" w:cs="Cambria"/>
                                <w:noProof/>
                                <w:color w:val="0D0D0D"/>
                              </w:rPr>
                            </w:pPr>
                            <w:bookmarkStart w:id="1" w:name="_ftnref1"/>
                          </w:p>
                          <w:bookmarkEnd w:id="1"/>
                          <w:p w:rsidR="00163E72" w:rsidRPr="00163E72" w:rsidRDefault="00163E72" w:rsidP="00163E72">
                            <w:pPr>
                              <w:rPr>
                                <w:rFonts w:ascii="Cambria" w:hAnsi="Cambria" w:cs="Cambria"/>
                                <w:noProof/>
                                <w:color w:val="0D0D0D"/>
                                <w:lang w:val="es-ES_tradnl"/>
                              </w:rPr>
                            </w:pPr>
                            <w:r w:rsidRPr="00163E72">
                              <w:rPr>
                                <w:rFonts w:ascii="Cambria" w:hAnsi="Cambria" w:cs="Cambria"/>
                                <w:noProof/>
                                <w:color w:val="0D0D0D"/>
                                <w:lang w:val="es-ES_tradnl"/>
                              </w:rPr>
                              <w:t>EMILIA MORALES CAMPOS</w:t>
                            </w:r>
                          </w:p>
                          <w:p w:rsidR="00163E72" w:rsidRPr="00163E72" w:rsidRDefault="00163E72" w:rsidP="00163E72">
                            <w:pPr>
                              <w:rPr>
                                <w:rFonts w:ascii="Cambria" w:hAnsi="Cambria" w:cs="Cambria"/>
                                <w:noProof/>
                                <w:color w:val="0D0D0D"/>
                                <w:lang w:val="es-ES"/>
                              </w:rPr>
                            </w:pPr>
                            <w:r w:rsidRPr="00163E72">
                              <w:rPr>
                                <w:rFonts w:ascii="Cambria" w:hAnsi="Cambria" w:cs="Cambria"/>
                                <w:noProof/>
                                <w:color w:val="0D0D0D"/>
                                <w:lang w:val="es-ES_tradnl"/>
                              </w:rPr>
                              <w:t>COSTA RICA</w:t>
                            </w:r>
                          </w:p>
                          <w:p w:rsidR="00001288" w:rsidRPr="00287BBD" w:rsidRDefault="00001288" w:rsidP="00287BBD">
                            <w:pPr>
                              <w:rPr>
                                <w:noProof/>
                                <w:color w:val="0D0D0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F5BB5" id="Text Box 5" o:spid="_x0000_s1028" type="#_x0000_t202" style="position:absolute;left:0;text-align:left;margin-left:106.5pt;margin-top:.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dXugIAAME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" filled="f" stroked="f" strokeweight=".5pt">
                <v:textbox>
                  <w:txbxContent>
                    <w:p w:rsidR="00001288" w:rsidRPr="00287BBD" w:rsidRDefault="00001288" w:rsidP="00287BBD">
                      <w:pPr>
                        <w:spacing w:line="276" w:lineRule="auto"/>
                        <w:rPr>
                          <w:rFonts w:ascii="Cambria" w:hAnsi="Cambria" w:cs="Cambria"/>
                          <w:b/>
                          <w:bCs/>
                          <w:noProof/>
                          <w:color w:val="0D0D0D"/>
                          <w:sz w:val="36"/>
                          <w:szCs w:val="36"/>
                        </w:rPr>
                      </w:pPr>
                      <w:r w:rsidRPr="00287BBD">
                        <w:rPr>
                          <w:rFonts w:ascii="Cambria" w:hAnsi="Cambria" w:cs="Cambria"/>
                          <w:b/>
                          <w:bCs/>
                          <w:noProof/>
                          <w:color w:val="0D0D0D"/>
                          <w:sz w:val="36"/>
                          <w:szCs w:val="36"/>
                        </w:rPr>
                        <w:t xml:space="preserve">REPORT No. </w:t>
                      </w:r>
                      <w:r w:rsidR="003D489D">
                        <w:rPr>
                          <w:rFonts w:ascii="Cambria" w:hAnsi="Cambria" w:cs="Cambria"/>
                          <w:b/>
                          <w:bCs/>
                          <w:noProof/>
                          <w:color w:val="0D0D0D"/>
                          <w:sz w:val="36"/>
                          <w:szCs w:val="36"/>
                        </w:rPr>
                        <w:t>71</w:t>
                      </w:r>
                      <w:r w:rsidRPr="00287BBD">
                        <w:rPr>
                          <w:rFonts w:ascii="Cambria" w:hAnsi="Cambria" w:cs="Cambria"/>
                          <w:b/>
                          <w:bCs/>
                          <w:noProof/>
                          <w:color w:val="0D0D0D"/>
                          <w:sz w:val="36"/>
                          <w:szCs w:val="36"/>
                        </w:rPr>
                        <w:t>/1</w:t>
                      </w:r>
                      <w:r w:rsidR="00E940BE">
                        <w:rPr>
                          <w:rFonts w:ascii="Cambria" w:hAnsi="Cambria" w:cs="Cambria"/>
                          <w:b/>
                          <w:bCs/>
                          <w:noProof/>
                          <w:color w:val="0D0D0D"/>
                          <w:sz w:val="36"/>
                          <w:szCs w:val="36"/>
                        </w:rPr>
                        <w:t>9</w:t>
                      </w:r>
                    </w:p>
                    <w:p w:rsidR="00513707" w:rsidRPr="00513707" w:rsidRDefault="00513707" w:rsidP="00513707">
                      <w:pPr>
                        <w:spacing w:line="276" w:lineRule="auto"/>
                        <w:rPr>
                          <w:rFonts w:ascii="Cambria" w:hAnsi="Cambria" w:cs="Cambria"/>
                          <w:b/>
                          <w:bCs/>
                          <w:noProof/>
                          <w:color w:val="0D0D0D"/>
                          <w:sz w:val="36"/>
                          <w:szCs w:val="36"/>
                        </w:rPr>
                      </w:pPr>
                      <w:r w:rsidRPr="00513707">
                        <w:rPr>
                          <w:rFonts w:ascii="Cambria" w:hAnsi="Cambria" w:cs="Cambria"/>
                          <w:b/>
                          <w:bCs/>
                          <w:noProof/>
                          <w:color w:val="0D0D0D"/>
                          <w:sz w:val="36"/>
                          <w:szCs w:val="36"/>
                        </w:rPr>
                        <w:t>CASE 12.</w:t>
                      </w:r>
                      <w:r w:rsidR="00163E72">
                        <w:rPr>
                          <w:rFonts w:ascii="Cambria" w:hAnsi="Cambria" w:cs="Cambria"/>
                          <w:b/>
                          <w:bCs/>
                          <w:noProof/>
                          <w:color w:val="0D0D0D"/>
                          <w:sz w:val="36"/>
                          <w:szCs w:val="36"/>
                        </w:rPr>
                        <w:t>942</w:t>
                      </w:r>
                    </w:p>
                    <w:p w:rsidR="00001288" w:rsidRPr="00287BBD" w:rsidRDefault="00001288" w:rsidP="00287BBD">
                      <w:pPr>
                        <w:spacing w:line="276" w:lineRule="auto"/>
                        <w:rPr>
                          <w:rFonts w:ascii="Cambria" w:hAnsi="Cambria" w:cs="Cambria"/>
                          <w:noProof/>
                          <w:color w:val="0D0D0D"/>
                        </w:rPr>
                      </w:pPr>
                      <w:r w:rsidRPr="00287BBD">
                        <w:rPr>
                          <w:rFonts w:ascii="Cambria" w:hAnsi="Cambria" w:cs="Cambria"/>
                          <w:noProof/>
                          <w:color w:val="0D0D0D"/>
                        </w:rPr>
                        <w:t xml:space="preserve">FRIENDLY SETTLEMENT REPORT </w:t>
                      </w:r>
                    </w:p>
                    <w:p w:rsidR="00001288" w:rsidRPr="00287BBD" w:rsidRDefault="00001288" w:rsidP="00287BBD">
                      <w:pPr>
                        <w:spacing w:line="276" w:lineRule="auto"/>
                        <w:rPr>
                          <w:rFonts w:ascii="Cambria" w:hAnsi="Cambria" w:cs="Cambria"/>
                          <w:noProof/>
                          <w:color w:val="0D0D0D"/>
                        </w:rPr>
                      </w:pPr>
                      <w:bookmarkStart w:id="2" w:name="_ftnref1"/>
                    </w:p>
                    <w:bookmarkEnd w:id="2"/>
                    <w:p w:rsidR="00163E72" w:rsidRPr="00163E72" w:rsidRDefault="00163E72" w:rsidP="00163E72">
                      <w:pPr>
                        <w:rPr>
                          <w:rFonts w:ascii="Cambria" w:hAnsi="Cambria" w:cs="Cambria"/>
                          <w:noProof/>
                          <w:color w:val="0D0D0D"/>
                          <w:lang w:val="es-ES_tradnl"/>
                        </w:rPr>
                      </w:pPr>
                      <w:r w:rsidRPr="00163E72">
                        <w:rPr>
                          <w:rFonts w:ascii="Cambria" w:hAnsi="Cambria" w:cs="Cambria"/>
                          <w:noProof/>
                          <w:color w:val="0D0D0D"/>
                          <w:lang w:val="es-ES_tradnl"/>
                        </w:rPr>
                        <w:t>EMILIA MORALES CAMPOS</w:t>
                      </w:r>
                    </w:p>
                    <w:p w:rsidR="00163E72" w:rsidRPr="00163E72" w:rsidRDefault="00163E72" w:rsidP="00163E72">
                      <w:pPr>
                        <w:rPr>
                          <w:rFonts w:ascii="Cambria" w:hAnsi="Cambria" w:cs="Cambria"/>
                          <w:noProof/>
                          <w:color w:val="0D0D0D"/>
                          <w:lang w:val="es-ES"/>
                        </w:rPr>
                      </w:pPr>
                      <w:r w:rsidRPr="00163E72">
                        <w:rPr>
                          <w:rFonts w:ascii="Cambria" w:hAnsi="Cambria" w:cs="Cambria"/>
                          <w:noProof/>
                          <w:color w:val="0D0D0D"/>
                          <w:lang w:val="es-ES_tradnl"/>
                        </w:rPr>
                        <w:t>COSTA RICA</w:t>
                      </w:r>
                    </w:p>
                    <w:p w:rsidR="00001288" w:rsidRPr="00287BBD" w:rsidRDefault="00001288" w:rsidP="00287BBD">
                      <w:pPr>
                        <w:rPr>
                          <w:noProof/>
                          <w:color w:val="0D0D0D"/>
                        </w:rPr>
                      </w:pPr>
                    </w:p>
                  </w:txbxContent>
                </v:textbox>
              </v:shape>
            </w:pict>
          </mc:Fallback>
        </mc:AlternateContent>
      </w: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5F4A5B" w:rsidP="006B17EC">
      <w:pPr>
        <w:suppressAutoHyphens/>
        <w:jc w:val="center"/>
        <w:rPr>
          <w:rFonts w:ascii="Cambria" w:hAnsi="Cambria" w:cs="Cambria"/>
          <w:sz w:val="20"/>
          <w:szCs w:val="20"/>
        </w:rPr>
      </w:pPr>
      <w:r w:rsidRPr="003F29ED">
        <w:rPr>
          <w:noProof/>
          <w:sz w:val="20"/>
          <w:szCs w:val="20"/>
        </w:rPr>
        <mc:AlternateContent>
          <mc:Choice Requires="wps">
            <w:drawing>
              <wp:anchor distT="0" distB="0" distL="114300" distR="114300" simplePos="0" relativeHeight="251656192" behindDoc="0" locked="0" layoutInCell="1" allowOverlap="1" wp14:anchorId="172008A7" wp14:editId="42F8B2C7">
                <wp:simplePos x="0" y="0"/>
                <wp:positionH relativeFrom="column">
                  <wp:posOffset>1341755</wp:posOffset>
                </wp:positionH>
                <wp:positionV relativeFrom="paragraph">
                  <wp:posOffset>22860</wp:posOffset>
                </wp:positionV>
                <wp:extent cx="4933950" cy="664845"/>
                <wp:effectExtent l="0" t="0" r="1270" b="25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1288" w:rsidRPr="00287BBD" w:rsidRDefault="00621B1E" w:rsidP="00287BBD">
                            <w:pPr>
                              <w:tabs>
                                <w:tab w:val="center" w:pos="5400"/>
                              </w:tabs>
                              <w:suppressAutoHyphens/>
                              <w:spacing w:before="60"/>
                              <w:rPr>
                                <w:rFonts w:ascii="Cambria" w:hAnsi="Cambria" w:cs="Cambria"/>
                                <w:noProof/>
                                <w:color w:val="0D0D0D"/>
                                <w:sz w:val="18"/>
                                <w:szCs w:val="18"/>
                              </w:rPr>
                            </w:pPr>
                            <w:r>
                              <w:rPr>
                                <w:rFonts w:ascii="Cambria" w:hAnsi="Cambria" w:cs="Cambria"/>
                                <w:noProof/>
                                <w:color w:val="0D0D0D"/>
                                <w:sz w:val="18"/>
                                <w:szCs w:val="18"/>
                              </w:rPr>
                              <w:t>Elctronically a</w:t>
                            </w:r>
                            <w:r w:rsidR="00001288" w:rsidRPr="00287BBD">
                              <w:rPr>
                                <w:rFonts w:ascii="Cambria" w:hAnsi="Cambria" w:cs="Cambria"/>
                                <w:noProof/>
                                <w:color w:val="0D0D0D"/>
                                <w:sz w:val="18"/>
                                <w:szCs w:val="18"/>
                              </w:rPr>
                              <w:t xml:space="preserve">pproved by the Commission on </w:t>
                            </w:r>
                            <w:r w:rsidR="003D489D">
                              <w:rPr>
                                <w:rFonts w:ascii="Cambria" w:hAnsi="Cambria" w:cs="Cambria"/>
                                <w:noProof/>
                                <w:color w:val="0D0D0D"/>
                                <w:sz w:val="18"/>
                                <w:szCs w:val="18"/>
                              </w:rPr>
                              <w:t>May 15</w:t>
                            </w:r>
                            <w:r w:rsidR="00E940BE">
                              <w:rPr>
                                <w:rFonts w:ascii="Cambria" w:hAnsi="Cambria" w:cs="Cambria"/>
                                <w:noProof/>
                                <w:color w:val="0D0D0D"/>
                                <w:sz w:val="18"/>
                                <w:szCs w:val="18"/>
                              </w:rPr>
                              <w:t>, 2019</w:t>
                            </w:r>
                            <w:r w:rsidR="0039205A">
                              <w:rPr>
                                <w:rFonts w:ascii="Cambria" w:hAnsi="Cambria" w:cs="Cambria"/>
                                <w:noProof/>
                                <w:color w:val="0D0D0D"/>
                                <w:sz w:val="18"/>
                                <w:szCs w:val="18"/>
                              </w:rPr>
                              <w:t>.</w:t>
                            </w:r>
                            <w:r w:rsidR="00001288" w:rsidRPr="00287BBD">
                              <w:rPr>
                                <w:rFonts w:ascii="Cambria" w:hAnsi="Cambria" w:cs="Cambria"/>
                                <w:noProof/>
                                <w:color w:val="0D0D0D"/>
                                <w:sz w:val="18"/>
                                <w:szCs w:val="18"/>
                              </w:rPr>
                              <w:br/>
                            </w:r>
                          </w:p>
                          <w:p w:rsidR="00001288" w:rsidRPr="00287BBD" w:rsidRDefault="00001288" w:rsidP="00287BBD">
                            <w:pPr>
                              <w:tabs>
                                <w:tab w:val="center" w:pos="5400"/>
                              </w:tabs>
                              <w:suppressAutoHyphens/>
                              <w:spacing w:before="60"/>
                              <w:rPr>
                                <w:rFonts w:ascii="Calibri" w:hAnsi="Calibri" w:cs="Calibri"/>
                                <w:noProof/>
                                <w:color w:val="FFFFFF"/>
                                <w:sz w:val="16"/>
                                <w:szCs w:val="16"/>
                              </w:rPr>
                            </w:pPr>
                          </w:p>
                          <w:p w:rsidR="00001288" w:rsidRDefault="00001288" w:rsidP="00287BBD">
                            <w:pPr>
                              <w:tabs>
                                <w:tab w:val="center" w:pos="5400"/>
                              </w:tabs>
                              <w:suppressAutoHyphens/>
                              <w:spacing w:before="60"/>
                            </w:pPr>
                          </w:p>
                          <w:p w:rsidR="00001288" w:rsidRPr="00287BBD" w:rsidRDefault="00001288" w:rsidP="00287BBD">
                            <w:pPr>
                              <w:spacing w:line="276" w:lineRule="auto"/>
                              <w:rPr>
                                <w:rFonts w:ascii="Cambria" w:hAnsi="Cambria" w:cs="Cambria"/>
                                <w:noProof/>
                                <w:color w:val="595959"/>
                                <w:sz w:val="18"/>
                                <w:szCs w:val="18"/>
                              </w:rPr>
                            </w:pPr>
                            <w:r w:rsidRPr="00287BBD">
                              <w:rPr>
                                <w:rFonts w:ascii="Cambria" w:hAnsi="Cambria" w:cs="Cambria"/>
                                <w:b/>
                                <w:bCs/>
                                <w:noProof/>
                                <w:color w:val="595959"/>
                                <w:sz w:val="18"/>
                                <w:szCs w:val="18"/>
                              </w:rPr>
                              <w:t xml:space="preserve">Cite as: </w:t>
                            </w:r>
                            <w:r w:rsidRPr="00287BBD">
                              <w:rPr>
                                <w:rFonts w:ascii="Cambria" w:hAnsi="Cambria" w:cs="Cambria"/>
                                <w:noProof/>
                                <w:color w:val="595959"/>
                                <w:sz w:val="18"/>
                                <w:szCs w:val="18"/>
                              </w:rPr>
                              <w:t xml:space="preserve">IACHR, Report No. [number/year], Petition 687-11. Friendly Settlement/Merits/Merits G.B.B. and C.B.B. </w:t>
                            </w:r>
                            <w:r w:rsidRPr="00287BBD">
                              <w:rPr>
                                <w:rFonts w:ascii="Cambria" w:hAnsi="Cambria" w:cs="Cambria"/>
                                <w:noProof/>
                                <w:color w:val="595959"/>
                                <w:sz w:val="18"/>
                                <w:szCs w:val="18"/>
                                <w:highlight w:val="yellow"/>
                              </w:rPr>
                              <w:t>[Date of report].</w:t>
                            </w:r>
                          </w:p>
                          <w:p w:rsidR="00001288" w:rsidRDefault="005F4A5B" w:rsidP="00F4654A">
                            <w:pPr>
                              <w:tabs>
                                <w:tab w:val="center" w:pos="5400"/>
                              </w:tabs>
                              <w:suppressAutoHyphens/>
                              <w:spacing w:before="60"/>
                            </w:pPr>
                            <w:r>
                              <w:rPr>
                                <w:noProof/>
                              </w:rPr>
                              <w:drawing>
                                <wp:inline distT="0" distB="0" distL="0" distR="0" wp14:anchorId="48E8EB4E" wp14:editId="2A97EF19">
                                  <wp:extent cx="4754880" cy="159004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4880" cy="15900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008A7"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" filled="f" stroked="f" strokeweight=".5pt">
                <v:textbox>
                  <w:txbxContent>
                    <w:p w:rsidR="00001288" w:rsidRPr="00287BBD" w:rsidRDefault="00621B1E" w:rsidP="00287BBD">
                      <w:pPr>
                        <w:tabs>
                          <w:tab w:val="center" w:pos="5400"/>
                        </w:tabs>
                        <w:suppressAutoHyphens/>
                        <w:spacing w:before="60"/>
                        <w:rPr>
                          <w:rFonts w:ascii="Cambria" w:hAnsi="Cambria" w:cs="Cambria"/>
                          <w:noProof/>
                          <w:color w:val="0D0D0D"/>
                          <w:sz w:val="18"/>
                          <w:szCs w:val="18"/>
                        </w:rPr>
                      </w:pPr>
                      <w:r>
                        <w:rPr>
                          <w:rFonts w:ascii="Cambria" w:hAnsi="Cambria" w:cs="Cambria"/>
                          <w:noProof/>
                          <w:color w:val="0D0D0D"/>
                          <w:sz w:val="18"/>
                          <w:szCs w:val="18"/>
                        </w:rPr>
                        <w:t>Elctronically a</w:t>
                      </w:r>
                      <w:r w:rsidR="00001288" w:rsidRPr="00287BBD">
                        <w:rPr>
                          <w:rFonts w:ascii="Cambria" w:hAnsi="Cambria" w:cs="Cambria"/>
                          <w:noProof/>
                          <w:color w:val="0D0D0D"/>
                          <w:sz w:val="18"/>
                          <w:szCs w:val="18"/>
                        </w:rPr>
                        <w:t xml:space="preserve">pproved by the Commission on </w:t>
                      </w:r>
                      <w:r w:rsidR="003D489D">
                        <w:rPr>
                          <w:rFonts w:ascii="Cambria" w:hAnsi="Cambria" w:cs="Cambria"/>
                          <w:noProof/>
                          <w:color w:val="0D0D0D"/>
                          <w:sz w:val="18"/>
                          <w:szCs w:val="18"/>
                        </w:rPr>
                        <w:t>May 15</w:t>
                      </w:r>
                      <w:r w:rsidR="00E940BE">
                        <w:rPr>
                          <w:rFonts w:ascii="Cambria" w:hAnsi="Cambria" w:cs="Cambria"/>
                          <w:noProof/>
                          <w:color w:val="0D0D0D"/>
                          <w:sz w:val="18"/>
                          <w:szCs w:val="18"/>
                        </w:rPr>
                        <w:t>, 2019</w:t>
                      </w:r>
                      <w:r w:rsidR="0039205A">
                        <w:rPr>
                          <w:rFonts w:ascii="Cambria" w:hAnsi="Cambria" w:cs="Cambria"/>
                          <w:noProof/>
                          <w:color w:val="0D0D0D"/>
                          <w:sz w:val="18"/>
                          <w:szCs w:val="18"/>
                        </w:rPr>
                        <w:t>.</w:t>
                      </w:r>
                      <w:r w:rsidR="00001288" w:rsidRPr="00287BBD">
                        <w:rPr>
                          <w:rFonts w:ascii="Cambria" w:hAnsi="Cambria" w:cs="Cambria"/>
                          <w:noProof/>
                          <w:color w:val="0D0D0D"/>
                          <w:sz w:val="18"/>
                          <w:szCs w:val="18"/>
                        </w:rPr>
                        <w:br/>
                      </w:r>
                    </w:p>
                    <w:p w:rsidR="00001288" w:rsidRPr="00287BBD" w:rsidRDefault="00001288" w:rsidP="00287BBD">
                      <w:pPr>
                        <w:tabs>
                          <w:tab w:val="center" w:pos="5400"/>
                        </w:tabs>
                        <w:suppressAutoHyphens/>
                        <w:spacing w:before="60"/>
                        <w:rPr>
                          <w:rFonts w:ascii="Calibri" w:hAnsi="Calibri" w:cs="Calibri"/>
                          <w:noProof/>
                          <w:color w:val="FFFFFF"/>
                          <w:sz w:val="16"/>
                          <w:szCs w:val="16"/>
                        </w:rPr>
                      </w:pPr>
                    </w:p>
                    <w:p w:rsidR="00001288" w:rsidRDefault="00001288" w:rsidP="00287BBD">
                      <w:pPr>
                        <w:tabs>
                          <w:tab w:val="center" w:pos="5400"/>
                        </w:tabs>
                        <w:suppressAutoHyphens/>
                        <w:spacing w:before="60"/>
                      </w:pPr>
                    </w:p>
                    <w:p w:rsidR="00001288" w:rsidRPr="00287BBD" w:rsidRDefault="00001288" w:rsidP="00287BBD">
                      <w:pPr>
                        <w:spacing w:line="276" w:lineRule="auto"/>
                        <w:rPr>
                          <w:rFonts w:ascii="Cambria" w:hAnsi="Cambria" w:cs="Cambria"/>
                          <w:noProof/>
                          <w:color w:val="595959"/>
                          <w:sz w:val="18"/>
                          <w:szCs w:val="18"/>
                        </w:rPr>
                      </w:pPr>
                      <w:r w:rsidRPr="00287BBD">
                        <w:rPr>
                          <w:rFonts w:ascii="Cambria" w:hAnsi="Cambria" w:cs="Cambria"/>
                          <w:b/>
                          <w:bCs/>
                          <w:noProof/>
                          <w:color w:val="595959"/>
                          <w:sz w:val="18"/>
                          <w:szCs w:val="18"/>
                        </w:rPr>
                        <w:t xml:space="preserve">Cite as: </w:t>
                      </w:r>
                      <w:r w:rsidRPr="00287BBD">
                        <w:rPr>
                          <w:rFonts w:ascii="Cambria" w:hAnsi="Cambria" w:cs="Cambria"/>
                          <w:noProof/>
                          <w:color w:val="595959"/>
                          <w:sz w:val="18"/>
                          <w:szCs w:val="18"/>
                        </w:rPr>
                        <w:t xml:space="preserve">IACHR, Report No. [number/year], Petition 687-11. Friendly Settlement/Merits/Merits G.B.B. and C.B.B. </w:t>
                      </w:r>
                      <w:r w:rsidRPr="00287BBD">
                        <w:rPr>
                          <w:rFonts w:ascii="Cambria" w:hAnsi="Cambria" w:cs="Cambria"/>
                          <w:noProof/>
                          <w:color w:val="595959"/>
                          <w:sz w:val="18"/>
                          <w:szCs w:val="18"/>
                          <w:highlight w:val="yellow"/>
                        </w:rPr>
                        <w:t>[Date of report].</w:t>
                      </w:r>
                    </w:p>
                    <w:p w:rsidR="00001288" w:rsidRDefault="005F4A5B" w:rsidP="00F4654A">
                      <w:pPr>
                        <w:tabs>
                          <w:tab w:val="center" w:pos="5400"/>
                        </w:tabs>
                        <w:suppressAutoHyphens/>
                        <w:spacing w:before="60"/>
                      </w:pPr>
                      <w:r>
                        <w:rPr>
                          <w:noProof/>
                        </w:rPr>
                        <w:drawing>
                          <wp:inline distT="0" distB="0" distL="0" distR="0" wp14:anchorId="48E8EB4E" wp14:editId="2A97EF19">
                            <wp:extent cx="4754880" cy="159004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4880" cy="1590040"/>
                                    </a:xfrm>
                                    <a:prstGeom prst="rect">
                                      <a:avLst/>
                                    </a:prstGeom>
                                    <a:noFill/>
                                    <a:ln>
                                      <a:noFill/>
                                    </a:ln>
                                  </pic:spPr>
                                </pic:pic>
                              </a:graphicData>
                            </a:graphic>
                          </wp:inline>
                        </w:drawing>
                      </w:r>
                    </w:p>
                  </w:txbxContent>
                </v:textbox>
              </v:shape>
            </w:pict>
          </mc:Fallback>
        </mc:AlternateContent>
      </w: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001288" w:rsidP="006B17EC">
      <w:pPr>
        <w:suppressAutoHyphens/>
        <w:jc w:val="center"/>
        <w:rPr>
          <w:rFonts w:ascii="Cambria" w:hAnsi="Cambria" w:cs="Cambria"/>
          <w:sz w:val="20"/>
          <w:szCs w:val="20"/>
        </w:rPr>
      </w:pPr>
    </w:p>
    <w:p w:rsidR="00001288" w:rsidRPr="003F29ED" w:rsidRDefault="005F4A5B" w:rsidP="006B17EC">
      <w:pPr>
        <w:suppressAutoHyphens/>
        <w:jc w:val="center"/>
        <w:rPr>
          <w:rFonts w:ascii="Cambria" w:hAnsi="Cambria" w:cs="Cambria"/>
          <w:sz w:val="20"/>
          <w:szCs w:val="20"/>
        </w:rPr>
      </w:pPr>
      <w:r w:rsidRPr="003F29ED">
        <w:rPr>
          <w:noProof/>
          <w:sz w:val="20"/>
          <w:szCs w:val="20"/>
        </w:rPr>
        <mc:AlternateContent>
          <mc:Choice Requires="wps">
            <w:drawing>
              <wp:anchor distT="0" distB="0" distL="114300" distR="114300" simplePos="0" relativeHeight="251659264" behindDoc="0" locked="0" layoutInCell="1" allowOverlap="1" wp14:anchorId="59EF5A67" wp14:editId="4E6C00A7">
                <wp:simplePos x="0" y="0"/>
                <wp:positionH relativeFrom="column">
                  <wp:posOffset>1333500</wp:posOffset>
                </wp:positionH>
                <wp:positionV relativeFrom="paragraph">
                  <wp:posOffset>5715</wp:posOffset>
                </wp:positionV>
                <wp:extent cx="5943600" cy="399415"/>
                <wp:effectExtent l="0" t="254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1288" w:rsidRPr="008B2A70" w:rsidRDefault="00E940BE" w:rsidP="006B17EC">
                            <w:pPr>
                              <w:spacing w:line="276" w:lineRule="auto"/>
                              <w:ind w:right="1159"/>
                              <w:rPr>
                                <w:rFonts w:asciiTheme="majorHAnsi" w:hAnsiTheme="majorHAnsi"/>
                                <w:color w:val="595959" w:themeColor="text1" w:themeTint="A6"/>
                                <w:sz w:val="18"/>
                                <w:bdr w:val="nil"/>
                              </w:rPr>
                            </w:pPr>
                            <w:r w:rsidRPr="008B2A70">
                              <w:rPr>
                                <w:rFonts w:asciiTheme="majorHAnsi" w:hAnsiTheme="majorHAnsi"/>
                                <w:color w:val="595959" w:themeColor="text1" w:themeTint="A6"/>
                                <w:sz w:val="18"/>
                                <w:bdr w:val="nil"/>
                              </w:rPr>
                              <w:t xml:space="preserve">Cite as: IACHR, Report No. </w:t>
                            </w:r>
                            <w:r w:rsidR="003D489D">
                              <w:rPr>
                                <w:rFonts w:asciiTheme="majorHAnsi" w:hAnsiTheme="majorHAnsi"/>
                                <w:color w:val="595959" w:themeColor="text1" w:themeTint="A6"/>
                                <w:sz w:val="18"/>
                                <w:bdr w:val="nil"/>
                              </w:rPr>
                              <w:t>71</w:t>
                            </w:r>
                            <w:r w:rsidR="002029C6" w:rsidRPr="008B2A70">
                              <w:rPr>
                                <w:rFonts w:asciiTheme="majorHAnsi" w:hAnsiTheme="majorHAnsi"/>
                                <w:color w:val="595959" w:themeColor="text1" w:themeTint="A6"/>
                                <w:sz w:val="18"/>
                                <w:bdr w:val="nil"/>
                              </w:rPr>
                              <w:t>/19</w:t>
                            </w:r>
                            <w:r w:rsidRPr="008B2A70">
                              <w:rPr>
                                <w:rFonts w:asciiTheme="majorHAnsi" w:hAnsiTheme="majorHAnsi"/>
                                <w:color w:val="595959" w:themeColor="text1" w:themeTint="A6"/>
                                <w:sz w:val="18"/>
                                <w:bdr w:val="nil"/>
                              </w:rPr>
                              <w:t>, Case 12.</w:t>
                            </w:r>
                            <w:r w:rsidR="00163E72">
                              <w:rPr>
                                <w:rFonts w:asciiTheme="majorHAnsi" w:hAnsiTheme="majorHAnsi"/>
                                <w:color w:val="595959" w:themeColor="text1" w:themeTint="A6"/>
                                <w:sz w:val="18"/>
                                <w:bdr w:val="nil"/>
                              </w:rPr>
                              <w:t>942</w:t>
                            </w:r>
                            <w:r w:rsidRPr="008B2A70">
                              <w:rPr>
                                <w:rFonts w:asciiTheme="majorHAnsi" w:hAnsiTheme="majorHAnsi"/>
                                <w:color w:val="595959" w:themeColor="text1" w:themeTint="A6"/>
                                <w:sz w:val="18"/>
                                <w:bdr w:val="nil"/>
                              </w:rPr>
                              <w:t>. Friendly Settlement</w:t>
                            </w:r>
                            <w:r w:rsidR="00163E72">
                              <w:rPr>
                                <w:rFonts w:asciiTheme="majorHAnsi" w:hAnsiTheme="majorHAnsi"/>
                                <w:color w:val="595959" w:themeColor="text1" w:themeTint="A6"/>
                                <w:sz w:val="18"/>
                                <w:bdr w:val="nil"/>
                              </w:rPr>
                              <w:t>.</w:t>
                            </w:r>
                            <w:r w:rsidRPr="008B2A70">
                              <w:rPr>
                                <w:rFonts w:asciiTheme="majorHAnsi" w:hAnsiTheme="majorHAnsi"/>
                                <w:color w:val="595959" w:themeColor="text1" w:themeTint="A6"/>
                                <w:sz w:val="18"/>
                                <w:bdr w:val="nil"/>
                              </w:rPr>
                              <w:t xml:space="preserve"> </w:t>
                            </w:r>
                            <w:r w:rsidR="00163E72">
                              <w:rPr>
                                <w:rFonts w:asciiTheme="majorHAnsi" w:hAnsiTheme="majorHAnsi"/>
                                <w:color w:val="595959" w:themeColor="text1" w:themeTint="A6"/>
                                <w:sz w:val="18"/>
                                <w:bdr w:val="nil"/>
                              </w:rPr>
                              <w:t>Emilia Morales Campos</w:t>
                            </w:r>
                            <w:r w:rsidRPr="008B2A70">
                              <w:rPr>
                                <w:rFonts w:asciiTheme="majorHAnsi" w:hAnsiTheme="majorHAnsi"/>
                                <w:color w:val="595959" w:themeColor="text1" w:themeTint="A6"/>
                                <w:sz w:val="18"/>
                                <w:bdr w:val="nil"/>
                              </w:rPr>
                              <w:t>. C</w:t>
                            </w:r>
                            <w:r w:rsidR="00163E72">
                              <w:rPr>
                                <w:rFonts w:asciiTheme="majorHAnsi" w:hAnsiTheme="majorHAnsi"/>
                                <w:color w:val="595959" w:themeColor="text1" w:themeTint="A6"/>
                                <w:sz w:val="18"/>
                                <w:bdr w:val="nil"/>
                              </w:rPr>
                              <w:t>osta Rica</w:t>
                            </w:r>
                            <w:r w:rsidRPr="008B2A70">
                              <w:rPr>
                                <w:rFonts w:asciiTheme="majorHAnsi" w:hAnsiTheme="majorHAnsi"/>
                                <w:color w:val="595959" w:themeColor="text1" w:themeTint="A6"/>
                                <w:sz w:val="18"/>
                                <w:bdr w:val="nil"/>
                              </w:rPr>
                              <w:t xml:space="preserve">. </w:t>
                            </w:r>
                            <w:r w:rsidR="003D489D">
                              <w:rPr>
                                <w:rFonts w:asciiTheme="majorHAnsi" w:hAnsiTheme="majorHAnsi"/>
                                <w:color w:val="595959" w:themeColor="text1" w:themeTint="A6"/>
                                <w:sz w:val="18"/>
                                <w:bdr w:val="nil"/>
                              </w:rPr>
                              <w:t>May 15</w:t>
                            </w:r>
                            <w:r w:rsidRPr="008B2A70">
                              <w:rPr>
                                <w:rFonts w:asciiTheme="majorHAnsi" w:hAnsiTheme="majorHAnsi"/>
                                <w:color w:val="595959" w:themeColor="text1" w:themeTint="A6"/>
                                <w:sz w:val="18"/>
                                <w:bdr w:val="nil"/>
                              </w:rPr>
                              <w:t>, 2019</w:t>
                            </w:r>
                            <w:r w:rsidR="009041E7">
                              <w:rPr>
                                <w:rFonts w:asciiTheme="majorHAnsi" w:hAnsiTheme="majorHAnsi"/>
                                <w:color w:val="595959" w:themeColor="text1" w:themeTint="A6"/>
                                <w:sz w:val="18"/>
                                <w:bdr w:val="nil"/>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EF5A67" id="Text Box 10" o:spid="_x0000_s1030" type="#_x0000_t202" style="position:absolute;left:0;text-align:left;margin-left:105pt;margin-top:.45pt;width:468pt;height:31.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" filled="f" stroked="f" strokeweight=".5pt">
                <v:textbox style="mso-fit-shape-to-text:t">
                  <w:txbxContent>
                    <w:p w:rsidR="00001288" w:rsidRPr="008B2A70" w:rsidRDefault="00E940BE" w:rsidP="006B17EC">
                      <w:pPr>
                        <w:spacing w:line="276" w:lineRule="auto"/>
                        <w:ind w:right="1159"/>
                        <w:rPr>
                          <w:rFonts w:asciiTheme="majorHAnsi" w:hAnsiTheme="majorHAnsi"/>
                          <w:color w:val="595959" w:themeColor="text1" w:themeTint="A6"/>
                          <w:sz w:val="18"/>
                          <w:bdr w:val="nil"/>
                        </w:rPr>
                      </w:pPr>
                      <w:r w:rsidRPr="008B2A70">
                        <w:rPr>
                          <w:rFonts w:asciiTheme="majorHAnsi" w:hAnsiTheme="majorHAnsi"/>
                          <w:color w:val="595959" w:themeColor="text1" w:themeTint="A6"/>
                          <w:sz w:val="18"/>
                          <w:bdr w:val="nil"/>
                        </w:rPr>
                        <w:t xml:space="preserve">Cite as: IACHR, Report No. </w:t>
                      </w:r>
                      <w:r w:rsidR="003D489D">
                        <w:rPr>
                          <w:rFonts w:asciiTheme="majorHAnsi" w:hAnsiTheme="majorHAnsi"/>
                          <w:color w:val="595959" w:themeColor="text1" w:themeTint="A6"/>
                          <w:sz w:val="18"/>
                          <w:bdr w:val="nil"/>
                        </w:rPr>
                        <w:t>71</w:t>
                      </w:r>
                      <w:r w:rsidR="002029C6" w:rsidRPr="008B2A70">
                        <w:rPr>
                          <w:rFonts w:asciiTheme="majorHAnsi" w:hAnsiTheme="majorHAnsi"/>
                          <w:color w:val="595959" w:themeColor="text1" w:themeTint="A6"/>
                          <w:sz w:val="18"/>
                          <w:bdr w:val="nil"/>
                        </w:rPr>
                        <w:t>/19</w:t>
                      </w:r>
                      <w:r w:rsidRPr="008B2A70">
                        <w:rPr>
                          <w:rFonts w:asciiTheme="majorHAnsi" w:hAnsiTheme="majorHAnsi"/>
                          <w:color w:val="595959" w:themeColor="text1" w:themeTint="A6"/>
                          <w:sz w:val="18"/>
                          <w:bdr w:val="nil"/>
                        </w:rPr>
                        <w:t>, Case 12.</w:t>
                      </w:r>
                      <w:r w:rsidR="00163E72">
                        <w:rPr>
                          <w:rFonts w:asciiTheme="majorHAnsi" w:hAnsiTheme="majorHAnsi"/>
                          <w:color w:val="595959" w:themeColor="text1" w:themeTint="A6"/>
                          <w:sz w:val="18"/>
                          <w:bdr w:val="nil"/>
                        </w:rPr>
                        <w:t>942</w:t>
                      </w:r>
                      <w:r w:rsidRPr="008B2A70">
                        <w:rPr>
                          <w:rFonts w:asciiTheme="majorHAnsi" w:hAnsiTheme="majorHAnsi"/>
                          <w:color w:val="595959" w:themeColor="text1" w:themeTint="A6"/>
                          <w:sz w:val="18"/>
                          <w:bdr w:val="nil"/>
                        </w:rPr>
                        <w:t>. Friendly Settlement</w:t>
                      </w:r>
                      <w:r w:rsidR="00163E72">
                        <w:rPr>
                          <w:rFonts w:asciiTheme="majorHAnsi" w:hAnsiTheme="majorHAnsi"/>
                          <w:color w:val="595959" w:themeColor="text1" w:themeTint="A6"/>
                          <w:sz w:val="18"/>
                          <w:bdr w:val="nil"/>
                        </w:rPr>
                        <w:t>.</w:t>
                      </w:r>
                      <w:r w:rsidRPr="008B2A70">
                        <w:rPr>
                          <w:rFonts w:asciiTheme="majorHAnsi" w:hAnsiTheme="majorHAnsi"/>
                          <w:color w:val="595959" w:themeColor="text1" w:themeTint="A6"/>
                          <w:sz w:val="18"/>
                          <w:bdr w:val="nil"/>
                        </w:rPr>
                        <w:t xml:space="preserve"> </w:t>
                      </w:r>
                      <w:r w:rsidR="00163E72">
                        <w:rPr>
                          <w:rFonts w:asciiTheme="majorHAnsi" w:hAnsiTheme="majorHAnsi"/>
                          <w:color w:val="595959" w:themeColor="text1" w:themeTint="A6"/>
                          <w:sz w:val="18"/>
                          <w:bdr w:val="nil"/>
                        </w:rPr>
                        <w:t>Emilia Morales Campos</w:t>
                      </w:r>
                      <w:r w:rsidRPr="008B2A70">
                        <w:rPr>
                          <w:rFonts w:asciiTheme="majorHAnsi" w:hAnsiTheme="majorHAnsi"/>
                          <w:color w:val="595959" w:themeColor="text1" w:themeTint="A6"/>
                          <w:sz w:val="18"/>
                          <w:bdr w:val="nil"/>
                        </w:rPr>
                        <w:t>. C</w:t>
                      </w:r>
                      <w:r w:rsidR="00163E72">
                        <w:rPr>
                          <w:rFonts w:asciiTheme="majorHAnsi" w:hAnsiTheme="majorHAnsi"/>
                          <w:color w:val="595959" w:themeColor="text1" w:themeTint="A6"/>
                          <w:sz w:val="18"/>
                          <w:bdr w:val="nil"/>
                        </w:rPr>
                        <w:t>osta Rica</w:t>
                      </w:r>
                      <w:r w:rsidRPr="008B2A70">
                        <w:rPr>
                          <w:rFonts w:asciiTheme="majorHAnsi" w:hAnsiTheme="majorHAnsi"/>
                          <w:color w:val="595959" w:themeColor="text1" w:themeTint="A6"/>
                          <w:sz w:val="18"/>
                          <w:bdr w:val="nil"/>
                        </w:rPr>
                        <w:t xml:space="preserve">. </w:t>
                      </w:r>
                      <w:r w:rsidR="003D489D">
                        <w:rPr>
                          <w:rFonts w:asciiTheme="majorHAnsi" w:hAnsiTheme="majorHAnsi"/>
                          <w:color w:val="595959" w:themeColor="text1" w:themeTint="A6"/>
                          <w:sz w:val="18"/>
                          <w:bdr w:val="nil"/>
                        </w:rPr>
                        <w:t>May 15</w:t>
                      </w:r>
                      <w:r w:rsidRPr="008B2A70">
                        <w:rPr>
                          <w:rFonts w:asciiTheme="majorHAnsi" w:hAnsiTheme="majorHAnsi"/>
                          <w:color w:val="595959" w:themeColor="text1" w:themeTint="A6"/>
                          <w:sz w:val="18"/>
                          <w:bdr w:val="nil"/>
                        </w:rPr>
                        <w:t>, 2019</w:t>
                      </w:r>
                      <w:r w:rsidR="009041E7">
                        <w:rPr>
                          <w:rFonts w:asciiTheme="majorHAnsi" w:hAnsiTheme="majorHAnsi"/>
                          <w:color w:val="595959" w:themeColor="text1" w:themeTint="A6"/>
                          <w:sz w:val="18"/>
                          <w:bdr w:val="nil"/>
                        </w:rPr>
                        <w:t>.</w:t>
                      </w:r>
                    </w:p>
                  </w:txbxContent>
                </v:textbox>
              </v:shape>
            </w:pict>
          </mc:Fallback>
        </mc:AlternateContent>
      </w:r>
    </w:p>
    <w:p w:rsidR="00001288" w:rsidRPr="003F29ED" w:rsidRDefault="00001288" w:rsidP="006B17EC">
      <w:pPr>
        <w:suppressAutoHyphens/>
        <w:jc w:val="center"/>
        <w:rPr>
          <w:rFonts w:ascii="Cambria" w:hAnsi="Cambria" w:cs="Cambria"/>
          <w:sz w:val="20"/>
          <w:szCs w:val="20"/>
        </w:rPr>
      </w:pPr>
    </w:p>
    <w:p w:rsidR="00001288" w:rsidRPr="003F29ED" w:rsidRDefault="005F4A5B" w:rsidP="006B17EC">
      <w:pPr>
        <w:suppressAutoHyphens/>
        <w:jc w:val="center"/>
        <w:rPr>
          <w:rFonts w:ascii="Cambria" w:hAnsi="Cambria" w:cs="Cambria"/>
          <w:b/>
          <w:bCs/>
          <w:sz w:val="20"/>
          <w:szCs w:val="20"/>
        </w:rPr>
      </w:pPr>
      <w:r w:rsidRPr="003F29ED">
        <w:rPr>
          <w:noProof/>
          <w:sz w:val="20"/>
          <w:szCs w:val="20"/>
        </w:rPr>
        <w:drawing>
          <wp:anchor distT="0" distB="0" distL="114300" distR="114300" simplePos="0" relativeHeight="251661312" behindDoc="0" locked="0" layoutInCell="1" allowOverlap="1" wp14:anchorId="2061DB57" wp14:editId="652855D2">
            <wp:simplePos x="0" y="0"/>
            <wp:positionH relativeFrom="column">
              <wp:posOffset>1371600</wp:posOffset>
            </wp:positionH>
            <wp:positionV relativeFrom="paragraph">
              <wp:posOffset>934085</wp:posOffset>
            </wp:positionV>
            <wp:extent cx="1095375" cy="367030"/>
            <wp:effectExtent l="0" t="0" r="952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367030"/>
                    </a:xfrm>
                    <a:prstGeom prst="rect">
                      <a:avLst/>
                    </a:prstGeom>
                    <a:noFill/>
                  </pic:spPr>
                </pic:pic>
              </a:graphicData>
            </a:graphic>
            <wp14:sizeRelH relativeFrom="page">
              <wp14:pctWidth>0</wp14:pctWidth>
            </wp14:sizeRelH>
            <wp14:sizeRelV relativeFrom="page">
              <wp14:pctHeight>0</wp14:pctHeight>
            </wp14:sizeRelV>
          </wp:anchor>
        </w:drawing>
      </w:r>
      <w:r w:rsidRPr="003F29ED">
        <w:rPr>
          <w:noProof/>
          <w:sz w:val="20"/>
          <w:szCs w:val="20"/>
        </w:rPr>
        <mc:AlternateContent>
          <mc:Choice Requires="wps">
            <w:drawing>
              <wp:anchor distT="0" distB="0" distL="114300" distR="114300" simplePos="0" relativeHeight="251660288" behindDoc="0" locked="0" layoutInCell="1" allowOverlap="1" wp14:anchorId="5771427D" wp14:editId="2F109026">
                <wp:simplePos x="0" y="0"/>
                <wp:positionH relativeFrom="column">
                  <wp:posOffset>-272415</wp:posOffset>
                </wp:positionH>
                <wp:positionV relativeFrom="paragraph">
                  <wp:posOffset>915035</wp:posOffset>
                </wp:positionV>
                <wp:extent cx="1181100" cy="332740"/>
                <wp:effectExtent l="381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1288" w:rsidRPr="00287BBD" w:rsidRDefault="00E940BE" w:rsidP="00287BBD">
                            <w:pPr>
                              <w:jc w:val="center"/>
                              <w:rPr>
                                <w:rFonts w:ascii="Calibri" w:hAnsi="Calibri" w:cs="Calibri"/>
                                <w:b/>
                                <w:bCs/>
                                <w:noProof/>
                                <w:color w:val="FFFFFF"/>
                              </w:rPr>
                            </w:pPr>
                            <w:r w:rsidRPr="00E940BE">
                              <w:rPr>
                                <w:noProof/>
                              </w:rPr>
                              <w:drawing>
                                <wp:inline distT="0" distB="0" distL="0" distR="0" wp14:anchorId="1C608547" wp14:editId="3DE5A9D8">
                                  <wp:extent cx="998220" cy="2817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220" cy="28175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1427D" id="Text Box 4" o:spid="_x0000_s1031" type="#_x0000_t202" style="position:absolute;left:0;text-align:left;margin-left:-21.45pt;margin-top:72.05pt;width:93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o5uA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" filled="f" stroked="f" strokeweight=".5pt">
                <v:textbox>
                  <w:txbxContent>
                    <w:p w:rsidR="00001288" w:rsidRPr="00287BBD" w:rsidRDefault="00E940BE" w:rsidP="00287BBD">
                      <w:pPr>
                        <w:jc w:val="center"/>
                        <w:rPr>
                          <w:rFonts w:ascii="Calibri" w:hAnsi="Calibri" w:cs="Calibri"/>
                          <w:b/>
                          <w:bCs/>
                          <w:noProof/>
                          <w:color w:val="FFFFFF"/>
                        </w:rPr>
                      </w:pPr>
                      <w:r w:rsidRPr="00E940BE">
                        <w:rPr>
                          <w:noProof/>
                        </w:rPr>
                        <w:drawing>
                          <wp:inline distT="0" distB="0" distL="0" distR="0" wp14:anchorId="1C608547" wp14:editId="3DE5A9D8">
                            <wp:extent cx="998220" cy="2817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220" cy="281756"/>
                                    </a:xfrm>
                                    <a:prstGeom prst="rect">
                                      <a:avLst/>
                                    </a:prstGeom>
                                    <a:noFill/>
                                    <a:ln>
                                      <a:noFill/>
                                    </a:ln>
                                  </pic:spPr>
                                </pic:pic>
                              </a:graphicData>
                            </a:graphic>
                          </wp:inline>
                        </w:drawing>
                      </w:r>
                    </w:p>
                  </w:txbxContent>
                </v:textbox>
              </v:shape>
            </w:pict>
          </mc:Fallback>
        </mc:AlternateContent>
      </w:r>
    </w:p>
    <w:p w:rsidR="00001288" w:rsidRPr="003F29ED" w:rsidRDefault="00001288" w:rsidP="00163E72">
      <w:pPr>
        <w:suppressAutoHyphens/>
        <w:rPr>
          <w:rFonts w:ascii="Cambria" w:hAnsi="Cambria" w:cs="Cambria"/>
          <w:b/>
          <w:bCs/>
          <w:sz w:val="20"/>
          <w:szCs w:val="20"/>
        </w:rPr>
        <w:sectPr w:rsidR="00001288" w:rsidRPr="003F29ED"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163E72" w:rsidRPr="003F29ED" w:rsidRDefault="00163E72" w:rsidP="00163E72">
      <w:pPr>
        <w:tabs>
          <w:tab w:val="center" w:pos="5400"/>
        </w:tabs>
        <w:suppressAutoHyphens/>
        <w:jc w:val="center"/>
        <w:rPr>
          <w:rFonts w:asciiTheme="majorHAnsi" w:hAnsiTheme="majorHAnsi"/>
          <w:b/>
          <w:sz w:val="18"/>
          <w:szCs w:val="18"/>
        </w:rPr>
      </w:pPr>
      <w:r w:rsidRPr="003F29ED">
        <w:rPr>
          <w:rFonts w:asciiTheme="majorHAnsi" w:hAnsiTheme="majorHAnsi"/>
          <w:b/>
          <w:sz w:val="18"/>
          <w:szCs w:val="18"/>
        </w:rPr>
        <w:lastRenderedPageBreak/>
        <w:t>REPORT No.</w:t>
      </w:r>
      <w:r w:rsidR="003D489D">
        <w:rPr>
          <w:rFonts w:asciiTheme="majorHAnsi" w:hAnsiTheme="majorHAnsi"/>
          <w:b/>
          <w:sz w:val="18"/>
          <w:szCs w:val="18"/>
        </w:rPr>
        <w:t>71</w:t>
      </w:r>
      <w:r w:rsidRPr="003F29ED">
        <w:rPr>
          <w:rFonts w:asciiTheme="majorHAnsi" w:hAnsiTheme="majorHAnsi"/>
          <w:b/>
          <w:sz w:val="18"/>
          <w:szCs w:val="18"/>
        </w:rPr>
        <w:t>/19</w:t>
      </w:r>
    </w:p>
    <w:p w:rsidR="00163E72" w:rsidRPr="003F29ED" w:rsidRDefault="00163E72" w:rsidP="00163E72">
      <w:pPr>
        <w:tabs>
          <w:tab w:val="center" w:pos="5400"/>
        </w:tabs>
        <w:suppressAutoHyphens/>
        <w:jc w:val="center"/>
        <w:rPr>
          <w:rFonts w:asciiTheme="majorHAnsi" w:hAnsiTheme="majorHAnsi"/>
          <w:b/>
          <w:sz w:val="18"/>
          <w:szCs w:val="18"/>
        </w:rPr>
      </w:pPr>
      <w:r w:rsidRPr="003F29ED">
        <w:rPr>
          <w:rFonts w:asciiTheme="majorHAnsi" w:hAnsiTheme="majorHAnsi"/>
          <w:b/>
          <w:sz w:val="18"/>
          <w:szCs w:val="18"/>
        </w:rPr>
        <w:t>CASE 12.942</w:t>
      </w:r>
    </w:p>
    <w:p w:rsidR="00163E72" w:rsidRPr="003F29ED" w:rsidRDefault="00163E72" w:rsidP="00163E72">
      <w:pPr>
        <w:jc w:val="center"/>
        <w:rPr>
          <w:rFonts w:asciiTheme="majorHAnsi" w:hAnsiTheme="majorHAnsi"/>
          <w:sz w:val="18"/>
          <w:szCs w:val="18"/>
        </w:rPr>
      </w:pPr>
      <w:r w:rsidRPr="003F29ED">
        <w:rPr>
          <w:rFonts w:asciiTheme="majorHAnsi" w:hAnsiTheme="majorHAnsi"/>
          <w:sz w:val="18"/>
          <w:szCs w:val="18"/>
        </w:rPr>
        <w:t xml:space="preserve">FRIENDLY SETTLEMENT </w:t>
      </w:r>
    </w:p>
    <w:p w:rsidR="00163E72" w:rsidRPr="003F29ED" w:rsidRDefault="00163E72" w:rsidP="00163E72">
      <w:pPr>
        <w:jc w:val="center"/>
        <w:rPr>
          <w:rFonts w:asciiTheme="majorHAnsi" w:hAnsiTheme="majorHAnsi"/>
          <w:sz w:val="18"/>
          <w:szCs w:val="18"/>
        </w:rPr>
      </w:pPr>
      <w:r w:rsidRPr="003F29ED">
        <w:rPr>
          <w:rFonts w:asciiTheme="majorHAnsi" w:hAnsiTheme="majorHAnsi"/>
          <w:sz w:val="18"/>
          <w:szCs w:val="18"/>
        </w:rPr>
        <w:t>EMILIA MORALES CAMPOS</w:t>
      </w:r>
    </w:p>
    <w:p w:rsidR="00163E72" w:rsidRPr="003F29ED" w:rsidRDefault="00163E72" w:rsidP="00163E72">
      <w:pPr>
        <w:jc w:val="center"/>
        <w:rPr>
          <w:rFonts w:asciiTheme="majorHAnsi" w:hAnsiTheme="majorHAnsi"/>
          <w:sz w:val="18"/>
          <w:szCs w:val="18"/>
        </w:rPr>
      </w:pPr>
      <w:r w:rsidRPr="003F29ED">
        <w:rPr>
          <w:rFonts w:asciiTheme="majorHAnsi" w:hAnsiTheme="majorHAnsi"/>
          <w:sz w:val="18"/>
          <w:szCs w:val="18"/>
        </w:rPr>
        <w:t>COSTA RICA</w:t>
      </w:r>
    </w:p>
    <w:p w:rsidR="00163E72" w:rsidRPr="003F29ED" w:rsidRDefault="003D489D" w:rsidP="00163E72">
      <w:pPr>
        <w:jc w:val="center"/>
        <w:rPr>
          <w:rFonts w:asciiTheme="majorHAnsi" w:hAnsiTheme="majorHAnsi"/>
          <w:sz w:val="18"/>
          <w:szCs w:val="18"/>
        </w:rPr>
      </w:pPr>
      <w:r>
        <w:rPr>
          <w:rFonts w:asciiTheme="majorHAnsi" w:hAnsiTheme="majorHAnsi"/>
          <w:sz w:val="18"/>
          <w:szCs w:val="18"/>
        </w:rPr>
        <w:t>MAY 15</w:t>
      </w:r>
      <w:r w:rsidR="00163E72" w:rsidRPr="003F29ED">
        <w:rPr>
          <w:rFonts w:asciiTheme="majorHAnsi" w:hAnsiTheme="majorHAnsi"/>
          <w:sz w:val="18"/>
          <w:szCs w:val="18"/>
        </w:rPr>
        <w:t>, 2019</w:t>
      </w:r>
    </w:p>
    <w:p w:rsidR="00163E72" w:rsidRDefault="00163E72" w:rsidP="00163E72">
      <w:pPr>
        <w:jc w:val="center"/>
        <w:rPr>
          <w:rFonts w:asciiTheme="majorHAnsi" w:hAnsiTheme="majorHAnsi"/>
          <w:sz w:val="20"/>
          <w:szCs w:val="20"/>
        </w:rPr>
      </w:pPr>
    </w:p>
    <w:p w:rsidR="003F29ED" w:rsidRPr="003F29ED" w:rsidRDefault="003F29ED" w:rsidP="00163E72">
      <w:pPr>
        <w:jc w:val="center"/>
        <w:rPr>
          <w:rFonts w:asciiTheme="majorHAnsi" w:hAnsiTheme="majorHAnsi"/>
          <w:sz w:val="20"/>
          <w:szCs w:val="20"/>
        </w:rPr>
      </w:pPr>
    </w:p>
    <w:p w:rsidR="00163E72" w:rsidRPr="003F29ED" w:rsidRDefault="00163E72" w:rsidP="00FD5274">
      <w:pPr>
        <w:pStyle w:val="ListParagraph"/>
        <w:numPr>
          <w:ilvl w:val="0"/>
          <w:numId w:val="52"/>
        </w:numPr>
        <w:tabs>
          <w:tab w:val="left" w:pos="1440"/>
        </w:tabs>
        <w:ind w:left="1440"/>
        <w:contextualSpacing/>
        <w:rPr>
          <w:rFonts w:asciiTheme="majorHAnsi" w:hAnsiTheme="majorHAnsi"/>
          <w:b/>
          <w:sz w:val="20"/>
          <w:szCs w:val="20"/>
        </w:rPr>
      </w:pPr>
      <w:r w:rsidRPr="003F29ED">
        <w:rPr>
          <w:rFonts w:asciiTheme="majorHAnsi" w:hAnsiTheme="majorHAnsi"/>
          <w:b/>
          <w:sz w:val="20"/>
          <w:szCs w:val="20"/>
        </w:rPr>
        <w:t xml:space="preserve">SUMMARY AND MAJOR PROCEDURAL STEPS OF THE FRIENDLY SETTLEMENT PROCESS </w:t>
      </w:r>
    </w:p>
    <w:p w:rsidR="00163E72" w:rsidRPr="003F29ED" w:rsidRDefault="00163E72" w:rsidP="00163E72">
      <w:pPr>
        <w:pStyle w:val="Default"/>
        <w:ind w:firstLine="720"/>
        <w:rPr>
          <w:rFonts w:asciiTheme="majorHAnsi" w:eastAsia="Arial Unicode MS" w:hAnsiTheme="majorHAnsi" w:cs="Cambria"/>
          <w:sz w:val="20"/>
          <w:szCs w:val="20"/>
          <w:bdr w:val="nil"/>
          <w:lang w:eastAsia="es-ES"/>
        </w:rPr>
      </w:pPr>
      <w:r w:rsidRPr="003F29ED">
        <w:rPr>
          <w:rFonts w:asciiTheme="majorHAnsi" w:hAnsiTheme="majorHAnsi" w:cs="Arial"/>
          <w:sz w:val="20"/>
          <w:szCs w:val="20"/>
        </w:rPr>
        <w:t xml:space="preserve"> </w:t>
      </w:r>
    </w:p>
    <w:p w:rsidR="006B1C31" w:rsidRPr="003F29ED" w:rsidRDefault="00163E72" w:rsidP="00364222">
      <w:pPr>
        <w:pStyle w:val="ListParagraph"/>
        <w:numPr>
          <w:ilvl w:val="0"/>
          <w:numId w:val="65"/>
        </w:numPr>
        <w:tabs>
          <w:tab w:val="left" w:pos="1440"/>
        </w:tabs>
        <w:autoSpaceDE w:val="0"/>
        <w:autoSpaceDN w:val="0"/>
        <w:adjustRightInd w:val="0"/>
        <w:ind w:left="0" w:firstLine="720"/>
        <w:jc w:val="both"/>
        <w:rPr>
          <w:rFonts w:asciiTheme="majorHAnsi" w:hAnsiTheme="majorHAnsi"/>
          <w:sz w:val="20"/>
          <w:szCs w:val="20"/>
        </w:rPr>
      </w:pPr>
      <w:r w:rsidRPr="003F29ED">
        <w:rPr>
          <w:rFonts w:asciiTheme="majorHAnsi" w:hAnsiTheme="majorHAnsi"/>
          <w:sz w:val="20"/>
          <w:szCs w:val="20"/>
        </w:rPr>
        <w:t xml:space="preserve">On April 7, 2006, the Inter-American Commission on Human Rights (hereinafter “the Commission,” “the Inter-American Commission” or the “IACHR”) received a petition lodged by Mrs. Emilia Morales Campos (hereinafter “the petitioner”) alleging responsibility of the Republic of Costa Rica (hereinafter “State,” “Costa Rican State” or “Costa Rica”) for the alleged violation of the protections enshrined in the American Declaration of the Rights and Duties of Man (hereinafter “the Declaration” or “the American Declaration”), in the context of the processing of an application for a family housing voucher (hereinafter referred to as a “BFV” from the Spanish language initials of </w:t>
      </w:r>
      <w:r w:rsidRPr="003F29ED">
        <w:rPr>
          <w:rFonts w:asciiTheme="majorHAnsi" w:hAnsiTheme="majorHAnsi"/>
          <w:i/>
          <w:sz w:val="20"/>
          <w:szCs w:val="20"/>
        </w:rPr>
        <w:t>Bono Familiar de Vivienda</w:t>
      </w:r>
      <w:r w:rsidRPr="003F29ED">
        <w:rPr>
          <w:rFonts w:asciiTheme="majorHAnsi" w:hAnsiTheme="majorHAnsi"/>
          <w:sz w:val="20"/>
          <w:szCs w:val="20"/>
        </w:rPr>
        <w:t>),</w:t>
      </w:r>
      <w:r w:rsidRPr="003F29ED">
        <w:rPr>
          <w:rStyle w:val="FootnoteReference"/>
          <w:rFonts w:asciiTheme="majorHAnsi" w:hAnsiTheme="majorHAnsi"/>
          <w:sz w:val="20"/>
          <w:szCs w:val="20"/>
        </w:rPr>
        <w:footnoteReference w:id="1"/>
      </w:r>
      <w:r w:rsidRPr="003F29ED">
        <w:rPr>
          <w:rFonts w:asciiTheme="majorHAnsi" w:hAnsiTheme="majorHAnsi"/>
          <w:sz w:val="20"/>
          <w:szCs w:val="20"/>
        </w:rPr>
        <w:t xml:space="preserve"> which was submitted in 1991 and had not been resolved as of the date of the release of the Report on </w:t>
      </w:r>
      <w:r w:rsidR="006B1C31" w:rsidRPr="003F29ED">
        <w:rPr>
          <w:rFonts w:asciiTheme="majorHAnsi" w:hAnsiTheme="majorHAnsi"/>
          <w:sz w:val="20"/>
          <w:szCs w:val="20"/>
        </w:rPr>
        <w:t>Admissibility</w:t>
      </w:r>
      <w:r w:rsidRPr="003F29ED">
        <w:rPr>
          <w:rStyle w:val="FootnoteReference"/>
          <w:rFonts w:asciiTheme="majorHAnsi" w:hAnsiTheme="majorHAnsi"/>
          <w:sz w:val="20"/>
          <w:szCs w:val="20"/>
        </w:rPr>
        <w:footnoteReference w:id="2"/>
      </w:r>
      <w:r w:rsidR="006B1C31" w:rsidRPr="003F29ED">
        <w:rPr>
          <w:rFonts w:asciiTheme="majorHAnsi" w:hAnsiTheme="majorHAnsi"/>
          <w:sz w:val="20"/>
          <w:szCs w:val="20"/>
        </w:rPr>
        <w:t>.</w:t>
      </w:r>
      <w:r w:rsidRPr="003F29ED">
        <w:rPr>
          <w:rFonts w:asciiTheme="majorHAnsi" w:hAnsiTheme="majorHAnsi"/>
          <w:sz w:val="20"/>
          <w:szCs w:val="20"/>
        </w:rPr>
        <w:t xml:space="preserve"> </w:t>
      </w:r>
      <w:r w:rsidR="006B1C31" w:rsidRPr="003F29ED">
        <w:rPr>
          <w:rFonts w:asciiTheme="majorHAnsi" w:hAnsiTheme="majorHAnsi"/>
          <w:sz w:val="20"/>
          <w:szCs w:val="20"/>
        </w:rPr>
        <w:t xml:space="preserve"> The petitioner alleged that the result of the foregoing was that she and her daughter lived in precarious conditions for</w:t>
      </w:r>
      <w:r w:rsidR="00B45B46" w:rsidRPr="003F29ED">
        <w:rPr>
          <w:rFonts w:asciiTheme="majorHAnsi" w:hAnsiTheme="majorHAnsi"/>
          <w:sz w:val="20"/>
          <w:szCs w:val="20"/>
        </w:rPr>
        <w:t xml:space="preserve"> many</w:t>
      </w:r>
      <w:r w:rsidR="006B1C31" w:rsidRPr="003F29ED">
        <w:rPr>
          <w:rFonts w:asciiTheme="majorHAnsi" w:hAnsiTheme="majorHAnsi"/>
          <w:sz w:val="20"/>
          <w:szCs w:val="20"/>
        </w:rPr>
        <w:t xml:space="preserve"> years, which especially harmed the health and rights of both.</w:t>
      </w:r>
    </w:p>
    <w:p w:rsidR="00163E72" w:rsidRPr="003F29ED" w:rsidRDefault="00163E72" w:rsidP="00163E72">
      <w:pPr>
        <w:pStyle w:val="ListParagraph"/>
        <w:autoSpaceDE w:val="0"/>
        <w:autoSpaceDN w:val="0"/>
        <w:adjustRightInd w:val="0"/>
        <w:ind w:left="0" w:firstLine="720"/>
        <w:rPr>
          <w:rFonts w:asciiTheme="majorHAnsi" w:hAnsiTheme="majorHAnsi"/>
          <w:sz w:val="20"/>
          <w:szCs w:val="20"/>
        </w:rPr>
      </w:pPr>
    </w:p>
    <w:p w:rsidR="00163E72" w:rsidRPr="003F29ED" w:rsidRDefault="00163E72" w:rsidP="00364222">
      <w:pPr>
        <w:pStyle w:val="ListParagraph"/>
        <w:numPr>
          <w:ilvl w:val="0"/>
          <w:numId w:val="65"/>
        </w:numPr>
        <w:autoSpaceDE w:val="0"/>
        <w:autoSpaceDN w:val="0"/>
        <w:adjustRightInd w:val="0"/>
        <w:ind w:left="0" w:firstLine="720"/>
        <w:jc w:val="both"/>
        <w:rPr>
          <w:rFonts w:asciiTheme="majorHAnsi" w:hAnsiTheme="majorHAnsi"/>
          <w:sz w:val="20"/>
          <w:szCs w:val="20"/>
        </w:rPr>
      </w:pPr>
      <w:r w:rsidRPr="003F29ED">
        <w:rPr>
          <w:rFonts w:asciiTheme="majorHAnsi" w:hAnsiTheme="majorHAnsi"/>
          <w:sz w:val="20"/>
          <w:szCs w:val="20"/>
        </w:rPr>
        <w:t xml:space="preserve">The petitioner alleged that the Costa Rican State is responsible for the violation of the right to a family and to protection thereof, to the preservation of health and to wellbeing, and to property, as enshrined in Articles VI, XI and XXIII of the American Declaration, to the detriment of herself and her daughter, as a result of the State’s failure to provide an effective response in handling her application. </w:t>
      </w:r>
    </w:p>
    <w:p w:rsidR="00163E72" w:rsidRPr="003F29ED" w:rsidRDefault="00163E72" w:rsidP="00163E72">
      <w:pPr>
        <w:pStyle w:val="ListParagraph"/>
        <w:jc w:val="both"/>
        <w:rPr>
          <w:rFonts w:asciiTheme="majorHAnsi" w:hAnsiTheme="majorHAnsi"/>
          <w:sz w:val="20"/>
          <w:szCs w:val="20"/>
        </w:rPr>
      </w:pPr>
    </w:p>
    <w:p w:rsidR="00C80FA4" w:rsidRPr="003F29ED" w:rsidRDefault="00163E72" w:rsidP="00364222">
      <w:pPr>
        <w:pStyle w:val="ListParagraph"/>
        <w:numPr>
          <w:ilvl w:val="0"/>
          <w:numId w:val="65"/>
        </w:numPr>
        <w:ind w:left="0" w:firstLine="720"/>
        <w:jc w:val="both"/>
        <w:rPr>
          <w:rFonts w:asciiTheme="majorHAnsi" w:hAnsiTheme="majorHAnsi" w:cs="Calibri"/>
          <w:sz w:val="20"/>
          <w:szCs w:val="20"/>
        </w:rPr>
      </w:pPr>
      <w:r w:rsidRPr="003F29ED">
        <w:rPr>
          <w:rFonts w:asciiTheme="majorHAnsi" w:hAnsiTheme="majorHAnsi" w:cs="Calibri"/>
          <w:sz w:val="20"/>
          <w:szCs w:val="20"/>
        </w:rPr>
        <w:t xml:space="preserve">On April 3, 2014, the IACHR issued Report on Admissibility No. 19/14. In its report, the IACHR concluded that it was competent to examine the claim of alleged violation of Articles 5 (humane treatment), 8 (right to a fair trial), 19 (rights of the child), 25 (judicial protection) and 26 (progressive development) of the American Convention on Human Rights (hereinafter “the American Convention”), all in keeping with the general obligation to respect and ensure rights, as provided for in Articles 1.1 and 2 of the same instrument. </w:t>
      </w:r>
    </w:p>
    <w:p w:rsidR="00C80FA4" w:rsidRPr="003F29ED" w:rsidRDefault="00C80FA4" w:rsidP="00C80FA4">
      <w:pPr>
        <w:pStyle w:val="ListParagraph"/>
        <w:rPr>
          <w:rFonts w:asciiTheme="majorHAnsi" w:hAnsiTheme="majorHAnsi" w:cs="Calibri"/>
          <w:sz w:val="20"/>
          <w:szCs w:val="20"/>
        </w:rPr>
      </w:pPr>
    </w:p>
    <w:p w:rsidR="00C80FA4" w:rsidRPr="003F29ED" w:rsidRDefault="00163E72" w:rsidP="00364222">
      <w:pPr>
        <w:pStyle w:val="ListParagraph"/>
        <w:numPr>
          <w:ilvl w:val="0"/>
          <w:numId w:val="65"/>
        </w:numPr>
        <w:ind w:left="0" w:firstLine="720"/>
        <w:jc w:val="both"/>
        <w:rPr>
          <w:rFonts w:asciiTheme="majorHAnsi" w:hAnsiTheme="majorHAnsi" w:cs="Calibri"/>
          <w:sz w:val="20"/>
          <w:szCs w:val="20"/>
        </w:rPr>
      </w:pPr>
      <w:r w:rsidRPr="003F29ED">
        <w:rPr>
          <w:rFonts w:asciiTheme="majorHAnsi" w:hAnsiTheme="majorHAnsi" w:cs="Calibri"/>
          <w:sz w:val="20"/>
          <w:szCs w:val="20"/>
        </w:rPr>
        <w:t xml:space="preserve">On September 3, 2015, the parties </w:t>
      </w:r>
      <w:r w:rsidR="002B02FA" w:rsidRPr="003F29ED">
        <w:rPr>
          <w:rFonts w:asciiTheme="majorHAnsi" w:hAnsiTheme="majorHAnsi" w:cs="Calibri"/>
          <w:sz w:val="20"/>
          <w:szCs w:val="20"/>
        </w:rPr>
        <w:t>began the search for</w:t>
      </w:r>
      <w:r w:rsidRPr="003F29ED">
        <w:rPr>
          <w:rFonts w:asciiTheme="majorHAnsi" w:hAnsiTheme="majorHAnsi" w:cs="Calibri"/>
          <w:sz w:val="20"/>
          <w:szCs w:val="20"/>
        </w:rPr>
        <w:t xml:space="preserve"> a friendly settlement, </w:t>
      </w:r>
      <w:r w:rsidR="002B02FA" w:rsidRPr="003F29ED">
        <w:rPr>
          <w:rFonts w:asciiTheme="majorHAnsi" w:hAnsiTheme="majorHAnsi" w:cs="Calibri"/>
          <w:sz w:val="20"/>
          <w:szCs w:val="20"/>
        </w:rPr>
        <w:t xml:space="preserve">which </w:t>
      </w:r>
      <w:r w:rsidR="00C80FA4" w:rsidRPr="003F29ED">
        <w:rPr>
          <w:rFonts w:asciiTheme="majorHAnsi" w:hAnsiTheme="majorHAnsi" w:cs="Calibri"/>
          <w:sz w:val="20"/>
          <w:szCs w:val="20"/>
        </w:rPr>
        <w:t xml:space="preserve"> was </w:t>
      </w:r>
      <w:r w:rsidR="002B02FA" w:rsidRPr="003F29ED">
        <w:rPr>
          <w:rFonts w:asciiTheme="majorHAnsi" w:hAnsiTheme="majorHAnsi" w:cs="Calibri"/>
          <w:sz w:val="20"/>
          <w:szCs w:val="20"/>
        </w:rPr>
        <w:t xml:space="preserve">materialized with </w:t>
      </w:r>
      <w:r w:rsidRPr="003F29ED">
        <w:rPr>
          <w:rFonts w:asciiTheme="majorHAnsi" w:hAnsiTheme="majorHAnsi" w:cs="Calibri"/>
          <w:sz w:val="20"/>
          <w:szCs w:val="20"/>
        </w:rPr>
        <w:t>the signing of a friendly settlement agreement (hereinafter “FSA” or “Agreement”)</w:t>
      </w:r>
      <w:r w:rsidR="002B02FA" w:rsidRPr="003F29ED">
        <w:rPr>
          <w:rFonts w:asciiTheme="majorHAnsi" w:hAnsiTheme="majorHAnsi" w:cs="Calibri"/>
          <w:sz w:val="20"/>
          <w:szCs w:val="20"/>
        </w:rPr>
        <w:t xml:space="preserve"> o</w:t>
      </w:r>
      <w:r w:rsidRPr="003F29ED">
        <w:rPr>
          <w:rFonts w:asciiTheme="majorHAnsi" w:hAnsiTheme="majorHAnsi" w:cs="Calibri"/>
          <w:sz w:val="20"/>
          <w:szCs w:val="20"/>
        </w:rPr>
        <w:t xml:space="preserve">n July 20, 2018, </w:t>
      </w:r>
      <w:r w:rsidR="00C80FA4" w:rsidRPr="003F29ED">
        <w:rPr>
          <w:rFonts w:asciiTheme="majorHAnsi" w:hAnsiTheme="majorHAnsi" w:cs="Calibri"/>
          <w:sz w:val="20"/>
          <w:szCs w:val="20"/>
        </w:rPr>
        <w:t>within of the framework of the petition filed before the Inter-American Commission on Human Rights against the Costa Rican State.</w:t>
      </w:r>
    </w:p>
    <w:p w:rsidR="00C80FA4" w:rsidRPr="003F29ED" w:rsidRDefault="00C80FA4" w:rsidP="00C80FA4">
      <w:pPr>
        <w:pStyle w:val="ListParagraph"/>
        <w:rPr>
          <w:rFonts w:asciiTheme="majorHAnsi" w:hAnsiTheme="majorHAnsi" w:cs="Arial"/>
          <w:sz w:val="20"/>
          <w:szCs w:val="20"/>
        </w:rPr>
      </w:pPr>
    </w:p>
    <w:p w:rsidR="00163E72" w:rsidRPr="003F29ED" w:rsidRDefault="00163E72" w:rsidP="00364222">
      <w:pPr>
        <w:pStyle w:val="ListParagraph"/>
        <w:numPr>
          <w:ilvl w:val="0"/>
          <w:numId w:val="65"/>
        </w:numPr>
        <w:ind w:left="0" w:firstLine="720"/>
        <w:jc w:val="both"/>
        <w:rPr>
          <w:rFonts w:asciiTheme="majorHAnsi" w:hAnsiTheme="majorHAnsi" w:cs="Calibri"/>
          <w:sz w:val="20"/>
          <w:szCs w:val="20"/>
        </w:rPr>
      </w:pPr>
      <w:r w:rsidRPr="003F29ED">
        <w:rPr>
          <w:rFonts w:asciiTheme="majorHAnsi" w:hAnsiTheme="majorHAnsi" w:cs="Arial"/>
          <w:sz w:val="20"/>
          <w:szCs w:val="20"/>
        </w:rPr>
        <w:t xml:space="preserve">During the friendly settlement negotiation process, the petitioner stated that her only claim was to obtain a dignified house to live in. On July 20, 2018, the parties entered into a friendly settlement agreement, which addressed the petitioner’s claim, among other things. It is fitting to remark that the </w:t>
      </w:r>
      <w:r w:rsidR="00C80FA4" w:rsidRPr="003F29ED">
        <w:rPr>
          <w:rFonts w:asciiTheme="majorHAnsi" w:hAnsiTheme="majorHAnsi" w:cs="Arial"/>
          <w:sz w:val="20"/>
          <w:szCs w:val="20"/>
        </w:rPr>
        <w:t xml:space="preserve">Commission has </w:t>
      </w:r>
      <w:r w:rsidR="00531E8A">
        <w:rPr>
          <w:rFonts w:asciiTheme="majorHAnsi" w:hAnsiTheme="majorHAnsi" w:cs="Arial"/>
          <w:sz w:val="20"/>
          <w:szCs w:val="20"/>
        </w:rPr>
        <w:t>highlighted</w:t>
      </w:r>
      <w:r w:rsidR="00C80FA4" w:rsidRPr="003F29ED">
        <w:rPr>
          <w:rFonts w:asciiTheme="majorHAnsi" w:hAnsiTheme="majorHAnsi" w:cs="Arial"/>
          <w:sz w:val="20"/>
          <w:szCs w:val="20"/>
        </w:rPr>
        <w:t xml:space="preserve"> that this is the first friendly settlement agreement signed by the State of Costa Rica</w:t>
      </w:r>
      <w:r w:rsidRPr="003F29ED">
        <w:rPr>
          <w:rFonts w:asciiTheme="majorHAnsi" w:hAnsiTheme="majorHAnsi" w:cs="Arial"/>
          <w:sz w:val="20"/>
          <w:szCs w:val="20"/>
        </w:rPr>
        <w:t>.</w:t>
      </w:r>
      <w:r w:rsidRPr="003F29ED">
        <w:rPr>
          <w:rStyle w:val="FootnoteReference"/>
          <w:rFonts w:asciiTheme="majorHAnsi" w:hAnsiTheme="majorHAnsi" w:cs="Tahoma"/>
          <w:sz w:val="20"/>
          <w:szCs w:val="20"/>
        </w:rPr>
        <w:footnoteReference w:id="3"/>
      </w:r>
      <w:r w:rsidRPr="003F29ED">
        <w:rPr>
          <w:rFonts w:asciiTheme="majorHAnsi" w:hAnsiTheme="majorHAnsi" w:cs="Tahoma"/>
          <w:sz w:val="20"/>
          <w:szCs w:val="20"/>
        </w:rPr>
        <w:t xml:space="preserve"> </w:t>
      </w:r>
    </w:p>
    <w:p w:rsidR="00163E72" w:rsidRPr="003F29ED" w:rsidRDefault="00163E72" w:rsidP="00163E72">
      <w:pPr>
        <w:pStyle w:val="ListParagraph"/>
        <w:rPr>
          <w:rFonts w:asciiTheme="majorHAnsi" w:hAnsiTheme="majorHAnsi" w:cs="Tahoma"/>
          <w:sz w:val="20"/>
          <w:szCs w:val="20"/>
        </w:rPr>
      </w:pPr>
    </w:p>
    <w:p w:rsidR="0041406D" w:rsidRPr="003F29ED" w:rsidRDefault="00163E72" w:rsidP="00364222">
      <w:pPr>
        <w:pStyle w:val="ListParagraph"/>
        <w:numPr>
          <w:ilvl w:val="0"/>
          <w:numId w:val="65"/>
        </w:numPr>
        <w:tabs>
          <w:tab w:val="left" w:pos="1440"/>
          <w:tab w:val="num" w:pos="4320"/>
        </w:tabs>
        <w:ind w:left="0" w:firstLine="720"/>
        <w:jc w:val="both"/>
        <w:rPr>
          <w:rFonts w:asciiTheme="majorHAnsi" w:hAnsiTheme="majorHAnsi" w:cs="Arial"/>
          <w:sz w:val="20"/>
          <w:szCs w:val="20"/>
        </w:rPr>
      </w:pPr>
      <w:r w:rsidRPr="003F29ED">
        <w:rPr>
          <w:rFonts w:asciiTheme="majorHAnsi" w:hAnsiTheme="majorHAnsi" w:cs="Tahoma"/>
          <w:sz w:val="20"/>
          <w:szCs w:val="20"/>
        </w:rPr>
        <w:t xml:space="preserve">In a communication of October 18, 2018, the State reported signing the FSA with Mrs. Emilia Morales Campos, and forwarded a copy thereof. </w:t>
      </w:r>
    </w:p>
    <w:p w:rsidR="0041406D" w:rsidRPr="003F29ED" w:rsidRDefault="0041406D" w:rsidP="0041406D">
      <w:pPr>
        <w:pStyle w:val="ListParagraph"/>
        <w:rPr>
          <w:rFonts w:asciiTheme="majorHAnsi" w:hAnsiTheme="majorHAnsi" w:cs="Tahoma"/>
          <w:sz w:val="20"/>
          <w:szCs w:val="20"/>
        </w:rPr>
      </w:pPr>
    </w:p>
    <w:p w:rsidR="000670A0" w:rsidRPr="003F29ED" w:rsidRDefault="00163E72" w:rsidP="00364222">
      <w:pPr>
        <w:pStyle w:val="ListParagraph"/>
        <w:numPr>
          <w:ilvl w:val="0"/>
          <w:numId w:val="65"/>
        </w:numPr>
        <w:tabs>
          <w:tab w:val="left" w:pos="1440"/>
          <w:tab w:val="num" w:pos="4320"/>
        </w:tabs>
        <w:ind w:left="0" w:firstLine="720"/>
        <w:jc w:val="both"/>
        <w:rPr>
          <w:rFonts w:asciiTheme="majorHAnsi" w:hAnsiTheme="majorHAnsi" w:cs="Arial"/>
          <w:sz w:val="20"/>
          <w:szCs w:val="20"/>
        </w:rPr>
      </w:pPr>
      <w:r w:rsidRPr="003F29ED">
        <w:rPr>
          <w:rFonts w:asciiTheme="majorHAnsi" w:hAnsiTheme="majorHAnsi" w:cs="Tahoma"/>
          <w:sz w:val="20"/>
          <w:szCs w:val="20"/>
        </w:rPr>
        <w:t xml:space="preserve">On April 5, 2019, the State and the petitioner submitted a report signed by both parties, </w:t>
      </w:r>
      <w:r w:rsidR="00AA6FBF" w:rsidRPr="003F29ED">
        <w:rPr>
          <w:rFonts w:asciiTheme="majorHAnsi" w:hAnsiTheme="majorHAnsi" w:cs="Tahoma"/>
          <w:sz w:val="20"/>
          <w:szCs w:val="20"/>
        </w:rPr>
        <w:t>in which they reported that the transfer of ownership of the house to Mrs. Emilia Morales Campos took place that same day</w:t>
      </w:r>
      <w:r w:rsidRPr="003F29ED">
        <w:rPr>
          <w:rFonts w:asciiTheme="majorHAnsi" w:hAnsiTheme="majorHAnsi" w:cs="Tahoma"/>
          <w:sz w:val="20"/>
          <w:szCs w:val="20"/>
        </w:rPr>
        <w:t xml:space="preserve">. They also requested prompt approval of the friendly settlement agreement signed on July 20, 2018. </w:t>
      </w:r>
    </w:p>
    <w:p w:rsidR="000670A0" w:rsidRPr="003F29ED" w:rsidRDefault="000670A0" w:rsidP="000670A0">
      <w:pPr>
        <w:pStyle w:val="ListParagraph"/>
        <w:rPr>
          <w:rFonts w:asciiTheme="majorHAnsi" w:hAnsiTheme="majorHAnsi"/>
          <w:sz w:val="20"/>
          <w:szCs w:val="20"/>
        </w:rPr>
      </w:pPr>
    </w:p>
    <w:p w:rsidR="00163E72" w:rsidRPr="003F29ED" w:rsidRDefault="000670A0" w:rsidP="00364222">
      <w:pPr>
        <w:pStyle w:val="ListParagraph"/>
        <w:numPr>
          <w:ilvl w:val="0"/>
          <w:numId w:val="65"/>
        </w:numPr>
        <w:tabs>
          <w:tab w:val="left" w:pos="1440"/>
          <w:tab w:val="num" w:pos="4320"/>
        </w:tabs>
        <w:ind w:left="0" w:firstLine="720"/>
        <w:jc w:val="both"/>
        <w:rPr>
          <w:rFonts w:asciiTheme="majorHAnsi" w:hAnsiTheme="majorHAnsi" w:cs="Arial"/>
          <w:sz w:val="20"/>
          <w:szCs w:val="20"/>
        </w:rPr>
      </w:pPr>
      <w:r w:rsidRPr="003F29ED">
        <w:rPr>
          <w:rFonts w:asciiTheme="majorHAnsi" w:hAnsiTheme="majorHAnsi"/>
          <w:sz w:val="20"/>
          <w:szCs w:val="20"/>
        </w:rPr>
        <w:lastRenderedPageBreak/>
        <w:t>This friendly settlement report, pursuant to the terms of Article 49 of the Convention and Article 40.5 of the Commission’s Rules of Procedure, provides an overview of the facts alleged by the petitioners and a transcription of the friendly settlement agreement signed by the petitioners and representatives of the Costa Rican State on July 20, 2018. It also approves the agreement signed by the parties and agrees on the publication of this report in the IACHR’s Annual Report to the General Assembly of the Organization of American States.</w:t>
      </w:r>
    </w:p>
    <w:p w:rsidR="000670A0" w:rsidRPr="003F29ED" w:rsidRDefault="000670A0" w:rsidP="000670A0">
      <w:pPr>
        <w:tabs>
          <w:tab w:val="left" w:pos="1440"/>
        </w:tabs>
        <w:jc w:val="both"/>
        <w:rPr>
          <w:rFonts w:asciiTheme="majorHAnsi" w:hAnsiTheme="majorHAnsi" w:cs="Arial"/>
          <w:sz w:val="20"/>
          <w:szCs w:val="20"/>
        </w:rPr>
      </w:pPr>
    </w:p>
    <w:p w:rsidR="00163E72" w:rsidRPr="003F29ED" w:rsidRDefault="00163E72" w:rsidP="00FD5274">
      <w:pPr>
        <w:pStyle w:val="ListParagraph"/>
        <w:numPr>
          <w:ilvl w:val="0"/>
          <w:numId w:val="52"/>
        </w:numPr>
        <w:tabs>
          <w:tab w:val="left" w:pos="810"/>
          <w:tab w:val="left" w:pos="1440"/>
        </w:tabs>
        <w:ind w:left="0" w:firstLine="720"/>
        <w:contextualSpacing/>
        <w:rPr>
          <w:rFonts w:asciiTheme="majorHAnsi" w:hAnsiTheme="majorHAnsi"/>
          <w:b/>
          <w:sz w:val="20"/>
          <w:szCs w:val="20"/>
        </w:rPr>
      </w:pPr>
      <w:r w:rsidRPr="003F29ED">
        <w:rPr>
          <w:rFonts w:asciiTheme="majorHAnsi" w:hAnsiTheme="majorHAnsi"/>
          <w:b/>
          <w:sz w:val="20"/>
          <w:szCs w:val="20"/>
        </w:rPr>
        <w:t xml:space="preserve">ALLEGED FACTS </w:t>
      </w:r>
    </w:p>
    <w:p w:rsidR="00163E72" w:rsidRPr="003F29ED" w:rsidRDefault="00163E72" w:rsidP="00163E72">
      <w:pPr>
        <w:pStyle w:val="ListParagraph"/>
        <w:contextualSpacing/>
        <w:jc w:val="both"/>
        <w:rPr>
          <w:rFonts w:asciiTheme="majorHAnsi" w:hAnsiTheme="majorHAnsi" w:cs="Calibri"/>
          <w:sz w:val="20"/>
          <w:szCs w:val="20"/>
        </w:rPr>
      </w:pPr>
    </w:p>
    <w:p w:rsidR="00163E72" w:rsidRPr="003F29ED" w:rsidRDefault="00163E72" w:rsidP="00364222">
      <w:pPr>
        <w:pStyle w:val="ListParagraph"/>
        <w:numPr>
          <w:ilvl w:val="0"/>
          <w:numId w:val="65"/>
        </w:numPr>
        <w:ind w:left="0" w:firstLine="720"/>
        <w:contextualSpacing/>
        <w:jc w:val="both"/>
        <w:rPr>
          <w:rFonts w:asciiTheme="majorHAnsi" w:hAnsiTheme="majorHAnsi" w:cs="Calibri"/>
          <w:sz w:val="20"/>
          <w:szCs w:val="20"/>
        </w:rPr>
      </w:pPr>
      <w:r w:rsidRPr="003F29ED">
        <w:rPr>
          <w:rFonts w:asciiTheme="majorHAnsi" w:hAnsiTheme="majorHAnsi" w:cs="Calibri"/>
          <w:sz w:val="20"/>
          <w:szCs w:val="20"/>
        </w:rPr>
        <w:t xml:space="preserve">The petitioner alleged that, since 1991, she has been applying for a family housing voucher (BFV), first to purchase a house, and then to make improvements to a property she received as a gift from private individuals, and that the Costa Rican State has prevented her from gaining access to resources in order to obtain this benefit. The petitioner </w:t>
      </w:r>
      <w:r w:rsidR="00E1747D" w:rsidRPr="003F29ED">
        <w:rPr>
          <w:rFonts w:asciiTheme="majorHAnsi" w:hAnsiTheme="majorHAnsi" w:cs="Calibri"/>
          <w:sz w:val="20"/>
          <w:szCs w:val="20"/>
        </w:rPr>
        <w:t>claims</w:t>
      </w:r>
      <w:r w:rsidRPr="003F29ED">
        <w:rPr>
          <w:rFonts w:asciiTheme="majorHAnsi" w:hAnsiTheme="majorHAnsi" w:cs="Calibri"/>
          <w:sz w:val="20"/>
          <w:szCs w:val="20"/>
        </w:rPr>
        <w:t xml:space="preserve"> that the house donated to her was in very poor condition and posed a risk to her and her daughter, who at that time was </w:t>
      </w:r>
      <w:r w:rsidR="00E1747D" w:rsidRPr="003F29ED">
        <w:rPr>
          <w:rFonts w:asciiTheme="majorHAnsi" w:hAnsiTheme="majorHAnsi" w:cs="Calibri"/>
          <w:sz w:val="20"/>
          <w:szCs w:val="20"/>
        </w:rPr>
        <w:t>11</w:t>
      </w:r>
      <w:r w:rsidRPr="003F29ED">
        <w:rPr>
          <w:rFonts w:asciiTheme="majorHAnsi" w:hAnsiTheme="majorHAnsi" w:cs="Calibri"/>
          <w:sz w:val="20"/>
          <w:szCs w:val="20"/>
        </w:rPr>
        <w:t xml:space="preserve"> years old. The petitioner further contends that she suffers from severe bronchial asthma, and that conditions in the house posed a health risk to her. </w:t>
      </w:r>
    </w:p>
    <w:p w:rsidR="00163E72" w:rsidRPr="003F29ED" w:rsidRDefault="00163E72" w:rsidP="00163E72">
      <w:pPr>
        <w:pStyle w:val="ListParagraph"/>
        <w:contextualSpacing/>
        <w:jc w:val="both"/>
        <w:rPr>
          <w:rFonts w:asciiTheme="majorHAnsi" w:hAnsiTheme="majorHAnsi" w:cs="Calibri"/>
          <w:sz w:val="20"/>
          <w:szCs w:val="20"/>
        </w:rPr>
      </w:pPr>
      <w:r w:rsidRPr="003F29ED">
        <w:rPr>
          <w:rFonts w:asciiTheme="majorHAnsi" w:hAnsiTheme="majorHAnsi" w:cs="Calibri"/>
          <w:sz w:val="20"/>
          <w:szCs w:val="20"/>
        </w:rPr>
        <w:t xml:space="preserve"> </w:t>
      </w:r>
    </w:p>
    <w:p w:rsidR="00F45D2F" w:rsidRPr="003F29ED" w:rsidRDefault="00163E72" w:rsidP="00364222">
      <w:pPr>
        <w:pStyle w:val="ListParagraph"/>
        <w:numPr>
          <w:ilvl w:val="0"/>
          <w:numId w:val="65"/>
        </w:numPr>
        <w:tabs>
          <w:tab w:val="num" w:pos="0"/>
        </w:tabs>
        <w:ind w:left="0" w:firstLine="720"/>
        <w:contextualSpacing/>
        <w:jc w:val="both"/>
        <w:rPr>
          <w:rFonts w:asciiTheme="majorHAnsi" w:hAnsiTheme="majorHAnsi" w:cs="Calibri"/>
          <w:sz w:val="20"/>
          <w:szCs w:val="20"/>
        </w:rPr>
      </w:pPr>
      <w:r w:rsidRPr="003F29ED">
        <w:rPr>
          <w:rFonts w:asciiTheme="majorHAnsi" w:hAnsiTheme="majorHAnsi" w:cs="Calibri"/>
          <w:sz w:val="20"/>
          <w:szCs w:val="20"/>
        </w:rPr>
        <w:t>She further asserts that between 1991 and 1997, she attempted to secure a BFV and contacted authorities. However, the petitioner claims that the authorities merely sent letters to the Ministry of Housing and Human Settlements and the National Housing and Urban Development Institute asking them to aid her in processing the BFV application, but no significant action was taken.</w:t>
      </w:r>
    </w:p>
    <w:p w:rsidR="00F45D2F" w:rsidRPr="003F29ED" w:rsidRDefault="00F45D2F" w:rsidP="00F45D2F">
      <w:pPr>
        <w:pStyle w:val="ListParagraph"/>
        <w:rPr>
          <w:rFonts w:asciiTheme="majorHAnsi" w:hAnsiTheme="majorHAnsi" w:cs="Calibri"/>
          <w:sz w:val="20"/>
          <w:szCs w:val="20"/>
        </w:rPr>
      </w:pPr>
    </w:p>
    <w:p w:rsidR="00163E72" w:rsidRPr="003F29ED" w:rsidRDefault="00163E72" w:rsidP="00364222">
      <w:pPr>
        <w:pStyle w:val="ListParagraph"/>
        <w:numPr>
          <w:ilvl w:val="0"/>
          <w:numId w:val="65"/>
        </w:numPr>
        <w:tabs>
          <w:tab w:val="num" w:pos="0"/>
        </w:tabs>
        <w:ind w:left="0" w:firstLine="720"/>
        <w:contextualSpacing/>
        <w:jc w:val="both"/>
        <w:rPr>
          <w:rFonts w:asciiTheme="majorHAnsi" w:hAnsiTheme="majorHAnsi" w:cs="Calibri"/>
          <w:sz w:val="20"/>
          <w:szCs w:val="20"/>
        </w:rPr>
      </w:pPr>
      <w:r w:rsidRPr="003F29ED">
        <w:rPr>
          <w:rFonts w:asciiTheme="majorHAnsi" w:hAnsiTheme="majorHAnsi" w:cs="Calibri"/>
          <w:sz w:val="20"/>
          <w:szCs w:val="20"/>
        </w:rPr>
        <w:t>The petitioner alleged that on November 13, 1997, she and her daughter received a house as a gift from private individuals, which was located 1.5 meters away from a stream. Because of humidity and soil erosion</w:t>
      </w:r>
      <w:r w:rsidR="002A1100" w:rsidRPr="003F29ED">
        <w:rPr>
          <w:rFonts w:asciiTheme="majorHAnsi" w:hAnsiTheme="majorHAnsi" w:cs="Calibri"/>
          <w:sz w:val="20"/>
          <w:szCs w:val="20"/>
        </w:rPr>
        <w:t>,</w:t>
      </w:r>
      <w:r w:rsidRPr="003F29ED">
        <w:rPr>
          <w:rFonts w:asciiTheme="majorHAnsi" w:hAnsiTheme="majorHAnsi" w:cs="Calibri"/>
          <w:sz w:val="20"/>
          <w:szCs w:val="20"/>
        </w:rPr>
        <w:t xml:space="preserve"> </w:t>
      </w:r>
      <w:r w:rsidR="002A1100" w:rsidRPr="003F29ED">
        <w:rPr>
          <w:rFonts w:asciiTheme="majorHAnsi" w:hAnsiTheme="majorHAnsi" w:cs="Calibri"/>
          <w:sz w:val="20"/>
          <w:szCs w:val="20"/>
        </w:rPr>
        <w:t>product</w:t>
      </w:r>
      <w:r w:rsidRPr="003F29ED">
        <w:rPr>
          <w:rFonts w:asciiTheme="majorHAnsi" w:hAnsiTheme="majorHAnsi" w:cs="Calibri"/>
          <w:sz w:val="20"/>
          <w:szCs w:val="20"/>
        </w:rPr>
        <w:t xml:space="preserve"> </w:t>
      </w:r>
      <w:r w:rsidR="002A1100" w:rsidRPr="003F29ED">
        <w:rPr>
          <w:rFonts w:asciiTheme="majorHAnsi" w:hAnsiTheme="majorHAnsi" w:cs="Calibri"/>
          <w:sz w:val="20"/>
          <w:szCs w:val="20"/>
        </w:rPr>
        <w:t xml:space="preserve">of </w:t>
      </w:r>
      <w:r w:rsidRPr="003F29ED">
        <w:rPr>
          <w:rFonts w:asciiTheme="majorHAnsi" w:hAnsiTheme="majorHAnsi" w:cs="Calibri"/>
          <w:sz w:val="20"/>
          <w:szCs w:val="20"/>
        </w:rPr>
        <w:t xml:space="preserve">the water in the streambed, the house was in an advanced state of deterioration and </w:t>
      </w:r>
      <w:r w:rsidR="002A1100" w:rsidRPr="003F29ED">
        <w:rPr>
          <w:rFonts w:asciiTheme="majorHAnsi" w:hAnsiTheme="majorHAnsi" w:cs="Calibri"/>
          <w:sz w:val="20"/>
          <w:szCs w:val="20"/>
        </w:rPr>
        <w:t>instability</w:t>
      </w:r>
      <w:r w:rsidRPr="003F29ED">
        <w:rPr>
          <w:rFonts w:asciiTheme="majorHAnsi" w:hAnsiTheme="majorHAnsi" w:cs="Calibri"/>
          <w:sz w:val="20"/>
          <w:szCs w:val="20"/>
        </w:rPr>
        <w:t xml:space="preserve">, posing a risk to her and her daughter. She </w:t>
      </w:r>
      <w:r w:rsidR="002A1100" w:rsidRPr="003F29ED">
        <w:rPr>
          <w:rFonts w:asciiTheme="majorHAnsi" w:hAnsiTheme="majorHAnsi" w:cs="Calibri"/>
          <w:sz w:val="20"/>
          <w:szCs w:val="20"/>
        </w:rPr>
        <w:t>alleged</w:t>
      </w:r>
      <w:r w:rsidRPr="003F29ED">
        <w:rPr>
          <w:rFonts w:asciiTheme="majorHAnsi" w:hAnsiTheme="majorHAnsi" w:cs="Calibri"/>
          <w:sz w:val="20"/>
          <w:szCs w:val="20"/>
        </w:rPr>
        <w:t xml:space="preserve"> </w:t>
      </w:r>
      <w:r w:rsidR="00F45D2F" w:rsidRPr="003F29ED">
        <w:rPr>
          <w:rFonts w:asciiTheme="majorHAnsi" w:hAnsiTheme="majorHAnsi" w:cs="Calibri"/>
          <w:sz w:val="20"/>
          <w:szCs w:val="20"/>
        </w:rPr>
        <w:t>that her health was aggravated since the housing conditions were not suitable for an asthmatic person</w:t>
      </w:r>
      <w:r w:rsidRPr="003F29ED">
        <w:rPr>
          <w:rFonts w:asciiTheme="majorHAnsi" w:hAnsiTheme="majorHAnsi" w:cs="Calibri"/>
          <w:sz w:val="20"/>
          <w:szCs w:val="20"/>
        </w:rPr>
        <w:t xml:space="preserve">.  The petitioner notes that, consequently, she needed to make improvements to the property and that the Bureau of Engineering and Operations of the Municipality of Goicoechea conducted an inspection visit to the petitioner’s property and issued an written opinion dated August 13, 1997, ruling that Mrs. Morales should relinquish or sell the property in order to obtain a full housing voucher that would allow her to obtain a house elsewhere. </w:t>
      </w:r>
    </w:p>
    <w:p w:rsidR="00163E72" w:rsidRPr="003F29ED" w:rsidRDefault="00163E72" w:rsidP="00163E72">
      <w:pPr>
        <w:pStyle w:val="ListParagraph"/>
        <w:rPr>
          <w:rFonts w:asciiTheme="majorHAnsi" w:hAnsiTheme="majorHAnsi" w:cs="Calibri"/>
          <w:sz w:val="20"/>
          <w:szCs w:val="20"/>
        </w:rPr>
      </w:pPr>
    </w:p>
    <w:p w:rsidR="009C1E6B" w:rsidRPr="003F29ED" w:rsidRDefault="00163E72" w:rsidP="00364222">
      <w:pPr>
        <w:pStyle w:val="ListParagraph"/>
        <w:numPr>
          <w:ilvl w:val="0"/>
          <w:numId w:val="65"/>
        </w:numPr>
        <w:tabs>
          <w:tab w:val="num" w:pos="0"/>
        </w:tabs>
        <w:ind w:left="0" w:firstLine="720"/>
        <w:contextualSpacing/>
        <w:jc w:val="both"/>
        <w:rPr>
          <w:rFonts w:asciiTheme="majorHAnsi" w:hAnsiTheme="majorHAnsi" w:cs="Calibri"/>
          <w:sz w:val="20"/>
          <w:szCs w:val="20"/>
        </w:rPr>
      </w:pPr>
      <w:r w:rsidRPr="003F29ED">
        <w:rPr>
          <w:rFonts w:asciiTheme="majorHAnsi" w:hAnsiTheme="majorHAnsi" w:cs="Calibri"/>
          <w:sz w:val="20"/>
          <w:szCs w:val="20"/>
        </w:rPr>
        <w:t>The petitioner argued that on May 16, 1998, she filed a complaint with the Ombudsman’s Office (</w:t>
      </w:r>
      <w:r w:rsidRPr="003F29ED">
        <w:rPr>
          <w:rFonts w:asciiTheme="majorHAnsi" w:hAnsiTheme="majorHAnsi" w:cs="Calibri"/>
          <w:i/>
          <w:sz w:val="20"/>
          <w:szCs w:val="20"/>
        </w:rPr>
        <w:t>Defensoría de los Habitantes</w:t>
      </w:r>
      <w:r w:rsidRPr="003F29ED">
        <w:rPr>
          <w:rFonts w:asciiTheme="majorHAnsi" w:hAnsiTheme="majorHAnsi" w:cs="Calibri"/>
          <w:sz w:val="20"/>
          <w:szCs w:val="20"/>
        </w:rPr>
        <w:t xml:space="preserve">). She also claimed that she submitted documents to a public cooperative called UNIVICOOP, which lost them and, therefore, she received no response from this institution. </w:t>
      </w:r>
    </w:p>
    <w:p w:rsidR="009C1E6B" w:rsidRPr="003F29ED" w:rsidRDefault="009C1E6B" w:rsidP="009C1E6B">
      <w:pPr>
        <w:pStyle w:val="ListParagraph"/>
        <w:rPr>
          <w:rFonts w:asciiTheme="majorHAnsi" w:hAnsiTheme="majorHAnsi" w:cs="Calibri"/>
          <w:sz w:val="20"/>
          <w:szCs w:val="20"/>
        </w:rPr>
      </w:pPr>
    </w:p>
    <w:p w:rsidR="00163E72" w:rsidRPr="003F29ED" w:rsidRDefault="00163E72" w:rsidP="00364222">
      <w:pPr>
        <w:pStyle w:val="ListParagraph"/>
        <w:numPr>
          <w:ilvl w:val="0"/>
          <w:numId w:val="65"/>
        </w:numPr>
        <w:tabs>
          <w:tab w:val="num" w:pos="0"/>
        </w:tabs>
        <w:ind w:left="0" w:firstLine="720"/>
        <w:contextualSpacing/>
        <w:jc w:val="both"/>
        <w:rPr>
          <w:rFonts w:asciiTheme="majorHAnsi" w:hAnsiTheme="majorHAnsi" w:cs="Calibri"/>
          <w:sz w:val="20"/>
          <w:szCs w:val="20"/>
        </w:rPr>
      </w:pPr>
      <w:r w:rsidRPr="003F29ED">
        <w:rPr>
          <w:rFonts w:asciiTheme="majorHAnsi" w:hAnsiTheme="majorHAnsi" w:cs="Calibri"/>
          <w:sz w:val="20"/>
          <w:szCs w:val="20"/>
        </w:rPr>
        <w:t xml:space="preserve">On June 1, 1998, the Assistant Manager of UNIVICOOP cooperative wrote an official letter to the Head of the Office of Admissibility and Immediate Defense of the Ombudsman’s Office stating that he had corroborated that the petitioner and her daughter appeared as co-owners of the </w:t>
      </w:r>
      <w:r w:rsidR="009C1E6B" w:rsidRPr="003F29ED">
        <w:rPr>
          <w:rFonts w:asciiTheme="majorHAnsi" w:hAnsiTheme="majorHAnsi" w:cs="Calibri"/>
          <w:sz w:val="20"/>
          <w:szCs w:val="20"/>
        </w:rPr>
        <w:t>property</w:t>
      </w:r>
      <w:r w:rsidRPr="003F29ED">
        <w:rPr>
          <w:rFonts w:asciiTheme="majorHAnsi" w:hAnsiTheme="majorHAnsi" w:cs="Calibri"/>
          <w:sz w:val="20"/>
          <w:szCs w:val="20"/>
        </w:rPr>
        <w:t xml:space="preserve">, </w:t>
      </w:r>
      <w:r w:rsidR="009C1E6B" w:rsidRPr="003F29ED">
        <w:rPr>
          <w:rFonts w:asciiTheme="majorHAnsi" w:hAnsiTheme="majorHAnsi" w:cs="Calibri"/>
          <w:sz w:val="20"/>
          <w:szCs w:val="20"/>
        </w:rPr>
        <w:t>and that the next step was to process a diligence of utility and necessity</w:t>
      </w:r>
      <w:r w:rsidRPr="003F29ED">
        <w:rPr>
          <w:rFonts w:asciiTheme="majorHAnsi" w:hAnsiTheme="majorHAnsi" w:cs="Calibri"/>
          <w:sz w:val="20"/>
          <w:szCs w:val="20"/>
        </w:rPr>
        <w:t xml:space="preserve">, because the minor child appears as owner of the property, which would allow the home mortgage bank </w:t>
      </w:r>
      <w:r w:rsidR="009C1E6B" w:rsidRPr="003F29ED">
        <w:rPr>
          <w:rFonts w:asciiTheme="majorHAnsi" w:hAnsiTheme="majorHAnsi" w:cs="Calibri"/>
          <w:sz w:val="20"/>
          <w:szCs w:val="20"/>
        </w:rPr>
        <w:t>“</w:t>
      </w:r>
      <w:r w:rsidRPr="003F29ED">
        <w:rPr>
          <w:rFonts w:asciiTheme="majorHAnsi" w:hAnsiTheme="majorHAnsi" w:cs="Calibri"/>
          <w:sz w:val="20"/>
          <w:szCs w:val="20"/>
        </w:rPr>
        <w:t>Banco Hipotecario de Vivienda</w:t>
      </w:r>
      <w:r w:rsidR="009C1E6B" w:rsidRPr="003F29ED">
        <w:rPr>
          <w:rFonts w:asciiTheme="majorHAnsi" w:hAnsiTheme="majorHAnsi" w:cs="Calibri"/>
          <w:sz w:val="20"/>
          <w:szCs w:val="20"/>
        </w:rPr>
        <w:t>”</w:t>
      </w:r>
      <w:r w:rsidRPr="003F29ED">
        <w:rPr>
          <w:rFonts w:asciiTheme="majorHAnsi" w:hAnsiTheme="majorHAnsi" w:cs="Calibri"/>
          <w:sz w:val="20"/>
          <w:szCs w:val="20"/>
        </w:rPr>
        <w:t xml:space="preserve"> (hereinafter BANHVI) to set limits on such a transaction.  In the official letter, it was also asserted that the situation had been brought to the attention of the attorney, who had drawn up the deed to the house, so he could move the process forward. </w:t>
      </w:r>
    </w:p>
    <w:p w:rsidR="00163E72" w:rsidRPr="003F29ED" w:rsidRDefault="00163E72" w:rsidP="00163E72">
      <w:pPr>
        <w:pStyle w:val="ListParagraph"/>
        <w:rPr>
          <w:rFonts w:asciiTheme="majorHAnsi" w:hAnsiTheme="majorHAnsi" w:cs="Calibri"/>
          <w:sz w:val="20"/>
          <w:szCs w:val="20"/>
        </w:rPr>
      </w:pPr>
    </w:p>
    <w:p w:rsidR="00163E72" w:rsidRPr="003F29ED" w:rsidRDefault="00163E72" w:rsidP="00397927">
      <w:pPr>
        <w:pStyle w:val="ListParagraph"/>
        <w:numPr>
          <w:ilvl w:val="0"/>
          <w:numId w:val="65"/>
        </w:numPr>
        <w:ind w:left="0" w:firstLine="360"/>
        <w:contextualSpacing/>
        <w:jc w:val="both"/>
        <w:rPr>
          <w:rFonts w:asciiTheme="majorHAnsi" w:hAnsiTheme="majorHAnsi" w:cs="Calibri"/>
          <w:sz w:val="20"/>
          <w:szCs w:val="20"/>
        </w:rPr>
      </w:pPr>
      <w:r w:rsidRPr="003F29ED">
        <w:rPr>
          <w:rFonts w:asciiTheme="majorHAnsi" w:hAnsiTheme="majorHAnsi" w:cs="Calibri"/>
          <w:sz w:val="20"/>
          <w:szCs w:val="20"/>
        </w:rPr>
        <w:t xml:space="preserve">The petitioner argued that she filed for the proceeding to determine </w:t>
      </w:r>
      <w:r w:rsidR="00397927" w:rsidRPr="003F29ED">
        <w:rPr>
          <w:rFonts w:asciiTheme="majorHAnsi" w:hAnsiTheme="majorHAnsi" w:cs="Calibri"/>
          <w:sz w:val="20"/>
          <w:szCs w:val="20"/>
        </w:rPr>
        <w:t>the utility and necessity</w:t>
      </w:r>
      <w:r w:rsidRPr="003F29ED">
        <w:rPr>
          <w:rFonts w:asciiTheme="majorHAnsi" w:hAnsiTheme="majorHAnsi" w:cs="Calibri"/>
          <w:sz w:val="20"/>
          <w:szCs w:val="20"/>
        </w:rPr>
        <w:t xml:space="preserve"> </w:t>
      </w:r>
      <w:r w:rsidR="00397927" w:rsidRPr="003F29ED">
        <w:rPr>
          <w:rFonts w:asciiTheme="majorHAnsi" w:hAnsiTheme="majorHAnsi" w:cs="Calibri"/>
          <w:sz w:val="20"/>
          <w:szCs w:val="20"/>
        </w:rPr>
        <w:t>before the</w:t>
      </w:r>
      <w:r w:rsidRPr="003F29ED">
        <w:rPr>
          <w:rFonts w:asciiTheme="majorHAnsi" w:hAnsiTheme="majorHAnsi" w:cs="Calibri"/>
          <w:sz w:val="20"/>
          <w:szCs w:val="20"/>
        </w:rPr>
        <w:t xml:space="preserve"> Family Court of the Second Judicial Circuit of San José, which issued its ruling on June 15, 1998, authorizing the petitioner to encumber the property in order to </w:t>
      </w:r>
      <w:r w:rsidR="00397927" w:rsidRPr="003F29ED">
        <w:rPr>
          <w:rFonts w:asciiTheme="majorHAnsi" w:hAnsiTheme="majorHAnsi" w:cs="Calibri"/>
          <w:sz w:val="20"/>
          <w:szCs w:val="20"/>
        </w:rPr>
        <w:t>obtain</w:t>
      </w:r>
      <w:r w:rsidRPr="003F29ED">
        <w:rPr>
          <w:rFonts w:asciiTheme="majorHAnsi" w:hAnsiTheme="majorHAnsi" w:cs="Calibri"/>
          <w:sz w:val="20"/>
          <w:szCs w:val="20"/>
        </w:rPr>
        <w:t xml:space="preserve"> a mortgage loan </w:t>
      </w:r>
      <w:r w:rsidR="00397927" w:rsidRPr="003F29ED">
        <w:rPr>
          <w:rFonts w:asciiTheme="majorHAnsi" w:hAnsiTheme="majorHAnsi" w:cs="Calibri"/>
          <w:sz w:val="20"/>
          <w:szCs w:val="20"/>
        </w:rPr>
        <w:t>for the construction of a house</w:t>
      </w:r>
      <w:r w:rsidRPr="003F29ED">
        <w:rPr>
          <w:rFonts w:asciiTheme="majorHAnsi" w:hAnsiTheme="majorHAnsi" w:cs="Calibri"/>
          <w:sz w:val="20"/>
          <w:szCs w:val="20"/>
        </w:rPr>
        <w:t>. The petitioner claimed that even though she made several efforts to continue with the application process, her situation has not been resolved, and that proceedings were full of irregularities, including the loss of her case file by the institutions and an unreasonable delay given the condition of the house, her state of health, and the risk posed to her and her family, should they continue to live under such circumstances.</w:t>
      </w:r>
    </w:p>
    <w:p w:rsidR="00163E72" w:rsidRPr="003F29ED" w:rsidRDefault="00163E72" w:rsidP="00163E72">
      <w:pPr>
        <w:pStyle w:val="ListParagraph"/>
        <w:rPr>
          <w:rFonts w:asciiTheme="majorHAnsi" w:hAnsiTheme="majorHAnsi" w:cs="Calibri"/>
          <w:sz w:val="20"/>
          <w:szCs w:val="20"/>
        </w:rPr>
      </w:pPr>
    </w:p>
    <w:p w:rsidR="00163E72" w:rsidRPr="003F29ED" w:rsidRDefault="00163E72" w:rsidP="00364222">
      <w:pPr>
        <w:pStyle w:val="ListParagraph"/>
        <w:numPr>
          <w:ilvl w:val="0"/>
          <w:numId w:val="65"/>
        </w:numPr>
        <w:tabs>
          <w:tab w:val="num" w:pos="0"/>
        </w:tabs>
        <w:ind w:left="0" w:firstLine="720"/>
        <w:contextualSpacing/>
        <w:jc w:val="both"/>
        <w:rPr>
          <w:rFonts w:asciiTheme="majorHAnsi" w:hAnsiTheme="majorHAnsi" w:cs="Calibri"/>
          <w:sz w:val="20"/>
          <w:szCs w:val="20"/>
        </w:rPr>
      </w:pPr>
      <w:r w:rsidRPr="003F29ED">
        <w:rPr>
          <w:rFonts w:asciiTheme="majorHAnsi" w:hAnsiTheme="majorHAnsi" w:cs="Calibri"/>
          <w:sz w:val="20"/>
          <w:szCs w:val="20"/>
        </w:rPr>
        <w:t>Based on the foregoing, the petitioner filed a</w:t>
      </w:r>
      <w:r w:rsidR="00263FF9" w:rsidRPr="003F29ED">
        <w:rPr>
          <w:rFonts w:asciiTheme="majorHAnsi" w:hAnsiTheme="majorHAnsi" w:cs="Calibri"/>
          <w:sz w:val="20"/>
          <w:szCs w:val="20"/>
        </w:rPr>
        <w:t>n</w:t>
      </w:r>
      <w:r w:rsidRPr="003F29ED">
        <w:rPr>
          <w:rFonts w:asciiTheme="majorHAnsi" w:hAnsiTheme="majorHAnsi" w:cs="Calibri"/>
          <w:sz w:val="20"/>
          <w:szCs w:val="20"/>
        </w:rPr>
        <w:t xml:space="preserve"> </w:t>
      </w:r>
      <w:r w:rsidRPr="003F29ED">
        <w:rPr>
          <w:rFonts w:asciiTheme="majorHAnsi" w:hAnsiTheme="majorHAnsi" w:cs="Calibri"/>
          <w:i/>
          <w:sz w:val="20"/>
          <w:szCs w:val="20"/>
        </w:rPr>
        <w:t xml:space="preserve">amparo </w:t>
      </w:r>
      <w:r w:rsidR="00263FF9" w:rsidRPr="003F29ED">
        <w:rPr>
          <w:rFonts w:asciiTheme="majorHAnsi" w:hAnsiTheme="majorHAnsi" w:cs="Calibri"/>
          <w:sz w:val="20"/>
          <w:szCs w:val="20"/>
        </w:rPr>
        <w:t>remedy before</w:t>
      </w:r>
      <w:r w:rsidRPr="003F29ED">
        <w:rPr>
          <w:rFonts w:asciiTheme="majorHAnsi" w:hAnsiTheme="majorHAnsi" w:cs="Calibri"/>
          <w:sz w:val="20"/>
          <w:szCs w:val="20"/>
        </w:rPr>
        <w:t xml:space="preserve"> the Constitutional Chamber of the Supreme Court of Justice against Banco Hipotecario de Vivienda (BHV) and UNIVICOOP</w:t>
      </w:r>
      <w:r w:rsidR="00263FF9" w:rsidRPr="003F29ED">
        <w:rPr>
          <w:rFonts w:asciiTheme="majorHAnsi" w:hAnsiTheme="majorHAnsi" w:cs="Calibri"/>
          <w:sz w:val="20"/>
          <w:szCs w:val="20"/>
        </w:rPr>
        <w:t xml:space="preserve"> cooperative</w:t>
      </w:r>
      <w:r w:rsidRPr="003F29ED">
        <w:rPr>
          <w:rFonts w:asciiTheme="majorHAnsi" w:hAnsiTheme="majorHAnsi" w:cs="Calibri"/>
          <w:sz w:val="20"/>
          <w:szCs w:val="20"/>
        </w:rPr>
        <w:t xml:space="preserve">. However, on May 5, 1998, the Court ruled that the petition for </w:t>
      </w:r>
      <w:r w:rsidRPr="003F29ED">
        <w:rPr>
          <w:rFonts w:asciiTheme="majorHAnsi" w:hAnsiTheme="majorHAnsi" w:cs="Calibri"/>
          <w:i/>
          <w:sz w:val="20"/>
          <w:szCs w:val="20"/>
        </w:rPr>
        <w:t xml:space="preserve">amparo </w:t>
      </w:r>
      <w:r w:rsidRPr="003F29ED">
        <w:rPr>
          <w:rFonts w:asciiTheme="majorHAnsi" w:hAnsiTheme="majorHAnsi" w:cs="Calibri"/>
          <w:sz w:val="20"/>
          <w:szCs w:val="20"/>
        </w:rPr>
        <w:t xml:space="preserve">was without merit, noting that her claim was actually a complaint and that the court did not have jurisdiction to hear the case, because </w:t>
      </w:r>
      <w:r w:rsidRPr="003F29ED">
        <w:rPr>
          <w:rFonts w:asciiTheme="majorHAnsi" w:hAnsiTheme="majorHAnsi" w:cs="Calibri"/>
          <w:sz w:val="20"/>
          <w:szCs w:val="20"/>
        </w:rPr>
        <w:lastRenderedPageBreak/>
        <w:t xml:space="preserve">other administrative bodies were responsible the investigation and subsequent admonishment of government authorities and, therefore, she should file her complaints with those institutions to register her disagreement, or else resort to the Ombudsman’s Office. </w:t>
      </w:r>
    </w:p>
    <w:p w:rsidR="00163E72" w:rsidRPr="003F29ED" w:rsidRDefault="00163E72" w:rsidP="00163E72">
      <w:pPr>
        <w:pStyle w:val="ListParagraph"/>
        <w:rPr>
          <w:rFonts w:asciiTheme="majorHAnsi" w:hAnsiTheme="majorHAnsi" w:cs="Calibri"/>
          <w:sz w:val="20"/>
          <w:szCs w:val="20"/>
        </w:rPr>
      </w:pPr>
    </w:p>
    <w:p w:rsidR="00163E72" w:rsidRPr="003F29ED" w:rsidRDefault="00A8277C" w:rsidP="00364222">
      <w:pPr>
        <w:pStyle w:val="ListParagraph"/>
        <w:numPr>
          <w:ilvl w:val="0"/>
          <w:numId w:val="65"/>
        </w:numPr>
        <w:tabs>
          <w:tab w:val="num" w:pos="0"/>
        </w:tabs>
        <w:ind w:left="0" w:firstLine="720"/>
        <w:contextualSpacing/>
        <w:jc w:val="both"/>
        <w:rPr>
          <w:rFonts w:asciiTheme="majorHAnsi" w:hAnsiTheme="majorHAnsi" w:cs="Calibri"/>
          <w:sz w:val="20"/>
          <w:szCs w:val="20"/>
        </w:rPr>
      </w:pPr>
      <w:r w:rsidRPr="003F29ED">
        <w:rPr>
          <w:rFonts w:asciiTheme="majorHAnsi" w:hAnsiTheme="majorHAnsi" w:cs="Calibri"/>
          <w:sz w:val="20"/>
          <w:szCs w:val="20"/>
        </w:rPr>
        <w:t>Based on the foregoing</w:t>
      </w:r>
      <w:r w:rsidR="00163E72" w:rsidRPr="003F29ED">
        <w:rPr>
          <w:rFonts w:asciiTheme="majorHAnsi" w:hAnsiTheme="majorHAnsi" w:cs="Calibri"/>
          <w:sz w:val="20"/>
          <w:szCs w:val="20"/>
        </w:rPr>
        <w:t xml:space="preserve">, the petitioner again requested help from the Ombudsman’s Office with the BFV process. The documentation submitted by the petitioner shows that the Ombudsman contacted the BAHNVI concerning the petitioner’s application for the BFV, and was told that UNIVICOOP no longer had the legal authority to handle housing vouchers and that its portfolio of case files had been transferred to the Mutual Housing Fund (Mutual La Vivienda). The Ombudsman’s Office then contacted </w:t>
      </w:r>
      <w:r w:rsidR="00932BBE" w:rsidRPr="003F29ED">
        <w:rPr>
          <w:rFonts w:asciiTheme="majorHAnsi" w:hAnsiTheme="majorHAnsi" w:cs="Calibri"/>
          <w:sz w:val="20"/>
          <w:szCs w:val="20"/>
        </w:rPr>
        <w:t>the Mutual Housing Fund, which informed</w:t>
      </w:r>
      <w:r w:rsidR="00163E72" w:rsidRPr="003F29ED">
        <w:rPr>
          <w:rFonts w:asciiTheme="majorHAnsi" w:hAnsiTheme="majorHAnsi" w:cs="Calibri"/>
          <w:sz w:val="20"/>
          <w:szCs w:val="20"/>
        </w:rPr>
        <w:t xml:space="preserve"> it that the procedure would be slow because of the number of cases in the portfolio, and that Mutual Housing Fund merely received documents and passed them on to the BANHVI for it to proceed, in turn, as appropriate. </w:t>
      </w:r>
    </w:p>
    <w:p w:rsidR="00163E72" w:rsidRPr="003F29ED" w:rsidRDefault="00A8277C" w:rsidP="00163E72">
      <w:pPr>
        <w:pStyle w:val="ListParagraph"/>
        <w:rPr>
          <w:rFonts w:asciiTheme="majorHAnsi" w:hAnsiTheme="majorHAnsi" w:cs="Calibri"/>
          <w:sz w:val="20"/>
          <w:szCs w:val="20"/>
        </w:rPr>
      </w:pPr>
      <w:r w:rsidRPr="003F29ED">
        <w:rPr>
          <w:rFonts w:asciiTheme="majorHAnsi" w:hAnsiTheme="majorHAnsi" w:cs="Calibri"/>
          <w:sz w:val="20"/>
          <w:szCs w:val="20"/>
        </w:rPr>
        <w:t xml:space="preserve"> </w:t>
      </w:r>
    </w:p>
    <w:p w:rsidR="00163E72" w:rsidRPr="003F29ED" w:rsidRDefault="00163E72" w:rsidP="00364222">
      <w:pPr>
        <w:pStyle w:val="ListParagraph"/>
        <w:numPr>
          <w:ilvl w:val="0"/>
          <w:numId w:val="65"/>
        </w:numPr>
        <w:tabs>
          <w:tab w:val="num" w:pos="0"/>
        </w:tabs>
        <w:ind w:left="0" w:firstLine="720"/>
        <w:contextualSpacing/>
        <w:jc w:val="both"/>
        <w:rPr>
          <w:rFonts w:asciiTheme="majorHAnsi" w:hAnsiTheme="majorHAnsi"/>
          <w:sz w:val="20"/>
          <w:szCs w:val="20"/>
        </w:rPr>
      </w:pPr>
      <w:r w:rsidRPr="003F29ED">
        <w:rPr>
          <w:rFonts w:asciiTheme="majorHAnsi" w:hAnsiTheme="majorHAnsi"/>
          <w:sz w:val="20"/>
          <w:szCs w:val="20"/>
        </w:rPr>
        <w:t xml:space="preserve">On August 1, 2000, the Office of the Ombudsman issued a final report and recommendations to both BANHVI and UNIVICOOP. </w:t>
      </w:r>
    </w:p>
    <w:p w:rsidR="00163E72" w:rsidRPr="003F29ED" w:rsidRDefault="00163E72" w:rsidP="00163E72">
      <w:pPr>
        <w:pStyle w:val="ListParagraph"/>
        <w:rPr>
          <w:rFonts w:asciiTheme="majorHAnsi" w:hAnsiTheme="majorHAnsi"/>
          <w:sz w:val="20"/>
          <w:szCs w:val="20"/>
        </w:rPr>
      </w:pPr>
    </w:p>
    <w:p w:rsidR="00163E72" w:rsidRPr="003F29ED" w:rsidRDefault="00163E72" w:rsidP="00364222">
      <w:pPr>
        <w:pStyle w:val="ListParagraph"/>
        <w:numPr>
          <w:ilvl w:val="0"/>
          <w:numId w:val="65"/>
        </w:numPr>
        <w:tabs>
          <w:tab w:val="num" w:pos="0"/>
        </w:tabs>
        <w:ind w:left="0" w:firstLine="720"/>
        <w:contextualSpacing/>
        <w:jc w:val="both"/>
        <w:rPr>
          <w:rFonts w:asciiTheme="majorHAnsi" w:hAnsiTheme="majorHAnsi"/>
          <w:sz w:val="20"/>
          <w:szCs w:val="20"/>
        </w:rPr>
      </w:pPr>
      <w:r w:rsidRPr="003F29ED">
        <w:rPr>
          <w:rFonts w:asciiTheme="majorHAnsi" w:hAnsiTheme="majorHAnsi"/>
          <w:sz w:val="20"/>
          <w:szCs w:val="20"/>
        </w:rPr>
        <w:t xml:space="preserve">Based on the information submitted by the petitioner, on March 21, 2001, the Ministry of Health conducted another inspection of the applicant’s house and observed defects such as the unsafe condition caused by its structural weakness and deterioration and concluded that the house occupied by the petitioner did not conform to the minimum standards of the Urban Code and, therefore, the house was declared uninhabitable and was recommended for demolition. The Ministry of Health recommended the Health Area in the locality to work with Mrs. Morales to make arrangements with the appropriate authorities for the construction of a new house prior to issuing the demolition order. </w:t>
      </w:r>
    </w:p>
    <w:p w:rsidR="00163E72" w:rsidRPr="003F29ED" w:rsidRDefault="00163E72" w:rsidP="00163E72">
      <w:pPr>
        <w:pStyle w:val="ListParagraph"/>
        <w:rPr>
          <w:rFonts w:asciiTheme="majorHAnsi" w:hAnsiTheme="majorHAnsi"/>
          <w:sz w:val="20"/>
          <w:szCs w:val="20"/>
        </w:rPr>
      </w:pPr>
    </w:p>
    <w:p w:rsidR="00163E72" w:rsidRPr="003F29ED" w:rsidRDefault="00932BBE" w:rsidP="002B789B">
      <w:pPr>
        <w:pStyle w:val="ListParagraph"/>
        <w:numPr>
          <w:ilvl w:val="0"/>
          <w:numId w:val="65"/>
        </w:numPr>
        <w:ind w:left="0" w:firstLine="720"/>
        <w:contextualSpacing/>
        <w:jc w:val="both"/>
        <w:rPr>
          <w:rFonts w:asciiTheme="majorHAnsi" w:hAnsiTheme="majorHAnsi"/>
          <w:sz w:val="20"/>
          <w:szCs w:val="20"/>
        </w:rPr>
      </w:pPr>
      <w:r w:rsidRPr="003F29ED">
        <w:rPr>
          <w:rFonts w:asciiTheme="majorHAnsi" w:hAnsiTheme="majorHAnsi"/>
          <w:sz w:val="20"/>
          <w:szCs w:val="20"/>
        </w:rPr>
        <w:t>In addition, t</w:t>
      </w:r>
      <w:r w:rsidR="00163E72" w:rsidRPr="003F29ED">
        <w:rPr>
          <w:rFonts w:asciiTheme="majorHAnsi" w:hAnsiTheme="majorHAnsi"/>
          <w:sz w:val="20"/>
          <w:szCs w:val="20"/>
        </w:rPr>
        <w:t xml:space="preserve">he documentation submitted by the petitioner shows that the National Commission for Risk Prevention and Emergencies conducted another assessment of the property in February 2002, finding that the house was not safe because of its proximity to El Tanque stream, and that the greatest risk to the house was flooding. The report further noted that all of this, together with the state of the structure of the house, posed a serious risk to its occupants, and it asked the authorities of the Ministry of </w:t>
      </w:r>
      <w:r w:rsidR="002B789B" w:rsidRPr="003F29ED">
        <w:rPr>
          <w:rFonts w:asciiTheme="majorHAnsi" w:hAnsiTheme="majorHAnsi"/>
          <w:sz w:val="20"/>
          <w:szCs w:val="20"/>
        </w:rPr>
        <w:t>Health</w:t>
      </w:r>
      <w:r w:rsidR="00163E72" w:rsidRPr="003F29ED">
        <w:rPr>
          <w:rFonts w:asciiTheme="majorHAnsi" w:hAnsiTheme="majorHAnsi"/>
          <w:sz w:val="20"/>
          <w:szCs w:val="20"/>
        </w:rPr>
        <w:t xml:space="preserve"> and of the Social Assistance Institute (hereinafter IMAS), </w:t>
      </w:r>
      <w:r w:rsidR="002B789B" w:rsidRPr="003F29ED">
        <w:rPr>
          <w:rFonts w:asciiTheme="majorHAnsi" w:hAnsiTheme="majorHAnsi"/>
          <w:sz w:val="20"/>
          <w:szCs w:val="20"/>
        </w:rPr>
        <w:t xml:space="preserve">in the sense that the first institution </w:t>
      </w:r>
      <w:r w:rsidR="00163E72" w:rsidRPr="003F29ED">
        <w:rPr>
          <w:rFonts w:asciiTheme="majorHAnsi" w:hAnsiTheme="majorHAnsi"/>
          <w:sz w:val="20"/>
          <w:szCs w:val="20"/>
        </w:rPr>
        <w:t xml:space="preserve">would issue a report declaring the property uninhabitable and the </w:t>
      </w:r>
      <w:r w:rsidR="002B789B" w:rsidRPr="003F29ED">
        <w:rPr>
          <w:rFonts w:asciiTheme="majorHAnsi" w:hAnsiTheme="majorHAnsi"/>
          <w:sz w:val="20"/>
          <w:szCs w:val="20"/>
        </w:rPr>
        <w:t>second</w:t>
      </w:r>
      <w:r w:rsidR="00163E72" w:rsidRPr="003F29ED">
        <w:rPr>
          <w:rFonts w:asciiTheme="majorHAnsi" w:hAnsiTheme="majorHAnsi"/>
          <w:sz w:val="20"/>
          <w:szCs w:val="20"/>
        </w:rPr>
        <w:t xml:space="preserve"> institution would relocate the family as soon as possible. In April 2002, the petitioner received a letter from the IMAS </w:t>
      </w:r>
      <w:r w:rsidR="002B789B" w:rsidRPr="003F29ED">
        <w:rPr>
          <w:rFonts w:asciiTheme="majorHAnsi" w:hAnsiTheme="majorHAnsi"/>
          <w:sz w:val="20"/>
          <w:szCs w:val="20"/>
        </w:rPr>
        <w:t>indicating that</w:t>
      </w:r>
      <w:r w:rsidR="00163E72" w:rsidRPr="003F29ED">
        <w:rPr>
          <w:rFonts w:asciiTheme="majorHAnsi" w:hAnsiTheme="majorHAnsi"/>
          <w:sz w:val="20"/>
          <w:szCs w:val="20"/>
        </w:rPr>
        <w:t xml:space="preserve"> it did not have a solution to this problem. </w:t>
      </w:r>
    </w:p>
    <w:p w:rsidR="00163E72" w:rsidRPr="003F29ED" w:rsidRDefault="00163E72" w:rsidP="00163E72">
      <w:pPr>
        <w:pStyle w:val="ListParagraph"/>
        <w:rPr>
          <w:rFonts w:asciiTheme="majorHAnsi" w:hAnsiTheme="majorHAnsi"/>
          <w:sz w:val="20"/>
          <w:szCs w:val="20"/>
        </w:rPr>
      </w:pPr>
    </w:p>
    <w:p w:rsidR="00163E72" w:rsidRPr="003F29ED" w:rsidRDefault="00163E72" w:rsidP="001864D7">
      <w:pPr>
        <w:pStyle w:val="ListParagraph"/>
        <w:numPr>
          <w:ilvl w:val="0"/>
          <w:numId w:val="65"/>
        </w:numPr>
        <w:ind w:left="0" w:firstLine="720"/>
        <w:contextualSpacing/>
        <w:jc w:val="both"/>
        <w:rPr>
          <w:rFonts w:asciiTheme="majorHAnsi" w:hAnsiTheme="majorHAnsi"/>
          <w:sz w:val="20"/>
          <w:szCs w:val="20"/>
        </w:rPr>
      </w:pPr>
      <w:r w:rsidRPr="003F29ED">
        <w:rPr>
          <w:rFonts w:asciiTheme="majorHAnsi" w:hAnsiTheme="majorHAnsi"/>
          <w:sz w:val="20"/>
          <w:szCs w:val="20"/>
        </w:rPr>
        <w:t xml:space="preserve">The petitioner alleged that she submitted an application to the BANHVI on May 21, 2002 </w:t>
      </w:r>
      <w:r w:rsidR="002B789B" w:rsidRPr="003F29ED">
        <w:rPr>
          <w:rFonts w:asciiTheme="majorHAnsi" w:hAnsiTheme="majorHAnsi"/>
          <w:sz w:val="20"/>
          <w:szCs w:val="20"/>
        </w:rPr>
        <w:t>before</w:t>
      </w:r>
      <w:r w:rsidRPr="003F29ED">
        <w:rPr>
          <w:rFonts w:asciiTheme="majorHAnsi" w:hAnsiTheme="majorHAnsi"/>
          <w:sz w:val="20"/>
          <w:szCs w:val="20"/>
        </w:rPr>
        <w:t xml:space="preserve"> </w:t>
      </w:r>
      <w:r w:rsidR="001864D7" w:rsidRPr="003F29ED">
        <w:rPr>
          <w:rFonts w:asciiTheme="majorHAnsi" w:hAnsiTheme="majorHAnsi"/>
          <w:sz w:val="20"/>
          <w:szCs w:val="20"/>
        </w:rPr>
        <w:t>Comprehensive Program of Assistance to Costa Rican Families of Minimum Income in Extreme Need</w:t>
      </w:r>
      <w:r w:rsidRPr="003F29ED">
        <w:rPr>
          <w:rFonts w:asciiTheme="majorHAnsi" w:hAnsiTheme="majorHAnsi"/>
          <w:sz w:val="20"/>
          <w:szCs w:val="20"/>
        </w:rPr>
        <w:t xml:space="preserve">, claiming that she received a disability pension and that she was living with her fifteen year old daughter. She explained she was in need; the fact that she had been trying for ten years to secure a BFV; and that she had been ordered to leave her house because it had been declared uninhabitable by the Ministry of Health and the National Emergency Commission and, therefore, she had requested to be entered into the list of the </w:t>
      </w:r>
      <w:r w:rsidR="001864D7" w:rsidRPr="003F29ED">
        <w:rPr>
          <w:rFonts w:asciiTheme="majorHAnsi" w:hAnsiTheme="majorHAnsi"/>
          <w:sz w:val="20"/>
          <w:szCs w:val="20"/>
        </w:rPr>
        <w:t>Comprehensive Program of Assistance to Families</w:t>
      </w:r>
      <w:r w:rsidRPr="003F29ED">
        <w:rPr>
          <w:rFonts w:asciiTheme="majorHAnsi" w:hAnsiTheme="majorHAnsi"/>
          <w:sz w:val="20"/>
          <w:szCs w:val="20"/>
        </w:rPr>
        <w:t xml:space="preserve">. The petitioner also </w:t>
      </w:r>
      <w:r w:rsidR="001864D7" w:rsidRPr="003F29ED">
        <w:rPr>
          <w:rFonts w:asciiTheme="majorHAnsi" w:hAnsiTheme="majorHAnsi"/>
          <w:sz w:val="20"/>
          <w:szCs w:val="20"/>
        </w:rPr>
        <w:t>state</w:t>
      </w:r>
      <w:r w:rsidRPr="003F29ED">
        <w:rPr>
          <w:rFonts w:asciiTheme="majorHAnsi" w:hAnsiTheme="majorHAnsi"/>
          <w:sz w:val="20"/>
          <w:szCs w:val="20"/>
        </w:rPr>
        <w:t xml:space="preserve">d that on July 23 and September 21, 2002, she asked the Ombudsman’s Office for assistance in obtaining this benefit. </w:t>
      </w:r>
    </w:p>
    <w:p w:rsidR="00163E72" w:rsidRPr="003F29ED" w:rsidRDefault="00163E72" w:rsidP="00163E72">
      <w:pPr>
        <w:pStyle w:val="ListParagraph"/>
        <w:rPr>
          <w:rFonts w:asciiTheme="majorHAnsi" w:hAnsiTheme="majorHAnsi"/>
          <w:sz w:val="20"/>
          <w:szCs w:val="20"/>
        </w:rPr>
      </w:pPr>
    </w:p>
    <w:p w:rsidR="00163E72" w:rsidRPr="003F29ED" w:rsidRDefault="00163E72" w:rsidP="00364222">
      <w:pPr>
        <w:pStyle w:val="ListParagraph"/>
        <w:numPr>
          <w:ilvl w:val="0"/>
          <w:numId w:val="65"/>
        </w:numPr>
        <w:tabs>
          <w:tab w:val="num" w:pos="0"/>
        </w:tabs>
        <w:ind w:left="0" w:firstLine="720"/>
        <w:contextualSpacing/>
        <w:jc w:val="both"/>
        <w:rPr>
          <w:rFonts w:asciiTheme="majorHAnsi" w:hAnsiTheme="majorHAnsi"/>
          <w:sz w:val="20"/>
          <w:szCs w:val="20"/>
        </w:rPr>
      </w:pPr>
      <w:r w:rsidRPr="003F29ED">
        <w:rPr>
          <w:rFonts w:asciiTheme="majorHAnsi" w:hAnsiTheme="majorHAnsi"/>
          <w:sz w:val="20"/>
          <w:szCs w:val="20"/>
        </w:rPr>
        <w:t>The information provided by the petitioner also shows that she filed a request for information to the Quality Audit Bureau of the MIVAH and that in December 2003, she received a note from</w:t>
      </w:r>
      <w:r w:rsidR="00531E8A">
        <w:rPr>
          <w:rFonts w:asciiTheme="majorHAnsi" w:hAnsiTheme="majorHAnsi"/>
          <w:sz w:val="20"/>
          <w:szCs w:val="20"/>
        </w:rPr>
        <w:t xml:space="preserve"> the MIVAH indicating: “</w:t>
      </w:r>
      <w:r w:rsidRPr="003F29ED">
        <w:rPr>
          <w:rFonts w:asciiTheme="majorHAnsi" w:hAnsiTheme="majorHAnsi"/>
          <w:sz w:val="20"/>
          <w:szCs w:val="20"/>
        </w:rPr>
        <w:t>please find</w:t>
      </w:r>
      <w:r w:rsidR="00531E8A">
        <w:rPr>
          <w:rFonts w:asciiTheme="majorHAnsi" w:hAnsiTheme="majorHAnsi"/>
          <w:sz w:val="20"/>
          <w:szCs w:val="20"/>
        </w:rPr>
        <w:t xml:space="preserve"> attached</w:t>
      </w:r>
      <w:r w:rsidRPr="003F29ED">
        <w:rPr>
          <w:rFonts w:asciiTheme="majorHAnsi" w:hAnsiTheme="majorHAnsi"/>
          <w:sz w:val="20"/>
          <w:szCs w:val="20"/>
        </w:rPr>
        <w:t xml:space="preserve"> a list of the requirements that you should provide to the purchase of existing housing or of a plot of land and construction program of the financial entity of your choice.” However, the note did not include any information about the status of her application. </w:t>
      </w:r>
    </w:p>
    <w:p w:rsidR="00163E72" w:rsidRPr="003F29ED" w:rsidRDefault="00163E72" w:rsidP="00163E72">
      <w:pPr>
        <w:pStyle w:val="ListParagraph"/>
        <w:rPr>
          <w:rFonts w:asciiTheme="majorHAnsi" w:hAnsiTheme="majorHAnsi"/>
          <w:sz w:val="20"/>
          <w:szCs w:val="20"/>
        </w:rPr>
      </w:pPr>
    </w:p>
    <w:p w:rsidR="00163E72" w:rsidRPr="003F29ED" w:rsidRDefault="00163E72" w:rsidP="00364222">
      <w:pPr>
        <w:pStyle w:val="ListParagraph"/>
        <w:numPr>
          <w:ilvl w:val="0"/>
          <w:numId w:val="65"/>
        </w:numPr>
        <w:tabs>
          <w:tab w:val="num" w:pos="0"/>
        </w:tabs>
        <w:ind w:left="0" w:firstLine="720"/>
        <w:contextualSpacing/>
        <w:jc w:val="both"/>
        <w:rPr>
          <w:rFonts w:asciiTheme="majorHAnsi" w:hAnsiTheme="majorHAnsi"/>
          <w:sz w:val="20"/>
          <w:szCs w:val="20"/>
        </w:rPr>
      </w:pPr>
      <w:r w:rsidRPr="003F29ED">
        <w:rPr>
          <w:rFonts w:asciiTheme="majorHAnsi" w:hAnsiTheme="majorHAnsi"/>
          <w:sz w:val="20"/>
          <w:szCs w:val="20"/>
        </w:rPr>
        <w:t xml:space="preserve">The petitioner contended that, in January 2004, the National Risk Prevention Commission paid another visit to the petitioner’s property, and issued a report finding that the risk and the lack of safety to the occupants of the house had grown worse as a result of considerable further erosion and washing away of the land. The aforementioned Commission, therefore, requested in this report that the IMAS, the INVU and the MIVAH collaborate in the case.  </w:t>
      </w:r>
    </w:p>
    <w:p w:rsidR="00163E72" w:rsidRPr="003F29ED" w:rsidRDefault="00163E72" w:rsidP="00163E72">
      <w:pPr>
        <w:pStyle w:val="ListParagraph"/>
        <w:rPr>
          <w:rFonts w:asciiTheme="majorHAnsi" w:hAnsiTheme="majorHAnsi"/>
          <w:sz w:val="20"/>
          <w:szCs w:val="20"/>
        </w:rPr>
      </w:pPr>
    </w:p>
    <w:p w:rsidR="00163E72" w:rsidRPr="003F29ED" w:rsidRDefault="00163E72" w:rsidP="00364222">
      <w:pPr>
        <w:pStyle w:val="ListParagraph"/>
        <w:numPr>
          <w:ilvl w:val="0"/>
          <w:numId w:val="65"/>
        </w:numPr>
        <w:tabs>
          <w:tab w:val="num" w:pos="0"/>
        </w:tabs>
        <w:ind w:left="0" w:firstLine="720"/>
        <w:contextualSpacing/>
        <w:jc w:val="both"/>
        <w:rPr>
          <w:rFonts w:asciiTheme="majorHAnsi" w:hAnsiTheme="majorHAnsi"/>
          <w:sz w:val="20"/>
          <w:szCs w:val="20"/>
        </w:rPr>
      </w:pPr>
      <w:r w:rsidRPr="003F29ED">
        <w:rPr>
          <w:rFonts w:asciiTheme="majorHAnsi" w:hAnsiTheme="majorHAnsi"/>
          <w:sz w:val="20"/>
          <w:szCs w:val="20"/>
        </w:rPr>
        <w:lastRenderedPageBreak/>
        <w:t xml:space="preserve">The petitioner argued that she sent letters to the Mayor of the Municipality of Goicoechea, and that he said in May 2004 that the municipality was unable to help her, but that he would write to the INVU and to the IMAS recommending that they help her. The Mayor also informed her on June 3, 2004 that she was the beneficiary of a voucher from INVU and that she should submit documentation in order to be able to complete the process. </w:t>
      </w:r>
    </w:p>
    <w:p w:rsidR="00163E72" w:rsidRPr="003F29ED" w:rsidRDefault="00163E72" w:rsidP="00163E72">
      <w:pPr>
        <w:pStyle w:val="ListParagraph"/>
        <w:rPr>
          <w:rFonts w:asciiTheme="majorHAnsi" w:hAnsiTheme="majorHAnsi"/>
          <w:sz w:val="20"/>
          <w:szCs w:val="20"/>
        </w:rPr>
      </w:pPr>
    </w:p>
    <w:p w:rsidR="00163E72" w:rsidRPr="003F29ED" w:rsidRDefault="00163E72" w:rsidP="00364222">
      <w:pPr>
        <w:pStyle w:val="ListParagraph"/>
        <w:numPr>
          <w:ilvl w:val="0"/>
          <w:numId w:val="65"/>
        </w:numPr>
        <w:tabs>
          <w:tab w:val="num" w:pos="0"/>
        </w:tabs>
        <w:ind w:left="0" w:firstLine="720"/>
        <w:contextualSpacing/>
        <w:jc w:val="both"/>
        <w:rPr>
          <w:rFonts w:asciiTheme="majorHAnsi" w:hAnsiTheme="majorHAnsi"/>
          <w:sz w:val="20"/>
          <w:szCs w:val="20"/>
        </w:rPr>
      </w:pPr>
      <w:r w:rsidRPr="003F29ED">
        <w:rPr>
          <w:rFonts w:asciiTheme="majorHAnsi" w:hAnsiTheme="majorHAnsi"/>
          <w:sz w:val="20"/>
          <w:szCs w:val="20"/>
        </w:rPr>
        <w:t xml:space="preserve">On July 26, 2005, the petitioner filed a petition for relief via </w:t>
      </w:r>
      <w:r w:rsidRPr="003F29ED">
        <w:rPr>
          <w:rFonts w:asciiTheme="majorHAnsi" w:hAnsiTheme="majorHAnsi"/>
          <w:i/>
          <w:sz w:val="20"/>
          <w:szCs w:val="20"/>
        </w:rPr>
        <w:t xml:space="preserve">amparo </w:t>
      </w:r>
      <w:r w:rsidR="00097689" w:rsidRPr="003F29ED">
        <w:rPr>
          <w:rFonts w:asciiTheme="majorHAnsi" w:hAnsiTheme="majorHAnsi"/>
          <w:sz w:val="20"/>
          <w:szCs w:val="20"/>
        </w:rPr>
        <w:t xml:space="preserve">before </w:t>
      </w:r>
      <w:r w:rsidRPr="003F29ED">
        <w:rPr>
          <w:rFonts w:asciiTheme="majorHAnsi" w:hAnsiTheme="majorHAnsi"/>
          <w:sz w:val="20"/>
          <w:szCs w:val="20"/>
        </w:rPr>
        <w:t xml:space="preserve">the Constitutional Chamber of the Supreme Court of Justice, against IMAS and INVU for violating her right to dignified housing. According to the information provided by the petitioner, the response from IMAS was that it did not grant BFV benefits; that it was the responsibility of entities authorized by the National Housing Finance System.  In its response to the petition for </w:t>
      </w:r>
      <w:r w:rsidRPr="003F29ED">
        <w:rPr>
          <w:rFonts w:asciiTheme="majorHAnsi" w:hAnsiTheme="majorHAnsi"/>
          <w:i/>
          <w:sz w:val="20"/>
          <w:szCs w:val="20"/>
        </w:rPr>
        <w:t xml:space="preserve">amparo, </w:t>
      </w:r>
      <w:r w:rsidRPr="003F29ED">
        <w:rPr>
          <w:rFonts w:asciiTheme="majorHAnsi" w:hAnsiTheme="majorHAnsi"/>
          <w:sz w:val="20"/>
          <w:szCs w:val="20"/>
        </w:rPr>
        <w:t xml:space="preserve">the INVU contended that on May 17, 2005, the BANHVI had ordered that no new cases should be taken and, consequently, the INVU was precluded from taking any of them, until such time as the BANHVI issued another directive and that any exception had to be, in turn, authorized by the BANHVI. </w:t>
      </w:r>
      <w:r w:rsidR="00097689" w:rsidRPr="003F29ED">
        <w:rPr>
          <w:rFonts w:asciiTheme="majorHAnsi" w:hAnsiTheme="majorHAnsi"/>
          <w:sz w:val="20"/>
          <w:szCs w:val="20"/>
        </w:rPr>
        <w:t>Additionally, t</w:t>
      </w:r>
      <w:r w:rsidRPr="003F29ED">
        <w:rPr>
          <w:rFonts w:asciiTheme="majorHAnsi" w:hAnsiTheme="majorHAnsi"/>
          <w:sz w:val="20"/>
          <w:szCs w:val="20"/>
        </w:rPr>
        <w:t xml:space="preserve">he INVU alleged that Mrs. Morales had made no efforts with its offices to solve her housing problem and that it did not have the necessary means to deal with her case at that time. </w:t>
      </w:r>
    </w:p>
    <w:p w:rsidR="00163E72" w:rsidRPr="003F29ED" w:rsidRDefault="00163E72" w:rsidP="00163E72">
      <w:pPr>
        <w:pStyle w:val="ListParagraph"/>
        <w:rPr>
          <w:rFonts w:asciiTheme="majorHAnsi" w:hAnsiTheme="majorHAnsi"/>
          <w:sz w:val="20"/>
          <w:szCs w:val="20"/>
        </w:rPr>
      </w:pPr>
    </w:p>
    <w:p w:rsidR="00163E72" w:rsidRPr="00B5403A" w:rsidRDefault="00163E72" w:rsidP="00364222">
      <w:pPr>
        <w:pStyle w:val="ListParagraph"/>
        <w:numPr>
          <w:ilvl w:val="0"/>
          <w:numId w:val="65"/>
        </w:numPr>
        <w:tabs>
          <w:tab w:val="num" w:pos="0"/>
        </w:tabs>
        <w:ind w:left="0" w:firstLine="720"/>
        <w:contextualSpacing/>
        <w:jc w:val="both"/>
        <w:rPr>
          <w:rFonts w:asciiTheme="majorHAnsi" w:hAnsiTheme="majorHAnsi"/>
          <w:sz w:val="20"/>
          <w:szCs w:val="20"/>
        </w:rPr>
      </w:pPr>
      <w:r w:rsidRPr="00B5403A">
        <w:rPr>
          <w:rFonts w:asciiTheme="majorHAnsi" w:hAnsiTheme="majorHAnsi"/>
          <w:sz w:val="20"/>
          <w:szCs w:val="20"/>
        </w:rPr>
        <w:t xml:space="preserve">The Constitutional Chamber issued its judgment on February 22, 2006, holding that: </w:t>
      </w:r>
    </w:p>
    <w:p w:rsidR="00163E72" w:rsidRPr="00B5403A" w:rsidRDefault="00163E72" w:rsidP="00163E72">
      <w:pPr>
        <w:pStyle w:val="ListParagraph"/>
        <w:rPr>
          <w:rFonts w:asciiTheme="majorHAnsi" w:hAnsiTheme="majorHAnsi"/>
          <w:sz w:val="20"/>
          <w:szCs w:val="20"/>
        </w:rPr>
      </w:pPr>
    </w:p>
    <w:p w:rsidR="00163E72" w:rsidRPr="003F29ED" w:rsidRDefault="00163E72" w:rsidP="007C6BC9">
      <w:pPr>
        <w:ind w:left="720" w:right="720"/>
        <w:contextualSpacing/>
        <w:jc w:val="both"/>
        <w:rPr>
          <w:rFonts w:asciiTheme="majorHAnsi" w:hAnsiTheme="majorHAnsi"/>
          <w:i/>
          <w:sz w:val="20"/>
          <w:szCs w:val="20"/>
        </w:rPr>
      </w:pPr>
      <w:r w:rsidRPr="00B5403A">
        <w:rPr>
          <w:rFonts w:asciiTheme="majorHAnsi" w:hAnsiTheme="majorHAnsi"/>
          <w:i/>
          <w:sz w:val="20"/>
          <w:szCs w:val="20"/>
        </w:rPr>
        <w:t>Although Article 65 of the Political Constitution provides that the State “shall promote the construction of social housing” (…),” that does not mean that it must provide housing to all inhabitants. (…) [in the specific case] this petition [for</w:t>
      </w:r>
      <w:r w:rsidRPr="00B5403A">
        <w:rPr>
          <w:rFonts w:asciiTheme="majorHAnsi" w:hAnsiTheme="majorHAnsi"/>
          <w:sz w:val="20"/>
          <w:szCs w:val="20"/>
        </w:rPr>
        <w:t xml:space="preserve"> amparo] </w:t>
      </w:r>
      <w:r w:rsidRPr="00B5403A">
        <w:rPr>
          <w:rFonts w:asciiTheme="majorHAnsi" w:hAnsiTheme="majorHAnsi"/>
          <w:i/>
          <w:sz w:val="20"/>
          <w:szCs w:val="20"/>
        </w:rPr>
        <w:t xml:space="preserve">should be denied since no direct harm to the petitioner’s fundamental rights is evident. In fact, as stated above, although the Political Constitution establishes the State’s obligation to promote the construction of public housing and the fair distribution of wealth, that is substantially different from an obligation to purchase land and award it to individuals who lack housing and to provide a direct solution to the housing problem; what this leads to in fact is that that because State institutions exist, or in order to help solve the problem, access to them [the institutions] should be afforded to all individuals who meet the requirements for this purpose, but that does not mean that a solution will be found for everyone who seeks access, inasmuch as that will depend, </w:t>
      </w:r>
      <w:r w:rsidRPr="00B5403A">
        <w:rPr>
          <w:rFonts w:asciiTheme="majorHAnsi" w:hAnsiTheme="majorHAnsi"/>
          <w:sz w:val="20"/>
          <w:szCs w:val="20"/>
        </w:rPr>
        <w:t xml:space="preserve">inter alia, </w:t>
      </w:r>
      <w:r w:rsidRPr="00B5403A">
        <w:rPr>
          <w:rFonts w:asciiTheme="majorHAnsi" w:hAnsiTheme="majorHAnsi"/>
          <w:i/>
          <w:sz w:val="20"/>
          <w:szCs w:val="20"/>
        </w:rPr>
        <w:t>on the institution’s budget, the legal right of habitation, and on whether the applicant fully meets all the requirements. In the case of the petitioner, based on the facts found as proven, the conclusion is drawn that she did in fact have access to the State’s established mechanisms to pursue a solution to her housing problem, and if it has not yet been solved, it is because she has not met all the prerequisites, as was even attested to by the Office of the Ombudsman in its study of her case.</w:t>
      </w:r>
      <w:r w:rsidRPr="00B5403A">
        <w:rPr>
          <w:rStyle w:val="FootnoteReference"/>
          <w:rFonts w:asciiTheme="majorHAnsi" w:hAnsiTheme="majorHAnsi"/>
          <w:i/>
          <w:sz w:val="20"/>
          <w:szCs w:val="20"/>
        </w:rPr>
        <w:footnoteReference w:id="4"/>
      </w:r>
      <w:r w:rsidRPr="003F29ED">
        <w:rPr>
          <w:rFonts w:asciiTheme="majorHAnsi" w:hAnsiTheme="majorHAnsi"/>
          <w:i/>
          <w:sz w:val="20"/>
          <w:szCs w:val="20"/>
        </w:rPr>
        <w:t xml:space="preserve"> </w:t>
      </w:r>
    </w:p>
    <w:p w:rsidR="00163E72" w:rsidRPr="003F29ED" w:rsidRDefault="00163E72" w:rsidP="00163E72">
      <w:pPr>
        <w:ind w:left="900" w:right="720"/>
        <w:contextualSpacing/>
        <w:jc w:val="both"/>
        <w:rPr>
          <w:rFonts w:asciiTheme="majorHAnsi" w:hAnsiTheme="majorHAnsi"/>
          <w:sz w:val="20"/>
          <w:szCs w:val="20"/>
        </w:rPr>
      </w:pPr>
    </w:p>
    <w:p w:rsidR="00163E72" w:rsidRPr="003F29ED" w:rsidRDefault="00163E72" w:rsidP="00FD5274">
      <w:pPr>
        <w:pStyle w:val="ListParagraph"/>
        <w:numPr>
          <w:ilvl w:val="0"/>
          <w:numId w:val="65"/>
        </w:numPr>
        <w:tabs>
          <w:tab w:val="num" w:pos="0"/>
          <w:tab w:val="left" w:pos="1440"/>
        </w:tabs>
        <w:ind w:left="0" w:firstLine="720"/>
        <w:contextualSpacing/>
        <w:jc w:val="both"/>
        <w:rPr>
          <w:rFonts w:asciiTheme="majorHAnsi" w:hAnsiTheme="majorHAnsi"/>
          <w:sz w:val="20"/>
          <w:szCs w:val="20"/>
        </w:rPr>
      </w:pPr>
      <w:r w:rsidRPr="003F29ED">
        <w:rPr>
          <w:rFonts w:asciiTheme="majorHAnsi" w:hAnsiTheme="majorHAnsi"/>
          <w:sz w:val="20"/>
          <w:szCs w:val="20"/>
        </w:rPr>
        <w:t xml:space="preserve">The petitioner alleged that her application for the Family Housing Voucher was not resolved, and that the irregularities in the handling of her case can be seen not only in the absence of a result, but also in the disorganization of the administrative process. As an example of the above, she points out that, on November 25, 2008, she received a judicial notice of collection of debt stemming from a foreclosure case brought against her by the INVU on December 9, 2003, and about which she was not aware until the date of this notice. When she inquired at the offices of the INVU the reason for the debt, she was told that a plot of land filed under 15-B Finca CAPRI III has appeared in her name since 1993, and that she would have to pay off the money, even though she had not used it and if, in fact, the plot of land was inhabited, she would have to defray the cost of a legal proceeding to evict the individuals living on it.  The second option that had been proposed to her was that she </w:t>
      </w:r>
      <w:r w:rsidR="002901B7" w:rsidRPr="003F29ED">
        <w:rPr>
          <w:rFonts w:asciiTheme="majorHAnsi" w:hAnsiTheme="majorHAnsi"/>
          <w:sz w:val="20"/>
          <w:szCs w:val="20"/>
        </w:rPr>
        <w:t>relinquishes</w:t>
      </w:r>
      <w:r w:rsidRPr="003F29ED">
        <w:rPr>
          <w:rFonts w:asciiTheme="majorHAnsi" w:hAnsiTheme="majorHAnsi"/>
          <w:sz w:val="20"/>
          <w:szCs w:val="20"/>
        </w:rPr>
        <w:t xml:space="preserve"> the plot of land and let the INVU be responsible for the eviction, and that they would give her another plot of land, but it was not certain that another plot was available at that time. In other words, the petitioner had been assigned a plot of land since 1993, but she had not been notified of that, nor had the BFV voucher been processed so that she could build a new house.</w:t>
      </w:r>
    </w:p>
    <w:p w:rsidR="00163E72" w:rsidRPr="003F29ED" w:rsidRDefault="00163E72" w:rsidP="00163E72">
      <w:pPr>
        <w:pStyle w:val="ListParagraph"/>
        <w:contextualSpacing/>
        <w:jc w:val="both"/>
        <w:rPr>
          <w:rFonts w:asciiTheme="majorHAnsi" w:hAnsiTheme="majorHAnsi"/>
          <w:sz w:val="20"/>
          <w:szCs w:val="20"/>
        </w:rPr>
      </w:pPr>
    </w:p>
    <w:p w:rsidR="00163E72" w:rsidRPr="003F29ED" w:rsidRDefault="00163E72" w:rsidP="00364222">
      <w:pPr>
        <w:pStyle w:val="ListParagraph"/>
        <w:numPr>
          <w:ilvl w:val="0"/>
          <w:numId w:val="65"/>
        </w:numPr>
        <w:tabs>
          <w:tab w:val="num" w:pos="0"/>
        </w:tabs>
        <w:ind w:left="0" w:firstLine="720"/>
        <w:contextualSpacing/>
        <w:jc w:val="both"/>
        <w:rPr>
          <w:rFonts w:asciiTheme="majorHAnsi" w:hAnsiTheme="majorHAnsi"/>
          <w:sz w:val="20"/>
          <w:szCs w:val="20"/>
        </w:rPr>
      </w:pPr>
      <w:r w:rsidRPr="003F29ED">
        <w:rPr>
          <w:rFonts w:asciiTheme="majorHAnsi" w:hAnsiTheme="majorHAnsi"/>
          <w:sz w:val="20"/>
          <w:szCs w:val="20"/>
        </w:rPr>
        <w:t xml:space="preserve">The petitioner alleged that, in addition to the communications mentioned above, she appeared in person at the institutions, where she was given wrong or conflicting information, specifically, that some officials told her that she qualified for the voucher and others assured her that she did not. In particular, regarding the INVU, the petitioner claims that the documents she was providing were refused several times; </w:t>
      </w:r>
      <w:r w:rsidRPr="003F29ED">
        <w:rPr>
          <w:rFonts w:asciiTheme="majorHAnsi" w:hAnsiTheme="majorHAnsi"/>
          <w:sz w:val="20"/>
          <w:szCs w:val="20"/>
        </w:rPr>
        <w:lastRenderedPageBreak/>
        <w:t>she was told that her disability pension was a very small amount and, therefore, she would not qualify for the voucher and, more recently, she was told that she no longer qualified for the BFV because she now lives alone with her daughter and would have to wait until she was 65 years old to reapply for the voucher.</w:t>
      </w:r>
    </w:p>
    <w:p w:rsidR="00163E72" w:rsidRPr="003F29ED" w:rsidRDefault="00163E72" w:rsidP="00163E72">
      <w:pPr>
        <w:pStyle w:val="ListParagraph"/>
        <w:contextualSpacing/>
        <w:jc w:val="both"/>
        <w:rPr>
          <w:rFonts w:asciiTheme="majorHAnsi" w:hAnsiTheme="majorHAnsi"/>
          <w:sz w:val="20"/>
          <w:szCs w:val="20"/>
        </w:rPr>
      </w:pPr>
    </w:p>
    <w:p w:rsidR="00163E72" w:rsidRPr="003F29ED" w:rsidRDefault="002901B7" w:rsidP="00364222">
      <w:pPr>
        <w:pStyle w:val="ListParagraph"/>
        <w:numPr>
          <w:ilvl w:val="0"/>
          <w:numId w:val="65"/>
        </w:numPr>
        <w:tabs>
          <w:tab w:val="num" w:pos="0"/>
        </w:tabs>
        <w:ind w:left="0" w:firstLine="720"/>
        <w:contextualSpacing/>
        <w:jc w:val="both"/>
        <w:rPr>
          <w:rFonts w:asciiTheme="majorHAnsi" w:hAnsiTheme="majorHAnsi"/>
          <w:sz w:val="20"/>
          <w:szCs w:val="20"/>
        </w:rPr>
      </w:pPr>
      <w:r w:rsidRPr="003F29ED">
        <w:rPr>
          <w:rFonts w:asciiTheme="majorHAnsi" w:hAnsiTheme="majorHAnsi"/>
          <w:sz w:val="20"/>
          <w:szCs w:val="20"/>
        </w:rPr>
        <w:t>Additionally, t</w:t>
      </w:r>
      <w:r w:rsidR="00163E72" w:rsidRPr="003F29ED">
        <w:rPr>
          <w:rFonts w:asciiTheme="majorHAnsi" w:hAnsiTheme="majorHAnsi"/>
          <w:sz w:val="20"/>
          <w:szCs w:val="20"/>
        </w:rPr>
        <w:t xml:space="preserve">he petitioner alleged that she had been prevented from realizing her right to dignified housing, as enshrined in the Constitution, not only because of the procedural hurdles that she met with, but also because the requirements set by the INVU are impossible for her to meet. In addition, the fact that her property was declared uninhabitable made it impossible to dispose of it. Finally, the petitioner mentioned that she was required to defray the costs of expert reports, deeds, </w:t>
      </w:r>
      <w:r w:rsidR="005D1E60" w:rsidRPr="003F29ED">
        <w:rPr>
          <w:rFonts w:asciiTheme="majorHAnsi" w:hAnsiTheme="majorHAnsi"/>
          <w:sz w:val="20"/>
          <w:szCs w:val="20"/>
        </w:rPr>
        <w:t>attorney’s</w:t>
      </w:r>
      <w:r w:rsidR="00163E72" w:rsidRPr="003F29ED">
        <w:rPr>
          <w:rFonts w:asciiTheme="majorHAnsi" w:hAnsiTheme="majorHAnsi"/>
          <w:sz w:val="20"/>
          <w:szCs w:val="20"/>
        </w:rPr>
        <w:t xml:space="preserve"> fees, registrations, appraisals and, in general, a high number of documents and procedures, many of which she paid by taking out loans and that her situation has not been resolved. </w:t>
      </w:r>
    </w:p>
    <w:p w:rsidR="00163E72" w:rsidRPr="003F29ED" w:rsidRDefault="00163E72" w:rsidP="00163E72">
      <w:pPr>
        <w:pStyle w:val="ListParagraph"/>
        <w:rPr>
          <w:rFonts w:asciiTheme="majorHAnsi" w:hAnsiTheme="majorHAnsi"/>
          <w:sz w:val="20"/>
          <w:szCs w:val="20"/>
        </w:rPr>
      </w:pPr>
    </w:p>
    <w:p w:rsidR="00163E72" w:rsidRPr="003F29ED" w:rsidRDefault="00163E72" w:rsidP="00364222">
      <w:pPr>
        <w:pStyle w:val="ListParagraph"/>
        <w:numPr>
          <w:ilvl w:val="0"/>
          <w:numId w:val="65"/>
        </w:numPr>
        <w:tabs>
          <w:tab w:val="num" w:pos="0"/>
        </w:tabs>
        <w:ind w:left="0" w:firstLine="720"/>
        <w:contextualSpacing/>
        <w:jc w:val="both"/>
        <w:rPr>
          <w:rFonts w:asciiTheme="majorHAnsi" w:hAnsiTheme="majorHAnsi"/>
          <w:sz w:val="20"/>
          <w:szCs w:val="20"/>
        </w:rPr>
      </w:pPr>
      <w:r w:rsidRPr="003F29ED">
        <w:rPr>
          <w:rFonts w:asciiTheme="majorHAnsi" w:hAnsiTheme="majorHAnsi"/>
          <w:sz w:val="20"/>
          <w:szCs w:val="20"/>
        </w:rPr>
        <w:t xml:space="preserve">Based on all of the foregoing considerations, the petitioner alleged that her rights to family, to preservation of health and wellbeing, and property, enshrined in Articles VI, XI and XXIII of the American Declaration have been violated. </w:t>
      </w:r>
    </w:p>
    <w:p w:rsidR="00163E72" w:rsidRPr="003F29ED" w:rsidRDefault="00163E72" w:rsidP="00163E72">
      <w:pPr>
        <w:pStyle w:val="ListParagraph"/>
        <w:contextualSpacing/>
        <w:jc w:val="both"/>
        <w:rPr>
          <w:rFonts w:asciiTheme="majorHAnsi" w:hAnsiTheme="majorHAnsi"/>
          <w:sz w:val="20"/>
          <w:szCs w:val="20"/>
        </w:rPr>
      </w:pPr>
    </w:p>
    <w:p w:rsidR="00163E72" w:rsidRPr="003F29ED" w:rsidRDefault="00163E72" w:rsidP="00FD5274">
      <w:pPr>
        <w:pStyle w:val="ListParagraph"/>
        <w:numPr>
          <w:ilvl w:val="0"/>
          <w:numId w:val="52"/>
        </w:numPr>
        <w:tabs>
          <w:tab w:val="left" w:pos="720"/>
          <w:tab w:val="left" w:pos="1440"/>
        </w:tabs>
        <w:ind w:left="0" w:firstLine="720"/>
        <w:contextualSpacing/>
        <w:rPr>
          <w:rFonts w:asciiTheme="majorHAnsi" w:hAnsiTheme="majorHAnsi"/>
          <w:b/>
          <w:sz w:val="20"/>
          <w:szCs w:val="20"/>
        </w:rPr>
      </w:pPr>
      <w:r w:rsidRPr="003F29ED">
        <w:rPr>
          <w:rFonts w:asciiTheme="majorHAnsi" w:hAnsiTheme="majorHAnsi"/>
          <w:b/>
          <w:sz w:val="20"/>
          <w:szCs w:val="20"/>
        </w:rPr>
        <w:t xml:space="preserve">FRIENDLY SETTLEMENT </w:t>
      </w:r>
    </w:p>
    <w:p w:rsidR="00163E72" w:rsidRPr="003F29ED" w:rsidRDefault="00163E72" w:rsidP="00163E72">
      <w:pPr>
        <w:pStyle w:val="ListParagraph"/>
        <w:ind w:left="1080" w:firstLine="720"/>
        <w:rPr>
          <w:rFonts w:asciiTheme="majorHAnsi" w:hAnsiTheme="majorHAnsi"/>
          <w:b/>
          <w:sz w:val="20"/>
          <w:szCs w:val="20"/>
        </w:rPr>
      </w:pPr>
    </w:p>
    <w:p w:rsidR="00163E72" w:rsidRPr="003F29ED" w:rsidRDefault="00163E72" w:rsidP="00364222">
      <w:pPr>
        <w:pStyle w:val="ListParagraph"/>
        <w:numPr>
          <w:ilvl w:val="0"/>
          <w:numId w:val="65"/>
        </w:numPr>
        <w:pBdr>
          <w:top w:val="nil"/>
          <w:left w:val="nil"/>
          <w:bottom w:val="nil"/>
          <w:right w:val="nil"/>
          <w:between w:val="nil"/>
          <w:bar w:val="nil"/>
        </w:pBdr>
        <w:tabs>
          <w:tab w:val="num" w:pos="720"/>
        </w:tabs>
        <w:ind w:left="0" w:firstLine="720"/>
        <w:contextualSpacing/>
        <w:jc w:val="both"/>
        <w:rPr>
          <w:rFonts w:asciiTheme="majorHAnsi" w:hAnsiTheme="majorHAnsi" w:cs="Calibri"/>
          <w:sz w:val="20"/>
          <w:szCs w:val="20"/>
        </w:rPr>
      </w:pPr>
      <w:r w:rsidRPr="003F29ED">
        <w:rPr>
          <w:rFonts w:asciiTheme="majorHAnsi" w:hAnsiTheme="majorHAnsi" w:cs="Tahoma"/>
          <w:sz w:val="20"/>
          <w:szCs w:val="20"/>
        </w:rPr>
        <w:t xml:space="preserve">On July 20, 2018, the parties entered into a friendly settlement agreement, establishing the following terms: </w:t>
      </w:r>
    </w:p>
    <w:p w:rsidR="00163E72" w:rsidRPr="003F29ED" w:rsidRDefault="00163E72" w:rsidP="00163E72">
      <w:pPr>
        <w:pStyle w:val="ListParagraph"/>
        <w:contextualSpacing/>
        <w:jc w:val="both"/>
        <w:rPr>
          <w:rFonts w:asciiTheme="majorHAnsi" w:hAnsiTheme="majorHAnsi" w:cs="Calibri"/>
          <w:sz w:val="20"/>
          <w:szCs w:val="20"/>
        </w:rPr>
      </w:pPr>
    </w:p>
    <w:p w:rsidR="00163E72" w:rsidRPr="003F29ED" w:rsidRDefault="00163E72" w:rsidP="007C27AB">
      <w:pPr>
        <w:tabs>
          <w:tab w:val="left" w:pos="1080"/>
          <w:tab w:val="left" w:pos="8640"/>
        </w:tabs>
        <w:ind w:left="720" w:right="720"/>
        <w:jc w:val="center"/>
        <w:outlineLvl w:val="0"/>
        <w:rPr>
          <w:rFonts w:asciiTheme="majorHAnsi" w:hAnsiTheme="majorHAnsi"/>
          <w:b/>
          <w:sz w:val="20"/>
          <w:szCs w:val="20"/>
        </w:rPr>
      </w:pPr>
      <w:r w:rsidRPr="003F29ED">
        <w:rPr>
          <w:rFonts w:asciiTheme="majorHAnsi" w:hAnsiTheme="majorHAnsi"/>
          <w:b/>
          <w:sz w:val="20"/>
          <w:szCs w:val="20"/>
        </w:rPr>
        <w:t xml:space="preserve">FRIENDLY SETTLEMENT AGREEMENT </w:t>
      </w:r>
    </w:p>
    <w:p w:rsidR="00163E72" w:rsidRPr="003F29ED" w:rsidRDefault="00163E72" w:rsidP="007C27AB">
      <w:pPr>
        <w:tabs>
          <w:tab w:val="left" w:pos="1080"/>
          <w:tab w:val="left" w:pos="8640"/>
        </w:tabs>
        <w:ind w:left="720" w:right="720"/>
        <w:jc w:val="center"/>
        <w:outlineLvl w:val="0"/>
        <w:rPr>
          <w:rFonts w:asciiTheme="majorHAnsi" w:hAnsiTheme="majorHAnsi"/>
          <w:b/>
          <w:sz w:val="20"/>
          <w:szCs w:val="20"/>
        </w:rPr>
      </w:pPr>
    </w:p>
    <w:p w:rsidR="00163E72" w:rsidRPr="003F29ED" w:rsidRDefault="00163E72" w:rsidP="007C27AB">
      <w:pPr>
        <w:tabs>
          <w:tab w:val="left" w:pos="1080"/>
          <w:tab w:val="left" w:pos="8640"/>
        </w:tabs>
        <w:suppressAutoHyphens/>
        <w:autoSpaceDN w:val="0"/>
        <w:ind w:left="720" w:right="720"/>
        <w:jc w:val="both"/>
        <w:textAlignment w:val="baseline"/>
        <w:rPr>
          <w:rFonts w:asciiTheme="majorHAnsi" w:hAnsiTheme="majorHAnsi"/>
          <w:sz w:val="20"/>
          <w:szCs w:val="20"/>
          <w:lang w:eastAsia="ar-SA"/>
        </w:rPr>
      </w:pPr>
      <w:r w:rsidRPr="003F29ED">
        <w:rPr>
          <w:rFonts w:asciiTheme="majorHAnsi" w:hAnsiTheme="majorHAnsi"/>
          <w:sz w:val="20"/>
          <w:szCs w:val="20"/>
          <w:lang w:eastAsia="es-ES"/>
        </w:rPr>
        <w:t xml:space="preserve">The Costa Rican State and the petitioner enter into the instant friendly settlement agreement, with respect to Articles 5, 8, 19, 25 and 26 of the American Convention in connection with Articles 1.1 and 2 thereof. </w:t>
      </w:r>
    </w:p>
    <w:p w:rsidR="00163E72" w:rsidRPr="003F29ED" w:rsidRDefault="00163E72" w:rsidP="007C27AB">
      <w:pPr>
        <w:tabs>
          <w:tab w:val="left" w:pos="1080"/>
          <w:tab w:val="left" w:pos="8640"/>
        </w:tabs>
        <w:suppressAutoHyphens/>
        <w:autoSpaceDN w:val="0"/>
        <w:ind w:left="720" w:right="720"/>
        <w:jc w:val="both"/>
        <w:textAlignment w:val="baseline"/>
        <w:rPr>
          <w:rFonts w:asciiTheme="majorHAnsi" w:hAnsiTheme="majorHAnsi"/>
          <w:sz w:val="20"/>
          <w:szCs w:val="20"/>
          <w:lang w:eastAsia="ar-SA"/>
        </w:rPr>
      </w:pPr>
    </w:p>
    <w:p w:rsidR="00163E72" w:rsidRPr="003F29ED" w:rsidRDefault="003F29ED" w:rsidP="007C27AB">
      <w:pPr>
        <w:tabs>
          <w:tab w:val="left" w:pos="1080"/>
          <w:tab w:val="left" w:pos="8640"/>
        </w:tabs>
        <w:suppressAutoHyphens/>
        <w:autoSpaceDN w:val="0"/>
        <w:ind w:left="720" w:right="720"/>
        <w:jc w:val="both"/>
        <w:textAlignment w:val="baseline"/>
        <w:rPr>
          <w:rFonts w:asciiTheme="majorHAnsi" w:hAnsiTheme="majorHAnsi"/>
          <w:sz w:val="20"/>
          <w:szCs w:val="20"/>
        </w:rPr>
      </w:pPr>
      <w:r w:rsidRPr="003F29ED">
        <w:rPr>
          <w:rFonts w:asciiTheme="majorHAnsi" w:hAnsiTheme="majorHAnsi"/>
          <w:sz w:val="20"/>
          <w:szCs w:val="20"/>
          <w:lang w:eastAsia="ar-SA"/>
        </w:rPr>
        <w:t>According to the current context,</w:t>
      </w:r>
      <w:r>
        <w:rPr>
          <w:rFonts w:asciiTheme="majorHAnsi" w:hAnsiTheme="majorHAnsi"/>
          <w:sz w:val="20"/>
          <w:szCs w:val="20"/>
          <w:lang w:eastAsia="ar-SA"/>
        </w:rPr>
        <w:t>, t</w:t>
      </w:r>
      <w:r w:rsidR="00163E72" w:rsidRPr="003F29ED">
        <w:rPr>
          <w:rFonts w:asciiTheme="majorHAnsi" w:hAnsiTheme="majorHAnsi"/>
          <w:sz w:val="20"/>
          <w:szCs w:val="20"/>
          <w:lang w:eastAsia="ar-SA"/>
        </w:rPr>
        <w:t xml:space="preserve">he steps taken to solve the housing problem, prior to the filing of the petition with the IACHR on April 7, 2006, took place in a context in which no clear (standardized) procedures, or at least any guidance mechanisms, were in place for persons seeking housing relief. On this issue, the consistent statements of the petitioner (Emilia Morales Campos) at many meetings with the Inter-institutional Team throughout the friendly settlement process should be underscored, when she asserts </w:t>
      </w:r>
      <w:r w:rsidR="00163E72" w:rsidRPr="003F29ED">
        <w:rPr>
          <w:rFonts w:asciiTheme="majorHAnsi" w:hAnsiTheme="majorHAnsi"/>
          <w:i/>
          <w:sz w:val="20"/>
          <w:szCs w:val="20"/>
          <w:lang w:eastAsia="ar-SA"/>
        </w:rPr>
        <w:t>verbatim</w:t>
      </w:r>
      <w:r w:rsidR="00163E72" w:rsidRPr="003F29ED">
        <w:rPr>
          <w:rFonts w:asciiTheme="majorHAnsi" w:hAnsiTheme="majorHAnsi"/>
          <w:sz w:val="20"/>
          <w:szCs w:val="20"/>
          <w:lang w:eastAsia="ar-SA"/>
        </w:rPr>
        <w:t xml:space="preserve">: </w:t>
      </w:r>
    </w:p>
    <w:p w:rsidR="00163E72" w:rsidRPr="003F29ED" w:rsidRDefault="00163E72" w:rsidP="007C27AB">
      <w:pPr>
        <w:tabs>
          <w:tab w:val="left" w:pos="1080"/>
          <w:tab w:val="left" w:pos="8640"/>
        </w:tabs>
        <w:suppressAutoHyphens/>
        <w:autoSpaceDN w:val="0"/>
        <w:ind w:left="720" w:right="720"/>
        <w:jc w:val="both"/>
        <w:textAlignment w:val="baseline"/>
        <w:rPr>
          <w:rFonts w:asciiTheme="majorHAnsi" w:hAnsiTheme="majorHAnsi"/>
          <w:sz w:val="20"/>
          <w:szCs w:val="20"/>
          <w:shd w:val="clear" w:color="auto" w:fill="FFFFFF"/>
        </w:rPr>
      </w:pPr>
    </w:p>
    <w:p w:rsidR="00163E72" w:rsidRPr="003F29ED" w:rsidRDefault="00163E72" w:rsidP="007C27AB">
      <w:pPr>
        <w:tabs>
          <w:tab w:val="left" w:pos="1080"/>
          <w:tab w:val="left" w:pos="7797"/>
          <w:tab w:val="left" w:pos="8640"/>
        </w:tabs>
        <w:ind w:left="720" w:right="720"/>
        <w:jc w:val="both"/>
        <w:rPr>
          <w:rFonts w:asciiTheme="majorHAnsi" w:eastAsia="Times New Roman" w:hAnsiTheme="majorHAnsi"/>
          <w:sz w:val="20"/>
          <w:szCs w:val="20"/>
          <w:lang w:eastAsia="es-ES"/>
        </w:rPr>
      </w:pPr>
      <w:r w:rsidRPr="003F29ED">
        <w:rPr>
          <w:rFonts w:asciiTheme="majorHAnsi" w:hAnsiTheme="majorHAnsi"/>
          <w:i/>
          <w:sz w:val="20"/>
          <w:szCs w:val="20"/>
          <w:lang w:eastAsia="ar-SA"/>
        </w:rPr>
        <w:t xml:space="preserve">“…the efforts made since the nineties (specifically, as of 1991), as to the housing voucher </w:t>
      </w:r>
      <w:r w:rsidRPr="003F29ED">
        <w:rPr>
          <w:rFonts w:asciiTheme="majorHAnsi" w:hAnsiTheme="majorHAnsi"/>
          <w:i/>
          <w:spacing w:val="-3"/>
          <w:sz w:val="20"/>
          <w:szCs w:val="20"/>
          <w:bdr w:val="none" w:sz="0" w:space="0" w:color="auto" w:frame="1"/>
        </w:rPr>
        <w:t xml:space="preserve">(based on my health, economic capacity and immediate family conditions), were requested through the competent authorities of the State at the time </w:t>
      </w:r>
      <w:r w:rsidRPr="003F29ED">
        <w:rPr>
          <w:rFonts w:asciiTheme="majorHAnsi" w:hAnsiTheme="majorHAnsi"/>
          <w:bCs/>
          <w:i/>
          <w:sz w:val="20"/>
          <w:szCs w:val="20"/>
        </w:rPr>
        <w:t>(Housing Mortgage Bank</w:t>
      </w:r>
      <w:r w:rsidRPr="003F29ED">
        <w:rPr>
          <w:rFonts w:asciiTheme="majorHAnsi" w:hAnsiTheme="majorHAnsi"/>
          <w:i/>
          <w:sz w:val="20"/>
          <w:szCs w:val="20"/>
        </w:rPr>
        <w:t>, National Housing and Urban Institute, Special Housing Commission, IMAS and</w:t>
      </w:r>
      <w:r w:rsidRPr="003F29ED">
        <w:rPr>
          <w:rFonts w:asciiTheme="majorHAnsi" w:hAnsiTheme="majorHAnsi"/>
          <w:b/>
          <w:i/>
          <w:sz w:val="20"/>
          <w:szCs w:val="20"/>
          <w:lang w:eastAsia="es-CO"/>
        </w:rPr>
        <w:t xml:space="preserve"> </w:t>
      </w:r>
      <w:r w:rsidRPr="003F29ED">
        <w:rPr>
          <w:rFonts w:asciiTheme="majorHAnsi" w:hAnsiTheme="majorHAnsi"/>
          <w:bCs/>
          <w:i/>
          <w:sz w:val="20"/>
          <w:szCs w:val="20"/>
        </w:rPr>
        <w:t>UNIVICOOP),</w:t>
      </w:r>
      <w:r w:rsidRPr="003F29ED">
        <w:rPr>
          <w:rFonts w:asciiTheme="majorHAnsi" w:eastAsia="Times New Roman" w:hAnsiTheme="majorHAnsi"/>
          <w:i/>
          <w:sz w:val="20"/>
          <w:szCs w:val="20"/>
          <w:lang w:eastAsia="es-ES"/>
        </w:rPr>
        <w:t xml:space="preserve"> with a view toward solving mine and my daughter’s (Jennifer Emilia Morales Campos) housing problem.  Nonetheless, the institutions mentioned above, did not ensure for me the mechanisms, the guidance, or the accompaniment to have access to said Voucher. Based on the foregoing, it is evident that my intent was not for the Costa Rican State to give me anything for free; but simply for the State to ensure access to the housing voucher for me.</w:t>
      </w:r>
      <w:r w:rsidRPr="003F29ED">
        <w:rPr>
          <w:rFonts w:asciiTheme="majorHAnsi" w:hAnsiTheme="majorHAnsi"/>
          <w:i/>
          <w:sz w:val="20"/>
          <w:szCs w:val="20"/>
        </w:rPr>
        <w:t>”</w:t>
      </w:r>
      <w:r w:rsidRPr="003F29ED">
        <w:rPr>
          <w:rFonts w:asciiTheme="majorHAnsi" w:eastAsia="Times New Roman" w:hAnsiTheme="majorHAnsi"/>
          <w:i/>
          <w:sz w:val="20"/>
          <w:szCs w:val="20"/>
          <w:lang w:eastAsia="es-ES"/>
        </w:rPr>
        <w:t xml:space="preserve"> </w:t>
      </w:r>
    </w:p>
    <w:p w:rsidR="00163E72" w:rsidRPr="003F29ED" w:rsidRDefault="00163E72" w:rsidP="007C27AB">
      <w:pPr>
        <w:tabs>
          <w:tab w:val="left" w:pos="1080"/>
          <w:tab w:val="left" w:pos="7797"/>
          <w:tab w:val="left" w:pos="8640"/>
        </w:tabs>
        <w:ind w:left="720" w:right="720"/>
        <w:jc w:val="both"/>
        <w:rPr>
          <w:rFonts w:asciiTheme="majorHAnsi" w:eastAsia="Times New Roman" w:hAnsiTheme="majorHAnsi"/>
          <w:sz w:val="20"/>
          <w:szCs w:val="20"/>
          <w:lang w:eastAsia="es-ES"/>
        </w:rPr>
      </w:pPr>
    </w:p>
    <w:p w:rsidR="00163E72" w:rsidRPr="003F29ED" w:rsidRDefault="00163E72" w:rsidP="007C27AB">
      <w:pPr>
        <w:tabs>
          <w:tab w:val="left" w:pos="1080"/>
          <w:tab w:val="left" w:pos="8640"/>
        </w:tabs>
        <w:ind w:left="720" w:right="720"/>
        <w:jc w:val="both"/>
        <w:rPr>
          <w:rFonts w:asciiTheme="majorHAnsi" w:hAnsiTheme="majorHAnsi"/>
          <w:sz w:val="20"/>
          <w:szCs w:val="20"/>
        </w:rPr>
      </w:pPr>
      <w:r w:rsidRPr="003F29ED">
        <w:rPr>
          <w:rFonts w:asciiTheme="majorHAnsi" w:hAnsiTheme="majorHAnsi"/>
          <w:sz w:val="20"/>
          <w:szCs w:val="20"/>
          <w:shd w:val="clear" w:color="auto" w:fill="FFFFFF"/>
        </w:rPr>
        <w:t xml:space="preserve">It highly important to note that the system has been clearly evolving and the Costa Rican State has been striving to provide clearer guidance tools and mechanisms to persons seeking housing relief, particularly persons with disabilities. Likewise, the State has become aware of the particular and exceptional situation of Case 12.942, which took place prior to the creation of the National Housing Finance System </w:t>
      </w:r>
      <w:r w:rsidRPr="003F29ED">
        <w:rPr>
          <w:rFonts w:asciiTheme="majorHAnsi" w:hAnsiTheme="majorHAnsi"/>
          <w:bCs/>
          <w:sz w:val="20"/>
          <w:szCs w:val="20"/>
          <w:lang w:eastAsia="es-ES"/>
        </w:rPr>
        <w:t xml:space="preserve">(SNFV) of Costa Rica. At that time, Costa Rica had a body called the Special Housing Commission (Comisión </w:t>
      </w:r>
      <w:r w:rsidRPr="003F29ED">
        <w:rPr>
          <w:rFonts w:asciiTheme="majorHAnsi" w:hAnsiTheme="majorHAnsi"/>
          <w:iCs/>
          <w:sz w:val="20"/>
          <w:szCs w:val="20"/>
          <w:lang w:eastAsia="es-ES"/>
        </w:rPr>
        <w:t>Especial de Vivienda, created under Executive Decree No.</w:t>
      </w:r>
      <w:r w:rsidRPr="003F29ED">
        <w:rPr>
          <w:rFonts w:asciiTheme="majorHAnsi" w:hAnsiTheme="majorHAnsi"/>
          <w:sz w:val="20"/>
          <w:szCs w:val="20"/>
          <w:shd w:val="clear" w:color="auto" w:fill="FFFFFF"/>
        </w:rPr>
        <w:t xml:space="preserve"> 17270-P of October 29, 1986</w:t>
      </w:r>
      <w:r w:rsidRPr="003F29ED">
        <w:rPr>
          <w:rFonts w:asciiTheme="majorHAnsi" w:hAnsiTheme="majorHAnsi"/>
          <w:sz w:val="20"/>
          <w:szCs w:val="20"/>
        </w:rPr>
        <w:t xml:space="preserve">), which did not ensure for Mrs. Emilia Morales Campos improved State mechanisms, guidance, or accompaniment about temporary and permanent housing relief. </w:t>
      </w:r>
    </w:p>
    <w:p w:rsidR="00163E72" w:rsidRPr="003F29ED" w:rsidRDefault="00163E72" w:rsidP="007C27AB">
      <w:pPr>
        <w:tabs>
          <w:tab w:val="left" w:pos="1080"/>
          <w:tab w:val="left" w:pos="8640"/>
        </w:tabs>
        <w:ind w:left="720" w:right="720"/>
        <w:jc w:val="both"/>
        <w:rPr>
          <w:rFonts w:asciiTheme="majorHAnsi" w:hAnsiTheme="majorHAnsi"/>
          <w:sz w:val="20"/>
          <w:szCs w:val="20"/>
        </w:rPr>
      </w:pPr>
    </w:p>
    <w:p w:rsidR="00163E72" w:rsidRPr="003F29ED" w:rsidRDefault="00163E72" w:rsidP="007C27AB">
      <w:pPr>
        <w:tabs>
          <w:tab w:val="left" w:pos="1080"/>
          <w:tab w:val="left" w:pos="8640"/>
        </w:tabs>
        <w:ind w:left="720" w:right="720"/>
        <w:jc w:val="both"/>
        <w:rPr>
          <w:rFonts w:asciiTheme="majorHAnsi" w:eastAsia="Times New Roman" w:hAnsiTheme="majorHAnsi"/>
          <w:sz w:val="20"/>
          <w:szCs w:val="20"/>
        </w:rPr>
      </w:pPr>
      <w:r w:rsidRPr="003F29ED">
        <w:rPr>
          <w:rFonts w:asciiTheme="majorHAnsi" w:eastAsia="Times New Roman" w:hAnsiTheme="majorHAnsi"/>
          <w:sz w:val="20"/>
          <w:szCs w:val="20"/>
          <w:lang w:eastAsia="es-CR"/>
        </w:rPr>
        <w:lastRenderedPageBreak/>
        <w:t>In the current context and under the framework of the SNFV, the Housing Development Foundation (Fundación Promotora de Vivienda) has consented to sell</w:t>
      </w:r>
      <w:r w:rsidRPr="003F29ED">
        <w:rPr>
          <w:rStyle w:val="FootnoteReference"/>
          <w:rFonts w:asciiTheme="majorHAnsi" w:eastAsia="Times New Roman" w:hAnsiTheme="majorHAnsi"/>
          <w:sz w:val="20"/>
          <w:szCs w:val="20"/>
          <w:lang w:eastAsia="es-CR"/>
        </w:rPr>
        <w:footnoteReference w:id="5"/>
      </w:r>
      <w:r w:rsidRPr="003F29ED">
        <w:rPr>
          <w:rFonts w:asciiTheme="majorHAnsi" w:eastAsia="Times New Roman" w:hAnsiTheme="majorHAnsi"/>
          <w:sz w:val="20"/>
          <w:szCs w:val="20"/>
          <w:lang w:eastAsia="es-CR"/>
        </w:rPr>
        <w:t xml:space="preserve"> the property belonging to her, registered to the sector of Alajuela </w:t>
      </w:r>
      <w:r w:rsidRPr="003F29ED">
        <w:rPr>
          <w:rFonts w:asciiTheme="majorHAnsi" w:eastAsia="Times New Roman" w:hAnsiTheme="majorHAnsi"/>
          <w:sz w:val="20"/>
          <w:szCs w:val="20"/>
        </w:rPr>
        <w:t xml:space="preserve">525479-000 located in District 7 Puente de Piedra, Cantón 3 Grecia, Provincia 2 Alajuela, through the Family Housing Voucher mechanism, and through the land plot and construction program. </w:t>
      </w:r>
    </w:p>
    <w:p w:rsidR="00163E72" w:rsidRPr="003F29ED" w:rsidRDefault="00163E72" w:rsidP="007C27AB">
      <w:pPr>
        <w:tabs>
          <w:tab w:val="left" w:pos="1080"/>
          <w:tab w:val="left" w:pos="8640"/>
        </w:tabs>
        <w:ind w:left="720" w:right="720"/>
        <w:jc w:val="both"/>
        <w:rPr>
          <w:rFonts w:asciiTheme="majorHAnsi" w:eastAsia="Times New Roman" w:hAnsiTheme="majorHAnsi"/>
          <w:sz w:val="20"/>
          <w:szCs w:val="20"/>
        </w:rPr>
      </w:pPr>
    </w:p>
    <w:p w:rsidR="00163E72" w:rsidRPr="003F29ED" w:rsidRDefault="00163E72" w:rsidP="007C27AB">
      <w:pPr>
        <w:tabs>
          <w:tab w:val="left" w:pos="1080"/>
          <w:tab w:val="left" w:pos="8640"/>
        </w:tabs>
        <w:ind w:left="720" w:right="720"/>
        <w:jc w:val="both"/>
        <w:rPr>
          <w:rFonts w:asciiTheme="majorHAnsi" w:hAnsiTheme="majorHAnsi"/>
          <w:bCs/>
          <w:sz w:val="20"/>
          <w:szCs w:val="20"/>
        </w:rPr>
      </w:pPr>
      <w:r w:rsidRPr="003F29ED">
        <w:rPr>
          <w:rFonts w:asciiTheme="majorHAnsi" w:eastAsia="Times New Roman" w:hAnsiTheme="majorHAnsi"/>
          <w:sz w:val="20"/>
          <w:szCs w:val="20"/>
          <w:lang w:eastAsia="es-CR"/>
        </w:rPr>
        <w:t xml:space="preserve">It was hereby agreed at the meeting between Mrs. </w:t>
      </w:r>
      <w:r w:rsidRPr="003F29ED">
        <w:rPr>
          <w:rFonts w:asciiTheme="majorHAnsi" w:hAnsiTheme="majorHAnsi"/>
          <w:sz w:val="20"/>
          <w:szCs w:val="20"/>
        </w:rPr>
        <w:t>Emilia Morales Campos and the Inter-institutional Team, held on May 28, 2018, at the Foreign Ministry, the Costa Rican State would cover the purchase of the building through the National Housing Finance System, in addition to the construction of the aforementioned house. Based on the foregoing, the petitioner</w:t>
      </w:r>
      <w:r w:rsidRPr="003F29ED">
        <w:rPr>
          <w:rFonts w:asciiTheme="majorHAnsi" w:eastAsia="Times New Roman" w:hAnsiTheme="majorHAnsi"/>
          <w:sz w:val="20"/>
          <w:szCs w:val="20"/>
          <w:lang w:eastAsia="es-ES"/>
        </w:rPr>
        <w:t xml:space="preserve"> (Emilia Morales Campos, 63 years of age), shall not disburse to the Costa Rican State any amount [of money] for purchase of building, or for construction of the house in keeping with the statutory provisions of accessibility set forth in Law No. </w:t>
      </w:r>
      <w:r w:rsidRPr="003F29ED">
        <w:rPr>
          <w:rFonts w:asciiTheme="majorHAnsi" w:hAnsiTheme="majorHAnsi"/>
          <w:bCs/>
          <w:sz w:val="20"/>
          <w:szCs w:val="20"/>
        </w:rPr>
        <w:t>7600, the Inter-American Convention on the Elimination of All Forms of Discrimination against Persons with Disability, and the United Nations Convention on Persons with Disability.</w:t>
      </w:r>
    </w:p>
    <w:p w:rsidR="00163E72" w:rsidRPr="003F29ED" w:rsidRDefault="00163E72" w:rsidP="007C27AB">
      <w:pPr>
        <w:tabs>
          <w:tab w:val="left" w:pos="1080"/>
          <w:tab w:val="left" w:pos="8640"/>
        </w:tabs>
        <w:ind w:left="720" w:right="720"/>
        <w:jc w:val="both"/>
        <w:rPr>
          <w:rFonts w:asciiTheme="majorHAnsi" w:hAnsiTheme="majorHAnsi"/>
          <w:bCs/>
          <w:sz w:val="20"/>
          <w:szCs w:val="20"/>
        </w:rPr>
      </w:pPr>
    </w:p>
    <w:p w:rsidR="00163E72" w:rsidRPr="003F29ED" w:rsidRDefault="00163E72" w:rsidP="007C27AB">
      <w:pPr>
        <w:tabs>
          <w:tab w:val="left" w:pos="1020"/>
          <w:tab w:val="left" w:pos="1080"/>
          <w:tab w:val="left" w:pos="8640"/>
        </w:tabs>
        <w:ind w:left="720" w:right="720"/>
        <w:contextualSpacing/>
        <w:jc w:val="both"/>
        <w:rPr>
          <w:rFonts w:asciiTheme="majorHAnsi" w:eastAsia="Times New Roman" w:hAnsiTheme="majorHAnsi"/>
          <w:sz w:val="20"/>
          <w:szCs w:val="20"/>
          <w:lang w:eastAsia="es-CR"/>
        </w:rPr>
      </w:pPr>
      <w:r w:rsidRPr="003F29ED">
        <w:rPr>
          <w:rFonts w:asciiTheme="majorHAnsi" w:eastAsia="Times New Roman" w:hAnsiTheme="majorHAnsi"/>
          <w:sz w:val="20"/>
          <w:szCs w:val="20"/>
          <w:lang w:eastAsia="es-CR"/>
        </w:rPr>
        <w:t xml:space="preserve">As part of the agreements reached in this friendly settlement process, expenses to formally complete the process, registration fees and closing costs for the sale of real property that are covered by the Family Housing Voucher with respect to Cartago Mutual Savings and Loans, will also be subsidized pursuant to current rules of the Housing Mortgage Bank (Banco Hipotecario de la Vivienda). </w:t>
      </w:r>
    </w:p>
    <w:p w:rsidR="00163E72" w:rsidRPr="003F29ED" w:rsidRDefault="00163E72" w:rsidP="007C27AB">
      <w:pPr>
        <w:tabs>
          <w:tab w:val="left" w:pos="1020"/>
          <w:tab w:val="left" w:pos="1080"/>
          <w:tab w:val="left" w:pos="8640"/>
        </w:tabs>
        <w:ind w:left="720" w:right="720"/>
        <w:contextualSpacing/>
        <w:jc w:val="both"/>
        <w:rPr>
          <w:rFonts w:asciiTheme="majorHAnsi" w:eastAsia="Times New Roman" w:hAnsiTheme="majorHAnsi"/>
          <w:sz w:val="20"/>
          <w:szCs w:val="20"/>
          <w:u w:val="single"/>
          <w:lang w:eastAsia="es-CR"/>
        </w:rPr>
      </w:pPr>
    </w:p>
    <w:p w:rsidR="00163E72" w:rsidRPr="003F29ED" w:rsidRDefault="00163E72" w:rsidP="007C27AB">
      <w:pPr>
        <w:tabs>
          <w:tab w:val="left" w:pos="1080"/>
          <w:tab w:val="left" w:pos="8640"/>
        </w:tabs>
        <w:ind w:left="720" w:right="720"/>
        <w:jc w:val="both"/>
        <w:rPr>
          <w:rFonts w:asciiTheme="majorHAnsi" w:hAnsiTheme="majorHAnsi"/>
          <w:sz w:val="20"/>
          <w:szCs w:val="20"/>
        </w:rPr>
      </w:pPr>
      <w:r w:rsidRPr="003F29ED">
        <w:rPr>
          <w:rFonts w:asciiTheme="majorHAnsi" w:eastAsia="Times New Roman" w:hAnsiTheme="majorHAnsi"/>
          <w:sz w:val="20"/>
          <w:szCs w:val="20"/>
          <w:lang w:eastAsia="es-CR"/>
        </w:rPr>
        <w:t xml:space="preserve">Through the Ministry of Foreign Affairs and Worship, the Costa Rican State recognizes the close collaboration of the petitioner </w:t>
      </w:r>
      <w:r w:rsidRPr="003F29ED">
        <w:rPr>
          <w:rFonts w:asciiTheme="majorHAnsi" w:hAnsiTheme="majorHAnsi"/>
          <w:sz w:val="20"/>
          <w:szCs w:val="20"/>
        </w:rPr>
        <w:t>(Emilia Morales Campos, 63 years of age) in this process, her activism from a human rights-based perspective, consistently upholding the principle of legality and the democratic system of Costa Rica in order to solidify the friendly settlement of Case 12.942. Likewise, the State recognizes the tireless struggle of the petitioner (Emilia Morales Campos, 63 years of age) throughout this period of time (12 years in the IACHR), at first, for the benefit of her daughter (</w:t>
      </w:r>
      <w:r w:rsidRPr="003F29ED">
        <w:rPr>
          <w:rFonts w:asciiTheme="majorHAnsi" w:hAnsiTheme="majorHAnsi"/>
          <w:sz w:val="20"/>
          <w:szCs w:val="20"/>
          <w:lang w:eastAsia="es-CO"/>
        </w:rPr>
        <w:t xml:space="preserve">Jennifer Emilia Morales Campos), when she was a minor in the beginning stage of this process and, currently, for the benefit of her minor granddaughter </w:t>
      </w:r>
      <w:r w:rsidRPr="003F29ED">
        <w:rPr>
          <w:rFonts w:asciiTheme="majorHAnsi" w:hAnsiTheme="majorHAnsi"/>
          <w:sz w:val="20"/>
          <w:szCs w:val="20"/>
        </w:rPr>
        <w:t>(</w:t>
      </w:r>
      <w:r w:rsidRPr="003F29ED">
        <w:rPr>
          <w:rFonts w:asciiTheme="majorHAnsi" w:eastAsia="Times New Roman" w:hAnsiTheme="majorHAnsi"/>
          <w:sz w:val="20"/>
          <w:szCs w:val="20"/>
          <w:lang w:eastAsia="es-CR"/>
        </w:rPr>
        <w:t>IMM</w:t>
      </w:r>
      <w:r w:rsidRPr="003F29ED">
        <w:rPr>
          <w:rStyle w:val="FootnoteReference"/>
          <w:rFonts w:asciiTheme="majorHAnsi" w:eastAsia="Times New Roman" w:hAnsiTheme="majorHAnsi"/>
          <w:sz w:val="20"/>
          <w:szCs w:val="20"/>
          <w:lang w:eastAsia="es-CR"/>
        </w:rPr>
        <w:footnoteReference w:id="6"/>
      </w:r>
      <w:r w:rsidRPr="003F29ED">
        <w:rPr>
          <w:rFonts w:asciiTheme="majorHAnsi" w:eastAsia="Times New Roman" w:hAnsiTheme="majorHAnsi"/>
          <w:sz w:val="20"/>
          <w:szCs w:val="20"/>
          <w:lang w:eastAsia="es-CR"/>
        </w:rPr>
        <w:t>)</w:t>
      </w:r>
      <w:r w:rsidRPr="003F29ED">
        <w:rPr>
          <w:rFonts w:asciiTheme="majorHAnsi" w:hAnsiTheme="majorHAnsi"/>
          <w:sz w:val="20"/>
          <w:szCs w:val="20"/>
        </w:rPr>
        <w:t xml:space="preserve">. </w:t>
      </w:r>
    </w:p>
    <w:p w:rsidR="00163E72" w:rsidRPr="003F29ED" w:rsidRDefault="00163E72" w:rsidP="007C27AB">
      <w:pPr>
        <w:tabs>
          <w:tab w:val="left" w:pos="1080"/>
          <w:tab w:val="left" w:pos="8640"/>
        </w:tabs>
        <w:ind w:left="720" w:right="720"/>
        <w:jc w:val="both"/>
        <w:rPr>
          <w:rFonts w:asciiTheme="majorHAnsi" w:hAnsiTheme="majorHAnsi"/>
          <w:sz w:val="20"/>
          <w:szCs w:val="20"/>
        </w:rPr>
      </w:pPr>
    </w:p>
    <w:p w:rsidR="00163E72" w:rsidRPr="003F29ED" w:rsidRDefault="00163E72" w:rsidP="007C27AB">
      <w:pPr>
        <w:tabs>
          <w:tab w:val="left" w:pos="1080"/>
          <w:tab w:val="left" w:pos="8640"/>
        </w:tabs>
        <w:ind w:left="720" w:right="720"/>
        <w:jc w:val="both"/>
        <w:rPr>
          <w:rFonts w:asciiTheme="majorHAnsi" w:eastAsia="Times New Roman" w:hAnsiTheme="majorHAnsi"/>
          <w:sz w:val="20"/>
          <w:szCs w:val="20"/>
          <w:lang w:eastAsia="es-ES"/>
        </w:rPr>
      </w:pPr>
      <w:r w:rsidRPr="003F29ED">
        <w:rPr>
          <w:rFonts w:asciiTheme="majorHAnsi" w:hAnsiTheme="majorHAnsi"/>
          <w:sz w:val="20"/>
          <w:szCs w:val="20"/>
        </w:rPr>
        <w:t xml:space="preserve">As part of the agreements, a press release will be published at the time of the signing of this Friendly Settlement Agreement. The press release issued by the Foreign Ministry with regard to case </w:t>
      </w:r>
      <w:r w:rsidRPr="003F29ED">
        <w:rPr>
          <w:rFonts w:asciiTheme="majorHAnsi" w:hAnsiTheme="majorHAnsi"/>
          <w:sz w:val="20"/>
          <w:szCs w:val="20"/>
          <w:lang w:eastAsia="ar-SA"/>
        </w:rPr>
        <w:t xml:space="preserve">12.942 will be posted on the websites of the Ministry of Foreign Affairs and Worship, the Ministry of Housing and Human Settlements, and will be circulated to the press, as well as on social media. </w:t>
      </w:r>
    </w:p>
    <w:p w:rsidR="00163E72" w:rsidRPr="003F29ED" w:rsidRDefault="00163E72" w:rsidP="007C27AB">
      <w:pPr>
        <w:tabs>
          <w:tab w:val="left" w:pos="1080"/>
          <w:tab w:val="left" w:pos="8640"/>
        </w:tabs>
        <w:ind w:left="720" w:right="720"/>
        <w:jc w:val="both"/>
        <w:rPr>
          <w:rFonts w:asciiTheme="majorHAnsi" w:hAnsiTheme="majorHAnsi"/>
          <w:sz w:val="20"/>
          <w:szCs w:val="20"/>
        </w:rPr>
      </w:pPr>
      <w:r w:rsidRPr="003F29ED">
        <w:rPr>
          <w:rFonts w:asciiTheme="majorHAnsi" w:hAnsiTheme="majorHAnsi"/>
          <w:sz w:val="20"/>
          <w:szCs w:val="20"/>
        </w:rPr>
        <w:t xml:space="preserve">The parties reached the Agreement that is included in this document. </w:t>
      </w:r>
    </w:p>
    <w:p w:rsidR="00163E72" w:rsidRPr="003F29ED" w:rsidRDefault="00163E72" w:rsidP="007C27AB">
      <w:pPr>
        <w:tabs>
          <w:tab w:val="left" w:pos="1080"/>
          <w:tab w:val="left" w:pos="8640"/>
        </w:tabs>
        <w:ind w:left="720" w:right="720"/>
        <w:jc w:val="both"/>
        <w:rPr>
          <w:rFonts w:asciiTheme="majorHAnsi" w:hAnsiTheme="majorHAnsi"/>
          <w:sz w:val="20"/>
          <w:szCs w:val="20"/>
        </w:rPr>
      </w:pPr>
    </w:p>
    <w:p w:rsidR="00163E72" w:rsidRPr="003F29ED" w:rsidRDefault="00163E72" w:rsidP="007C27AB">
      <w:pPr>
        <w:keepNext/>
        <w:keepLines/>
        <w:tabs>
          <w:tab w:val="left" w:pos="1080"/>
          <w:tab w:val="left" w:pos="8640"/>
        </w:tabs>
        <w:ind w:left="720" w:right="720"/>
        <w:jc w:val="center"/>
        <w:outlineLvl w:val="0"/>
        <w:rPr>
          <w:rFonts w:asciiTheme="majorHAnsi" w:hAnsiTheme="majorHAnsi"/>
          <w:b/>
          <w:sz w:val="20"/>
          <w:szCs w:val="20"/>
        </w:rPr>
      </w:pPr>
      <w:r w:rsidRPr="003F29ED">
        <w:rPr>
          <w:rFonts w:asciiTheme="majorHAnsi" w:hAnsiTheme="majorHAnsi"/>
          <w:b/>
          <w:sz w:val="20"/>
          <w:szCs w:val="20"/>
        </w:rPr>
        <w:t>Framework of Obligations of the Costa Rican State.</w:t>
      </w:r>
    </w:p>
    <w:p w:rsidR="00163E72" w:rsidRPr="003F29ED" w:rsidRDefault="00163E72" w:rsidP="007C27AB">
      <w:pPr>
        <w:keepNext/>
        <w:keepLines/>
        <w:tabs>
          <w:tab w:val="left" w:pos="1080"/>
          <w:tab w:val="left" w:pos="8640"/>
        </w:tabs>
        <w:ind w:left="720" w:right="720"/>
        <w:jc w:val="center"/>
        <w:outlineLvl w:val="0"/>
        <w:rPr>
          <w:rFonts w:asciiTheme="majorHAnsi" w:hAnsiTheme="majorHAnsi"/>
          <w:b/>
          <w:sz w:val="20"/>
          <w:szCs w:val="20"/>
        </w:rPr>
      </w:pPr>
    </w:p>
    <w:p w:rsidR="00163E72" w:rsidRPr="003F29ED" w:rsidRDefault="00163E72" w:rsidP="007C27AB">
      <w:pPr>
        <w:tabs>
          <w:tab w:val="left" w:pos="1080"/>
          <w:tab w:val="left" w:pos="8640"/>
        </w:tabs>
        <w:ind w:left="720" w:right="720"/>
        <w:jc w:val="both"/>
        <w:rPr>
          <w:rFonts w:asciiTheme="majorHAnsi" w:hAnsiTheme="majorHAnsi"/>
          <w:sz w:val="20"/>
          <w:szCs w:val="20"/>
        </w:rPr>
      </w:pPr>
      <w:r w:rsidRPr="003F29ED">
        <w:rPr>
          <w:rFonts w:asciiTheme="majorHAnsi" w:hAnsiTheme="majorHAnsi"/>
          <w:sz w:val="20"/>
          <w:szCs w:val="20"/>
        </w:rPr>
        <w:t>Article 7 of the Political Constitution of Costa Rica provides that international treaties have a higher rank than laws. Additionally, constitutional jurisprudence has established that international human rights treaties, insofar as they are able to provide greater protection to individuals, have a higher rank than the Political Constitution. In this regard, since it has ratified the Inter-American and international human rights instruments, the Costa Rican State has incorporated into its body of law the provisions of the American Convention on Human Rights,</w:t>
      </w:r>
      <w:r w:rsidRPr="003F29ED">
        <w:rPr>
          <w:rFonts w:asciiTheme="majorHAnsi" w:hAnsiTheme="majorHAnsi"/>
          <w:sz w:val="20"/>
          <w:szCs w:val="20"/>
          <w:vertAlign w:val="superscript"/>
        </w:rPr>
        <w:footnoteReference w:id="7"/>
      </w:r>
      <w:r w:rsidRPr="003F29ED">
        <w:rPr>
          <w:rFonts w:asciiTheme="majorHAnsi" w:hAnsiTheme="majorHAnsi"/>
          <w:sz w:val="20"/>
          <w:szCs w:val="20"/>
        </w:rPr>
        <w:t xml:space="preserve"> and other international and Inter-American instruments ratified by the State. </w:t>
      </w:r>
    </w:p>
    <w:p w:rsidR="00163E72" w:rsidRPr="003F29ED" w:rsidRDefault="00163E72" w:rsidP="007C27AB">
      <w:pPr>
        <w:tabs>
          <w:tab w:val="left" w:pos="1080"/>
          <w:tab w:val="left" w:pos="8640"/>
        </w:tabs>
        <w:ind w:left="720" w:right="720"/>
        <w:jc w:val="both"/>
        <w:rPr>
          <w:rFonts w:asciiTheme="majorHAnsi" w:hAnsiTheme="majorHAnsi"/>
          <w:sz w:val="20"/>
          <w:szCs w:val="20"/>
        </w:rPr>
      </w:pPr>
    </w:p>
    <w:p w:rsidR="00163E72" w:rsidRPr="003F29ED" w:rsidRDefault="00163E72" w:rsidP="007C27AB">
      <w:pPr>
        <w:tabs>
          <w:tab w:val="left" w:pos="1080"/>
          <w:tab w:val="left" w:pos="8640"/>
        </w:tabs>
        <w:ind w:left="720" w:right="720"/>
        <w:jc w:val="both"/>
        <w:rPr>
          <w:rFonts w:asciiTheme="majorHAnsi" w:hAnsiTheme="majorHAnsi"/>
          <w:sz w:val="20"/>
          <w:szCs w:val="20"/>
        </w:rPr>
      </w:pPr>
      <w:r w:rsidRPr="003F29ED">
        <w:rPr>
          <w:rFonts w:asciiTheme="majorHAnsi" w:hAnsiTheme="majorHAnsi"/>
          <w:sz w:val="20"/>
          <w:szCs w:val="20"/>
        </w:rPr>
        <w:t xml:space="preserve">Likewise, these Inter-American provisions and the interpretation thereof by the Inter-American Court of Human Rights (IA Court of HR) and the IACHR –bodies in charge of the </w:t>
      </w:r>
      <w:r w:rsidRPr="003F29ED">
        <w:rPr>
          <w:rFonts w:asciiTheme="majorHAnsi" w:hAnsiTheme="majorHAnsi"/>
          <w:sz w:val="20"/>
          <w:szCs w:val="20"/>
        </w:rPr>
        <w:lastRenderedPageBreak/>
        <w:t>oversight thereof – are part of the framework of obligations of the State of Costa Rica.</w:t>
      </w:r>
      <w:r w:rsidRPr="003F29ED">
        <w:rPr>
          <w:rFonts w:asciiTheme="majorHAnsi" w:hAnsiTheme="majorHAnsi"/>
          <w:sz w:val="20"/>
          <w:szCs w:val="20"/>
          <w:vertAlign w:val="superscript"/>
        </w:rPr>
        <w:footnoteReference w:id="8"/>
      </w:r>
      <w:r w:rsidRPr="003F29ED">
        <w:rPr>
          <w:rFonts w:asciiTheme="majorHAnsi" w:hAnsiTheme="majorHAnsi"/>
          <w:sz w:val="20"/>
          <w:szCs w:val="20"/>
        </w:rPr>
        <w:t xml:space="preserve"> Specifically, the IA Court of HR, has held that: </w:t>
      </w:r>
    </w:p>
    <w:p w:rsidR="00163E72" w:rsidRPr="003F29ED" w:rsidRDefault="00163E72" w:rsidP="007C27AB">
      <w:pPr>
        <w:tabs>
          <w:tab w:val="left" w:pos="1080"/>
          <w:tab w:val="left" w:pos="8640"/>
        </w:tabs>
        <w:ind w:left="720" w:right="720"/>
        <w:jc w:val="both"/>
        <w:rPr>
          <w:rFonts w:asciiTheme="majorHAnsi" w:hAnsiTheme="majorHAnsi"/>
          <w:sz w:val="20"/>
          <w:szCs w:val="20"/>
        </w:rPr>
      </w:pPr>
    </w:p>
    <w:p w:rsidR="00163E72" w:rsidRPr="003F29ED" w:rsidRDefault="00163E72" w:rsidP="007C27AB">
      <w:pPr>
        <w:tabs>
          <w:tab w:val="left" w:pos="1080"/>
          <w:tab w:val="left" w:pos="8640"/>
        </w:tabs>
        <w:ind w:left="720" w:right="720"/>
        <w:jc w:val="both"/>
        <w:rPr>
          <w:rFonts w:asciiTheme="majorHAnsi" w:hAnsiTheme="majorHAnsi"/>
          <w:sz w:val="20"/>
          <w:szCs w:val="20"/>
        </w:rPr>
      </w:pPr>
      <w:r w:rsidRPr="003F29ED">
        <w:rPr>
          <w:rFonts w:asciiTheme="majorHAnsi" w:hAnsiTheme="majorHAnsi"/>
          <w:sz w:val="20"/>
          <w:szCs w:val="20"/>
        </w:rPr>
        <w:t>“</w:t>
      </w:r>
      <w:r w:rsidRPr="003F29ED">
        <w:rPr>
          <w:rFonts w:asciiTheme="majorHAnsi" w:hAnsiTheme="majorHAnsi"/>
          <w:i/>
          <w:sz w:val="20"/>
          <w:szCs w:val="20"/>
        </w:rPr>
        <w:t>when a State is a party to international treaties such as the American Convention on Human Rights, the Inter-American Convention on Forced Disappearances, the Inter-American Convention to Prevent and Punish Torture, and the Convention of Belém do Pará, these treaties are binding on all of its organs […], whose members must ensure that the effects of the provisions of the said treaties are not impaired by the application of laws or interpretations contrary to their object and purpose.</w:t>
      </w:r>
      <w:r w:rsidRPr="003F29ED">
        <w:rPr>
          <w:rFonts w:asciiTheme="majorHAnsi" w:hAnsiTheme="majorHAnsi"/>
          <w:i/>
          <w:sz w:val="20"/>
          <w:szCs w:val="20"/>
          <w:vertAlign w:val="superscript"/>
        </w:rPr>
        <w:footnoteReference w:id="9"/>
      </w:r>
      <w:r w:rsidRPr="003F29ED">
        <w:rPr>
          <w:rFonts w:asciiTheme="majorHAnsi" w:hAnsiTheme="majorHAnsi"/>
          <w:sz w:val="20"/>
          <w:szCs w:val="20"/>
        </w:rPr>
        <w:t xml:space="preserve"> </w:t>
      </w:r>
    </w:p>
    <w:p w:rsidR="00163E72" w:rsidRPr="003F29ED" w:rsidRDefault="00163E72" w:rsidP="007C27AB">
      <w:pPr>
        <w:tabs>
          <w:tab w:val="left" w:pos="1080"/>
          <w:tab w:val="left" w:pos="8640"/>
        </w:tabs>
        <w:ind w:left="720" w:right="720"/>
        <w:jc w:val="both"/>
        <w:rPr>
          <w:rFonts w:asciiTheme="majorHAnsi" w:hAnsiTheme="majorHAnsi"/>
          <w:sz w:val="20"/>
          <w:szCs w:val="20"/>
        </w:rPr>
      </w:pPr>
    </w:p>
    <w:p w:rsidR="00163E72" w:rsidRPr="003F29ED" w:rsidRDefault="00163E72" w:rsidP="007C27AB">
      <w:pPr>
        <w:tabs>
          <w:tab w:val="left" w:pos="1080"/>
          <w:tab w:val="left" w:pos="8640"/>
        </w:tabs>
        <w:ind w:left="720" w:right="720"/>
        <w:jc w:val="both"/>
        <w:rPr>
          <w:rFonts w:asciiTheme="majorHAnsi" w:hAnsiTheme="majorHAnsi"/>
          <w:sz w:val="20"/>
          <w:szCs w:val="20"/>
        </w:rPr>
      </w:pPr>
      <w:r w:rsidRPr="003F29ED">
        <w:rPr>
          <w:rFonts w:asciiTheme="majorHAnsi" w:hAnsiTheme="majorHAnsi"/>
          <w:sz w:val="20"/>
          <w:szCs w:val="20"/>
        </w:rPr>
        <w:t xml:space="preserve">Costa Rica has been a historically committed State, not only to its general international obligations, but especially to the Inter-American body of law. There has been a gradual evolution in the country in the enforcement of the Convention and it is an increasingly more frequent practice for judicial bodies to consistently abide by Inter-American and international standards. </w:t>
      </w:r>
    </w:p>
    <w:p w:rsidR="00163E72" w:rsidRPr="003F29ED" w:rsidRDefault="00163E72" w:rsidP="007C27AB">
      <w:pPr>
        <w:tabs>
          <w:tab w:val="left" w:pos="1080"/>
          <w:tab w:val="left" w:pos="8640"/>
        </w:tabs>
        <w:ind w:left="720" w:right="720"/>
        <w:jc w:val="both"/>
        <w:rPr>
          <w:rFonts w:asciiTheme="majorHAnsi" w:hAnsiTheme="majorHAnsi"/>
          <w:sz w:val="20"/>
          <w:szCs w:val="20"/>
        </w:rPr>
      </w:pPr>
    </w:p>
    <w:p w:rsidR="00163E72" w:rsidRPr="003F29ED" w:rsidRDefault="00163E72" w:rsidP="007C27AB">
      <w:pPr>
        <w:tabs>
          <w:tab w:val="left" w:pos="1080"/>
          <w:tab w:val="left" w:pos="8640"/>
        </w:tabs>
        <w:ind w:left="720" w:right="720"/>
        <w:jc w:val="both"/>
        <w:rPr>
          <w:rFonts w:asciiTheme="majorHAnsi" w:hAnsiTheme="majorHAnsi"/>
          <w:sz w:val="20"/>
          <w:szCs w:val="20"/>
        </w:rPr>
      </w:pPr>
      <w:r w:rsidRPr="003F29ED">
        <w:rPr>
          <w:rFonts w:asciiTheme="majorHAnsi" w:hAnsiTheme="majorHAnsi"/>
          <w:sz w:val="20"/>
          <w:szCs w:val="20"/>
          <w:lang w:eastAsia="es-ES"/>
        </w:rPr>
        <w:t xml:space="preserve">Based on the foregoing explanation, it is important to lay out the particular provisions of the American Convention on Human Rights comprising the framework of the State’s obligations in the instant friendly settlement: </w:t>
      </w:r>
    </w:p>
    <w:p w:rsidR="00163E72" w:rsidRPr="003F29ED" w:rsidRDefault="00163E72" w:rsidP="007C27AB">
      <w:pPr>
        <w:tabs>
          <w:tab w:val="left" w:pos="1080"/>
          <w:tab w:val="left" w:pos="8640"/>
        </w:tabs>
        <w:ind w:left="720" w:right="720"/>
        <w:jc w:val="both"/>
        <w:rPr>
          <w:rFonts w:asciiTheme="majorHAnsi" w:hAnsiTheme="majorHAnsi"/>
          <w:sz w:val="20"/>
          <w:szCs w:val="20"/>
        </w:rPr>
      </w:pPr>
    </w:p>
    <w:p w:rsidR="00163E72" w:rsidRPr="00E94E25" w:rsidRDefault="00163E72" w:rsidP="007C27AB">
      <w:pPr>
        <w:tabs>
          <w:tab w:val="left" w:pos="1080"/>
          <w:tab w:val="left" w:pos="8640"/>
        </w:tabs>
        <w:ind w:left="720" w:right="720"/>
        <w:jc w:val="both"/>
        <w:rPr>
          <w:rFonts w:asciiTheme="majorHAnsi" w:hAnsiTheme="majorHAnsi"/>
          <w:sz w:val="20"/>
          <w:szCs w:val="20"/>
        </w:rPr>
      </w:pPr>
      <w:r w:rsidRPr="00E94E25">
        <w:rPr>
          <w:rFonts w:asciiTheme="majorHAnsi" w:hAnsiTheme="majorHAnsi"/>
          <w:sz w:val="20"/>
          <w:szCs w:val="20"/>
        </w:rPr>
        <w:t>Article 5 of the ACHR, specifically: Right to Humane Treatment.</w:t>
      </w:r>
    </w:p>
    <w:p w:rsidR="00163E72" w:rsidRPr="003F29ED" w:rsidRDefault="00163E72" w:rsidP="007C27AB">
      <w:pPr>
        <w:tabs>
          <w:tab w:val="left" w:pos="1080"/>
          <w:tab w:val="left" w:pos="8640"/>
        </w:tabs>
        <w:ind w:left="720" w:right="720"/>
        <w:jc w:val="both"/>
        <w:rPr>
          <w:rFonts w:asciiTheme="majorHAnsi" w:hAnsiTheme="majorHAnsi"/>
          <w:sz w:val="20"/>
          <w:szCs w:val="20"/>
        </w:rPr>
      </w:pPr>
    </w:p>
    <w:p w:rsidR="00163E72" w:rsidRPr="003F29ED" w:rsidRDefault="00163E72" w:rsidP="00364222">
      <w:pPr>
        <w:numPr>
          <w:ilvl w:val="0"/>
          <w:numId w:val="54"/>
        </w:numPr>
        <w:tabs>
          <w:tab w:val="left" w:pos="360"/>
          <w:tab w:val="left" w:pos="1080"/>
          <w:tab w:val="left" w:pos="8640"/>
        </w:tabs>
        <w:suppressAutoHyphens/>
        <w:ind w:right="720" w:firstLine="0"/>
        <w:contextualSpacing/>
        <w:jc w:val="both"/>
        <w:rPr>
          <w:rFonts w:asciiTheme="majorHAnsi" w:hAnsiTheme="majorHAnsi"/>
          <w:i/>
          <w:spacing w:val="-3"/>
          <w:sz w:val="20"/>
          <w:szCs w:val="20"/>
        </w:rPr>
      </w:pPr>
      <w:r w:rsidRPr="003F29ED">
        <w:rPr>
          <w:rFonts w:asciiTheme="majorHAnsi" w:hAnsiTheme="majorHAnsi"/>
          <w:i/>
          <w:spacing w:val="-3"/>
          <w:sz w:val="20"/>
          <w:szCs w:val="20"/>
        </w:rPr>
        <w:t xml:space="preserve">Every person has the right to have his physical, mental, and moral integrity respected. </w:t>
      </w:r>
    </w:p>
    <w:p w:rsidR="00163E72" w:rsidRPr="003F29ED" w:rsidRDefault="00163E72" w:rsidP="00364222">
      <w:pPr>
        <w:numPr>
          <w:ilvl w:val="0"/>
          <w:numId w:val="54"/>
        </w:numPr>
        <w:tabs>
          <w:tab w:val="left" w:pos="360"/>
          <w:tab w:val="left" w:pos="1080"/>
          <w:tab w:val="left" w:pos="8640"/>
        </w:tabs>
        <w:suppressAutoHyphens/>
        <w:snapToGrid w:val="0"/>
        <w:ind w:right="720" w:firstLine="0"/>
        <w:contextualSpacing/>
        <w:jc w:val="both"/>
        <w:rPr>
          <w:rFonts w:asciiTheme="majorHAnsi" w:hAnsiTheme="majorHAnsi"/>
          <w:i/>
          <w:spacing w:val="-3"/>
          <w:sz w:val="20"/>
          <w:szCs w:val="20"/>
        </w:rPr>
      </w:pPr>
      <w:r w:rsidRPr="003F29ED">
        <w:rPr>
          <w:rFonts w:asciiTheme="majorHAnsi" w:hAnsiTheme="majorHAnsi"/>
          <w:i/>
          <w:spacing w:val="-3"/>
          <w:sz w:val="20"/>
          <w:szCs w:val="20"/>
        </w:rPr>
        <w:t xml:space="preserve">No one shall be subjected to torture or to cruel, inhuman, or degrading punishment or treatment. All Persons deprived of their liberty shall be treated with respect for the inherent dignity of the human person. </w:t>
      </w:r>
    </w:p>
    <w:p w:rsidR="00163E72" w:rsidRPr="003F29ED" w:rsidRDefault="00163E72" w:rsidP="007C27AB">
      <w:pPr>
        <w:tabs>
          <w:tab w:val="left" w:pos="360"/>
          <w:tab w:val="left" w:pos="1080"/>
          <w:tab w:val="left" w:pos="8640"/>
        </w:tabs>
        <w:suppressAutoHyphens/>
        <w:snapToGrid w:val="0"/>
        <w:ind w:left="720" w:right="720"/>
        <w:contextualSpacing/>
        <w:jc w:val="both"/>
        <w:rPr>
          <w:rFonts w:asciiTheme="majorHAnsi" w:hAnsiTheme="majorHAnsi"/>
          <w:i/>
          <w:spacing w:val="-3"/>
          <w:sz w:val="20"/>
          <w:szCs w:val="20"/>
        </w:rPr>
      </w:pPr>
    </w:p>
    <w:p w:rsidR="00163E72" w:rsidRPr="003F29ED" w:rsidRDefault="00163E72" w:rsidP="007C27AB">
      <w:pPr>
        <w:tabs>
          <w:tab w:val="left" w:pos="1080"/>
          <w:tab w:val="left" w:pos="8640"/>
        </w:tabs>
        <w:ind w:left="720" w:right="720"/>
        <w:jc w:val="both"/>
        <w:rPr>
          <w:rFonts w:asciiTheme="majorHAnsi" w:hAnsiTheme="majorHAnsi"/>
          <w:spacing w:val="-3"/>
          <w:sz w:val="20"/>
          <w:szCs w:val="20"/>
        </w:rPr>
      </w:pPr>
      <w:r w:rsidRPr="003F29ED">
        <w:rPr>
          <w:rFonts w:asciiTheme="majorHAnsi" w:hAnsiTheme="majorHAnsi"/>
          <w:sz w:val="20"/>
          <w:szCs w:val="20"/>
        </w:rPr>
        <w:t>Likewise, Article 8 of the ACHR, specifically: Right to a Fair Trial.</w:t>
      </w:r>
    </w:p>
    <w:p w:rsidR="00163E72" w:rsidRPr="003F29ED" w:rsidRDefault="00163E72" w:rsidP="007C27AB">
      <w:pPr>
        <w:tabs>
          <w:tab w:val="left" w:pos="1080"/>
          <w:tab w:val="left" w:pos="8640"/>
        </w:tabs>
        <w:ind w:left="720" w:right="720"/>
        <w:jc w:val="both"/>
        <w:rPr>
          <w:rFonts w:asciiTheme="majorHAnsi" w:hAnsiTheme="majorHAnsi"/>
          <w:i/>
          <w:sz w:val="20"/>
          <w:szCs w:val="20"/>
        </w:rPr>
      </w:pPr>
    </w:p>
    <w:p w:rsidR="00163E72" w:rsidRPr="003F29ED" w:rsidRDefault="00163E72" w:rsidP="00364222">
      <w:pPr>
        <w:numPr>
          <w:ilvl w:val="0"/>
          <w:numId w:val="55"/>
        </w:numPr>
        <w:tabs>
          <w:tab w:val="left" w:pos="360"/>
          <w:tab w:val="left" w:pos="1080"/>
          <w:tab w:val="left" w:pos="8640"/>
        </w:tabs>
        <w:suppressAutoHyphens/>
        <w:ind w:right="720" w:firstLine="0"/>
        <w:contextualSpacing/>
        <w:jc w:val="both"/>
        <w:rPr>
          <w:rFonts w:asciiTheme="majorHAnsi" w:hAnsiTheme="majorHAnsi"/>
          <w:sz w:val="20"/>
          <w:szCs w:val="20"/>
        </w:rPr>
      </w:pPr>
      <w:r w:rsidRPr="003F29ED">
        <w:rPr>
          <w:rFonts w:asciiTheme="majorHAnsi" w:hAnsiTheme="majorHAnsi"/>
          <w:i/>
          <w:spacing w:val="-3"/>
          <w:sz w:val="20"/>
          <w:szCs w:val="20"/>
        </w:rPr>
        <w:t xml:space="preserve">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 </w:t>
      </w:r>
    </w:p>
    <w:p w:rsidR="00163E72" w:rsidRPr="003F29ED" w:rsidRDefault="00163E72" w:rsidP="007C27AB">
      <w:pPr>
        <w:tabs>
          <w:tab w:val="left" w:pos="360"/>
          <w:tab w:val="left" w:pos="1080"/>
          <w:tab w:val="left" w:pos="8640"/>
        </w:tabs>
        <w:suppressAutoHyphens/>
        <w:ind w:left="720" w:right="720"/>
        <w:contextualSpacing/>
        <w:jc w:val="both"/>
        <w:rPr>
          <w:rFonts w:asciiTheme="majorHAnsi" w:hAnsiTheme="majorHAnsi"/>
          <w:sz w:val="20"/>
          <w:szCs w:val="20"/>
        </w:rPr>
      </w:pPr>
    </w:p>
    <w:p w:rsidR="00163E72" w:rsidRPr="003F29ED" w:rsidRDefault="00163E72" w:rsidP="007C27AB">
      <w:pPr>
        <w:tabs>
          <w:tab w:val="left" w:pos="360"/>
          <w:tab w:val="left" w:pos="1080"/>
          <w:tab w:val="left" w:pos="8640"/>
        </w:tabs>
        <w:ind w:left="720" w:right="720"/>
        <w:jc w:val="both"/>
        <w:rPr>
          <w:rFonts w:asciiTheme="majorHAnsi" w:eastAsia="Times New Roman" w:hAnsiTheme="majorHAnsi"/>
          <w:sz w:val="20"/>
          <w:szCs w:val="20"/>
        </w:rPr>
      </w:pPr>
      <w:r w:rsidRPr="003F29ED">
        <w:rPr>
          <w:rFonts w:asciiTheme="majorHAnsi" w:hAnsiTheme="majorHAnsi"/>
          <w:sz w:val="20"/>
          <w:szCs w:val="20"/>
        </w:rPr>
        <w:t>Additionally, Article</w:t>
      </w:r>
      <w:r w:rsidRPr="003F29ED">
        <w:rPr>
          <w:rFonts w:asciiTheme="majorHAnsi" w:eastAsia="Times New Roman" w:hAnsiTheme="majorHAnsi"/>
          <w:sz w:val="20"/>
          <w:szCs w:val="20"/>
        </w:rPr>
        <w:t xml:space="preserve"> 19</w:t>
      </w:r>
      <w:r w:rsidRPr="003F29ED">
        <w:rPr>
          <w:rFonts w:asciiTheme="majorHAnsi" w:hAnsiTheme="majorHAnsi"/>
          <w:sz w:val="20"/>
          <w:szCs w:val="20"/>
        </w:rPr>
        <w:t xml:space="preserve"> of the ACHR, specifically: Rights of the Child</w:t>
      </w:r>
      <w:r w:rsidRPr="003F29ED">
        <w:rPr>
          <w:rFonts w:asciiTheme="majorHAnsi" w:eastAsia="Times New Roman" w:hAnsiTheme="majorHAnsi"/>
          <w:sz w:val="20"/>
          <w:szCs w:val="20"/>
        </w:rPr>
        <w:t>.</w:t>
      </w:r>
    </w:p>
    <w:p w:rsidR="00163E72" w:rsidRPr="003F29ED" w:rsidRDefault="00163E72" w:rsidP="007C27AB">
      <w:pPr>
        <w:tabs>
          <w:tab w:val="left" w:pos="360"/>
          <w:tab w:val="left" w:pos="1080"/>
          <w:tab w:val="left" w:pos="8640"/>
        </w:tabs>
        <w:ind w:left="720" w:right="720"/>
        <w:jc w:val="both"/>
        <w:rPr>
          <w:rFonts w:asciiTheme="majorHAnsi" w:eastAsia="Times New Roman" w:hAnsiTheme="majorHAnsi"/>
          <w:sz w:val="20"/>
          <w:szCs w:val="20"/>
        </w:rPr>
      </w:pPr>
    </w:p>
    <w:p w:rsidR="00163E72" w:rsidRPr="003F29ED" w:rsidRDefault="00163E72" w:rsidP="007C27AB">
      <w:pPr>
        <w:tabs>
          <w:tab w:val="left" w:pos="1080"/>
          <w:tab w:val="left" w:pos="8640"/>
        </w:tabs>
        <w:suppressAutoHyphens/>
        <w:ind w:left="720" w:right="720"/>
        <w:jc w:val="both"/>
        <w:rPr>
          <w:rFonts w:asciiTheme="majorHAnsi" w:eastAsia="Times New Roman" w:hAnsiTheme="majorHAnsi"/>
          <w:i/>
          <w:spacing w:val="-3"/>
          <w:sz w:val="20"/>
          <w:szCs w:val="20"/>
        </w:rPr>
      </w:pPr>
      <w:r w:rsidRPr="003F29ED">
        <w:rPr>
          <w:rFonts w:asciiTheme="majorHAnsi" w:eastAsia="Times New Roman" w:hAnsiTheme="majorHAnsi"/>
          <w:i/>
          <w:spacing w:val="-3"/>
          <w:sz w:val="20"/>
          <w:szCs w:val="20"/>
        </w:rPr>
        <w:t xml:space="preserve">Every minor child has the right to the measures of protection required by his condition as a minor on the part of his family, society, and the state. </w:t>
      </w:r>
    </w:p>
    <w:p w:rsidR="00163E72" w:rsidRPr="003F29ED" w:rsidRDefault="00163E72" w:rsidP="007C27AB">
      <w:pPr>
        <w:tabs>
          <w:tab w:val="left" w:pos="1080"/>
          <w:tab w:val="left" w:pos="8640"/>
        </w:tabs>
        <w:suppressAutoHyphens/>
        <w:ind w:left="720" w:right="720"/>
        <w:jc w:val="both"/>
        <w:rPr>
          <w:rFonts w:asciiTheme="majorHAnsi" w:eastAsia="Times New Roman" w:hAnsiTheme="majorHAnsi"/>
          <w:i/>
          <w:spacing w:val="-3"/>
          <w:sz w:val="20"/>
          <w:szCs w:val="20"/>
        </w:rPr>
      </w:pPr>
    </w:p>
    <w:p w:rsidR="00163E72" w:rsidRPr="003F29ED" w:rsidRDefault="00163E72" w:rsidP="007C27AB">
      <w:pPr>
        <w:tabs>
          <w:tab w:val="left" w:pos="360"/>
          <w:tab w:val="left" w:pos="1080"/>
          <w:tab w:val="left" w:pos="8640"/>
        </w:tabs>
        <w:suppressAutoHyphens/>
        <w:ind w:left="720" w:right="720"/>
        <w:jc w:val="both"/>
        <w:rPr>
          <w:rFonts w:asciiTheme="majorHAnsi" w:hAnsiTheme="majorHAnsi"/>
          <w:sz w:val="20"/>
          <w:szCs w:val="20"/>
        </w:rPr>
      </w:pPr>
      <w:r w:rsidRPr="003F29ED">
        <w:rPr>
          <w:rFonts w:asciiTheme="majorHAnsi" w:hAnsiTheme="majorHAnsi"/>
          <w:sz w:val="20"/>
          <w:szCs w:val="20"/>
        </w:rPr>
        <w:t>Also, Article 25 of the ACHR, specifically: Judicial Protection.</w:t>
      </w:r>
    </w:p>
    <w:p w:rsidR="00163E72" w:rsidRPr="003F29ED" w:rsidRDefault="00163E72" w:rsidP="007C27AB">
      <w:pPr>
        <w:tabs>
          <w:tab w:val="left" w:pos="360"/>
          <w:tab w:val="left" w:pos="1080"/>
          <w:tab w:val="left" w:pos="8640"/>
        </w:tabs>
        <w:suppressAutoHyphens/>
        <w:ind w:left="720" w:right="720"/>
        <w:jc w:val="both"/>
        <w:rPr>
          <w:rFonts w:asciiTheme="majorHAnsi" w:hAnsiTheme="majorHAnsi"/>
          <w:sz w:val="20"/>
          <w:szCs w:val="20"/>
        </w:rPr>
      </w:pPr>
    </w:p>
    <w:p w:rsidR="00163E72" w:rsidRPr="003F29ED" w:rsidRDefault="00163E72" w:rsidP="00364222">
      <w:pPr>
        <w:numPr>
          <w:ilvl w:val="0"/>
          <w:numId w:val="56"/>
        </w:numPr>
        <w:tabs>
          <w:tab w:val="left" w:pos="360"/>
          <w:tab w:val="left" w:pos="1080"/>
          <w:tab w:val="left" w:pos="8640"/>
        </w:tabs>
        <w:suppressAutoHyphens/>
        <w:ind w:right="720" w:firstLine="0"/>
        <w:contextualSpacing/>
        <w:jc w:val="both"/>
        <w:rPr>
          <w:rFonts w:asciiTheme="majorHAnsi" w:hAnsiTheme="majorHAnsi"/>
          <w:i/>
          <w:spacing w:val="-3"/>
          <w:sz w:val="20"/>
          <w:szCs w:val="20"/>
        </w:rPr>
      </w:pPr>
      <w:r w:rsidRPr="003F29ED">
        <w:rPr>
          <w:rFonts w:asciiTheme="majorHAnsi" w:hAnsiTheme="majorHAnsi"/>
          <w:i/>
          <w:spacing w:val="-3"/>
          <w:sz w:val="20"/>
          <w:szCs w:val="20"/>
        </w:rPr>
        <w:t xml:space="preserve">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 </w:t>
      </w:r>
    </w:p>
    <w:p w:rsidR="00163E72" w:rsidRPr="003F29ED" w:rsidRDefault="00163E72" w:rsidP="007C27AB">
      <w:pPr>
        <w:tabs>
          <w:tab w:val="left" w:pos="360"/>
          <w:tab w:val="left" w:pos="1080"/>
          <w:tab w:val="left" w:pos="8640"/>
        </w:tabs>
        <w:suppressAutoHyphens/>
        <w:ind w:left="720" w:right="720"/>
        <w:contextualSpacing/>
        <w:jc w:val="both"/>
        <w:rPr>
          <w:rFonts w:asciiTheme="majorHAnsi" w:hAnsiTheme="majorHAnsi"/>
          <w:i/>
          <w:spacing w:val="-3"/>
          <w:sz w:val="20"/>
          <w:szCs w:val="20"/>
        </w:rPr>
      </w:pPr>
    </w:p>
    <w:p w:rsidR="00163E72" w:rsidRPr="003F29ED" w:rsidRDefault="00163E72" w:rsidP="00364222">
      <w:pPr>
        <w:numPr>
          <w:ilvl w:val="0"/>
          <w:numId w:val="56"/>
        </w:numPr>
        <w:tabs>
          <w:tab w:val="left" w:pos="360"/>
          <w:tab w:val="left" w:pos="1080"/>
          <w:tab w:val="left" w:pos="8640"/>
        </w:tabs>
        <w:suppressAutoHyphens/>
        <w:ind w:right="720" w:firstLine="0"/>
        <w:contextualSpacing/>
        <w:jc w:val="both"/>
        <w:rPr>
          <w:rFonts w:asciiTheme="majorHAnsi" w:hAnsiTheme="majorHAnsi"/>
          <w:i/>
          <w:spacing w:val="-3"/>
          <w:sz w:val="20"/>
          <w:szCs w:val="20"/>
        </w:rPr>
      </w:pPr>
      <w:r w:rsidRPr="003F29ED">
        <w:rPr>
          <w:rFonts w:asciiTheme="majorHAnsi" w:hAnsiTheme="majorHAnsi"/>
          <w:i/>
          <w:spacing w:val="-3"/>
          <w:sz w:val="20"/>
          <w:szCs w:val="20"/>
        </w:rPr>
        <w:t>The States Parties undertake:</w:t>
      </w:r>
    </w:p>
    <w:p w:rsidR="00163E72" w:rsidRPr="003F29ED" w:rsidRDefault="00163E72" w:rsidP="007C27AB">
      <w:pPr>
        <w:tabs>
          <w:tab w:val="left" w:pos="360"/>
          <w:tab w:val="left" w:pos="1080"/>
          <w:tab w:val="left" w:pos="8640"/>
        </w:tabs>
        <w:suppressAutoHyphens/>
        <w:ind w:left="720" w:right="720"/>
        <w:contextualSpacing/>
        <w:jc w:val="both"/>
        <w:rPr>
          <w:rFonts w:asciiTheme="majorHAnsi" w:hAnsiTheme="majorHAnsi"/>
          <w:i/>
          <w:spacing w:val="-3"/>
          <w:sz w:val="20"/>
          <w:szCs w:val="20"/>
        </w:rPr>
      </w:pPr>
    </w:p>
    <w:p w:rsidR="00163E72" w:rsidRPr="003F29ED" w:rsidRDefault="00163E72" w:rsidP="00364222">
      <w:pPr>
        <w:numPr>
          <w:ilvl w:val="0"/>
          <w:numId w:val="57"/>
        </w:numPr>
        <w:tabs>
          <w:tab w:val="left" w:pos="360"/>
          <w:tab w:val="left" w:pos="1080"/>
          <w:tab w:val="left" w:pos="8640"/>
        </w:tabs>
        <w:suppressAutoHyphens/>
        <w:ind w:left="720" w:right="720" w:firstLine="0"/>
        <w:contextualSpacing/>
        <w:jc w:val="both"/>
        <w:rPr>
          <w:rFonts w:asciiTheme="majorHAnsi" w:hAnsiTheme="majorHAnsi"/>
          <w:i/>
          <w:spacing w:val="-3"/>
          <w:sz w:val="20"/>
          <w:szCs w:val="20"/>
        </w:rPr>
      </w:pPr>
      <w:r w:rsidRPr="003F29ED">
        <w:rPr>
          <w:rFonts w:asciiTheme="majorHAnsi" w:hAnsiTheme="majorHAnsi"/>
          <w:i/>
          <w:spacing w:val="-3"/>
          <w:sz w:val="20"/>
          <w:szCs w:val="20"/>
        </w:rPr>
        <w:t xml:space="preserve">To ensure that any person claiming such remedy shall have his rights determined by the competent authority provided for by the legal system of the state; </w:t>
      </w:r>
    </w:p>
    <w:p w:rsidR="00163E72" w:rsidRPr="003F29ED" w:rsidRDefault="00163E72" w:rsidP="00364222">
      <w:pPr>
        <w:numPr>
          <w:ilvl w:val="0"/>
          <w:numId w:val="57"/>
        </w:numPr>
        <w:tabs>
          <w:tab w:val="left" w:pos="360"/>
          <w:tab w:val="left" w:pos="1080"/>
          <w:tab w:val="left" w:pos="8640"/>
        </w:tabs>
        <w:suppressAutoHyphens/>
        <w:ind w:left="720" w:right="720" w:firstLine="0"/>
        <w:contextualSpacing/>
        <w:jc w:val="both"/>
        <w:rPr>
          <w:rFonts w:asciiTheme="majorHAnsi" w:hAnsiTheme="majorHAnsi"/>
          <w:i/>
          <w:spacing w:val="-3"/>
          <w:sz w:val="20"/>
          <w:szCs w:val="20"/>
        </w:rPr>
      </w:pPr>
      <w:r w:rsidRPr="003F29ED">
        <w:rPr>
          <w:rFonts w:asciiTheme="majorHAnsi" w:hAnsiTheme="majorHAnsi"/>
          <w:i/>
          <w:spacing w:val="-3"/>
          <w:sz w:val="20"/>
          <w:szCs w:val="20"/>
        </w:rPr>
        <w:t>To develop the possibilities of judicial remedy; and</w:t>
      </w:r>
    </w:p>
    <w:p w:rsidR="00163E72" w:rsidRPr="003F29ED" w:rsidRDefault="00163E72" w:rsidP="00364222">
      <w:pPr>
        <w:numPr>
          <w:ilvl w:val="0"/>
          <w:numId w:val="57"/>
        </w:numPr>
        <w:tabs>
          <w:tab w:val="left" w:pos="360"/>
          <w:tab w:val="left" w:pos="1080"/>
          <w:tab w:val="left" w:pos="8640"/>
        </w:tabs>
        <w:suppressAutoHyphens/>
        <w:ind w:left="720" w:right="720" w:firstLine="0"/>
        <w:contextualSpacing/>
        <w:jc w:val="both"/>
        <w:rPr>
          <w:rFonts w:asciiTheme="majorHAnsi" w:hAnsiTheme="majorHAnsi"/>
          <w:i/>
          <w:spacing w:val="-3"/>
          <w:sz w:val="20"/>
          <w:szCs w:val="20"/>
        </w:rPr>
      </w:pPr>
      <w:r w:rsidRPr="003F29ED">
        <w:rPr>
          <w:rFonts w:asciiTheme="majorHAnsi" w:hAnsiTheme="majorHAnsi"/>
          <w:i/>
          <w:spacing w:val="-3"/>
          <w:sz w:val="20"/>
          <w:szCs w:val="20"/>
        </w:rPr>
        <w:lastRenderedPageBreak/>
        <w:t xml:space="preserve">To ensure that the competent authorities shall enforce such remedies when granted. </w:t>
      </w:r>
    </w:p>
    <w:p w:rsidR="00163E72" w:rsidRPr="003F29ED" w:rsidRDefault="00163E72" w:rsidP="007C27AB">
      <w:pPr>
        <w:tabs>
          <w:tab w:val="left" w:pos="1080"/>
          <w:tab w:val="left" w:pos="8640"/>
        </w:tabs>
        <w:ind w:left="720" w:right="720"/>
        <w:contextualSpacing/>
        <w:jc w:val="both"/>
        <w:rPr>
          <w:rFonts w:asciiTheme="majorHAnsi" w:hAnsiTheme="majorHAnsi"/>
          <w:spacing w:val="-3"/>
          <w:sz w:val="20"/>
          <w:szCs w:val="20"/>
        </w:rPr>
      </w:pPr>
    </w:p>
    <w:p w:rsidR="00163E72" w:rsidRPr="003F29ED" w:rsidRDefault="00163E72" w:rsidP="007C27AB">
      <w:pPr>
        <w:tabs>
          <w:tab w:val="left" w:pos="1080"/>
          <w:tab w:val="left" w:pos="8640"/>
        </w:tabs>
        <w:ind w:left="720" w:right="720"/>
        <w:contextualSpacing/>
        <w:jc w:val="both"/>
        <w:rPr>
          <w:rFonts w:asciiTheme="majorHAnsi" w:hAnsiTheme="majorHAnsi"/>
          <w:sz w:val="20"/>
          <w:szCs w:val="20"/>
        </w:rPr>
      </w:pPr>
      <w:r w:rsidRPr="003F29ED">
        <w:rPr>
          <w:rFonts w:asciiTheme="majorHAnsi" w:hAnsiTheme="majorHAnsi"/>
          <w:sz w:val="20"/>
          <w:szCs w:val="20"/>
        </w:rPr>
        <w:t xml:space="preserve">In addition to the articles cited above, Article 26 of the ACHR (Chapter III of ACHR, titled “Economic, Social and Cultural Rights”), specifically: Progressive Development. </w:t>
      </w:r>
    </w:p>
    <w:p w:rsidR="00163E72" w:rsidRPr="003F29ED" w:rsidRDefault="00163E72" w:rsidP="007C27AB">
      <w:pPr>
        <w:tabs>
          <w:tab w:val="left" w:pos="1080"/>
          <w:tab w:val="left" w:pos="8640"/>
        </w:tabs>
        <w:ind w:left="720" w:right="720"/>
        <w:contextualSpacing/>
        <w:jc w:val="both"/>
        <w:rPr>
          <w:rFonts w:asciiTheme="majorHAnsi" w:hAnsiTheme="majorHAnsi"/>
          <w:sz w:val="20"/>
          <w:szCs w:val="20"/>
        </w:rPr>
      </w:pPr>
    </w:p>
    <w:p w:rsidR="00163E72" w:rsidRPr="003F29ED" w:rsidRDefault="00163E72" w:rsidP="007C27AB">
      <w:pPr>
        <w:tabs>
          <w:tab w:val="left" w:pos="1080"/>
          <w:tab w:val="left" w:pos="8640"/>
        </w:tabs>
        <w:ind w:left="720" w:right="720"/>
        <w:contextualSpacing/>
        <w:jc w:val="both"/>
        <w:rPr>
          <w:rFonts w:asciiTheme="majorHAnsi" w:hAnsiTheme="majorHAnsi"/>
          <w:i/>
          <w:sz w:val="20"/>
          <w:szCs w:val="20"/>
        </w:rPr>
      </w:pPr>
      <w:r w:rsidRPr="003F29ED">
        <w:rPr>
          <w:rFonts w:asciiTheme="majorHAnsi" w:hAnsiTheme="majorHAnsi"/>
          <w:i/>
          <w:sz w:val="20"/>
          <w:szCs w:val="20"/>
        </w:rPr>
        <w:t xml:space="preserve">The States Parties undertake to adopt measures, both internally and through international cooperation, especially those of an economic and technical nature, with a view to achieving progressively, by legislation or other appropriate means, the full realization of the rights implicit in the economic, social, educational, scientific, and cultural standards set forth in the Charter of the Organization of American States as amended by the Protocol of Buenos Aires. </w:t>
      </w:r>
    </w:p>
    <w:p w:rsidR="00163E72" w:rsidRPr="003F29ED" w:rsidRDefault="00163E72" w:rsidP="007C27AB">
      <w:pPr>
        <w:tabs>
          <w:tab w:val="left" w:pos="1080"/>
          <w:tab w:val="left" w:pos="8640"/>
        </w:tabs>
        <w:ind w:left="720" w:right="720"/>
        <w:contextualSpacing/>
        <w:jc w:val="both"/>
        <w:rPr>
          <w:rFonts w:asciiTheme="majorHAnsi" w:hAnsiTheme="majorHAnsi"/>
          <w:i/>
          <w:sz w:val="20"/>
          <w:szCs w:val="20"/>
        </w:rPr>
      </w:pPr>
    </w:p>
    <w:p w:rsidR="00163E72" w:rsidRPr="003F29ED" w:rsidRDefault="00163E72" w:rsidP="007C27AB">
      <w:pPr>
        <w:tabs>
          <w:tab w:val="left" w:pos="1080"/>
          <w:tab w:val="left" w:pos="8640"/>
        </w:tabs>
        <w:ind w:left="720" w:right="720"/>
        <w:jc w:val="both"/>
        <w:rPr>
          <w:rFonts w:asciiTheme="majorHAnsi" w:hAnsiTheme="majorHAnsi"/>
          <w:sz w:val="20"/>
          <w:szCs w:val="20"/>
        </w:rPr>
      </w:pPr>
      <w:r w:rsidRPr="003F29ED">
        <w:rPr>
          <w:rFonts w:asciiTheme="majorHAnsi" w:eastAsia="Times New Roman" w:hAnsiTheme="majorHAnsi"/>
          <w:sz w:val="20"/>
          <w:szCs w:val="20"/>
        </w:rPr>
        <w:t xml:space="preserve">As for the provisions of the ACHR cited above, it is important to underscore to the Costa Rican State the interdependence existing between civil and political rights and economic, social and cultural rights. On this score, the IA Court of HR has established: </w:t>
      </w:r>
    </w:p>
    <w:p w:rsidR="00163E72" w:rsidRPr="003F29ED" w:rsidRDefault="00163E72" w:rsidP="007C27AB">
      <w:pPr>
        <w:tabs>
          <w:tab w:val="left" w:pos="1080"/>
          <w:tab w:val="left" w:pos="8640"/>
        </w:tabs>
        <w:ind w:left="720" w:right="720"/>
        <w:jc w:val="both"/>
        <w:rPr>
          <w:rFonts w:asciiTheme="majorHAnsi" w:eastAsia="Times New Roman" w:hAnsiTheme="majorHAnsi"/>
          <w:sz w:val="20"/>
          <w:szCs w:val="20"/>
          <w:lang w:eastAsia="es-ES"/>
        </w:rPr>
      </w:pPr>
    </w:p>
    <w:p w:rsidR="00163E72" w:rsidRPr="003F29ED" w:rsidRDefault="00163E72" w:rsidP="007C27AB">
      <w:pPr>
        <w:tabs>
          <w:tab w:val="left" w:pos="1080"/>
          <w:tab w:val="left" w:pos="7797"/>
          <w:tab w:val="left" w:pos="8640"/>
        </w:tabs>
        <w:ind w:left="720" w:right="720"/>
        <w:jc w:val="both"/>
        <w:rPr>
          <w:rFonts w:asciiTheme="majorHAnsi" w:eastAsia="Times New Roman" w:hAnsiTheme="majorHAnsi"/>
          <w:sz w:val="20"/>
          <w:szCs w:val="20"/>
          <w:lang w:eastAsia="es-ES"/>
        </w:rPr>
      </w:pPr>
      <w:r w:rsidRPr="003F29ED">
        <w:rPr>
          <w:rFonts w:asciiTheme="majorHAnsi" w:eastAsia="Times New Roman" w:hAnsiTheme="majorHAnsi"/>
          <w:i/>
          <w:sz w:val="20"/>
          <w:szCs w:val="20"/>
          <w:lang w:eastAsia="es-ES"/>
        </w:rPr>
        <w:t xml:space="preserve">101. In this regard, the Court deems it appropriate to recall the interdependence that exists between civil and political rights and economic, social and cultural rights, since they should be fully understood as human rights, </w:t>
      </w:r>
      <w:r w:rsidRPr="003F29ED">
        <w:rPr>
          <w:rFonts w:asciiTheme="majorHAnsi" w:eastAsia="Times New Roman" w:hAnsiTheme="majorHAnsi"/>
          <w:i/>
          <w:sz w:val="20"/>
          <w:szCs w:val="20"/>
          <w:u w:val="single"/>
          <w:lang w:eastAsia="es-ES"/>
        </w:rPr>
        <w:t>without any rank and enforceable</w:t>
      </w:r>
      <w:r w:rsidRPr="003F29ED">
        <w:rPr>
          <w:rFonts w:asciiTheme="majorHAnsi" w:eastAsia="Times New Roman" w:hAnsiTheme="majorHAnsi"/>
          <w:i/>
          <w:sz w:val="20"/>
          <w:szCs w:val="20"/>
          <w:lang w:eastAsia="es-ES"/>
        </w:rPr>
        <w:t xml:space="preserve"> in all the cases before competent authorities.</w:t>
      </w:r>
      <w:r w:rsidRPr="003F29ED">
        <w:rPr>
          <w:rFonts w:asciiTheme="majorHAnsi" w:eastAsia="Times New Roman" w:hAnsiTheme="majorHAnsi"/>
          <w:sz w:val="20"/>
          <w:szCs w:val="20"/>
          <w:vertAlign w:val="superscript"/>
          <w:lang w:eastAsia="es-ES"/>
        </w:rPr>
        <w:footnoteReference w:id="10"/>
      </w:r>
      <w:r w:rsidRPr="003F29ED">
        <w:rPr>
          <w:rFonts w:asciiTheme="majorHAnsi" w:eastAsia="Times New Roman" w:hAnsiTheme="majorHAnsi"/>
          <w:sz w:val="20"/>
          <w:szCs w:val="20"/>
          <w:lang w:eastAsia="es-ES"/>
        </w:rPr>
        <w:t xml:space="preserve"> </w:t>
      </w:r>
    </w:p>
    <w:p w:rsidR="00163E72" w:rsidRPr="003F29ED" w:rsidRDefault="00163E72" w:rsidP="007C27AB">
      <w:pPr>
        <w:tabs>
          <w:tab w:val="left" w:pos="1080"/>
          <w:tab w:val="left" w:pos="7797"/>
          <w:tab w:val="left" w:pos="8640"/>
        </w:tabs>
        <w:ind w:left="720" w:right="720"/>
        <w:jc w:val="both"/>
        <w:rPr>
          <w:rFonts w:asciiTheme="majorHAnsi" w:eastAsia="Times New Roman" w:hAnsiTheme="majorHAnsi"/>
          <w:sz w:val="20"/>
          <w:szCs w:val="20"/>
          <w:lang w:eastAsia="es-ES"/>
        </w:rPr>
      </w:pPr>
    </w:p>
    <w:p w:rsidR="00163E72" w:rsidRPr="003F29ED" w:rsidRDefault="00163E72" w:rsidP="007C27AB">
      <w:pPr>
        <w:tabs>
          <w:tab w:val="left" w:pos="1080"/>
          <w:tab w:val="left" w:pos="8640"/>
        </w:tabs>
        <w:ind w:left="720" w:right="720"/>
        <w:jc w:val="both"/>
        <w:rPr>
          <w:rFonts w:asciiTheme="majorHAnsi" w:hAnsiTheme="majorHAnsi"/>
          <w:sz w:val="20"/>
          <w:szCs w:val="20"/>
          <w:lang w:eastAsia="es-ES"/>
        </w:rPr>
      </w:pPr>
      <w:r w:rsidRPr="003F29ED">
        <w:rPr>
          <w:rFonts w:asciiTheme="majorHAnsi" w:eastAsia="Times New Roman" w:hAnsiTheme="majorHAnsi"/>
          <w:sz w:val="20"/>
          <w:szCs w:val="20"/>
        </w:rPr>
        <w:t>As for the provisions of the Inter-American Convention on Protecting the Human Rights of Older Persons, it is important to cite the following articles to the Costa Rican State</w:t>
      </w:r>
      <w:r w:rsidRPr="003F29ED">
        <w:rPr>
          <w:rFonts w:asciiTheme="majorHAnsi" w:hAnsiTheme="majorHAnsi"/>
          <w:sz w:val="20"/>
          <w:szCs w:val="20"/>
          <w:lang w:eastAsia="es-ES"/>
        </w:rPr>
        <w:t xml:space="preserve">: </w:t>
      </w:r>
    </w:p>
    <w:p w:rsidR="00163E72" w:rsidRPr="003F29ED" w:rsidRDefault="00163E72" w:rsidP="007C27AB">
      <w:pPr>
        <w:tabs>
          <w:tab w:val="left" w:pos="1080"/>
          <w:tab w:val="left" w:pos="8640"/>
        </w:tabs>
        <w:ind w:left="720" w:right="720"/>
        <w:jc w:val="both"/>
        <w:rPr>
          <w:rFonts w:asciiTheme="majorHAnsi" w:hAnsiTheme="majorHAnsi"/>
          <w:sz w:val="20"/>
          <w:szCs w:val="20"/>
          <w:lang w:eastAsia="es-ES"/>
        </w:rPr>
      </w:pPr>
    </w:p>
    <w:p w:rsidR="00163E72" w:rsidRPr="003F29ED" w:rsidRDefault="00163E72" w:rsidP="00364222">
      <w:pPr>
        <w:pStyle w:val="ListParagraph"/>
        <w:numPr>
          <w:ilvl w:val="0"/>
          <w:numId w:val="64"/>
        </w:numPr>
        <w:tabs>
          <w:tab w:val="left" w:pos="1080"/>
          <w:tab w:val="left" w:pos="8640"/>
        </w:tabs>
        <w:ind w:right="720" w:firstLine="0"/>
        <w:contextualSpacing/>
        <w:jc w:val="both"/>
        <w:rPr>
          <w:rFonts w:asciiTheme="majorHAnsi" w:hAnsiTheme="majorHAnsi"/>
          <w:color w:val="333333"/>
          <w:sz w:val="20"/>
          <w:szCs w:val="20"/>
          <w:shd w:val="clear" w:color="auto" w:fill="FFFFFF"/>
        </w:rPr>
      </w:pPr>
      <w:r w:rsidRPr="003F29ED">
        <w:rPr>
          <w:rFonts w:asciiTheme="majorHAnsi" w:hAnsiTheme="majorHAnsi"/>
          <w:color w:val="333333"/>
          <w:sz w:val="20"/>
          <w:szCs w:val="20"/>
          <w:shd w:val="clear" w:color="auto" w:fill="FFFFFF"/>
        </w:rPr>
        <w:t>Article 6, specifically: Right to life and dignity in old age.</w:t>
      </w:r>
    </w:p>
    <w:p w:rsidR="00163E72" w:rsidRPr="003F29ED" w:rsidRDefault="00163E72" w:rsidP="00364222">
      <w:pPr>
        <w:pStyle w:val="ListParagraph"/>
        <w:numPr>
          <w:ilvl w:val="0"/>
          <w:numId w:val="64"/>
        </w:numPr>
        <w:tabs>
          <w:tab w:val="left" w:pos="1080"/>
          <w:tab w:val="left" w:pos="8640"/>
        </w:tabs>
        <w:ind w:right="720" w:firstLine="0"/>
        <w:contextualSpacing/>
        <w:jc w:val="both"/>
        <w:rPr>
          <w:rFonts w:asciiTheme="majorHAnsi" w:hAnsiTheme="majorHAnsi"/>
          <w:color w:val="333333"/>
          <w:sz w:val="20"/>
          <w:szCs w:val="20"/>
          <w:shd w:val="clear" w:color="auto" w:fill="FFFFFF"/>
        </w:rPr>
      </w:pPr>
      <w:r w:rsidRPr="003F29ED">
        <w:rPr>
          <w:rFonts w:asciiTheme="majorHAnsi" w:hAnsiTheme="majorHAnsi"/>
          <w:color w:val="333333"/>
          <w:sz w:val="20"/>
          <w:szCs w:val="20"/>
          <w:shd w:val="clear" w:color="auto" w:fill="FFFFFF"/>
        </w:rPr>
        <w:t>Article 23, specifically</w:t>
      </w:r>
      <w:r w:rsidRPr="003F29ED">
        <w:rPr>
          <w:rFonts w:asciiTheme="majorHAnsi" w:hAnsiTheme="majorHAnsi"/>
          <w:sz w:val="20"/>
          <w:szCs w:val="20"/>
        </w:rPr>
        <w:t>:</w:t>
      </w:r>
      <w:r w:rsidRPr="003F29ED">
        <w:rPr>
          <w:rFonts w:asciiTheme="majorHAnsi" w:hAnsiTheme="majorHAnsi"/>
          <w:color w:val="333333"/>
          <w:sz w:val="20"/>
          <w:szCs w:val="20"/>
          <w:shd w:val="clear" w:color="auto" w:fill="FFFFFF"/>
        </w:rPr>
        <w:t xml:space="preserve"> Right to property.</w:t>
      </w:r>
    </w:p>
    <w:p w:rsidR="00163E72" w:rsidRPr="003F29ED" w:rsidRDefault="00163E72" w:rsidP="00364222">
      <w:pPr>
        <w:pStyle w:val="ListParagraph"/>
        <w:numPr>
          <w:ilvl w:val="0"/>
          <w:numId w:val="64"/>
        </w:numPr>
        <w:tabs>
          <w:tab w:val="left" w:pos="1080"/>
          <w:tab w:val="left" w:pos="8640"/>
        </w:tabs>
        <w:ind w:right="720" w:firstLine="0"/>
        <w:contextualSpacing/>
        <w:jc w:val="both"/>
        <w:rPr>
          <w:rFonts w:asciiTheme="majorHAnsi" w:hAnsiTheme="majorHAnsi"/>
          <w:color w:val="333333"/>
          <w:sz w:val="20"/>
          <w:szCs w:val="20"/>
          <w:shd w:val="clear" w:color="auto" w:fill="FFFFFF"/>
        </w:rPr>
      </w:pPr>
      <w:r w:rsidRPr="003F29ED">
        <w:rPr>
          <w:rFonts w:asciiTheme="majorHAnsi" w:hAnsiTheme="majorHAnsi"/>
          <w:color w:val="333333"/>
          <w:sz w:val="20"/>
          <w:szCs w:val="20"/>
          <w:shd w:val="clear" w:color="auto" w:fill="FFFFFF"/>
        </w:rPr>
        <w:t>Article 24, specifically</w:t>
      </w:r>
      <w:r w:rsidRPr="003F29ED">
        <w:rPr>
          <w:rFonts w:asciiTheme="majorHAnsi" w:hAnsiTheme="majorHAnsi"/>
          <w:sz w:val="20"/>
          <w:szCs w:val="20"/>
        </w:rPr>
        <w:t>:</w:t>
      </w:r>
      <w:r w:rsidRPr="003F29ED">
        <w:rPr>
          <w:rFonts w:asciiTheme="majorHAnsi" w:hAnsiTheme="majorHAnsi"/>
          <w:color w:val="333333"/>
          <w:sz w:val="20"/>
          <w:szCs w:val="20"/>
          <w:shd w:val="clear" w:color="auto" w:fill="FFFFFF"/>
        </w:rPr>
        <w:t xml:space="preserve"> Right to housing.</w:t>
      </w:r>
    </w:p>
    <w:p w:rsidR="00163E72" w:rsidRPr="003F29ED" w:rsidRDefault="00163E72" w:rsidP="00364222">
      <w:pPr>
        <w:pStyle w:val="ListParagraph"/>
        <w:numPr>
          <w:ilvl w:val="0"/>
          <w:numId w:val="64"/>
        </w:numPr>
        <w:tabs>
          <w:tab w:val="left" w:pos="1080"/>
          <w:tab w:val="left" w:pos="8640"/>
        </w:tabs>
        <w:ind w:right="720" w:firstLine="0"/>
        <w:contextualSpacing/>
        <w:jc w:val="both"/>
        <w:rPr>
          <w:rFonts w:asciiTheme="majorHAnsi" w:hAnsiTheme="majorHAnsi"/>
          <w:color w:val="333333"/>
          <w:sz w:val="20"/>
          <w:szCs w:val="20"/>
          <w:shd w:val="clear" w:color="auto" w:fill="FFFFFF"/>
        </w:rPr>
      </w:pPr>
      <w:r w:rsidRPr="003F29ED">
        <w:rPr>
          <w:rFonts w:asciiTheme="majorHAnsi" w:hAnsiTheme="majorHAnsi"/>
          <w:color w:val="333333"/>
          <w:sz w:val="20"/>
          <w:szCs w:val="20"/>
          <w:shd w:val="clear" w:color="auto" w:fill="FFFFFF"/>
        </w:rPr>
        <w:t>Article 29, specifically</w:t>
      </w:r>
      <w:r w:rsidRPr="003F29ED">
        <w:rPr>
          <w:rFonts w:asciiTheme="majorHAnsi" w:hAnsiTheme="majorHAnsi"/>
          <w:sz w:val="20"/>
          <w:szCs w:val="20"/>
        </w:rPr>
        <w:t>:</w:t>
      </w:r>
      <w:r w:rsidRPr="003F29ED">
        <w:rPr>
          <w:rFonts w:asciiTheme="majorHAnsi" w:hAnsiTheme="majorHAnsi"/>
          <w:color w:val="333333"/>
          <w:sz w:val="20"/>
          <w:szCs w:val="20"/>
          <w:shd w:val="clear" w:color="auto" w:fill="FFFFFF"/>
        </w:rPr>
        <w:t xml:space="preserve"> Situations of risk and humanitarian emergencies.</w:t>
      </w:r>
    </w:p>
    <w:p w:rsidR="00163E72" w:rsidRPr="003F29ED" w:rsidRDefault="00163E72" w:rsidP="00364222">
      <w:pPr>
        <w:pStyle w:val="ListParagraph"/>
        <w:numPr>
          <w:ilvl w:val="0"/>
          <w:numId w:val="64"/>
        </w:numPr>
        <w:tabs>
          <w:tab w:val="left" w:pos="1080"/>
          <w:tab w:val="left" w:pos="8640"/>
        </w:tabs>
        <w:ind w:right="720" w:firstLine="0"/>
        <w:contextualSpacing/>
        <w:jc w:val="both"/>
        <w:rPr>
          <w:rFonts w:asciiTheme="majorHAnsi" w:hAnsiTheme="majorHAnsi"/>
          <w:sz w:val="20"/>
          <w:szCs w:val="20"/>
        </w:rPr>
      </w:pPr>
      <w:r w:rsidRPr="003F29ED">
        <w:rPr>
          <w:rFonts w:asciiTheme="majorHAnsi" w:hAnsiTheme="majorHAnsi"/>
          <w:color w:val="333333"/>
          <w:sz w:val="20"/>
          <w:szCs w:val="20"/>
          <w:shd w:val="clear" w:color="auto" w:fill="FFFFFF"/>
        </w:rPr>
        <w:t>Article 31, specifically</w:t>
      </w:r>
      <w:r w:rsidRPr="003F29ED">
        <w:rPr>
          <w:rFonts w:asciiTheme="majorHAnsi" w:hAnsiTheme="majorHAnsi"/>
          <w:sz w:val="20"/>
          <w:szCs w:val="20"/>
        </w:rPr>
        <w:t>:</w:t>
      </w:r>
      <w:r w:rsidRPr="003F29ED">
        <w:rPr>
          <w:rFonts w:asciiTheme="majorHAnsi" w:hAnsiTheme="majorHAnsi"/>
          <w:color w:val="333333"/>
          <w:sz w:val="20"/>
          <w:szCs w:val="20"/>
          <w:shd w:val="clear" w:color="auto" w:fill="FFFFFF"/>
        </w:rPr>
        <w:t xml:space="preserve"> Access to justice.</w:t>
      </w:r>
    </w:p>
    <w:p w:rsidR="00163E72" w:rsidRPr="003F29ED" w:rsidRDefault="00163E72" w:rsidP="007C27AB">
      <w:pPr>
        <w:pStyle w:val="ListParagraph"/>
        <w:tabs>
          <w:tab w:val="left" w:pos="1080"/>
          <w:tab w:val="left" w:pos="8640"/>
        </w:tabs>
        <w:ind w:right="720"/>
        <w:contextualSpacing/>
        <w:jc w:val="both"/>
        <w:rPr>
          <w:rFonts w:asciiTheme="majorHAnsi" w:hAnsiTheme="majorHAnsi"/>
          <w:sz w:val="20"/>
          <w:szCs w:val="20"/>
        </w:rPr>
      </w:pPr>
    </w:p>
    <w:p w:rsidR="00163E72" w:rsidRPr="003F29ED" w:rsidRDefault="00163E72" w:rsidP="007C27AB">
      <w:pPr>
        <w:tabs>
          <w:tab w:val="left" w:pos="360"/>
          <w:tab w:val="left" w:pos="1080"/>
          <w:tab w:val="left" w:pos="8640"/>
        </w:tabs>
        <w:snapToGrid w:val="0"/>
        <w:ind w:left="720" w:right="720"/>
        <w:jc w:val="both"/>
        <w:rPr>
          <w:rFonts w:asciiTheme="majorHAnsi" w:hAnsiTheme="majorHAnsi"/>
          <w:sz w:val="20"/>
          <w:szCs w:val="20"/>
        </w:rPr>
      </w:pPr>
      <w:r w:rsidRPr="003F29ED">
        <w:rPr>
          <w:rFonts w:asciiTheme="majorHAnsi" w:eastAsia="Times New Roman" w:hAnsiTheme="majorHAnsi"/>
          <w:sz w:val="20"/>
          <w:szCs w:val="20"/>
        </w:rPr>
        <w:t xml:space="preserve">As for the provisions of the Inter-American Convention on the Elimination of All Forms of Discrimination against Persons with Disability, it is important for the Costa Rican State to set an example of Article 3 and subsections 1.a and 1.b thereof, specifically: </w:t>
      </w:r>
      <w:r w:rsidRPr="003F29ED">
        <w:rPr>
          <w:rFonts w:asciiTheme="majorHAnsi" w:hAnsiTheme="majorHAnsi"/>
          <w:sz w:val="20"/>
          <w:szCs w:val="20"/>
          <w:lang w:eastAsia="es-ES"/>
        </w:rPr>
        <w:t xml:space="preserve">To achieve the objectives of this Convention, the </w:t>
      </w:r>
      <w:r w:rsidR="00E94E25">
        <w:rPr>
          <w:rFonts w:asciiTheme="majorHAnsi" w:hAnsiTheme="majorHAnsi"/>
          <w:sz w:val="20"/>
          <w:szCs w:val="20"/>
          <w:lang w:eastAsia="es-ES"/>
        </w:rPr>
        <w:t>S</w:t>
      </w:r>
      <w:r w:rsidR="00E94E25" w:rsidRPr="003F29ED">
        <w:rPr>
          <w:rFonts w:asciiTheme="majorHAnsi" w:hAnsiTheme="majorHAnsi"/>
          <w:sz w:val="20"/>
          <w:szCs w:val="20"/>
          <w:lang w:eastAsia="es-ES"/>
        </w:rPr>
        <w:t>tate’s</w:t>
      </w:r>
      <w:r w:rsidRPr="003F29ED">
        <w:rPr>
          <w:rFonts w:asciiTheme="majorHAnsi" w:hAnsiTheme="majorHAnsi"/>
          <w:sz w:val="20"/>
          <w:szCs w:val="20"/>
          <w:lang w:eastAsia="es-ES"/>
        </w:rPr>
        <w:t xml:space="preserve"> parties undertake: </w:t>
      </w:r>
    </w:p>
    <w:p w:rsidR="00163E72" w:rsidRPr="003F29ED" w:rsidRDefault="00163E72" w:rsidP="007C27AB">
      <w:pPr>
        <w:tabs>
          <w:tab w:val="left" w:pos="360"/>
          <w:tab w:val="left" w:pos="1080"/>
          <w:tab w:val="left" w:pos="8640"/>
        </w:tabs>
        <w:snapToGrid w:val="0"/>
        <w:ind w:left="720" w:right="720"/>
        <w:jc w:val="both"/>
        <w:rPr>
          <w:rFonts w:asciiTheme="majorHAnsi" w:hAnsiTheme="majorHAnsi"/>
          <w:sz w:val="20"/>
          <w:szCs w:val="20"/>
        </w:rPr>
      </w:pPr>
    </w:p>
    <w:p w:rsidR="00163E72" w:rsidRPr="003F29ED" w:rsidRDefault="00163E72" w:rsidP="00364222">
      <w:pPr>
        <w:pStyle w:val="ListParagraph"/>
        <w:numPr>
          <w:ilvl w:val="0"/>
          <w:numId w:val="67"/>
        </w:numPr>
        <w:pBdr>
          <w:top w:val="nil"/>
          <w:left w:val="nil"/>
          <w:bottom w:val="nil"/>
          <w:right w:val="nil"/>
          <w:between w:val="nil"/>
          <w:bar w:val="nil"/>
        </w:pBdr>
        <w:tabs>
          <w:tab w:val="left" w:pos="360"/>
          <w:tab w:val="left" w:pos="1080"/>
          <w:tab w:val="left" w:pos="8640"/>
        </w:tabs>
        <w:snapToGrid w:val="0"/>
        <w:ind w:left="720" w:right="720" w:firstLine="0"/>
        <w:jc w:val="both"/>
        <w:rPr>
          <w:rFonts w:asciiTheme="majorHAnsi" w:hAnsiTheme="majorHAnsi"/>
          <w:i/>
          <w:sz w:val="20"/>
          <w:szCs w:val="20"/>
        </w:rPr>
      </w:pPr>
      <w:r w:rsidRPr="003F29ED">
        <w:rPr>
          <w:rFonts w:asciiTheme="majorHAnsi" w:hAnsiTheme="majorHAnsi"/>
          <w:i/>
          <w:sz w:val="20"/>
          <w:szCs w:val="20"/>
        </w:rPr>
        <w:t xml:space="preserve">To adopt the legislative, social, educational, labor-related, or any other measures needed to eliminate discrimination against persons with disabilities and to promote their full integration into society, including, but not limited to: </w:t>
      </w:r>
    </w:p>
    <w:p w:rsidR="00163E72" w:rsidRPr="003F29ED" w:rsidRDefault="00163E72" w:rsidP="003D46D2">
      <w:pPr>
        <w:pStyle w:val="ListParagraph"/>
        <w:tabs>
          <w:tab w:val="left" w:pos="360"/>
          <w:tab w:val="left" w:pos="1080"/>
          <w:tab w:val="left" w:pos="8640"/>
        </w:tabs>
        <w:snapToGrid w:val="0"/>
        <w:ind w:right="720"/>
        <w:jc w:val="both"/>
        <w:rPr>
          <w:rFonts w:asciiTheme="majorHAnsi" w:hAnsiTheme="majorHAnsi"/>
          <w:i/>
          <w:sz w:val="20"/>
          <w:szCs w:val="20"/>
        </w:rPr>
      </w:pPr>
    </w:p>
    <w:p w:rsidR="00163E72" w:rsidRPr="003F29ED" w:rsidRDefault="00163E72" w:rsidP="00364222">
      <w:pPr>
        <w:pStyle w:val="ListParagraph"/>
        <w:numPr>
          <w:ilvl w:val="1"/>
          <w:numId w:val="52"/>
        </w:numPr>
        <w:pBdr>
          <w:top w:val="nil"/>
          <w:left w:val="nil"/>
          <w:bottom w:val="nil"/>
          <w:right w:val="nil"/>
          <w:between w:val="nil"/>
          <w:bar w:val="nil"/>
        </w:pBdr>
        <w:tabs>
          <w:tab w:val="left" w:pos="360"/>
          <w:tab w:val="left" w:pos="1080"/>
          <w:tab w:val="left" w:pos="8640"/>
        </w:tabs>
        <w:snapToGrid w:val="0"/>
        <w:ind w:left="720" w:right="720" w:firstLine="0"/>
        <w:jc w:val="both"/>
        <w:rPr>
          <w:rFonts w:asciiTheme="majorHAnsi" w:hAnsiTheme="majorHAnsi"/>
          <w:i/>
          <w:sz w:val="20"/>
          <w:szCs w:val="20"/>
        </w:rPr>
      </w:pPr>
      <w:r w:rsidRPr="003F29ED">
        <w:rPr>
          <w:rFonts w:asciiTheme="majorHAnsi" w:hAnsiTheme="majorHAnsi"/>
          <w:i/>
          <w:sz w:val="20"/>
          <w:szCs w:val="20"/>
        </w:rPr>
        <w:t xml:space="preserve">Measures to eliminate discrimination gradually and to promote integration by government authorities and/or private entities in providing or making available goods, services, facilities, programs, and activities such as employment, transportation, communications, housing, recreation, education, sports, law enforcement and administration of justice, and political and administrative activities; </w:t>
      </w:r>
    </w:p>
    <w:p w:rsidR="00163E72" w:rsidRPr="003F29ED" w:rsidRDefault="00163E72" w:rsidP="003D46D2">
      <w:pPr>
        <w:tabs>
          <w:tab w:val="left" w:pos="360"/>
          <w:tab w:val="left" w:pos="1080"/>
          <w:tab w:val="left" w:pos="8640"/>
        </w:tabs>
        <w:snapToGrid w:val="0"/>
        <w:ind w:left="720" w:right="720"/>
        <w:jc w:val="both"/>
        <w:rPr>
          <w:rFonts w:asciiTheme="majorHAnsi" w:hAnsiTheme="majorHAnsi"/>
          <w:i/>
          <w:sz w:val="20"/>
          <w:szCs w:val="20"/>
        </w:rPr>
      </w:pPr>
    </w:p>
    <w:p w:rsidR="00163E72" w:rsidRPr="003F29ED" w:rsidRDefault="00163E72" w:rsidP="003D46D2">
      <w:pPr>
        <w:tabs>
          <w:tab w:val="left" w:pos="360"/>
          <w:tab w:val="left" w:pos="720"/>
          <w:tab w:val="left" w:pos="1080"/>
        </w:tabs>
        <w:snapToGrid w:val="0"/>
        <w:ind w:left="720" w:right="720"/>
        <w:jc w:val="both"/>
        <w:rPr>
          <w:rFonts w:asciiTheme="majorHAnsi" w:hAnsiTheme="majorHAnsi"/>
          <w:i/>
          <w:sz w:val="20"/>
          <w:szCs w:val="20"/>
        </w:rPr>
      </w:pPr>
      <w:r w:rsidRPr="003F29ED">
        <w:rPr>
          <w:rFonts w:asciiTheme="majorHAnsi" w:hAnsiTheme="majorHAnsi"/>
          <w:i/>
          <w:sz w:val="20"/>
          <w:szCs w:val="20"/>
        </w:rPr>
        <w:t>b.</w:t>
      </w:r>
      <w:r w:rsidRPr="003F29ED">
        <w:rPr>
          <w:rFonts w:asciiTheme="majorHAnsi" w:hAnsiTheme="majorHAnsi"/>
          <w:i/>
          <w:sz w:val="20"/>
          <w:szCs w:val="20"/>
        </w:rPr>
        <w:tab/>
        <w:t xml:space="preserve">Measures to ensure that new buildings, vehicles, and facilities constructed or manufactured within their respective territories facilitate transportation, communications, and access by persons with disabilities; </w:t>
      </w:r>
    </w:p>
    <w:p w:rsidR="00163E72" w:rsidRPr="003F29ED" w:rsidRDefault="00163E72" w:rsidP="007C27AB">
      <w:pPr>
        <w:tabs>
          <w:tab w:val="left" w:pos="360"/>
          <w:tab w:val="left" w:pos="1080"/>
          <w:tab w:val="left" w:pos="8640"/>
        </w:tabs>
        <w:snapToGrid w:val="0"/>
        <w:ind w:left="720" w:right="720"/>
        <w:jc w:val="both"/>
        <w:rPr>
          <w:rFonts w:asciiTheme="majorHAnsi" w:hAnsiTheme="majorHAnsi"/>
          <w:i/>
          <w:sz w:val="20"/>
          <w:szCs w:val="20"/>
        </w:rPr>
      </w:pPr>
    </w:p>
    <w:p w:rsidR="00163E72" w:rsidRPr="003F29ED" w:rsidRDefault="00163E72" w:rsidP="007C27AB">
      <w:pPr>
        <w:keepNext/>
        <w:keepLines/>
        <w:tabs>
          <w:tab w:val="left" w:pos="1080"/>
          <w:tab w:val="left" w:pos="8640"/>
        </w:tabs>
        <w:ind w:left="720" w:right="720"/>
        <w:jc w:val="center"/>
        <w:outlineLvl w:val="0"/>
        <w:rPr>
          <w:rFonts w:asciiTheme="majorHAnsi" w:hAnsiTheme="majorHAnsi"/>
          <w:b/>
          <w:sz w:val="20"/>
          <w:szCs w:val="20"/>
        </w:rPr>
      </w:pPr>
      <w:r w:rsidRPr="003F29ED">
        <w:rPr>
          <w:rFonts w:asciiTheme="majorHAnsi" w:hAnsiTheme="majorHAnsi"/>
          <w:b/>
          <w:sz w:val="20"/>
          <w:szCs w:val="20"/>
        </w:rPr>
        <w:t xml:space="preserve">AKNOWLEDGEMENT BY THE COSTA RICAN STATE </w:t>
      </w:r>
    </w:p>
    <w:p w:rsidR="00163E72" w:rsidRPr="003F29ED" w:rsidRDefault="00163E72" w:rsidP="007C27AB">
      <w:pPr>
        <w:keepNext/>
        <w:keepLines/>
        <w:tabs>
          <w:tab w:val="left" w:pos="1080"/>
          <w:tab w:val="left" w:pos="8640"/>
        </w:tabs>
        <w:ind w:left="720" w:right="720"/>
        <w:jc w:val="center"/>
        <w:outlineLvl w:val="0"/>
        <w:rPr>
          <w:rFonts w:asciiTheme="majorHAnsi" w:hAnsiTheme="majorHAnsi"/>
          <w:b/>
          <w:sz w:val="20"/>
          <w:szCs w:val="20"/>
        </w:rPr>
      </w:pPr>
    </w:p>
    <w:p w:rsidR="00163E72" w:rsidRPr="003F29ED" w:rsidRDefault="00163E72" w:rsidP="007C27AB">
      <w:pPr>
        <w:tabs>
          <w:tab w:val="left" w:pos="1080"/>
          <w:tab w:val="left" w:pos="8640"/>
        </w:tabs>
        <w:ind w:left="720" w:right="720"/>
        <w:jc w:val="both"/>
        <w:rPr>
          <w:rFonts w:asciiTheme="majorHAnsi" w:hAnsiTheme="majorHAnsi"/>
          <w:sz w:val="20"/>
          <w:szCs w:val="20"/>
        </w:rPr>
      </w:pPr>
      <w:r w:rsidRPr="003F29ED">
        <w:rPr>
          <w:rFonts w:asciiTheme="majorHAnsi" w:hAnsiTheme="majorHAnsi"/>
          <w:sz w:val="20"/>
          <w:szCs w:val="20"/>
          <w:lang w:eastAsia="es-ES"/>
        </w:rPr>
        <w:t xml:space="preserve">The Costa Rican State enters into the instant friendly settlement agreement with the petitioner </w:t>
      </w:r>
      <w:r w:rsidRPr="003F29ED">
        <w:rPr>
          <w:rFonts w:asciiTheme="majorHAnsi" w:hAnsiTheme="majorHAnsi"/>
          <w:sz w:val="20"/>
          <w:szCs w:val="20"/>
          <w:lang w:eastAsia="ar-SA"/>
        </w:rPr>
        <w:t xml:space="preserve">(Emilia Morales Campos) (based on Articles 5, 8, 19, 25 and 26 of the American Convention in </w:t>
      </w:r>
      <w:r w:rsidRPr="003F29ED">
        <w:rPr>
          <w:rFonts w:asciiTheme="majorHAnsi" w:hAnsiTheme="majorHAnsi"/>
          <w:sz w:val="20"/>
          <w:szCs w:val="20"/>
          <w:lang w:eastAsia="ar-SA"/>
        </w:rPr>
        <w:lastRenderedPageBreak/>
        <w:t xml:space="preserve">connection with Articles 1.1 and 2), because of the particular and exceptional situation of Case </w:t>
      </w:r>
      <w:r w:rsidRPr="003F29ED">
        <w:rPr>
          <w:rFonts w:asciiTheme="majorHAnsi" w:hAnsiTheme="majorHAnsi"/>
          <w:sz w:val="20"/>
          <w:szCs w:val="20"/>
        </w:rPr>
        <w:t xml:space="preserve">12.942, which took place prior to the current development of the National Housing Finance System (SNFV) of Costa Rica. </w:t>
      </w:r>
      <w:r w:rsidRPr="003F29ED">
        <w:rPr>
          <w:rFonts w:asciiTheme="majorHAnsi" w:hAnsiTheme="majorHAnsi"/>
          <w:bCs/>
          <w:sz w:val="20"/>
          <w:szCs w:val="20"/>
          <w:lang w:eastAsia="es-ES"/>
        </w:rPr>
        <w:t>Specifically, the Special Housing Commission (</w:t>
      </w:r>
      <w:r w:rsidRPr="003F29ED">
        <w:rPr>
          <w:rFonts w:asciiTheme="majorHAnsi" w:hAnsiTheme="majorHAnsi"/>
          <w:iCs/>
          <w:sz w:val="20"/>
          <w:szCs w:val="20"/>
          <w:lang w:eastAsia="es-ES"/>
        </w:rPr>
        <w:t>Comisión Especial de Vivienda)</w:t>
      </w:r>
      <w:r w:rsidRPr="003F29ED">
        <w:rPr>
          <w:rFonts w:asciiTheme="majorHAnsi" w:hAnsiTheme="majorHAnsi"/>
          <w:iCs/>
          <w:sz w:val="20"/>
          <w:szCs w:val="20"/>
          <w:vertAlign w:val="superscript"/>
          <w:lang w:eastAsia="es-ES"/>
        </w:rPr>
        <w:footnoteReference w:id="11"/>
      </w:r>
      <w:r w:rsidRPr="003F29ED">
        <w:rPr>
          <w:rFonts w:asciiTheme="majorHAnsi" w:hAnsiTheme="majorHAnsi"/>
          <w:iCs/>
          <w:sz w:val="20"/>
          <w:szCs w:val="20"/>
          <w:lang w:eastAsia="es-ES"/>
        </w:rPr>
        <w:t xml:space="preserve"> did not ensure for Mrs. </w:t>
      </w:r>
      <w:r w:rsidRPr="003F29ED">
        <w:rPr>
          <w:rFonts w:asciiTheme="majorHAnsi" w:hAnsiTheme="majorHAnsi"/>
          <w:bCs/>
          <w:sz w:val="20"/>
          <w:szCs w:val="20"/>
          <w:lang w:eastAsia="es-ES"/>
        </w:rPr>
        <w:t xml:space="preserve">Emilia Morales Campos improved state mechanisms, guidance, or accompaniment regarding temporary and permanent housing relief.  </w:t>
      </w:r>
    </w:p>
    <w:p w:rsidR="00163E72" w:rsidRPr="003F29ED" w:rsidRDefault="00163E72" w:rsidP="007C27AB">
      <w:pPr>
        <w:tabs>
          <w:tab w:val="left" w:pos="1080"/>
          <w:tab w:val="left" w:pos="8640"/>
        </w:tabs>
        <w:ind w:left="720" w:right="720"/>
        <w:jc w:val="both"/>
        <w:rPr>
          <w:rFonts w:asciiTheme="majorHAnsi" w:hAnsiTheme="majorHAnsi"/>
          <w:sz w:val="20"/>
          <w:szCs w:val="20"/>
        </w:rPr>
      </w:pPr>
    </w:p>
    <w:p w:rsidR="00163E72" w:rsidRPr="003F29ED" w:rsidRDefault="00163E72" w:rsidP="007C27AB">
      <w:pPr>
        <w:tabs>
          <w:tab w:val="left" w:pos="1080"/>
          <w:tab w:val="left" w:pos="8640"/>
        </w:tabs>
        <w:ind w:left="720" w:right="720"/>
        <w:rPr>
          <w:rFonts w:asciiTheme="majorHAnsi" w:hAnsiTheme="majorHAnsi"/>
          <w:bCs/>
          <w:sz w:val="20"/>
          <w:szCs w:val="20"/>
          <w:u w:val="single"/>
          <w:lang w:eastAsia="es-ES"/>
        </w:rPr>
      </w:pPr>
      <w:r w:rsidRPr="003F29ED">
        <w:rPr>
          <w:rFonts w:asciiTheme="majorHAnsi" w:hAnsiTheme="majorHAnsi"/>
          <w:sz w:val="20"/>
          <w:szCs w:val="20"/>
          <w:u w:val="single"/>
        </w:rPr>
        <w:t xml:space="preserve">Background information on the National Housing Finance System </w:t>
      </w:r>
      <w:r w:rsidRPr="003F29ED">
        <w:rPr>
          <w:rFonts w:asciiTheme="majorHAnsi" w:hAnsiTheme="majorHAnsi"/>
          <w:bCs/>
          <w:sz w:val="20"/>
          <w:szCs w:val="20"/>
          <w:u w:val="single"/>
          <w:lang w:eastAsia="es-ES"/>
        </w:rPr>
        <w:t>(SNFV).</w:t>
      </w:r>
    </w:p>
    <w:p w:rsidR="00163E72" w:rsidRPr="003F29ED" w:rsidRDefault="00163E72" w:rsidP="007C27AB">
      <w:pPr>
        <w:tabs>
          <w:tab w:val="left" w:pos="1080"/>
          <w:tab w:val="left" w:pos="8640"/>
        </w:tabs>
        <w:ind w:left="720" w:right="720"/>
        <w:rPr>
          <w:rFonts w:asciiTheme="majorHAnsi" w:hAnsiTheme="majorHAnsi"/>
          <w:sz w:val="20"/>
          <w:szCs w:val="20"/>
          <w:u w:val="single"/>
        </w:rPr>
      </w:pPr>
    </w:p>
    <w:p w:rsidR="00163E72" w:rsidRPr="003F29ED" w:rsidRDefault="00163E72" w:rsidP="007C27AB">
      <w:pPr>
        <w:tabs>
          <w:tab w:val="left" w:pos="1080"/>
          <w:tab w:val="left" w:pos="8640"/>
        </w:tabs>
        <w:ind w:left="720" w:right="720"/>
        <w:jc w:val="both"/>
        <w:rPr>
          <w:rFonts w:asciiTheme="majorHAnsi" w:hAnsiTheme="majorHAnsi"/>
          <w:iCs/>
          <w:sz w:val="20"/>
          <w:szCs w:val="20"/>
          <w:lang w:eastAsia="es-ES"/>
        </w:rPr>
      </w:pPr>
      <w:r w:rsidRPr="003F29ED">
        <w:rPr>
          <w:rFonts w:asciiTheme="majorHAnsi" w:hAnsiTheme="majorHAnsi"/>
          <w:iCs/>
          <w:sz w:val="20"/>
          <w:szCs w:val="20"/>
          <w:lang w:eastAsia="es-ES"/>
        </w:rPr>
        <w:t>The Costa Rican State declared the housing issue to be a National Emergency in 1986. Consequently, the Special Housing Commission (Comisión Especial de Vivienda),</w:t>
      </w:r>
      <w:r w:rsidRPr="003F29ED">
        <w:rPr>
          <w:rFonts w:asciiTheme="majorHAnsi" w:hAnsiTheme="majorHAnsi"/>
          <w:iCs/>
          <w:sz w:val="20"/>
          <w:szCs w:val="20"/>
          <w:vertAlign w:val="superscript"/>
          <w:lang w:eastAsia="es-ES"/>
        </w:rPr>
        <w:footnoteReference w:id="12"/>
      </w:r>
      <w:r w:rsidRPr="003F29ED">
        <w:rPr>
          <w:rFonts w:asciiTheme="majorHAnsi" w:hAnsiTheme="majorHAnsi"/>
          <w:iCs/>
          <w:sz w:val="20"/>
          <w:szCs w:val="20"/>
          <w:lang w:eastAsia="es-ES"/>
        </w:rPr>
        <w:t xml:space="preserve"> was created to cope with a high number of applications for public housing. Nonetheless, the Constitutional Chamber declared Executive Decree No. 17270-P, which created this Commission, to be unconstitutional because procedures of exception were not admissible, such as those applied by said Commission to carry out regular administrative activities</w:t>
      </w:r>
      <w:r w:rsidRPr="003F29ED">
        <w:rPr>
          <w:rFonts w:asciiTheme="majorHAnsi" w:hAnsiTheme="majorHAnsi"/>
          <w:sz w:val="20"/>
          <w:szCs w:val="20"/>
        </w:rPr>
        <w:t>.</w:t>
      </w:r>
      <w:r w:rsidRPr="003F29ED">
        <w:rPr>
          <w:rFonts w:asciiTheme="majorHAnsi" w:hAnsiTheme="majorHAnsi"/>
          <w:sz w:val="20"/>
          <w:szCs w:val="20"/>
          <w:vertAlign w:val="superscript"/>
        </w:rPr>
        <w:footnoteReference w:id="13"/>
      </w:r>
      <w:r w:rsidRPr="003F29ED">
        <w:rPr>
          <w:rFonts w:asciiTheme="majorHAnsi" w:hAnsiTheme="majorHAnsi"/>
          <w:iCs/>
          <w:sz w:val="20"/>
          <w:szCs w:val="20"/>
          <w:lang w:eastAsia="es-ES"/>
        </w:rPr>
        <w:t xml:space="preserve"> </w:t>
      </w:r>
    </w:p>
    <w:p w:rsidR="00163E72" w:rsidRPr="003F29ED" w:rsidRDefault="00163E72" w:rsidP="007C27AB">
      <w:pPr>
        <w:tabs>
          <w:tab w:val="left" w:pos="1080"/>
          <w:tab w:val="left" w:pos="8640"/>
        </w:tabs>
        <w:ind w:left="720" w:right="720"/>
        <w:jc w:val="both"/>
        <w:rPr>
          <w:rFonts w:asciiTheme="majorHAnsi" w:hAnsiTheme="majorHAnsi"/>
          <w:sz w:val="20"/>
          <w:szCs w:val="20"/>
          <w:lang w:eastAsia="es-ES"/>
        </w:rPr>
      </w:pPr>
      <w:r w:rsidRPr="003F29ED">
        <w:rPr>
          <w:rFonts w:asciiTheme="majorHAnsi" w:hAnsiTheme="majorHAnsi"/>
          <w:sz w:val="20"/>
          <w:szCs w:val="20"/>
          <w:lang w:eastAsia="es-ES"/>
        </w:rPr>
        <w:t xml:space="preserve">Concurrently with the efforts made by the country in the area of housing through the Special Housing Commission, a draft law was introduced in the Legislative Assembly creating a National Housing Finance System (SNFV). </w:t>
      </w:r>
    </w:p>
    <w:p w:rsidR="00163E72" w:rsidRPr="003F29ED" w:rsidRDefault="00163E72" w:rsidP="007C27AB">
      <w:pPr>
        <w:tabs>
          <w:tab w:val="left" w:pos="1080"/>
          <w:tab w:val="left" w:pos="8640"/>
        </w:tabs>
        <w:ind w:left="720" w:right="720"/>
        <w:jc w:val="both"/>
        <w:rPr>
          <w:rFonts w:asciiTheme="majorHAnsi" w:hAnsiTheme="majorHAnsi"/>
          <w:sz w:val="20"/>
          <w:szCs w:val="20"/>
          <w:lang w:eastAsia="es-ES"/>
        </w:rPr>
      </w:pPr>
    </w:p>
    <w:p w:rsidR="00163E72" w:rsidRPr="003F29ED" w:rsidRDefault="00163E72" w:rsidP="007C27AB">
      <w:pPr>
        <w:tabs>
          <w:tab w:val="left" w:pos="1080"/>
          <w:tab w:val="left" w:pos="8640"/>
        </w:tabs>
        <w:ind w:left="720" w:right="720"/>
        <w:rPr>
          <w:rFonts w:asciiTheme="majorHAnsi" w:hAnsiTheme="majorHAnsi"/>
          <w:bCs/>
          <w:sz w:val="20"/>
          <w:szCs w:val="20"/>
          <w:u w:val="single"/>
          <w:lang w:eastAsia="es-ES"/>
        </w:rPr>
      </w:pPr>
      <w:r w:rsidRPr="003F29ED">
        <w:rPr>
          <w:rFonts w:asciiTheme="majorHAnsi" w:hAnsiTheme="majorHAnsi"/>
          <w:bCs/>
          <w:sz w:val="20"/>
          <w:szCs w:val="20"/>
          <w:u w:val="single"/>
          <w:lang w:eastAsia="es-ES"/>
        </w:rPr>
        <w:t>Enactment of the National Housing Finance System (SNFV).</w:t>
      </w:r>
    </w:p>
    <w:p w:rsidR="00163E72" w:rsidRPr="003F29ED" w:rsidRDefault="00163E72" w:rsidP="007C27AB">
      <w:pPr>
        <w:tabs>
          <w:tab w:val="left" w:pos="1080"/>
          <w:tab w:val="left" w:pos="8640"/>
        </w:tabs>
        <w:ind w:left="720" w:right="720"/>
        <w:rPr>
          <w:rFonts w:asciiTheme="majorHAnsi" w:hAnsiTheme="majorHAnsi"/>
          <w:sz w:val="20"/>
          <w:szCs w:val="20"/>
          <w:u w:val="single"/>
          <w:lang w:eastAsia="es-ES"/>
        </w:rPr>
      </w:pPr>
    </w:p>
    <w:p w:rsidR="00163E72" w:rsidRPr="003F29ED" w:rsidRDefault="00163E72" w:rsidP="007C27AB">
      <w:pPr>
        <w:tabs>
          <w:tab w:val="left" w:pos="1080"/>
          <w:tab w:val="left" w:pos="8640"/>
        </w:tabs>
        <w:ind w:left="720" w:right="720"/>
        <w:jc w:val="both"/>
        <w:rPr>
          <w:rFonts w:asciiTheme="majorHAnsi" w:hAnsiTheme="majorHAnsi"/>
          <w:sz w:val="20"/>
          <w:szCs w:val="20"/>
          <w:lang w:eastAsia="es-ES"/>
        </w:rPr>
      </w:pPr>
      <w:r w:rsidRPr="003F29ED">
        <w:rPr>
          <w:rFonts w:asciiTheme="majorHAnsi" w:hAnsiTheme="majorHAnsi"/>
          <w:sz w:val="20"/>
          <w:szCs w:val="20"/>
          <w:lang w:eastAsia="es-ES"/>
        </w:rPr>
        <w:t xml:space="preserve">In November 1986, National Housing Finance System (SNFV) Law No. 7052 came into force and created the Housing Mortgage Bank (Banco Hipotecario de la Vivienda, as it is known by its Spanish initials BANHVI). </w:t>
      </w:r>
    </w:p>
    <w:p w:rsidR="00163E72" w:rsidRPr="003F29ED" w:rsidRDefault="00163E72" w:rsidP="007C27AB">
      <w:pPr>
        <w:tabs>
          <w:tab w:val="left" w:pos="1080"/>
          <w:tab w:val="left" w:pos="8640"/>
        </w:tabs>
        <w:ind w:left="720" w:right="720"/>
        <w:jc w:val="both"/>
        <w:rPr>
          <w:rFonts w:asciiTheme="majorHAnsi" w:hAnsiTheme="majorHAnsi"/>
          <w:sz w:val="20"/>
          <w:szCs w:val="20"/>
          <w:lang w:eastAsia="es-ES"/>
        </w:rPr>
      </w:pPr>
    </w:p>
    <w:p w:rsidR="00163E72" w:rsidRPr="003F29ED" w:rsidRDefault="00163E72" w:rsidP="007C27AB">
      <w:pPr>
        <w:tabs>
          <w:tab w:val="left" w:pos="1080"/>
          <w:tab w:val="left" w:pos="8640"/>
        </w:tabs>
        <w:ind w:left="720" w:right="720"/>
        <w:jc w:val="both"/>
        <w:rPr>
          <w:rFonts w:asciiTheme="majorHAnsi" w:hAnsiTheme="majorHAnsi"/>
          <w:sz w:val="20"/>
          <w:szCs w:val="20"/>
          <w:lang w:eastAsia="es-ES"/>
        </w:rPr>
      </w:pPr>
      <w:r w:rsidRPr="003F29ED">
        <w:rPr>
          <w:rFonts w:asciiTheme="majorHAnsi" w:hAnsiTheme="majorHAnsi"/>
          <w:bCs/>
          <w:sz w:val="20"/>
          <w:szCs w:val="20"/>
          <w:lang w:eastAsia="es-ES"/>
        </w:rPr>
        <w:t xml:space="preserve">The SNFV is called on to provide permanent social interest housing relief within the applicable legal framework. This system is made up of the </w:t>
      </w:r>
      <w:r w:rsidRPr="003F29ED">
        <w:rPr>
          <w:rFonts w:asciiTheme="majorHAnsi" w:hAnsiTheme="majorHAnsi"/>
          <w:iCs/>
          <w:sz w:val="20"/>
          <w:szCs w:val="20"/>
          <w:lang w:eastAsia="es-ES"/>
        </w:rPr>
        <w:t xml:space="preserve">Banco Hipotecario de la Vivienda (BANHVI), as the governing body, and the authorized entities (public and private financial entities). </w:t>
      </w:r>
    </w:p>
    <w:p w:rsidR="00163E72" w:rsidRPr="003F29ED" w:rsidRDefault="00163E72" w:rsidP="007C27AB">
      <w:pPr>
        <w:tabs>
          <w:tab w:val="left" w:pos="1080"/>
          <w:tab w:val="left" w:pos="8640"/>
        </w:tabs>
        <w:ind w:left="720" w:right="720"/>
        <w:jc w:val="both"/>
        <w:rPr>
          <w:rFonts w:asciiTheme="majorHAnsi" w:hAnsiTheme="majorHAnsi"/>
          <w:sz w:val="20"/>
          <w:szCs w:val="20"/>
          <w:lang w:eastAsia="es-ES"/>
        </w:rPr>
      </w:pPr>
    </w:p>
    <w:p w:rsidR="00163E72" w:rsidRPr="003F29ED" w:rsidRDefault="00163E72" w:rsidP="007C27AB">
      <w:pPr>
        <w:tabs>
          <w:tab w:val="left" w:pos="1080"/>
          <w:tab w:val="left" w:pos="8640"/>
        </w:tabs>
        <w:ind w:left="720" w:right="720"/>
        <w:jc w:val="both"/>
        <w:rPr>
          <w:rFonts w:asciiTheme="majorHAnsi" w:hAnsiTheme="majorHAnsi"/>
          <w:iCs/>
          <w:sz w:val="20"/>
          <w:szCs w:val="20"/>
          <w:lang w:eastAsia="es-ES"/>
        </w:rPr>
      </w:pPr>
      <w:r w:rsidRPr="003F29ED">
        <w:rPr>
          <w:rFonts w:asciiTheme="majorHAnsi" w:hAnsiTheme="majorHAnsi"/>
          <w:iCs/>
          <w:sz w:val="20"/>
          <w:szCs w:val="20"/>
          <w:lang w:eastAsia="es-ES"/>
        </w:rPr>
        <w:t xml:space="preserve">Pursuant to Article </w:t>
      </w:r>
      <w:r w:rsidRPr="003F29ED">
        <w:rPr>
          <w:rFonts w:asciiTheme="majorHAnsi" w:hAnsiTheme="majorHAnsi"/>
          <w:sz w:val="20"/>
          <w:szCs w:val="20"/>
          <w:lang w:eastAsia="es-ES"/>
        </w:rPr>
        <w:t>1 of Law No. 7052</w:t>
      </w:r>
      <w:r w:rsidRPr="003F29ED">
        <w:rPr>
          <w:rFonts w:asciiTheme="majorHAnsi" w:hAnsiTheme="majorHAnsi"/>
          <w:iCs/>
          <w:sz w:val="20"/>
          <w:szCs w:val="20"/>
          <w:lang w:eastAsia="es-ES"/>
        </w:rPr>
        <w:t>, the BANHVI is</w:t>
      </w:r>
      <w:r w:rsidRPr="003F29ED">
        <w:rPr>
          <w:rFonts w:asciiTheme="majorHAnsi" w:hAnsiTheme="majorHAnsi"/>
          <w:sz w:val="20"/>
          <w:szCs w:val="20"/>
          <w:lang w:eastAsia="es-ES"/>
        </w:rPr>
        <w:t xml:space="preserve"> “…</w:t>
      </w:r>
      <w:r w:rsidRPr="003F29ED">
        <w:rPr>
          <w:rFonts w:asciiTheme="majorHAnsi" w:hAnsiTheme="majorHAnsi"/>
          <w:i/>
          <w:sz w:val="20"/>
          <w:szCs w:val="20"/>
          <w:lang w:eastAsia="es-ES"/>
        </w:rPr>
        <w:t>a public interest entity</w:t>
      </w:r>
      <w:r w:rsidRPr="003F29ED">
        <w:rPr>
          <w:rFonts w:asciiTheme="majorHAnsi" w:hAnsiTheme="majorHAnsi"/>
          <w:iCs/>
          <w:sz w:val="20"/>
          <w:szCs w:val="20"/>
          <w:lang w:eastAsia="es-ES"/>
        </w:rPr>
        <w:t xml:space="preserve">…”, which is created to promote savings and investment in order to provide relief for the housing issue existing in the country at the end of the 1980s. </w:t>
      </w:r>
    </w:p>
    <w:p w:rsidR="00163E72" w:rsidRPr="003F29ED" w:rsidRDefault="00163E72" w:rsidP="007C27AB">
      <w:pPr>
        <w:tabs>
          <w:tab w:val="left" w:pos="1080"/>
          <w:tab w:val="left" w:pos="8640"/>
        </w:tabs>
        <w:ind w:left="720" w:right="720"/>
        <w:jc w:val="both"/>
        <w:rPr>
          <w:rFonts w:asciiTheme="majorHAnsi" w:hAnsiTheme="majorHAnsi"/>
          <w:sz w:val="20"/>
          <w:szCs w:val="20"/>
          <w:lang w:eastAsia="es-ES"/>
        </w:rPr>
      </w:pPr>
    </w:p>
    <w:p w:rsidR="00163E72" w:rsidRPr="003F29ED" w:rsidRDefault="00163E72" w:rsidP="007C27AB">
      <w:pPr>
        <w:tabs>
          <w:tab w:val="left" w:pos="1080"/>
          <w:tab w:val="left" w:pos="8640"/>
        </w:tabs>
        <w:ind w:left="720" w:right="720"/>
        <w:jc w:val="both"/>
        <w:rPr>
          <w:rFonts w:asciiTheme="majorHAnsi" w:hAnsiTheme="majorHAnsi"/>
          <w:iCs/>
          <w:sz w:val="20"/>
          <w:szCs w:val="20"/>
          <w:lang w:eastAsia="es-ES"/>
        </w:rPr>
      </w:pPr>
      <w:r w:rsidRPr="003F29ED">
        <w:rPr>
          <w:rFonts w:asciiTheme="majorHAnsi" w:hAnsiTheme="majorHAnsi"/>
          <w:iCs/>
          <w:sz w:val="20"/>
          <w:szCs w:val="20"/>
          <w:lang w:eastAsia="es-ES"/>
        </w:rPr>
        <w:t xml:space="preserve">By the same token, the BANHVI is in charge of evaluating beneficiaries based on general parameters and rules, [which were] previously established by said Bank. </w:t>
      </w:r>
    </w:p>
    <w:p w:rsidR="00163E72" w:rsidRPr="003F29ED" w:rsidRDefault="00163E72" w:rsidP="007C27AB">
      <w:pPr>
        <w:tabs>
          <w:tab w:val="left" w:pos="1080"/>
          <w:tab w:val="left" w:pos="8640"/>
        </w:tabs>
        <w:ind w:left="720" w:right="720"/>
        <w:jc w:val="both"/>
        <w:rPr>
          <w:rFonts w:asciiTheme="majorHAnsi" w:hAnsiTheme="majorHAnsi"/>
          <w:iCs/>
          <w:sz w:val="20"/>
          <w:szCs w:val="20"/>
          <w:lang w:eastAsia="es-ES"/>
        </w:rPr>
      </w:pPr>
    </w:p>
    <w:p w:rsidR="00163E72" w:rsidRPr="003F29ED" w:rsidRDefault="00163E72" w:rsidP="007C27AB">
      <w:pPr>
        <w:tabs>
          <w:tab w:val="left" w:pos="1080"/>
          <w:tab w:val="left" w:pos="8640"/>
        </w:tabs>
        <w:ind w:left="720" w:right="720"/>
        <w:jc w:val="both"/>
        <w:rPr>
          <w:rFonts w:asciiTheme="majorHAnsi" w:hAnsiTheme="majorHAnsi"/>
          <w:sz w:val="20"/>
          <w:szCs w:val="20"/>
          <w:lang w:eastAsia="es-ES"/>
        </w:rPr>
      </w:pPr>
      <w:r w:rsidRPr="003F29ED">
        <w:rPr>
          <w:rFonts w:asciiTheme="majorHAnsi" w:hAnsiTheme="majorHAnsi"/>
          <w:iCs/>
          <w:sz w:val="20"/>
          <w:szCs w:val="20"/>
          <w:lang w:eastAsia="es-ES"/>
        </w:rPr>
        <w:t xml:space="preserve">Additionally, the authorized (public and private) entities were assigned the [task of] processing voucher applications and channeling financial resources in the Housing Subsidy Fund </w:t>
      </w:r>
      <w:r w:rsidRPr="003F29ED">
        <w:rPr>
          <w:rFonts w:asciiTheme="majorHAnsi" w:hAnsiTheme="majorHAnsi"/>
          <w:sz w:val="20"/>
          <w:szCs w:val="20"/>
          <w:lang w:eastAsia="es-ES"/>
        </w:rPr>
        <w:t xml:space="preserve">(FOSUVI), in order to subsidize housing for the most needy families. </w:t>
      </w:r>
    </w:p>
    <w:p w:rsidR="00163E72" w:rsidRPr="003F29ED" w:rsidRDefault="00163E72" w:rsidP="007C27AB">
      <w:pPr>
        <w:tabs>
          <w:tab w:val="left" w:pos="1080"/>
          <w:tab w:val="left" w:pos="8640"/>
        </w:tabs>
        <w:ind w:left="720" w:right="720"/>
        <w:jc w:val="both"/>
        <w:rPr>
          <w:rFonts w:asciiTheme="majorHAnsi" w:hAnsiTheme="majorHAnsi"/>
          <w:sz w:val="20"/>
          <w:szCs w:val="20"/>
        </w:rPr>
      </w:pPr>
    </w:p>
    <w:p w:rsidR="00163E72" w:rsidRPr="003F29ED" w:rsidRDefault="00163E72" w:rsidP="007C27AB">
      <w:pPr>
        <w:tabs>
          <w:tab w:val="left" w:pos="1080"/>
          <w:tab w:val="left" w:pos="8640"/>
        </w:tabs>
        <w:ind w:left="720" w:right="720"/>
        <w:jc w:val="both"/>
        <w:rPr>
          <w:rFonts w:asciiTheme="majorHAnsi" w:hAnsiTheme="majorHAnsi"/>
          <w:iCs/>
          <w:sz w:val="20"/>
          <w:szCs w:val="20"/>
          <w:lang w:eastAsia="es-ES"/>
        </w:rPr>
      </w:pPr>
      <w:r w:rsidRPr="003F29ED">
        <w:rPr>
          <w:rFonts w:asciiTheme="majorHAnsi" w:hAnsiTheme="majorHAnsi"/>
          <w:sz w:val="20"/>
          <w:szCs w:val="20"/>
        </w:rPr>
        <w:t xml:space="preserve">The aspects described above are of special significance to this case, because one of the authorized cooperatives of the system (specifically </w:t>
      </w:r>
      <w:r w:rsidRPr="003F29ED">
        <w:rPr>
          <w:rFonts w:asciiTheme="majorHAnsi" w:hAnsiTheme="majorHAnsi"/>
          <w:iCs/>
          <w:sz w:val="20"/>
          <w:szCs w:val="20"/>
        </w:rPr>
        <w:t xml:space="preserve">UNIVICOOP), which is named in the petition of Mrs. </w:t>
      </w:r>
      <w:r w:rsidRPr="003F29ED">
        <w:rPr>
          <w:rFonts w:asciiTheme="majorHAnsi" w:hAnsiTheme="majorHAnsi"/>
          <w:iCs/>
          <w:sz w:val="20"/>
          <w:szCs w:val="20"/>
          <w:lang w:eastAsia="es-ES"/>
        </w:rPr>
        <w:t xml:space="preserve">Emilia Morales Campos, was liquidated in bankruptcy proceeding in the 1990s. </w:t>
      </w:r>
    </w:p>
    <w:p w:rsidR="00163E72" w:rsidRPr="003F29ED" w:rsidRDefault="00163E72" w:rsidP="007C27AB">
      <w:pPr>
        <w:tabs>
          <w:tab w:val="left" w:pos="1080"/>
          <w:tab w:val="left" w:pos="8640"/>
        </w:tabs>
        <w:ind w:left="720" w:right="720"/>
        <w:jc w:val="both"/>
        <w:rPr>
          <w:rFonts w:asciiTheme="majorHAnsi" w:hAnsiTheme="majorHAnsi"/>
          <w:sz w:val="20"/>
          <w:szCs w:val="20"/>
        </w:rPr>
      </w:pPr>
    </w:p>
    <w:p w:rsidR="00163E72" w:rsidRPr="003F29ED" w:rsidRDefault="00163E72" w:rsidP="007C27AB">
      <w:pPr>
        <w:tabs>
          <w:tab w:val="left" w:pos="1080"/>
          <w:tab w:val="left" w:pos="8640"/>
        </w:tabs>
        <w:ind w:left="720" w:right="720"/>
        <w:jc w:val="both"/>
        <w:rPr>
          <w:rFonts w:asciiTheme="majorHAnsi" w:hAnsiTheme="majorHAnsi"/>
          <w:sz w:val="20"/>
          <w:szCs w:val="20"/>
        </w:rPr>
      </w:pPr>
      <w:r w:rsidRPr="003F29ED">
        <w:rPr>
          <w:rFonts w:asciiTheme="majorHAnsi" w:hAnsiTheme="majorHAnsi"/>
          <w:sz w:val="20"/>
          <w:szCs w:val="20"/>
          <w:lang w:eastAsia="es-ES"/>
        </w:rPr>
        <w:t xml:space="preserve">The Costa Rican State deems it essential to note that the bankruptcy of the </w:t>
      </w:r>
      <w:r w:rsidRPr="003F29ED">
        <w:rPr>
          <w:rFonts w:asciiTheme="majorHAnsi" w:hAnsiTheme="majorHAnsi"/>
          <w:iCs/>
          <w:sz w:val="20"/>
          <w:szCs w:val="20"/>
          <w:lang w:eastAsia="es-ES"/>
        </w:rPr>
        <w:t>UNIVICOOP cooperative, as well as of other authorized entities during that period, lead to several adjustments and subsequent changes, which strengthened the National Housing Finance System (SNFV).</w:t>
      </w:r>
      <w:r w:rsidRPr="003F29ED">
        <w:rPr>
          <w:rFonts w:asciiTheme="majorHAnsi" w:hAnsiTheme="majorHAnsi"/>
          <w:sz w:val="20"/>
          <w:szCs w:val="20"/>
        </w:rPr>
        <w:t xml:space="preserve"> </w:t>
      </w:r>
    </w:p>
    <w:p w:rsidR="00163E72" w:rsidRPr="003F29ED" w:rsidRDefault="00163E72" w:rsidP="007C27AB">
      <w:pPr>
        <w:tabs>
          <w:tab w:val="left" w:pos="1080"/>
          <w:tab w:val="left" w:pos="8640"/>
        </w:tabs>
        <w:ind w:left="720" w:right="720"/>
        <w:jc w:val="both"/>
        <w:rPr>
          <w:rFonts w:asciiTheme="majorHAnsi" w:hAnsiTheme="majorHAnsi"/>
          <w:sz w:val="20"/>
          <w:szCs w:val="20"/>
        </w:rPr>
      </w:pPr>
    </w:p>
    <w:p w:rsidR="00163E72" w:rsidRPr="003F29ED" w:rsidRDefault="00163E72" w:rsidP="007C27AB">
      <w:pPr>
        <w:tabs>
          <w:tab w:val="left" w:pos="1080"/>
          <w:tab w:val="left" w:pos="8640"/>
        </w:tabs>
        <w:ind w:left="720" w:right="720"/>
        <w:jc w:val="both"/>
        <w:rPr>
          <w:rFonts w:asciiTheme="majorHAnsi" w:eastAsia="Times New Roman" w:hAnsiTheme="majorHAnsi"/>
          <w:sz w:val="20"/>
          <w:szCs w:val="20"/>
          <w:lang w:eastAsia="es-ES"/>
        </w:rPr>
      </w:pPr>
      <w:r w:rsidRPr="003F29ED">
        <w:rPr>
          <w:rFonts w:asciiTheme="majorHAnsi" w:hAnsiTheme="majorHAnsi"/>
          <w:sz w:val="20"/>
          <w:szCs w:val="20"/>
        </w:rPr>
        <w:t xml:space="preserve">It is important to note, in light of the foregoing, that the SNFV has been clearly evolving and has strived to provide persons seeking housing relief with the most clear tools and guidance mechanisms. Additionally, the Costa Rican State has operationalized the provisions of Article </w:t>
      </w:r>
      <w:r w:rsidRPr="003F29ED">
        <w:rPr>
          <w:rFonts w:asciiTheme="majorHAnsi" w:hAnsiTheme="majorHAnsi"/>
          <w:sz w:val="20"/>
          <w:szCs w:val="20"/>
        </w:rPr>
        <w:lastRenderedPageBreak/>
        <w:t>65 of the Political Constitution</w:t>
      </w:r>
      <w:r w:rsidRPr="003F29ED">
        <w:rPr>
          <w:rFonts w:asciiTheme="majorHAnsi" w:hAnsiTheme="majorHAnsi"/>
          <w:iCs/>
          <w:sz w:val="20"/>
          <w:szCs w:val="20"/>
          <w:vertAlign w:val="superscript"/>
          <w:lang w:eastAsia="es-ES"/>
        </w:rPr>
        <w:footnoteReference w:id="14"/>
      </w:r>
      <w:r w:rsidRPr="003F29ED">
        <w:rPr>
          <w:rFonts w:asciiTheme="majorHAnsi" w:hAnsiTheme="majorHAnsi"/>
          <w:iCs/>
          <w:sz w:val="20"/>
          <w:szCs w:val="20"/>
          <w:lang w:eastAsia="es-ES"/>
        </w:rPr>
        <w:t xml:space="preserve"> of the Republic of Costa Rica and, in accordance with its economic capacity over the course of the life of the National Housing Finance System (SNFV), it has been able to remedy a total of 342,201</w:t>
      </w:r>
      <w:r w:rsidRPr="003F29ED">
        <w:rPr>
          <w:rStyle w:val="FootnoteReference"/>
          <w:rFonts w:asciiTheme="majorHAnsi" w:hAnsiTheme="majorHAnsi"/>
          <w:sz w:val="20"/>
          <w:szCs w:val="20"/>
        </w:rPr>
        <w:footnoteReference w:id="15"/>
      </w:r>
      <w:r w:rsidRPr="003F29ED">
        <w:rPr>
          <w:rFonts w:asciiTheme="majorHAnsi" w:hAnsiTheme="majorHAnsi"/>
          <w:sz w:val="20"/>
          <w:szCs w:val="20"/>
        </w:rPr>
        <w:t xml:space="preserve"> </w:t>
      </w:r>
      <w:r w:rsidRPr="003F29ED">
        <w:rPr>
          <w:rFonts w:asciiTheme="majorHAnsi" w:hAnsiTheme="majorHAnsi"/>
          <w:iCs/>
          <w:sz w:val="20"/>
          <w:szCs w:val="20"/>
          <w:lang w:eastAsia="es-ES"/>
        </w:rPr>
        <w:t>housing situations in Costa Rica through public funding.</w:t>
      </w:r>
      <w:r w:rsidRPr="003F29ED">
        <w:rPr>
          <w:rFonts w:asciiTheme="majorHAnsi" w:eastAsia="Times New Roman" w:hAnsiTheme="majorHAnsi"/>
          <w:sz w:val="20"/>
          <w:szCs w:val="20"/>
          <w:lang w:eastAsia="es-ES"/>
        </w:rPr>
        <w:t xml:space="preserve"> </w:t>
      </w:r>
    </w:p>
    <w:p w:rsidR="00163E72" w:rsidRPr="003F29ED" w:rsidRDefault="00163E72" w:rsidP="007C27AB">
      <w:pPr>
        <w:tabs>
          <w:tab w:val="left" w:pos="1080"/>
          <w:tab w:val="left" w:pos="8640"/>
        </w:tabs>
        <w:ind w:left="720" w:right="720"/>
        <w:jc w:val="both"/>
        <w:rPr>
          <w:rFonts w:asciiTheme="majorHAnsi" w:eastAsia="Times New Roman" w:hAnsiTheme="majorHAnsi"/>
          <w:sz w:val="20"/>
          <w:szCs w:val="20"/>
          <w:lang w:eastAsia="es-ES"/>
        </w:rPr>
      </w:pPr>
    </w:p>
    <w:p w:rsidR="00163E72" w:rsidRPr="003F29ED" w:rsidRDefault="00163E72" w:rsidP="007C27AB">
      <w:pPr>
        <w:tabs>
          <w:tab w:val="left" w:pos="1080"/>
          <w:tab w:val="left" w:pos="8640"/>
        </w:tabs>
        <w:ind w:left="720" w:right="720"/>
        <w:jc w:val="both"/>
        <w:rPr>
          <w:rFonts w:asciiTheme="majorHAnsi" w:hAnsiTheme="majorHAnsi"/>
          <w:sz w:val="20"/>
          <w:szCs w:val="20"/>
          <w:shd w:val="clear" w:color="auto" w:fill="FFFFFF"/>
        </w:rPr>
      </w:pPr>
      <w:r w:rsidRPr="003F29ED">
        <w:rPr>
          <w:rFonts w:asciiTheme="majorHAnsi" w:hAnsiTheme="majorHAnsi"/>
          <w:sz w:val="20"/>
          <w:szCs w:val="20"/>
        </w:rPr>
        <w:t xml:space="preserve">The State has been acting in the highest good faith and has been taking all measures available to it in all institutions to abide by the provisions of Article 2 of the American Convention. Nonetheless, in response to particular and exceptional Case </w:t>
      </w:r>
      <w:r w:rsidRPr="003F29ED">
        <w:rPr>
          <w:rFonts w:asciiTheme="majorHAnsi" w:eastAsia="Times New Roman" w:hAnsiTheme="majorHAnsi"/>
          <w:sz w:val="20"/>
          <w:szCs w:val="20"/>
          <w:lang w:eastAsia="es-ES"/>
        </w:rPr>
        <w:t xml:space="preserve">12.942, according to current context, the State cannot deny that, even though Mrs. Emilia Morales Campos had access to the State mechanisms to obtain dignified housing, the situation of the petitioner (Emilia Morales Campos) arose in a context where no clear (standardized) procedures, or at least guidance mechanisms, were in place for persons seeking housing relief. </w:t>
      </w:r>
    </w:p>
    <w:p w:rsidR="00163E72" w:rsidRPr="003F29ED" w:rsidRDefault="00163E72" w:rsidP="007C27AB">
      <w:pPr>
        <w:tabs>
          <w:tab w:val="left" w:pos="1080"/>
          <w:tab w:val="left" w:pos="8640"/>
        </w:tabs>
        <w:ind w:left="720" w:right="720"/>
        <w:jc w:val="both"/>
        <w:rPr>
          <w:rFonts w:asciiTheme="majorHAnsi" w:eastAsia="Times New Roman" w:hAnsiTheme="majorHAnsi"/>
          <w:sz w:val="20"/>
          <w:szCs w:val="20"/>
          <w:lang w:eastAsia="es-ES"/>
        </w:rPr>
      </w:pPr>
    </w:p>
    <w:p w:rsidR="00163E72" w:rsidRPr="003F29ED" w:rsidRDefault="00163E72" w:rsidP="007C27AB">
      <w:pPr>
        <w:tabs>
          <w:tab w:val="left" w:pos="1080"/>
          <w:tab w:val="left" w:pos="8640"/>
        </w:tabs>
        <w:ind w:left="720" w:right="720"/>
        <w:jc w:val="both"/>
        <w:rPr>
          <w:rFonts w:asciiTheme="majorHAnsi" w:hAnsiTheme="majorHAnsi"/>
          <w:sz w:val="20"/>
          <w:szCs w:val="20"/>
        </w:rPr>
      </w:pPr>
      <w:r w:rsidRPr="003F29ED">
        <w:rPr>
          <w:rFonts w:asciiTheme="majorHAnsi" w:hAnsiTheme="majorHAnsi"/>
          <w:sz w:val="20"/>
          <w:szCs w:val="20"/>
        </w:rPr>
        <w:t xml:space="preserve">In the agreement with the petitioner (Emilia Morales Campos), through the Ministry of Foreign Affairs and Worship, the Costa Rican State undertakes as it enters into this Friendly Settlement Agreement, to issue a press release acknowledging the petitioner’s (Emilia Morales Campos, of 63 years of age) close collaboration in this process, her activism from a human rights-based perspective, consistently upholding the principle of legality and the democratic system of Costa Rica in order to solidify the friendly settlement of Case 12.942. Likewise, the State acknowledges the tireless struggle of the petitioner </w:t>
      </w:r>
      <w:r w:rsidRPr="003F29ED">
        <w:rPr>
          <w:rFonts w:asciiTheme="majorHAnsi" w:eastAsia="Times New Roman" w:hAnsiTheme="majorHAnsi"/>
          <w:sz w:val="20"/>
          <w:szCs w:val="20"/>
          <w:lang w:eastAsia="es-CR"/>
        </w:rPr>
        <w:t>(Emilia Morales Campos</w:t>
      </w:r>
      <w:r w:rsidRPr="003F29ED">
        <w:rPr>
          <w:rFonts w:asciiTheme="majorHAnsi" w:hAnsiTheme="majorHAnsi"/>
          <w:sz w:val="20"/>
          <w:szCs w:val="20"/>
        </w:rPr>
        <w:t xml:space="preserve"> of 63 years of age</w:t>
      </w:r>
      <w:r w:rsidRPr="003F29ED">
        <w:rPr>
          <w:rFonts w:asciiTheme="majorHAnsi" w:eastAsia="Times New Roman" w:hAnsiTheme="majorHAnsi"/>
          <w:sz w:val="20"/>
          <w:szCs w:val="20"/>
          <w:lang w:eastAsia="es-CR"/>
        </w:rPr>
        <w:t xml:space="preserve">) over this period of time </w:t>
      </w:r>
      <w:r w:rsidRPr="003F29ED">
        <w:rPr>
          <w:rFonts w:asciiTheme="majorHAnsi" w:hAnsiTheme="majorHAnsi"/>
          <w:sz w:val="20"/>
          <w:szCs w:val="20"/>
        </w:rPr>
        <w:t>(12 years in the IACHR)</w:t>
      </w:r>
      <w:r w:rsidRPr="003F29ED">
        <w:rPr>
          <w:rFonts w:asciiTheme="majorHAnsi" w:eastAsia="Times New Roman" w:hAnsiTheme="majorHAnsi"/>
          <w:sz w:val="20"/>
          <w:szCs w:val="20"/>
          <w:lang w:eastAsia="es-CR"/>
        </w:rPr>
        <w:t xml:space="preserve">, at first, for the benefit of her daughter </w:t>
      </w:r>
      <w:r w:rsidRPr="003F29ED">
        <w:rPr>
          <w:rFonts w:asciiTheme="majorHAnsi" w:hAnsiTheme="majorHAnsi"/>
          <w:sz w:val="20"/>
          <w:szCs w:val="20"/>
        </w:rPr>
        <w:t>(</w:t>
      </w:r>
      <w:r w:rsidRPr="003F29ED">
        <w:rPr>
          <w:rFonts w:asciiTheme="majorHAnsi" w:hAnsiTheme="majorHAnsi"/>
          <w:sz w:val="20"/>
          <w:szCs w:val="20"/>
          <w:lang w:eastAsia="es-CO"/>
        </w:rPr>
        <w:t xml:space="preserve">Jennifer Emilia Morales Campos), who was a minor child at the beginning of this process, and currently for the benefit of her minor granddaughter </w:t>
      </w:r>
      <w:r w:rsidRPr="003F29ED">
        <w:rPr>
          <w:rFonts w:asciiTheme="majorHAnsi" w:hAnsiTheme="majorHAnsi"/>
          <w:sz w:val="20"/>
          <w:szCs w:val="20"/>
        </w:rPr>
        <w:t>(</w:t>
      </w:r>
      <w:r w:rsidRPr="003F29ED">
        <w:rPr>
          <w:rFonts w:asciiTheme="majorHAnsi" w:eastAsia="Times New Roman" w:hAnsiTheme="majorHAnsi"/>
          <w:sz w:val="20"/>
          <w:szCs w:val="20"/>
          <w:lang w:eastAsia="es-CR"/>
        </w:rPr>
        <w:t>IMM)</w:t>
      </w:r>
      <w:r w:rsidRPr="003F29ED">
        <w:rPr>
          <w:rFonts w:asciiTheme="majorHAnsi" w:hAnsiTheme="majorHAnsi"/>
          <w:sz w:val="20"/>
          <w:szCs w:val="20"/>
        </w:rPr>
        <w:t xml:space="preserve">. The press release that the Foreign Ministry will issue with regard to case 12.942 will be posted on the website of the Ministry of Foreign Affairs and Worship and will be circulated to the press, as well as posted on social media. </w:t>
      </w:r>
    </w:p>
    <w:p w:rsidR="00163E72" w:rsidRPr="003F29ED" w:rsidRDefault="00163E72" w:rsidP="007C27AB">
      <w:pPr>
        <w:tabs>
          <w:tab w:val="left" w:pos="1080"/>
          <w:tab w:val="left" w:pos="8640"/>
        </w:tabs>
        <w:ind w:left="720" w:right="720"/>
        <w:jc w:val="both"/>
        <w:rPr>
          <w:rFonts w:asciiTheme="majorHAnsi" w:eastAsia="Times New Roman" w:hAnsiTheme="majorHAnsi"/>
          <w:sz w:val="20"/>
          <w:szCs w:val="20"/>
          <w:lang w:eastAsia="es-ES"/>
        </w:rPr>
      </w:pPr>
    </w:p>
    <w:p w:rsidR="00163E72" w:rsidRPr="003F29ED" w:rsidRDefault="00163E72" w:rsidP="007C27AB">
      <w:pPr>
        <w:keepNext/>
        <w:keepLines/>
        <w:tabs>
          <w:tab w:val="left" w:pos="1080"/>
          <w:tab w:val="left" w:pos="8640"/>
        </w:tabs>
        <w:ind w:left="720" w:right="720"/>
        <w:jc w:val="center"/>
        <w:outlineLvl w:val="0"/>
        <w:rPr>
          <w:rFonts w:asciiTheme="majorHAnsi" w:hAnsiTheme="majorHAnsi"/>
          <w:b/>
          <w:sz w:val="20"/>
          <w:szCs w:val="20"/>
        </w:rPr>
      </w:pPr>
      <w:r w:rsidRPr="003F29ED">
        <w:rPr>
          <w:rFonts w:asciiTheme="majorHAnsi" w:hAnsiTheme="majorHAnsi"/>
          <w:b/>
          <w:sz w:val="20"/>
          <w:szCs w:val="20"/>
        </w:rPr>
        <w:t>INDIVIDUAL REPARATION MEASURE</w:t>
      </w:r>
    </w:p>
    <w:p w:rsidR="00163E72" w:rsidRPr="003F29ED" w:rsidRDefault="00163E72" w:rsidP="007C27AB">
      <w:pPr>
        <w:keepNext/>
        <w:keepLines/>
        <w:tabs>
          <w:tab w:val="left" w:pos="1080"/>
          <w:tab w:val="left" w:pos="8640"/>
        </w:tabs>
        <w:ind w:left="720" w:right="720"/>
        <w:jc w:val="center"/>
        <w:outlineLvl w:val="0"/>
        <w:rPr>
          <w:rFonts w:asciiTheme="majorHAnsi" w:hAnsiTheme="majorHAnsi"/>
          <w:b/>
          <w:sz w:val="20"/>
          <w:szCs w:val="20"/>
        </w:rPr>
      </w:pPr>
    </w:p>
    <w:p w:rsidR="00163E72" w:rsidRPr="003F29ED" w:rsidRDefault="00163E72" w:rsidP="00364222">
      <w:pPr>
        <w:pStyle w:val="ListParagraph"/>
        <w:numPr>
          <w:ilvl w:val="0"/>
          <w:numId w:val="61"/>
        </w:numPr>
        <w:tabs>
          <w:tab w:val="left" w:pos="1080"/>
          <w:tab w:val="left" w:pos="8640"/>
        </w:tabs>
        <w:ind w:left="720" w:right="720" w:firstLine="0"/>
        <w:contextualSpacing/>
        <w:jc w:val="both"/>
        <w:rPr>
          <w:rFonts w:asciiTheme="majorHAnsi" w:hAnsiTheme="majorHAnsi"/>
          <w:sz w:val="20"/>
          <w:szCs w:val="20"/>
        </w:rPr>
      </w:pPr>
      <w:r w:rsidRPr="003F29ED">
        <w:rPr>
          <w:rFonts w:asciiTheme="majorHAnsi" w:eastAsia="Times New Roman" w:hAnsiTheme="majorHAnsi"/>
          <w:sz w:val="20"/>
          <w:szCs w:val="20"/>
          <w:lang w:eastAsia="es-CR"/>
        </w:rPr>
        <w:t xml:space="preserve">One reparation measure is the Costa Rican State’s acknowledgement, through the Ministry of Foreign Relations and Worship, of the close collaboration of petitioner </w:t>
      </w:r>
      <w:r w:rsidRPr="003F29ED">
        <w:rPr>
          <w:rFonts w:asciiTheme="majorHAnsi" w:eastAsia="Calibri" w:hAnsiTheme="majorHAnsi"/>
          <w:sz w:val="20"/>
          <w:szCs w:val="20"/>
          <w:lang w:eastAsia="en-US"/>
        </w:rPr>
        <w:t>Emilia Morales Campos of 63 years of age in this process, her activism from a human rights-based perspective</w:t>
      </w:r>
      <w:r w:rsidRPr="003F29ED">
        <w:rPr>
          <w:rFonts w:asciiTheme="majorHAnsi" w:eastAsia="Times New Roman" w:hAnsiTheme="majorHAnsi"/>
          <w:sz w:val="20"/>
          <w:szCs w:val="20"/>
          <w:lang w:eastAsia="es-CR"/>
        </w:rPr>
        <w:t xml:space="preserve">, consistently upholding the principle of legality and the democratic system of Costa Rica in order to solidify the friendly settlement of Case 12.942. </w:t>
      </w:r>
    </w:p>
    <w:p w:rsidR="00163E72" w:rsidRPr="003F29ED" w:rsidRDefault="00163E72" w:rsidP="007C27AB">
      <w:pPr>
        <w:pStyle w:val="ListParagraph"/>
        <w:tabs>
          <w:tab w:val="left" w:pos="1080"/>
          <w:tab w:val="left" w:pos="8640"/>
        </w:tabs>
        <w:ind w:right="720"/>
        <w:contextualSpacing/>
        <w:jc w:val="both"/>
        <w:rPr>
          <w:rFonts w:asciiTheme="majorHAnsi" w:hAnsiTheme="majorHAnsi"/>
          <w:sz w:val="20"/>
          <w:szCs w:val="20"/>
          <w:u w:val="single"/>
        </w:rPr>
      </w:pPr>
    </w:p>
    <w:p w:rsidR="00163E72" w:rsidRPr="003F29ED" w:rsidRDefault="00163E72" w:rsidP="00364222">
      <w:pPr>
        <w:pStyle w:val="ListParagraph"/>
        <w:numPr>
          <w:ilvl w:val="0"/>
          <w:numId w:val="61"/>
        </w:numPr>
        <w:tabs>
          <w:tab w:val="left" w:pos="1080"/>
          <w:tab w:val="left" w:pos="8640"/>
        </w:tabs>
        <w:ind w:left="720" w:right="720" w:firstLine="0"/>
        <w:contextualSpacing/>
        <w:jc w:val="both"/>
        <w:rPr>
          <w:rFonts w:asciiTheme="majorHAnsi" w:eastAsia="Times New Roman" w:hAnsiTheme="majorHAnsi"/>
          <w:bCs/>
          <w:sz w:val="20"/>
          <w:szCs w:val="20"/>
        </w:rPr>
      </w:pPr>
      <w:r w:rsidRPr="003F29ED">
        <w:rPr>
          <w:rFonts w:asciiTheme="majorHAnsi" w:eastAsia="Times New Roman" w:hAnsiTheme="majorHAnsi"/>
          <w:sz w:val="20"/>
          <w:szCs w:val="20"/>
          <w:lang w:eastAsia="es-CR"/>
        </w:rPr>
        <w:t xml:space="preserve">The second reparation measure is awarding a house to her under the Family Housing Voucher system of the SFNV, which will be built on Plot </w:t>
      </w:r>
      <w:r w:rsidRPr="003F29ED">
        <w:rPr>
          <w:rFonts w:asciiTheme="majorHAnsi" w:eastAsia="Times New Roman" w:hAnsiTheme="majorHAnsi"/>
          <w:sz w:val="20"/>
          <w:szCs w:val="20"/>
        </w:rPr>
        <w:t>No. 4 of the La Cedeña Street housing Project.  The petitioner chose and accepted this plot of land based on the particular profile thereof, which is described below</w:t>
      </w:r>
      <w:r w:rsidRPr="003F29ED">
        <w:rPr>
          <w:rFonts w:asciiTheme="majorHAnsi" w:hAnsiTheme="majorHAnsi"/>
          <w:sz w:val="20"/>
          <w:szCs w:val="20"/>
        </w:rPr>
        <w:t>:</w:t>
      </w:r>
    </w:p>
    <w:p w:rsidR="00163E72" w:rsidRPr="003F29ED" w:rsidRDefault="00163E72" w:rsidP="007C27AB">
      <w:pPr>
        <w:pStyle w:val="ListParagraph"/>
        <w:tabs>
          <w:tab w:val="left" w:pos="1080"/>
          <w:tab w:val="left" w:pos="8640"/>
        </w:tabs>
        <w:ind w:right="720"/>
        <w:contextualSpacing/>
        <w:jc w:val="both"/>
        <w:rPr>
          <w:rFonts w:asciiTheme="majorHAnsi" w:eastAsia="Times New Roman" w:hAnsiTheme="majorHAnsi"/>
          <w:bCs/>
          <w:sz w:val="20"/>
          <w:szCs w:val="20"/>
        </w:rPr>
      </w:pPr>
    </w:p>
    <w:p w:rsidR="00163E72" w:rsidRPr="003F29ED" w:rsidRDefault="00163E72" w:rsidP="00364222">
      <w:pPr>
        <w:numPr>
          <w:ilvl w:val="0"/>
          <w:numId w:val="53"/>
        </w:numPr>
        <w:shd w:val="clear" w:color="auto" w:fill="FFFFFF"/>
        <w:tabs>
          <w:tab w:val="left" w:pos="1080"/>
          <w:tab w:val="left" w:pos="8640"/>
        </w:tabs>
        <w:ind w:right="720" w:firstLine="0"/>
        <w:contextualSpacing/>
        <w:jc w:val="both"/>
        <w:rPr>
          <w:rFonts w:asciiTheme="majorHAnsi" w:eastAsia="Times New Roman" w:hAnsiTheme="majorHAnsi"/>
          <w:sz w:val="20"/>
          <w:szCs w:val="20"/>
          <w:lang w:eastAsia="es-ES_tradnl"/>
        </w:rPr>
      </w:pPr>
      <w:r w:rsidRPr="003F29ED">
        <w:rPr>
          <w:rFonts w:asciiTheme="majorHAnsi" w:eastAsia="Times New Roman" w:hAnsiTheme="majorHAnsi"/>
          <w:sz w:val="20"/>
          <w:szCs w:val="20"/>
          <w:lang w:eastAsia="es-CR"/>
        </w:rPr>
        <w:t xml:space="preserve">Excellent climate and housing growth. </w:t>
      </w:r>
    </w:p>
    <w:p w:rsidR="00163E72" w:rsidRPr="003F29ED" w:rsidRDefault="00163E72" w:rsidP="00364222">
      <w:pPr>
        <w:numPr>
          <w:ilvl w:val="0"/>
          <w:numId w:val="53"/>
        </w:numPr>
        <w:shd w:val="clear" w:color="auto" w:fill="FFFFFF"/>
        <w:tabs>
          <w:tab w:val="left" w:pos="1080"/>
          <w:tab w:val="left" w:pos="8640"/>
        </w:tabs>
        <w:ind w:right="720" w:firstLine="0"/>
        <w:contextualSpacing/>
        <w:jc w:val="both"/>
        <w:rPr>
          <w:rFonts w:asciiTheme="majorHAnsi" w:eastAsia="Times New Roman" w:hAnsiTheme="majorHAnsi"/>
          <w:sz w:val="20"/>
          <w:szCs w:val="20"/>
          <w:lang w:eastAsia="es-ES_tradnl"/>
        </w:rPr>
      </w:pPr>
      <w:r w:rsidRPr="003F29ED">
        <w:rPr>
          <w:rFonts w:asciiTheme="majorHAnsi" w:hAnsiTheme="majorHAnsi"/>
          <w:sz w:val="20"/>
          <w:szCs w:val="20"/>
        </w:rPr>
        <w:t>Proximity to public medical services (EBAIS of Grecia).</w:t>
      </w:r>
      <w:r w:rsidRPr="003F29ED">
        <w:rPr>
          <w:rFonts w:asciiTheme="majorHAnsi" w:eastAsia="Times New Roman" w:hAnsiTheme="majorHAnsi"/>
          <w:sz w:val="20"/>
          <w:szCs w:val="20"/>
          <w:lang w:eastAsia="es-CR"/>
        </w:rPr>
        <w:t xml:space="preserve"> </w:t>
      </w:r>
    </w:p>
    <w:p w:rsidR="00163E72" w:rsidRPr="003F29ED" w:rsidRDefault="00163E72" w:rsidP="00364222">
      <w:pPr>
        <w:numPr>
          <w:ilvl w:val="0"/>
          <w:numId w:val="53"/>
        </w:numPr>
        <w:shd w:val="clear" w:color="auto" w:fill="FFFFFF"/>
        <w:tabs>
          <w:tab w:val="left" w:pos="1080"/>
          <w:tab w:val="left" w:pos="8640"/>
        </w:tabs>
        <w:ind w:right="720" w:firstLine="0"/>
        <w:contextualSpacing/>
        <w:jc w:val="both"/>
        <w:rPr>
          <w:rFonts w:asciiTheme="majorHAnsi" w:eastAsia="Times New Roman" w:hAnsiTheme="majorHAnsi"/>
          <w:sz w:val="20"/>
          <w:szCs w:val="20"/>
          <w:lang w:eastAsia="es-ES_tradnl"/>
        </w:rPr>
      </w:pPr>
      <w:r w:rsidRPr="003F29ED">
        <w:rPr>
          <w:rFonts w:asciiTheme="majorHAnsi" w:eastAsia="Times New Roman" w:hAnsiTheme="majorHAnsi"/>
          <w:sz w:val="20"/>
          <w:szCs w:val="20"/>
          <w:lang w:eastAsia="es-ES_tradnl"/>
        </w:rPr>
        <w:t xml:space="preserve">Based on Mrs. Emilia Morales’ health conditions and age and in anticipation of the possibility of her using a wheel chair to move around, access to this property is viable. </w:t>
      </w:r>
    </w:p>
    <w:p w:rsidR="00163E72" w:rsidRPr="003F29ED" w:rsidRDefault="00163E72" w:rsidP="00364222">
      <w:pPr>
        <w:numPr>
          <w:ilvl w:val="0"/>
          <w:numId w:val="53"/>
        </w:numPr>
        <w:tabs>
          <w:tab w:val="left" w:pos="1080"/>
          <w:tab w:val="left" w:pos="8640"/>
        </w:tabs>
        <w:ind w:right="720" w:firstLine="0"/>
        <w:contextualSpacing/>
        <w:jc w:val="both"/>
        <w:rPr>
          <w:rFonts w:asciiTheme="majorHAnsi" w:eastAsia="Times New Roman" w:hAnsiTheme="majorHAnsi"/>
          <w:sz w:val="20"/>
          <w:szCs w:val="20"/>
          <w:lang w:eastAsia="es-CR"/>
        </w:rPr>
      </w:pPr>
      <w:r w:rsidRPr="003F29ED">
        <w:rPr>
          <w:rFonts w:asciiTheme="majorHAnsi" w:eastAsia="Times New Roman" w:hAnsiTheme="majorHAnsi"/>
          <w:sz w:val="20"/>
          <w:szCs w:val="20"/>
          <w:lang w:eastAsia="es-CR"/>
        </w:rPr>
        <w:t xml:space="preserve">Location in an area </w:t>
      </w:r>
      <w:r w:rsidR="001B1185">
        <w:rPr>
          <w:rFonts w:asciiTheme="majorHAnsi" w:eastAsia="Times New Roman" w:hAnsiTheme="majorHAnsi"/>
          <w:sz w:val="20"/>
          <w:szCs w:val="20"/>
          <w:lang w:eastAsia="es-CR"/>
        </w:rPr>
        <w:t>of good</w:t>
      </w:r>
      <w:r w:rsidRPr="003F29ED">
        <w:rPr>
          <w:rFonts w:asciiTheme="majorHAnsi" w:eastAsia="Times New Roman" w:hAnsiTheme="majorHAnsi"/>
          <w:sz w:val="20"/>
          <w:szCs w:val="20"/>
          <w:lang w:eastAsia="es-CR"/>
        </w:rPr>
        <w:t xml:space="preserve"> access for a person without a vehicle. </w:t>
      </w:r>
    </w:p>
    <w:p w:rsidR="00163E72" w:rsidRPr="003F29ED" w:rsidRDefault="00163E72" w:rsidP="00364222">
      <w:pPr>
        <w:numPr>
          <w:ilvl w:val="0"/>
          <w:numId w:val="53"/>
        </w:numPr>
        <w:shd w:val="clear" w:color="auto" w:fill="FFFFFF"/>
        <w:tabs>
          <w:tab w:val="left" w:pos="1080"/>
          <w:tab w:val="left" w:pos="8640"/>
        </w:tabs>
        <w:ind w:right="720" w:firstLine="0"/>
        <w:contextualSpacing/>
        <w:jc w:val="both"/>
        <w:rPr>
          <w:rFonts w:asciiTheme="majorHAnsi" w:hAnsiTheme="majorHAnsi"/>
          <w:sz w:val="20"/>
          <w:szCs w:val="20"/>
        </w:rPr>
      </w:pPr>
      <w:r w:rsidRPr="003F29ED">
        <w:rPr>
          <w:rFonts w:asciiTheme="majorHAnsi" w:eastAsia="Times New Roman" w:hAnsiTheme="majorHAnsi"/>
          <w:sz w:val="20"/>
          <w:szCs w:val="20"/>
          <w:lang w:eastAsia="es-CR"/>
        </w:rPr>
        <w:t xml:space="preserve">Proximity to bus stops. However, bus service at the present time does not run frequently, because of the extension of the public road known as “La Cedeña” to the public road known as “Los Rosales,” in Puente Piedra of Grecia. Nonetheless, as for the issue of public transportation, the petitioners have consented because this is a temporary situation, stemming from the extension of the public thoroughfare. </w:t>
      </w:r>
    </w:p>
    <w:p w:rsidR="00163E72" w:rsidRPr="003F29ED" w:rsidRDefault="00163E72" w:rsidP="007C27AB">
      <w:pPr>
        <w:shd w:val="clear" w:color="auto" w:fill="FFFFFF"/>
        <w:tabs>
          <w:tab w:val="left" w:pos="1080"/>
          <w:tab w:val="left" w:pos="8640"/>
        </w:tabs>
        <w:ind w:left="720" w:right="720"/>
        <w:contextualSpacing/>
        <w:jc w:val="both"/>
        <w:rPr>
          <w:rFonts w:asciiTheme="majorHAnsi" w:hAnsiTheme="majorHAnsi"/>
          <w:sz w:val="20"/>
          <w:szCs w:val="20"/>
        </w:rPr>
      </w:pPr>
    </w:p>
    <w:p w:rsidR="00163E72" w:rsidRPr="003F29ED" w:rsidRDefault="00163E72" w:rsidP="007C27AB">
      <w:pPr>
        <w:shd w:val="clear" w:color="auto" w:fill="FFFFFF"/>
        <w:tabs>
          <w:tab w:val="left" w:pos="1080"/>
          <w:tab w:val="left" w:pos="8640"/>
        </w:tabs>
        <w:ind w:left="720" w:right="720"/>
        <w:jc w:val="both"/>
        <w:rPr>
          <w:rFonts w:asciiTheme="majorHAnsi" w:eastAsia="Times New Roman" w:hAnsiTheme="majorHAnsi"/>
          <w:sz w:val="20"/>
          <w:szCs w:val="20"/>
          <w:lang w:eastAsia="es-ES_tradnl"/>
        </w:rPr>
      </w:pPr>
      <w:r w:rsidRPr="003F29ED">
        <w:rPr>
          <w:rFonts w:asciiTheme="majorHAnsi" w:hAnsiTheme="majorHAnsi"/>
          <w:sz w:val="20"/>
          <w:szCs w:val="20"/>
        </w:rPr>
        <w:lastRenderedPageBreak/>
        <w:t xml:space="preserve">Once Banco Hipotecario de la Vivienda approves the Family Housing Voucher for Mrs. Emilia Morales Campos, and after submitting the construction permits, Cartago Mutual Savings and Loans will formally approve the case so the petitioner is able to purchase the real property registered to the sector of Alajuela real property folio </w:t>
      </w:r>
      <w:r w:rsidRPr="003F29ED">
        <w:rPr>
          <w:rFonts w:asciiTheme="majorHAnsi" w:eastAsia="Times New Roman" w:hAnsiTheme="majorHAnsi"/>
          <w:sz w:val="20"/>
          <w:szCs w:val="20"/>
        </w:rPr>
        <w:t xml:space="preserve">525479-000, which will be sold to her by the Housing Development Foundation </w:t>
      </w:r>
      <w:r w:rsidRPr="003F29ED">
        <w:rPr>
          <w:rFonts w:asciiTheme="majorHAnsi" w:eastAsia="Times New Roman" w:hAnsiTheme="majorHAnsi"/>
          <w:sz w:val="20"/>
          <w:szCs w:val="20"/>
          <w:lang w:eastAsia="es-ES_tradnl"/>
        </w:rPr>
        <w:t xml:space="preserve">(Fundación Promotora de Vivienda). Additionally, once the construction permits are approved, construction of the house will move forward. Mrs. Emilia Morales will acquire the property in keeping with the provisions of Law No. 7052, and the construction will conform to the statutory provisions governing the rules of the Family Housing Voucher program and the rules that have been approved by the Housing Mortgage Bank. </w:t>
      </w:r>
    </w:p>
    <w:p w:rsidR="00163E72" w:rsidRPr="003F29ED" w:rsidRDefault="00163E72" w:rsidP="007C27AB">
      <w:pPr>
        <w:shd w:val="clear" w:color="auto" w:fill="FFFFFF"/>
        <w:tabs>
          <w:tab w:val="left" w:pos="1080"/>
          <w:tab w:val="left" w:pos="8640"/>
        </w:tabs>
        <w:ind w:left="720" w:right="720"/>
        <w:jc w:val="both"/>
        <w:rPr>
          <w:rFonts w:asciiTheme="majorHAnsi" w:eastAsia="Times New Roman" w:hAnsiTheme="majorHAnsi"/>
          <w:sz w:val="20"/>
          <w:szCs w:val="20"/>
          <w:lang w:eastAsia="es-ES_tradnl"/>
        </w:rPr>
      </w:pPr>
    </w:p>
    <w:p w:rsidR="00163E72" w:rsidRPr="003F29ED" w:rsidRDefault="00163E72" w:rsidP="007C27AB">
      <w:pPr>
        <w:shd w:val="clear" w:color="auto" w:fill="FFFFFF"/>
        <w:tabs>
          <w:tab w:val="left" w:pos="1080"/>
          <w:tab w:val="left" w:pos="8640"/>
        </w:tabs>
        <w:ind w:left="720" w:right="720"/>
        <w:jc w:val="both"/>
        <w:rPr>
          <w:rFonts w:asciiTheme="majorHAnsi" w:eastAsia="Times New Roman" w:hAnsiTheme="majorHAnsi"/>
          <w:sz w:val="20"/>
          <w:szCs w:val="20"/>
          <w:shd w:val="clear" w:color="auto" w:fill="FFFFFF"/>
        </w:rPr>
      </w:pPr>
      <w:r w:rsidRPr="003F29ED">
        <w:rPr>
          <w:rFonts w:asciiTheme="majorHAnsi" w:hAnsiTheme="majorHAnsi"/>
          <w:sz w:val="20"/>
          <w:szCs w:val="20"/>
        </w:rPr>
        <w:t xml:space="preserve">However, once the house is constructed on the property cited above, in compliance with the Law of Equal Opportunities for Persons with Disability (Law No. 7600), the housing problem of petitioner Emilia Morales Campos will be definitively resolved. </w:t>
      </w:r>
    </w:p>
    <w:p w:rsidR="00163E72" w:rsidRPr="003F29ED" w:rsidRDefault="00163E72" w:rsidP="007C27AB">
      <w:pPr>
        <w:shd w:val="clear" w:color="auto" w:fill="FFFFFF"/>
        <w:tabs>
          <w:tab w:val="left" w:pos="1080"/>
          <w:tab w:val="left" w:pos="8640"/>
        </w:tabs>
        <w:ind w:left="720" w:right="720"/>
        <w:jc w:val="both"/>
        <w:rPr>
          <w:rFonts w:asciiTheme="majorHAnsi" w:eastAsia="Times New Roman" w:hAnsiTheme="majorHAnsi"/>
          <w:sz w:val="20"/>
          <w:szCs w:val="20"/>
          <w:shd w:val="clear" w:color="auto" w:fill="FFFFFF"/>
        </w:rPr>
      </w:pPr>
    </w:p>
    <w:p w:rsidR="00163E72" w:rsidRPr="003F29ED" w:rsidRDefault="00163E72" w:rsidP="007C27AB">
      <w:pPr>
        <w:shd w:val="clear" w:color="auto" w:fill="FFFFFF"/>
        <w:tabs>
          <w:tab w:val="left" w:pos="1080"/>
          <w:tab w:val="left" w:pos="8640"/>
        </w:tabs>
        <w:ind w:left="720" w:right="720"/>
        <w:jc w:val="both"/>
        <w:rPr>
          <w:rFonts w:asciiTheme="majorHAnsi" w:hAnsiTheme="majorHAnsi"/>
          <w:sz w:val="20"/>
          <w:szCs w:val="20"/>
        </w:rPr>
      </w:pPr>
      <w:r w:rsidRPr="003F29ED">
        <w:rPr>
          <w:rFonts w:asciiTheme="majorHAnsi" w:eastAsia="Times New Roman" w:hAnsiTheme="majorHAnsi"/>
          <w:sz w:val="20"/>
          <w:szCs w:val="20"/>
          <w:shd w:val="clear" w:color="auto" w:fill="FFFFFF"/>
        </w:rPr>
        <w:t xml:space="preserve">The house may be constructed to the following specifications: </w:t>
      </w:r>
    </w:p>
    <w:p w:rsidR="00163E72" w:rsidRPr="003F29ED" w:rsidRDefault="00163E72" w:rsidP="007C27AB">
      <w:pPr>
        <w:shd w:val="clear" w:color="auto" w:fill="FFFFFF"/>
        <w:tabs>
          <w:tab w:val="left" w:pos="1080"/>
          <w:tab w:val="left" w:pos="8640"/>
        </w:tabs>
        <w:ind w:left="720" w:right="720"/>
        <w:jc w:val="both"/>
        <w:rPr>
          <w:rFonts w:asciiTheme="majorHAnsi" w:hAnsiTheme="majorHAnsi"/>
          <w:sz w:val="20"/>
          <w:szCs w:val="20"/>
        </w:rPr>
      </w:pPr>
    </w:p>
    <w:p w:rsidR="00163E72" w:rsidRPr="003F29ED" w:rsidRDefault="00163E72" w:rsidP="00364222">
      <w:pPr>
        <w:pStyle w:val="ListParagraph"/>
        <w:numPr>
          <w:ilvl w:val="0"/>
          <w:numId w:val="59"/>
        </w:numPr>
        <w:tabs>
          <w:tab w:val="left" w:pos="1080"/>
          <w:tab w:val="left" w:pos="8640"/>
        </w:tabs>
        <w:ind w:right="720" w:firstLine="0"/>
        <w:contextualSpacing/>
        <w:jc w:val="both"/>
        <w:rPr>
          <w:rFonts w:asciiTheme="majorHAnsi" w:hAnsiTheme="majorHAnsi"/>
          <w:sz w:val="20"/>
          <w:szCs w:val="20"/>
        </w:rPr>
      </w:pPr>
      <w:r w:rsidRPr="003F29ED">
        <w:rPr>
          <w:rFonts w:asciiTheme="majorHAnsi" w:hAnsiTheme="majorHAnsi"/>
          <w:sz w:val="20"/>
          <w:szCs w:val="20"/>
        </w:rPr>
        <w:t xml:space="preserve">As for the layout of the house, it has one master bedroom, 1 additional bedroom, 1 living room, 1 dining room, 1 kitchen, 1 laundry room and common area. </w:t>
      </w:r>
    </w:p>
    <w:p w:rsidR="00163E72" w:rsidRPr="003F29ED" w:rsidRDefault="00163E72" w:rsidP="00364222">
      <w:pPr>
        <w:pStyle w:val="ListParagraph"/>
        <w:numPr>
          <w:ilvl w:val="0"/>
          <w:numId w:val="59"/>
        </w:numPr>
        <w:tabs>
          <w:tab w:val="left" w:pos="1080"/>
          <w:tab w:val="left" w:pos="8640"/>
        </w:tabs>
        <w:ind w:right="720" w:firstLine="0"/>
        <w:contextualSpacing/>
        <w:jc w:val="both"/>
        <w:rPr>
          <w:rFonts w:asciiTheme="majorHAnsi" w:hAnsiTheme="majorHAnsi"/>
          <w:sz w:val="20"/>
          <w:szCs w:val="20"/>
        </w:rPr>
      </w:pPr>
      <w:r w:rsidRPr="003F29ED">
        <w:rPr>
          <w:rFonts w:asciiTheme="majorHAnsi" w:hAnsiTheme="majorHAnsi"/>
          <w:sz w:val="20"/>
          <w:szCs w:val="20"/>
        </w:rPr>
        <w:t xml:space="preserve">As for the design of the house, a simple one is planned (it is a minimum of 35 centimeters wide and four number 3 rods are placed in it [to form the design]). Additionally, it has 1 main façade and 1 rear façade. </w:t>
      </w:r>
    </w:p>
    <w:p w:rsidR="00163E72" w:rsidRPr="003F29ED" w:rsidRDefault="00163E72" w:rsidP="00364222">
      <w:pPr>
        <w:pStyle w:val="ListParagraph"/>
        <w:numPr>
          <w:ilvl w:val="0"/>
          <w:numId w:val="59"/>
        </w:numPr>
        <w:tabs>
          <w:tab w:val="left" w:pos="1080"/>
          <w:tab w:val="left" w:pos="8640"/>
        </w:tabs>
        <w:ind w:right="720" w:firstLine="0"/>
        <w:contextualSpacing/>
        <w:jc w:val="both"/>
        <w:rPr>
          <w:rFonts w:asciiTheme="majorHAnsi" w:hAnsiTheme="majorHAnsi"/>
          <w:sz w:val="20"/>
          <w:szCs w:val="20"/>
        </w:rPr>
      </w:pPr>
      <w:r w:rsidRPr="003F29ED">
        <w:rPr>
          <w:rFonts w:asciiTheme="majorHAnsi" w:eastAsia="Times New Roman" w:hAnsiTheme="majorHAnsi"/>
          <w:sz w:val="20"/>
          <w:szCs w:val="20"/>
        </w:rPr>
        <w:t>As for the construction system use for the house itself, integrated masonry is used (class a or b, with a thickness of 12 centimeters)</w:t>
      </w:r>
      <w:r w:rsidRPr="003F29ED">
        <w:rPr>
          <w:rFonts w:asciiTheme="majorHAnsi" w:hAnsiTheme="majorHAnsi"/>
          <w:sz w:val="20"/>
          <w:szCs w:val="20"/>
        </w:rPr>
        <w:t>.</w:t>
      </w:r>
    </w:p>
    <w:p w:rsidR="00163E72" w:rsidRPr="003F29ED" w:rsidRDefault="00163E72" w:rsidP="00364222">
      <w:pPr>
        <w:pStyle w:val="ListParagraph"/>
        <w:numPr>
          <w:ilvl w:val="0"/>
          <w:numId w:val="59"/>
        </w:numPr>
        <w:tabs>
          <w:tab w:val="left" w:pos="1080"/>
          <w:tab w:val="left" w:pos="8640"/>
        </w:tabs>
        <w:ind w:right="720" w:firstLine="0"/>
        <w:contextualSpacing/>
        <w:jc w:val="both"/>
        <w:rPr>
          <w:rFonts w:asciiTheme="majorHAnsi" w:hAnsiTheme="majorHAnsi"/>
          <w:sz w:val="20"/>
          <w:szCs w:val="20"/>
        </w:rPr>
      </w:pPr>
      <w:r w:rsidRPr="003F29ED">
        <w:rPr>
          <w:rFonts w:asciiTheme="majorHAnsi" w:eastAsia="Times New Roman" w:hAnsiTheme="majorHAnsi"/>
          <w:sz w:val="20"/>
          <w:szCs w:val="20"/>
        </w:rPr>
        <w:t xml:space="preserve">As for the size of the home, it is 47 square meters. </w:t>
      </w:r>
    </w:p>
    <w:p w:rsidR="00163E72" w:rsidRPr="003F29ED" w:rsidRDefault="00163E72" w:rsidP="00364222">
      <w:pPr>
        <w:pStyle w:val="ListParagraph"/>
        <w:numPr>
          <w:ilvl w:val="0"/>
          <w:numId w:val="59"/>
        </w:numPr>
        <w:tabs>
          <w:tab w:val="left" w:pos="1080"/>
          <w:tab w:val="left" w:pos="8640"/>
        </w:tabs>
        <w:ind w:right="720" w:firstLine="0"/>
        <w:contextualSpacing/>
        <w:jc w:val="both"/>
        <w:rPr>
          <w:rFonts w:asciiTheme="majorHAnsi" w:hAnsiTheme="majorHAnsi"/>
          <w:sz w:val="20"/>
          <w:szCs w:val="20"/>
        </w:rPr>
      </w:pPr>
      <w:r w:rsidRPr="003F29ED">
        <w:rPr>
          <w:rFonts w:asciiTheme="majorHAnsi" w:eastAsia="Times New Roman" w:hAnsiTheme="majorHAnsi"/>
          <w:sz w:val="20"/>
          <w:szCs w:val="20"/>
        </w:rPr>
        <w:t xml:space="preserve">As for the roof structure, it uses PVC slats, steel known as “perlin,” square tube trusses and corrugated galvanized steel sheets. </w:t>
      </w:r>
    </w:p>
    <w:p w:rsidR="00163E72" w:rsidRPr="003F29ED" w:rsidRDefault="00163E72" w:rsidP="00364222">
      <w:pPr>
        <w:pStyle w:val="ListParagraph"/>
        <w:numPr>
          <w:ilvl w:val="0"/>
          <w:numId w:val="59"/>
        </w:numPr>
        <w:tabs>
          <w:tab w:val="left" w:pos="1080"/>
          <w:tab w:val="left" w:pos="8640"/>
        </w:tabs>
        <w:ind w:right="720" w:firstLine="0"/>
        <w:contextualSpacing/>
        <w:jc w:val="both"/>
        <w:rPr>
          <w:rFonts w:asciiTheme="majorHAnsi" w:hAnsiTheme="majorHAnsi"/>
          <w:sz w:val="20"/>
          <w:szCs w:val="20"/>
        </w:rPr>
      </w:pPr>
      <w:r w:rsidRPr="003F29ED">
        <w:rPr>
          <w:rFonts w:asciiTheme="majorHAnsi" w:eastAsia="Times New Roman" w:hAnsiTheme="majorHAnsi"/>
          <w:sz w:val="20"/>
          <w:szCs w:val="20"/>
        </w:rPr>
        <w:t xml:space="preserve">As for structure of foundation, columns and beams, cinderblock type A are used (fire resistant) and rebar number 3. </w:t>
      </w:r>
    </w:p>
    <w:p w:rsidR="00163E72" w:rsidRPr="003F29ED" w:rsidRDefault="00163E72" w:rsidP="00364222">
      <w:pPr>
        <w:pStyle w:val="ListParagraph"/>
        <w:numPr>
          <w:ilvl w:val="0"/>
          <w:numId w:val="59"/>
        </w:numPr>
        <w:tabs>
          <w:tab w:val="left" w:pos="1080"/>
          <w:tab w:val="left" w:pos="8640"/>
        </w:tabs>
        <w:ind w:right="720" w:firstLine="0"/>
        <w:contextualSpacing/>
        <w:jc w:val="both"/>
        <w:rPr>
          <w:rFonts w:asciiTheme="majorHAnsi" w:hAnsiTheme="majorHAnsi"/>
          <w:sz w:val="20"/>
          <w:szCs w:val="20"/>
        </w:rPr>
      </w:pPr>
      <w:r w:rsidRPr="003F29ED">
        <w:rPr>
          <w:rFonts w:asciiTheme="majorHAnsi" w:eastAsia="Times New Roman" w:hAnsiTheme="majorHAnsi"/>
          <w:sz w:val="20"/>
          <w:szCs w:val="20"/>
        </w:rPr>
        <w:t xml:space="preserve">As for structure of walls, cinderblock type A is used </w:t>
      </w:r>
      <w:r w:rsidRPr="003F29ED">
        <w:rPr>
          <w:rFonts w:asciiTheme="majorHAnsi" w:hAnsiTheme="majorHAnsi"/>
          <w:sz w:val="20"/>
          <w:szCs w:val="20"/>
        </w:rPr>
        <w:t>(fire resistant) and rebar number 3 (inside the walls, all cells reinforced rebar). External walls are also plastered over with stucco.</w:t>
      </w:r>
    </w:p>
    <w:p w:rsidR="00163E72" w:rsidRPr="003F29ED" w:rsidRDefault="00163E72" w:rsidP="00364222">
      <w:pPr>
        <w:pStyle w:val="ListParagraph"/>
        <w:numPr>
          <w:ilvl w:val="0"/>
          <w:numId w:val="59"/>
        </w:numPr>
        <w:tabs>
          <w:tab w:val="left" w:pos="1080"/>
          <w:tab w:val="left" w:pos="8640"/>
        </w:tabs>
        <w:ind w:right="720" w:firstLine="0"/>
        <w:contextualSpacing/>
        <w:jc w:val="both"/>
        <w:rPr>
          <w:rFonts w:asciiTheme="majorHAnsi" w:hAnsiTheme="majorHAnsi"/>
          <w:sz w:val="20"/>
          <w:szCs w:val="20"/>
        </w:rPr>
      </w:pPr>
      <w:r w:rsidRPr="003F29ED">
        <w:rPr>
          <w:rFonts w:asciiTheme="majorHAnsi" w:eastAsia="Times New Roman" w:hAnsiTheme="majorHAnsi"/>
          <w:sz w:val="20"/>
          <w:szCs w:val="20"/>
        </w:rPr>
        <w:t xml:space="preserve">As for painting and sealing the house, Lanco brand paint is be used (flat [matte], non-flammable, waterproof), and white acrylic sealant. </w:t>
      </w:r>
    </w:p>
    <w:p w:rsidR="00163E72" w:rsidRPr="003F29ED" w:rsidRDefault="00163E72" w:rsidP="00364222">
      <w:pPr>
        <w:pStyle w:val="ListParagraph"/>
        <w:numPr>
          <w:ilvl w:val="0"/>
          <w:numId w:val="59"/>
        </w:numPr>
        <w:tabs>
          <w:tab w:val="left" w:pos="1080"/>
          <w:tab w:val="left" w:pos="8640"/>
        </w:tabs>
        <w:ind w:right="720" w:firstLine="0"/>
        <w:contextualSpacing/>
        <w:jc w:val="both"/>
        <w:rPr>
          <w:rFonts w:asciiTheme="majorHAnsi" w:hAnsiTheme="majorHAnsi"/>
          <w:sz w:val="20"/>
          <w:szCs w:val="20"/>
        </w:rPr>
      </w:pPr>
      <w:r w:rsidRPr="003F29ED">
        <w:rPr>
          <w:rFonts w:asciiTheme="majorHAnsi" w:eastAsia="Times New Roman" w:hAnsiTheme="majorHAnsi"/>
          <w:sz w:val="20"/>
          <w:szCs w:val="20"/>
        </w:rPr>
        <w:t xml:space="preserve">As for the three doors to the house, laurel wood is used for the main access door and the rear access door, both with double cylinder deadbolt locks, and plywood bathroom door.  </w:t>
      </w:r>
    </w:p>
    <w:p w:rsidR="00163E72" w:rsidRPr="003F29ED" w:rsidRDefault="00163E72" w:rsidP="00364222">
      <w:pPr>
        <w:pStyle w:val="ListParagraph"/>
        <w:numPr>
          <w:ilvl w:val="0"/>
          <w:numId w:val="59"/>
        </w:numPr>
        <w:tabs>
          <w:tab w:val="left" w:pos="1080"/>
          <w:tab w:val="left" w:pos="8640"/>
        </w:tabs>
        <w:ind w:right="720" w:firstLine="0"/>
        <w:contextualSpacing/>
        <w:jc w:val="both"/>
        <w:rPr>
          <w:rFonts w:asciiTheme="majorHAnsi" w:hAnsiTheme="majorHAnsi"/>
          <w:sz w:val="20"/>
          <w:szCs w:val="20"/>
        </w:rPr>
      </w:pPr>
      <w:r w:rsidRPr="003F29ED">
        <w:rPr>
          <w:rFonts w:asciiTheme="majorHAnsi" w:eastAsia="Times New Roman" w:hAnsiTheme="majorHAnsi"/>
          <w:sz w:val="20"/>
          <w:szCs w:val="20"/>
        </w:rPr>
        <w:t xml:space="preserve">As for the floor of the house and laundry room, anti-slip ceramic tile is used, color: terracotta; texture: matte.  </w:t>
      </w:r>
    </w:p>
    <w:p w:rsidR="00163E72" w:rsidRPr="003F29ED" w:rsidRDefault="00163E72" w:rsidP="00364222">
      <w:pPr>
        <w:pStyle w:val="ListParagraph"/>
        <w:numPr>
          <w:ilvl w:val="0"/>
          <w:numId w:val="59"/>
        </w:numPr>
        <w:tabs>
          <w:tab w:val="left" w:pos="1080"/>
          <w:tab w:val="left" w:pos="8640"/>
        </w:tabs>
        <w:ind w:right="720" w:firstLine="0"/>
        <w:contextualSpacing/>
        <w:jc w:val="both"/>
        <w:rPr>
          <w:rFonts w:asciiTheme="majorHAnsi" w:hAnsiTheme="majorHAnsi"/>
          <w:sz w:val="20"/>
          <w:szCs w:val="20"/>
        </w:rPr>
      </w:pPr>
      <w:r w:rsidRPr="003F29ED">
        <w:rPr>
          <w:rFonts w:asciiTheme="majorHAnsi" w:eastAsia="Times New Roman" w:hAnsiTheme="majorHAnsi"/>
          <w:sz w:val="20"/>
          <w:szCs w:val="20"/>
        </w:rPr>
        <w:t>As for electrical installation, it complies with the latest version of the national electric code (NFPA70)”.</w:t>
      </w:r>
    </w:p>
    <w:p w:rsidR="00163E72" w:rsidRPr="003F29ED" w:rsidRDefault="00163E72" w:rsidP="00364222">
      <w:pPr>
        <w:pStyle w:val="ListParagraph"/>
        <w:numPr>
          <w:ilvl w:val="0"/>
          <w:numId w:val="59"/>
        </w:numPr>
        <w:tabs>
          <w:tab w:val="left" w:pos="1080"/>
          <w:tab w:val="left" w:pos="8640"/>
        </w:tabs>
        <w:ind w:right="720" w:firstLine="0"/>
        <w:contextualSpacing/>
        <w:jc w:val="both"/>
        <w:rPr>
          <w:rFonts w:asciiTheme="majorHAnsi" w:hAnsiTheme="majorHAnsi"/>
          <w:sz w:val="20"/>
          <w:szCs w:val="20"/>
        </w:rPr>
      </w:pPr>
      <w:r w:rsidRPr="003F29ED">
        <w:rPr>
          <w:rFonts w:asciiTheme="majorHAnsi" w:eastAsia="Times New Roman" w:hAnsiTheme="majorHAnsi"/>
          <w:sz w:val="20"/>
          <w:szCs w:val="20"/>
        </w:rPr>
        <w:t xml:space="preserve">As for the septic tank of the house, 1 septic tank is installed along with a spare tank. </w:t>
      </w:r>
    </w:p>
    <w:p w:rsidR="00163E72" w:rsidRPr="003F29ED" w:rsidRDefault="00163E72" w:rsidP="00364222">
      <w:pPr>
        <w:pStyle w:val="ListParagraph"/>
        <w:numPr>
          <w:ilvl w:val="0"/>
          <w:numId w:val="59"/>
        </w:numPr>
        <w:tabs>
          <w:tab w:val="left" w:pos="1080"/>
          <w:tab w:val="left" w:pos="8640"/>
        </w:tabs>
        <w:ind w:right="720" w:firstLine="0"/>
        <w:contextualSpacing/>
        <w:jc w:val="both"/>
        <w:rPr>
          <w:rFonts w:asciiTheme="majorHAnsi" w:hAnsiTheme="majorHAnsi"/>
          <w:sz w:val="20"/>
          <w:szCs w:val="20"/>
        </w:rPr>
      </w:pPr>
      <w:r w:rsidRPr="003F29ED">
        <w:rPr>
          <w:rFonts w:asciiTheme="majorHAnsi" w:eastAsia="Times New Roman" w:hAnsiTheme="majorHAnsi"/>
          <w:sz w:val="20"/>
          <w:szCs w:val="20"/>
        </w:rPr>
        <w:t xml:space="preserve">As for the structure of the house, pursuant to the Law of Equal Opportunities for Persons with Disability (Law No. 7600) it is important to note that: </w:t>
      </w:r>
    </w:p>
    <w:p w:rsidR="00163E72" w:rsidRPr="003F29ED" w:rsidRDefault="00163E72" w:rsidP="00364222">
      <w:pPr>
        <w:pStyle w:val="ListParagraph"/>
        <w:numPr>
          <w:ilvl w:val="0"/>
          <w:numId w:val="60"/>
        </w:numPr>
        <w:shd w:val="clear" w:color="auto" w:fill="FFFFFF"/>
        <w:tabs>
          <w:tab w:val="left" w:pos="1080"/>
          <w:tab w:val="left" w:pos="8640"/>
        </w:tabs>
        <w:ind w:left="720" w:right="720" w:firstLine="0"/>
        <w:contextualSpacing/>
        <w:jc w:val="both"/>
        <w:rPr>
          <w:rFonts w:asciiTheme="majorHAnsi" w:eastAsia="Times New Roman" w:hAnsiTheme="majorHAnsi"/>
          <w:sz w:val="20"/>
          <w:szCs w:val="20"/>
        </w:rPr>
      </w:pPr>
      <w:r w:rsidRPr="003F29ED">
        <w:rPr>
          <w:rFonts w:asciiTheme="majorHAnsi" w:eastAsia="Times New Roman" w:hAnsiTheme="majorHAnsi"/>
          <w:sz w:val="20"/>
          <w:szCs w:val="20"/>
        </w:rPr>
        <w:t xml:space="preserve">The bathroom of the house is plated up to 1.80 meters, with easy wheel chair entry/exit access </w:t>
      </w:r>
    </w:p>
    <w:p w:rsidR="00163E72" w:rsidRPr="003F29ED" w:rsidRDefault="00163E72" w:rsidP="00364222">
      <w:pPr>
        <w:pStyle w:val="ListParagraph"/>
        <w:numPr>
          <w:ilvl w:val="0"/>
          <w:numId w:val="60"/>
        </w:numPr>
        <w:shd w:val="clear" w:color="auto" w:fill="FFFFFF"/>
        <w:tabs>
          <w:tab w:val="left" w:pos="1080"/>
          <w:tab w:val="left" w:pos="8640"/>
        </w:tabs>
        <w:ind w:left="720" w:right="720" w:firstLine="0"/>
        <w:contextualSpacing/>
        <w:jc w:val="both"/>
        <w:rPr>
          <w:rFonts w:asciiTheme="majorHAnsi" w:eastAsia="Times New Roman" w:hAnsiTheme="majorHAnsi"/>
          <w:sz w:val="20"/>
          <w:szCs w:val="20"/>
        </w:rPr>
      </w:pPr>
      <w:r w:rsidRPr="003F29ED">
        <w:rPr>
          <w:rFonts w:asciiTheme="majorHAnsi" w:hAnsiTheme="majorHAnsi"/>
          <w:sz w:val="20"/>
          <w:szCs w:val="20"/>
        </w:rPr>
        <w:t xml:space="preserve">1 showerhead installed, for hot water. </w:t>
      </w:r>
    </w:p>
    <w:p w:rsidR="00163E72" w:rsidRPr="003F29ED" w:rsidRDefault="00163E72" w:rsidP="00364222">
      <w:pPr>
        <w:pStyle w:val="ListParagraph"/>
        <w:numPr>
          <w:ilvl w:val="0"/>
          <w:numId w:val="60"/>
        </w:numPr>
        <w:shd w:val="clear" w:color="auto" w:fill="FFFFFF"/>
        <w:tabs>
          <w:tab w:val="left" w:pos="1080"/>
          <w:tab w:val="left" w:pos="8640"/>
        </w:tabs>
        <w:ind w:left="720" w:right="720" w:firstLine="0"/>
        <w:contextualSpacing/>
        <w:jc w:val="both"/>
        <w:rPr>
          <w:rFonts w:asciiTheme="majorHAnsi" w:eastAsia="Times New Roman" w:hAnsiTheme="majorHAnsi"/>
          <w:sz w:val="20"/>
          <w:szCs w:val="20"/>
        </w:rPr>
      </w:pPr>
      <w:r w:rsidRPr="003F29ED">
        <w:rPr>
          <w:rFonts w:asciiTheme="majorHAnsi" w:hAnsiTheme="majorHAnsi"/>
          <w:sz w:val="20"/>
          <w:szCs w:val="20"/>
        </w:rPr>
        <w:t xml:space="preserve">1 safety rail installed in the shower stall and by the toilet. </w:t>
      </w:r>
    </w:p>
    <w:p w:rsidR="00163E72" w:rsidRPr="003F29ED" w:rsidRDefault="00163E72" w:rsidP="00364222">
      <w:pPr>
        <w:pStyle w:val="ListParagraph"/>
        <w:numPr>
          <w:ilvl w:val="0"/>
          <w:numId w:val="60"/>
        </w:numPr>
        <w:shd w:val="clear" w:color="auto" w:fill="FFFFFF"/>
        <w:tabs>
          <w:tab w:val="left" w:pos="1080"/>
          <w:tab w:val="left" w:pos="8640"/>
        </w:tabs>
        <w:ind w:left="720" w:right="720" w:firstLine="0"/>
        <w:contextualSpacing/>
        <w:jc w:val="both"/>
        <w:rPr>
          <w:rFonts w:asciiTheme="majorHAnsi" w:eastAsia="Times New Roman" w:hAnsiTheme="majorHAnsi"/>
          <w:sz w:val="20"/>
          <w:szCs w:val="20"/>
        </w:rPr>
      </w:pPr>
      <w:r w:rsidRPr="003F29ED">
        <w:rPr>
          <w:rFonts w:asciiTheme="majorHAnsi" w:hAnsiTheme="majorHAnsi"/>
          <w:sz w:val="20"/>
          <w:szCs w:val="20"/>
        </w:rPr>
        <w:t xml:space="preserve">1 emergency button installed in the bathroom and master bedroom. </w:t>
      </w:r>
    </w:p>
    <w:p w:rsidR="00163E72" w:rsidRPr="003F29ED" w:rsidRDefault="00163E72" w:rsidP="00364222">
      <w:pPr>
        <w:pStyle w:val="ListParagraph"/>
        <w:numPr>
          <w:ilvl w:val="0"/>
          <w:numId w:val="60"/>
        </w:numPr>
        <w:shd w:val="clear" w:color="auto" w:fill="FFFFFF"/>
        <w:tabs>
          <w:tab w:val="left" w:pos="1080"/>
          <w:tab w:val="left" w:pos="8640"/>
        </w:tabs>
        <w:ind w:left="720" w:right="720" w:firstLine="0"/>
        <w:contextualSpacing/>
        <w:jc w:val="both"/>
        <w:rPr>
          <w:rFonts w:asciiTheme="majorHAnsi" w:eastAsia="Times New Roman" w:hAnsiTheme="majorHAnsi"/>
          <w:sz w:val="20"/>
          <w:szCs w:val="20"/>
        </w:rPr>
      </w:pPr>
      <w:r w:rsidRPr="003F29ED">
        <w:rPr>
          <w:rFonts w:asciiTheme="majorHAnsi" w:hAnsiTheme="majorHAnsi"/>
          <w:sz w:val="20"/>
          <w:szCs w:val="20"/>
        </w:rPr>
        <w:t xml:space="preserve">1 ramp with handrail installed for entry and exit to and from house.  </w:t>
      </w:r>
    </w:p>
    <w:p w:rsidR="00163E72" w:rsidRPr="003F29ED" w:rsidRDefault="00163E72" w:rsidP="00364222">
      <w:pPr>
        <w:pStyle w:val="ListParagraph"/>
        <w:numPr>
          <w:ilvl w:val="0"/>
          <w:numId w:val="60"/>
        </w:numPr>
        <w:shd w:val="clear" w:color="auto" w:fill="FFFFFF"/>
        <w:tabs>
          <w:tab w:val="left" w:pos="1080"/>
          <w:tab w:val="left" w:pos="8640"/>
        </w:tabs>
        <w:ind w:left="720" w:right="720" w:firstLine="0"/>
        <w:contextualSpacing/>
        <w:jc w:val="both"/>
        <w:rPr>
          <w:rFonts w:asciiTheme="majorHAnsi" w:hAnsiTheme="majorHAnsi"/>
          <w:sz w:val="20"/>
          <w:szCs w:val="20"/>
        </w:rPr>
      </w:pPr>
      <w:r w:rsidRPr="003F29ED">
        <w:rPr>
          <w:rFonts w:asciiTheme="majorHAnsi" w:hAnsiTheme="majorHAnsi"/>
          <w:sz w:val="20"/>
          <w:szCs w:val="20"/>
        </w:rPr>
        <w:t xml:space="preserve">Electric plug sockets installed at higher level, to facilitate use thereof. </w:t>
      </w:r>
    </w:p>
    <w:p w:rsidR="00163E72" w:rsidRPr="003F29ED" w:rsidRDefault="00163E72" w:rsidP="007C27AB">
      <w:pPr>
        <w:pStyle w:val="ListParagraph"/>
        <w:shd w:val="clear" w:color="auto" w:fill="FFFFFF"/>
        <w:tabs>
          <w:tab w:val="left" w:pos="1080"/>
          <w:tab w:val="left" w:pos="8640"/>
        </w:tabs>
        <w:ind w:right="720"/>
        <w:contextualSpacing/>
        <w:jc w:val="both"/>
        <w:rPr>
          <w:rFonts w:asciiTheme="majorHAnsi" w:hAnsiTheme="majorHAnsi"/>
          <w:sz w:val="20"/>
          <w:szCs w:val="20"/>
        </w:rPr>
      </w:pPr>
    </w:p>
    <w:p w:rsidR="00163E72" w:rsidRPr="003F29ED" w:rsidRDefault="00163E72" w:rsidP="007C27AB">
      <w:pPr>
        <w:tabs>
          <w:tab w:val="left" w:pos="1080"/>
          <w:tab w:val="left" w:pos="8640"/>
        </w:tabs>
        <w:ind w:left="720" w:right="720"/>
        <w:jc w:val="both"/>
        <w:rPr>
          <w:rFonts w:asciiTheme="majorHAnsi" w:hAnsiTheme="majorHAnsi"/>
          <w:sz w:val="20"/>
          <w:szCs w:val="20"/>
        </w:rPr>
      </w:pPr>
      <w:r w:rsidRPr="003F29ED">
        <w:rPr>
          <w:rFonts w:asciiTheme="majorHAnsi" w:hAnsiTheme="majorHAnsi"/>
          <w:sz w:val="20"/>
          <w:szCs w:val="20"/>
        </w:rPr>
        <w:t xml:space="preserve">It must be noted that the timeline for the housing construction process appearing below will come in effect once the construction permits have been approved by the Municipality of Grecia.  </w:t>
      </w:r>
    </w:p>
    <w:p w:rsidR="00163E72" w:rsidRPr="003F29ED" w:rsidRDefault="00163E72" w:rsidP="007C27AB">
      <w:pPr>
        <w:tabs>
          <w:tab w:val="left" w:pos="1080"/>
          <w:tab w:val="left" w:pos="8640"/>
        </w:tabs>
        <w:ind w:left="720" w:right="720"/>
        <w:jc w:val="both"/>
        <w:rPr>
          <w:rFonts w:asciiTheme="majorHAnsi" w:hAnsiTheme="majorHAnsi"/>
          <w:sz w:val="20"/>
          <w:szCs w:val="20"/>
        </w:rPr>
      </w:pPr>
    </w:p>
    <w:p w:rsidR="00163E72" w:rsidRPr="003F29ED" w:rsidRDefault="00163E72" w:rsidP="007C27AB">
      <w:pPr>
        <w:tabs>
          <w:tab w:val="left" w:pos="1080"/>
          <w:tab w:val="left" w:pos="8640"/>
        </w:tabs>
        <w:ind w:left="720" w:right="720"/>
        <w:jc w:val="center"/>
        <w:rPr>
          <w:rFonts w:asciiTheme="majorHAnsi" w:hAnsiTheme="majorHAnsi"/>
          <w:sz w:val="20"/>
          <w:szCs w:val="20"/>
        </w:rPr>
      </w:pPr>
      <w:r w:rsidRPr="003F29ED">
        <w:rPr>
          <w:rFonts w:asciiTheme="majorHAnsi" w:hAnsiTheme="majorHAnsi"/>
          <w:noProof/>
          <w:sz w:val="20"/>
          <w:szCs w:val="20"/>
        </w:rPr>
        <w:lastRenderedPageBreak/>
        <w:drawing>
          <wp:inline distT="0" distB="0" distL="0" distR="0" wp14:anchorId="2976DA5F" wp14:editId="4FA43CD0">
            <wp:extent cx="4905375" cy="2028825"/>
            <wp:effectExtent l="0" t="0" r="9525" b="9525"/>
            <wp:docPr id="15" name="Picture 15"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 títul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9981" cy="2030730"/>
                    </a:xfrm>
                    <a:prstGeom prst="rect">
                      <a:avLst/>
                    </a:prstGeom>
                    <a:noFill/>
                    <a:ln>
                      <a:noFill/>
                    </a:ln>
                  </pic:spPr>
                </pic:pic>
              </a:graphicData>
            </a:graphic>
          </wp:inline>
        </w:drawing>
      </w:r>
    </w:p>
    <w:p w:rsidR="00163E72" w:rsidRPr="003F29ED" w:rsidRDefault="00163E72" w:rsidP="007C27AB">
      <w:pPr>
        <w:tabs>
          <w:tab w:val="left" w:pos="1080"/>
          <w:tab w:val="left" w:pos="8640"/>
        </w:tabs>
        <w:ind w:left="720" w:right="720"/>
        <w:jc w:val="both"/>
        <w:rPr>
          <w:rFonts w:asciiTheme="majorHAnsi" w:eastAsia="Times New Roman" w:hAnsiTheme="majorHAnsi"/>
          <w:sz w:val="20"/>
          <w:szCs w:val="20"/>
          <w:lang w:eastAsia="es-CR"/>
        </w:rPr>
      </w:pPr>
    </w:p>
    <w:p w:rsidR="00163E72" w:rsidRDefault="00943E54" w:rsidP="007C27AB">
      <w:pPr>
        <w:tabs>
          <w:tab w:val="left" w:pos="1080"/>
          <w:tab w:val="left" w:pos="8640"/>
        </w:tabs>
        <w:ind w:left="720" w:right="720"/>
        <w:jc w:val="both"/>
        <w:rPr>
          <w:rFonts w:asciiTheme="majorHAnsi" w:eastAsia="Times New Roman" w:hAnsiTheme="majorHAnsi"/>
          <w:sz w:val="20"/>
          <w:szCs w:val="20"/>
          <w:lang w:eastAsia="es-CR"/>
        </w:rPr>
      </w:pPr>
      <w:r w:rsidRPr="00943E54">
        <w:rPr>
          <w:rFonts w:asciiTheme="majorHAnsi" w:eastAsia="Times New Roman" w:hAnsiTheme="majorHAnsi"/>
          <w:sz w:val="20"/>
          <w:szCs w:val="20"/>
          <w:lang w:eastAsia="es-CR"/>
        </w:rPr>
        <w:t>The inspection and supervision of the construction process o</w:t>
      </w:r>
      <w:r>
        <w:rPr>
          <w:rFonts w:asciiTheme="majorHAnsi" w:eastAsia="Times New Roman" w:hAnsiTheme="majorHAnsi"/>
          <w:sz w:val="20"/>
          <w:szCs w:val="20"/>
          <w:lang w:eastAsia="es-CR"/>
        </w:rPr>
        <w:t>f the dwelling house with Law N</w:t>
      </w:r>
      <w:r w:rsidRPr="00943E54">
        <w:rPr>
          <w:rFonts w:asciiTheme="majorHAnsi" w:eastAsia="Times New Roman" w:hAnsiTheme="majorHAnsi"/>
          <w:sz w:val="20"/>
          <w:szCs w:val="20"/>
          <w:lang w:eastAsia="es-CR"/>
        </w:rPr>
        <w:t>° 7600, which will be built in Lot N ° 4 of the La Cedeña Street Project, will be</w:t>
      </w:r>
      <w:r>
        <w:rPr>
          <w:rFonts w:asciiTheme="majorHAnsi" w:eastAsia="Times New Roman" w:hAnsiTheme="majorHAnsi"/>
          <w:sz w:val="20"/>
          <w:szCs w:val="20"/>
          <w:lang w:eastAsia="es-CR"/>
        </w:rPr>
        <w:t xml:space="preserve"> in charge of the Cartago</w:t>
      </w:r>
      <w:r w:rsidRPr="00943E54">
        <w:rPr>
          <w:rFonts w:asciiTheme="majorHAnsi" w:eastAsia="Times New Roman" w:hAnsiTheme="majorHAnsi"/>
          <w:sz w:val="20"/>
          <w:szCs w:val="20"/>
          <w:lang w:eastAsia="es-CR"/>
        </w:rPr>
        <w:t xml:space="preserve"> </w:t>
      </w:r>
      <w:r>
        <w:rPr>
          <w:rFonts w:asciiTheme="majorHAnsi" w:eastAsia="Times New Roman" w:hAnsiTheme="majorHAnsi"/>
          <w:sz w:val="20"/>
          <w:szCs w:val="20"/>
          <w:lang w:eastAsia="es-CR"/>
        </w:rPr>
        <w:t>Mutual</w:t>
      </w:r>
      <w:r w:rsidRPr="00943E54">
        <w:rPr>
          <w:rFonts w:asciiTheme="majorHAnsi" w:eastAsia="Times New Roman" w:hAnsiTheme="majorHAnsi"/>
          <w:sz w:val="20"/>
          <w:szCs w:val="20"/>
          <w:lang w:eastAsia="es-CR"/>
        </w:rPr>
        <w:t xml:space="preserve"> Savings and Loan (MUCAP).</w:t>
      </w:r>
    </w:p>
    <w:p w:rsidR="00943E54" w:rsidRPr="003F29ED" w:rsidRDefault="00943E54" w:rsidP="007C27AB">
      <w:pPr>
        <w:tabs>
          <w:tab w:val="left" w:pos="1080"/>
          <w:tab w:val="left" w:pos="8640"/>
        </w:tabs>
        <w:ind w:left="720" w:right="720"/>
        <w:jc w:val="both"/>
        <w:rPr>
          <w:rFonts w:asciiTheme="majorHAnsi" w:hAnsiTheme="majorHAnsi"/>
          <w:bCs/>
          <w:sz w:val="20"/>
          <w:szCs w:val="20"/>
        </w:rPr>
      </w:pPr>
    </w:p>
    <w:p w:rsidR="00163E72" w:rsidRPr="003F29ED" w:rsidRDefault="00163E72" w:rsidP="007C27AB">
      <w:pPr>
        <w:tabs>
          <w:tab w:val="left" w:pos="1080"/>
          <w:tab w:val="decimal" w:pos="1656"/>
          <w:tab w:val="left" w:pos="8640"/>
        </w:tabs>
        <w:ind w:left="720" w:right="720"/>
        <w:jc w:val="both"/>
        <w:rPr>
          <w:rFonts w:asciiTheme="majorHAnsi" w:hAnsiTheme="majorHAnsi"/>
          <w:sz w:val="20"/>
          <w:szCs w:val="20"/>
        </w:rPr>
      </w:pPr>
      <w:r w:rsidRPr="003F29ED">
        <w:rPr>
          <w:rFonts w:asciiTheme="majorHAnsi" w:hAnsiTheme="majorHAnsi"/>
          <w:sz w:val="20"/>
          <w:szCs w:val="20"/>
          <w:lang w:eastAsia="es-ES"/>
        </w:rPr>
        <w:t xml:space="preserve">Additionally, the formal approval procedure must be simplified, as described below: </w:t>
      </w:r>
    </w:p>
    <w:p w:rsidR="00163E72" w:rsidRPr="003F29ED" w:rsidRDefault="00163E72" w:rsidP="007C27AB">
      <w:pPr>
        <w:tabs>
          <w:tab w:val="left" w:pos="1080"/>
          <w:tab w:val="decimal" w:pos="1656"/>
          <w:tab w:val="left" w:pos="8640"/>
        </w:tabs>
        <w:ind w:left="720" w:right="720"/>
        <w:jc w:val="both"/>
        <w:rPr>
          <w:rFonts w:asciiTheme="majorHAnsi" w:hAnsiTheme="majorHAnsi"/>
          <w:sz w:val="20"/>
          <w:szCs w:val="20"/>
        </w:rPr>
      </w:pPr>
    </w:p>
    <w:p w:rsidR="00163E72" w:rsidRPr="003F29ED" w:rsidRDefault="00163E72" w:rsidP="00364222">
      <w:pPr>
        <w:numPr>
          <w:ilvl w:val="0"/>
          <w:numId w:val="62"/>
        </w:numPr>
        <w:tabs>
          <w:tab w:val="left" w:pos="1080"/>
          <w:tab w:val="left" w:pos="8640"/>
        </w:tabs>
        <w:ind w:right="720" w:firstLine="0"/>
        <w:jc w:val="both"/>
        <w:rPr>
          <w:rFonts w:asciiTheme="majorHAnsi" w:hAnsiTheme="majorHAnsi"/>
          <w:bCs/>
          <w:sz w:val="20"/>
          <w:szCs w:val="20"/>
        </w:rPr>
      </w:pPr>
      <w:r w:rsidRPr="003F29ED">
        <w:rPr>
          <w:rFonts w:asciiTheme="majorHAnsi" w:eastAsia="Times New Roman" w:hAnsiTheme="majorHAnsi"/>
          <w:sz w:val="20"/>
          <w:szCs w:val="20"/>
          <w:lang w:eastAsia="es-CR"/>
        </w:rPr>
        <w:t xml:space="preserve">Cartago Mutual Savings and Loan </w:t>
      </w:r>
      <w:r w:rsidRPr="003F29ED">
        <w:rPr>
          <w:rFonts w:asciiTheme="majorHAnsi" w:hAnsiTheme="majorHAnsi"/>
          <w:bCs/>
          <w:sz w:val="20"/>
          <w:szCs w:val="20"/>
        </w:rPr>
        <w:t xml:space="preserve">(MUCAP) will be responsible for the </w:t>
      </w:r>
      <w:r w:rsidRPr="003F29ED">
        <w:rPr>
          <w:rFonts w:asciiTheme="majorHAnsi" w:eastAsia="Times New Roman" w:hAnsiTheme="majorHAnsi"/>
          <w:sz w:val="20"/>
          <w:szCs w:val="20"/>
          <w:lang w:eastAsia="es-CR"/>
        </w:rPr>
        <w:t xml:space="preserve">formal procedures, as it is the Authorized Entity in charge of said processing, through its office. It is important to note that MUCAP receives the case file with the complete and up-to-date documentation of the immediate family and property, to be reviewed and submitted to the </w:t>
      </w:r>
      <w:r w:rsidRPr="003F29ED">
        <w:rPr>
          <w:rFonts w:asciiTheme="majorHAnsi" w:hAnsiTheme="majorHAnsi"/>
          <w:bCs/>
          <w:sz w:val="20"/>
          <w:szCs w:val="20"/>
        </w:rPr>
        <w:t>BANHVI. Therefore, the formal approval process must conform to the legal provisions in force of the Banco Hipotecario de la Vivienda.</w:t>
      </w:r>
    </w:p>
    <w:p w:rsidR="00163E72" w:rsidRPr="003F29ED" w:rsidRDefault="00163E72" w:rsidP="007C27AB">
      <w:pPr>
        <w:tabs>
          <w:tab w:val="left" w:pos="1080"/>
          <w:tab w:val="left" w:pos="8640"/>
        </w:tabs>
        <w:ind w:left="720" w:right="720"/>
        <w:jc w:val="both"/>
        <w:rPr>
          <w:rFonts w:asciiTheme="majorHAnsi" w:hAnsiTheme="majorHAnsi"/>
          <w:bCs/>
          <w:sz w:val="20"/>
          <w:szCs w:val="20"/>
        </w:rPr>
      </w:pPr>
    </w:p>
    <w:p w:rsidR="00163E72" w:rsidRPr="003F29ED" w:rsidRDefault="00163E72" w:rsidP="00364222">
      <w:pPr>
        <w:numPr>
          <w:ilvl w:val="0"/>
          <w:numId w:val="62"/>
        </w:numPr>
        <w:tabs>
          <w:tab w:val="left" w:pos="0"/>
          <w:tab w:val="left" w:pos="1080"/>
          <w:tab w:val="left" w:pos="8640"/>
        </w:tabs>
        <w:ind w:right="720" w:firstLine="0"/>
        <w:contextualSpacing/>
        <w:jc w:val="both"/>
        <w:rPr>
          <w:rFonts w:asciiTheme="majorHAnsi" w:hAnsiTheme="majorHAnsi"/>
          <w:sz w:val="20"/>
          <w:szCs w:val="20"/>
        </w:rPr>
      </w:pPr>
      <w:r w:rsidRPr="003F29ED">
        <w:rPr>
          <w:rFonts w:asciiTheme="majorHAnsi" w:eastAsia="Times New Roman" w:hAnsiTheme="majorHAnsi"/>
          <w:sz w:val="20"/>
          <w:szCs w:val="20"/>
          <w:lang w:eastAsia="es-CR"/>
        </w:rPr>
        <w:t xml:space="preserve">Once Emilia Morales Campos becomes the owner, the Fundación Promotora de Vivienda will work together with Mrs. Morales Campos to put basic utilities services under her name, for which the petitioner </w:t>
      </w:r>
      <w:r w:rsidRPr="003F29ED">
        <w:rPr>
          <w:rFonts w:asciiTheme="majorHAnsi" w:hAnsiTheme="majorHAnsi"/>
          <w:sz w:val="20"/>
          <w:szCs w:val="20"/>
        </w:rPr>
        <w:t>(Emilia Morales Campos) must submit the case documentation to the appropriate offices.</w:t>
      </w:r>
    </w:p>
    <w:p w:rsidR="00163E72" w:rsidRPr="003F29ED" w:rsidRDefault="00163E72" w:rsidP="007C27AB">
      <w:pPr>
        <w:tabs>
          <w:tab w:val="left" w:pos="1020"/>
          <w:tab w:val="left" w:pos="1080"/>
          <w:tab w:val="left" w:pos="8640"/>
        </w:tabs>
        <w:ind w:left="720" w:right="720"/>
        <w:contextualSpacing/>
        <w:jc w:val="both"/>
        <w:rPr>
          <w:rFonts w:asciiTheme="majorHAnsi" w:eastAsia="Times New Roman" w:hAnsiTheme="majorHAnsi"/>
          <w:sz w:val="20"/>
          <w:szCs w:val="20"/>
          <w:lang w:eastAsia="es-CR"/>
        </w:rPr>
      </w:pPr>
    </w:p>
    <w:p w:rsidR="00163E72" w:rsidRPr="003F29ED" w:rsidRDefault="00163E72" w:rsidP="007C27AB">
      <w:pPr>
        <w:tabs>
          <w:tab w:val="left" w:pos="1080"/>
          <w:tab w:val="left" w:pos="8640"/>
        </w:tabs>
        <w:ind w:left="720" w:right="720"/>
        <w:jc w:val="both"/>
        <w:rPr>
          <w:rFonts w:asciiTheme="majorHAnsi" w:eastAsia="Times New Roman" w:hAnsiTheme="majorHAnsi"/>
          <w:sz w:val="20"/>
          <w:szCs w:val="20"/>
          <w:lang w:eastAsia="es-CR"/>
        </w:rPr>
      </w:pPr>
      <w:r w:rsidRPr="003F29ED">
        <w:rPr>
          <w:rFonts w:asciiTheme="majorHAnsi" w:eastAsia="Times New Roman" w:hAnsiTheme="majorHAnsi"/>
          <w:sz w:val="20"/>
          <w:szCs w:val="20"/>
          <w:lang w:eastAsia="es-CR"/>
        </w:rPr>
        <w:t xml:space="preserve">As the petitioner (Emilia Morales Campos) in this friendly settlement process has stated, in the event of the death of the petitioner referenced above prior to the approval of this agreement before the IACHR, the immediate family of Mrs. Emilia Morales Campos (specifically, petitioner Jennifer Emilia Morales Campos and Miss IMM), will be the only beneficiaries with standing to handle any aspect arising from the follow-up and implementation of the friendly settlement process. </w:t>
      </w:r>
    </w:p>
    <w:p w:rsidR="00163E72" w:rsidRPr="003F29ED" w:rsidRDefault="00163E72" w:rsidP="007C27AB">
      <w:pPr>
        <w:tabs>
          <w:tab w:val="left" w:pos="1080"/>
          <w:tab w:val="left" w:pos="8640"/>
        </w:tabs>
        <w:ind w:left="720" w:right="720"/>
        <w:jc w:val="both"/>
        <w:rPr>
          <w:rFonts w:asciiTheme="majorHAnsi" w:eastAsia="Times New Roman" w:hAnsiTheme="majorHAnsi"/>
          <w:sz w:val="20"/>
          <w:szCs w:val="20"/>
          <w:lang w:eastAsia="es-CR"/>
        </w:rPr>
      </w:pPr>
    </w:p>
    <w:p w:rsidR="00163E72" w:rsidRPr="003F29ED" w:rsidRDefault="00163E72" w:rsidP="007C27AB">
      <w:pPr>
        <w:keepNext/>
        <w:keepLines/>
        <w:tabs>
          <w:tab w:val="left" w:pos="1080"/>
          <w:tab w:val="left" w:pos="8640"/>
        </w:tabs>
        <w:ind w:left="720" w:right="720"/>
        <w:jc w:val="center"/>
        <w:outlineLvl w:val="0"/>
        <w:rPr>
          <w:rFonts w:asciiTheme="majorHAnsi" w:hAnsiTheme="majorHAnsi"/>
          <w:b/>
          <w:sz w:val="20"/>
          <w:szCs w:val="20"/>
        </w:rPr>
      </w:pPr>
      <w:r w:rsidRPr="003F29ED">
        <w:rPr>
          <w:rFonts w:asciiTheme="majorHAnsi" w:hAnsiTheme="majorHAnsi"/>
          <w:b/>
          <w:sz w:val="20"/>
          <w:szCs w:val="20"/>
        </w:rPr>
        <w:t xml:space="preserve">COSTA RICAN STATE’S COMPLIANCE WITH THE MEASURES OF NON-REPETITION </w:t>
      </w:r>
    </w:p>
    <w:p w:rsidR="00163E72" w:rsidRPr="003F29ED" w:rsidRDefault="00163E72" w:rsidP="007C27AB">
      <w:pPr>
        <w:keepNext/>
        <w:keepLines/>
        <w:tabs>
          <w:tab w:val="left" w:pos="1080"/>
          <w:tab w:val="left" w:pos="8640"/>
        </w:tabs>
        <w:ind w:left="720" w:right="720"/>
        <w:jc w:val="center"/>
        <w:outlineLvl w:val="0"/>
        <w:rPr>
          <w:rFonts w:asciiTheme="majorHAnsi" w:hAnsiTheme="majorHAnsi"/>
          <w:b/>
          <w:sz w:val="20"/>
          <w:szCs w:val="20"/>
        </w:rPr>
      </w:pPr>
    </w:p>
    <w:p w:rsidR="00163E72" w:rsidRPr="003F29ED" w:rsidRDefault="00163E72" w:rsidP="007C27AB">
      <w:pPr>
        <w:tabs>
          <w:tab w:val="left" w:pos="1080"/>
          <w:tab w:val="left" w:pos="8640"/>
        </w:tabs>
        <w:ind w:left="720" w:right="720"/>
        <w:jc w:val="both"/>
        <w:rPr>
          <w:rFonts w:asciiTheme="majorHAnsi" w:hAnsiTheme="majorHAnsi"/>
          <w:sz w:val="20"/>
          <w:szCs w:val="20"/>
        </w:rPr>
      </w:pPr>
      <w:r w:rsidRPr="003F29ED">
        <w:rPr>
          <w:rFonts w:asciiTheme="majorHAnsi" w:hAnsiTheme="majorHAnsi"/>
          <w:sz w:val="20"/>
          <w:szCs w:val="20"/>
        </w:rPr>
        <w:t>Both petitioners have donated the property identified under registration number 240792-001-002</w:t>
      </w:r>
      <w:r w:rsidRPr="003F29ED">
        <w:rPr>
          <w:rFonts w:asciiTheme="majorHAnsi" w:eastAsia="Times New Roman" w:hAnsiTheme="majorHAnsi"/>
          <w:sz w:val="20"/>
          <w:szCs w:val="20"/>
        </w:rPr>
        <w:t xml:space="preserve"> located in District 7 Purral, Canton 8 </w:t>
      </w:r>
      <w:r w:rsidRPr="003F29ED">
        <w:rPr>
          <w:rFonts w:asciiTheme="majorHAnsi" w:hAnsiTheme="majorHAnsi"/>
          <w:sz w:val="20"/>
          <w:szCs w:val="20"/>
        </w:rPr>
        <w:t xml:space="preserve">Goicochea, Province 1, San José, to the Municipality of Goicoechea. This was done because of the risk, threat and uninhabitable condition posed by the above-referenced property, with the provision that it not be used by another person for habitation, and it was accepted by the Municipality of Goicochea under that condition. </w:t>
      </w:r>
    </w:p>
    <w:p w:rsidR="00163E72" w:rsidRPr="003F29ED" w:rsidRDefault="00163E72" w:rsidP="007C27AB">
      <w:pPr>
        <w:tabs>
          <w:tab w:val="left" w:pos="1080"/>
          <w:tab w:val="left" w:pos="8640"/>
        </w:tabs>
        <w:ind w:left="720" w:right="720"/>
        <w:jc w:val="both"/>
        <w:rPr>
          <w:rFonts w:asciiTheme="majorHAnsi" w:hAnsiTheme="majorHAnsi"/>
          <w:sz w:val="20"/>
          <w:szCs w:val="20"/>
        </w:rPr>
      </w:pPr>
    </w:p>
    <w:p w:rsidR="00163E72" w:rsidRPr="003F29ED" w:rsidRDefault="00163E72" w:rsidP="007C27AB">
      <w:pPr>
        <w:tabs>
          <w:tab w:val="left" w:pos="1080"/>
          <w:tab w:val="left" w:pos="8640"/>
        </w:tabs>
        <w:ind w:left="720" w:right="720"/>
        <w:jc w:val="both"/>
        <w:rPr>
          <w:rFonts w:asciiTheme="majorHAnsi" w:hAnsiTheme="majorHAnsi"/>
          <w:sz w:val="20"/>
          <w:szCs w:val="20"/>
        </w:rPr>
      </w:pPr>
      <w:r w:rsidRPr="003F29ED">
        <w:rPr>
          <w:rFonts w:asciiTheme="majorHAnsi" w:eastAsia="Times New Roman" w:hAnsiTheme="majorHAnsi"/>
          <w:sz w:val="20"/>
          <w:szCs w:val="20"/>
        </w:rPr>
        <w:t xml:space="preserve">Through the Municipality of Goicoechea, the Costa Rican State accepted responsibility for the costs of attorney’s fees, seals, taxes and municipal assessments, among other expenses, as concerns the transfer of the property referenced above, to the Municipality of Goicoechea. This was agreed upon at Regular Session No. </w:t>
      </w:r>
      <w:r w:rsidRPr="003F29ED">
        <w:rPr>
          <w:rFonts w:asciiTheme="majorHAnsi" w:hAnsiTheme="majorHAnsi"/>
          <w:sz w:val="20"/>
          <w:szCs w:val="20"/>
        </w:rPr>
        <w:t>46-17, held on November 13, 2017, Article 12, which in the relevant portion, establishes:</w:t>
      </w:r>
    </w:p>
    <w:p w:rsidR="00163E72" w:rsidRPr="003F29ED" w:rsidRDefault="00163E72" w:rsidP="007C27AB">
      <w:pPr>
        <w:tabs>
          <w:tab w:val="left" w:pos="1080"/>
          <w:tab w:val="left" w:pos="8640"/>
        </w:tabs>
        <w:ind w:left="720" w:right="720"/>
        <w:jc w:val="both"/>
        <w:rPr>
          <w:rFonts w:asciiTheme="majorHAnsi" w:eastAsia="Times New Roman" w:hAnsiTheme="majorHAnsi"/>
          <w:sz w:val="20"/>
          <w:szCs w:val="20"/>
          <w:lang w:eastAsia="es-ES_tradnl"/>
        </w:rPr>
      </w:pPr>
    </w:p>
    <w:p w:rsidR="00163E72" w:rsidRPr="003F29ED" w:rsidRDefault="00163E72" w:rsidP="00364222">
      <w:pPr>
        <w:numPr>
          <w:ilvl w:val="0"/>
          <w:numId w:val="58"/>
        </w:numPr>
        <w:tabs>
          <w:tab w:val="left" w:pos="1080"/>
          <w:tab w:val="left" w:pos="8640"/>
        </w:tabs>
        <w:ind w:right="720" w:firstLine="0"/>
        <w:contextualSpacing/>
        <w:jc w:val="both"/>
        <w:rPr>
          <w:rFonts w:asciiTheme="majorHAnsi" w:hAnsiTheme="majorHAnsi"/>
          <w:i/>
          <w:sz w:val="20"/>
          <w:szCs w:val="20"/>
        </w:rPr>
      </w:pPr>
      <w:r w:rsidRPr="003F29ED">
        <w:rPr>
          <w:rFonts w:asciiTheme="majorHAnsi" w:hAnsiTheme="majorHAnsi"/>
          <w:i/>
          <w:sz w:val="20"/>
          <w:szCs w:val="20"/>
        </w:rPr>
        <w:lastRenderedPageBreak/>
        <w:t xml:space="preserve">By unanimity and of a dispositive nature, the “Therefore” clause of Opinion No. 49-17 of the Committee on Finance and Budget is approved, as set forth hereunder:  </w:t>
      </w:r>
    </w:p>
    <w:p w:rsidR="00163E72" w:rsidRPr="003F29ED" w:rsidRDefault="00163E72" w:rsidP="007C27AB">
      <w:pPr>
        <w:tabs>
          <w:tab w:val="left" w:pos="1080"/>
          <w:tab w:val="left" w:pos="8640"/>
        </w:tabs>
        <w:ind w:left="720" w:right="720"/>
        <w:contextualSpacing/>
        <w:jc w:val="both"/>
        <w:rPr>
          <w:rFonts w:asciiTheme="majorHAnsi" w:hAnsiTheme="majorHAnsi"/>
          <w:b/>
          <w:i/>
          <w:sz w:val="20"/>
          <w:szCs w:val="20"/>
        </w:rPr>
      </w:pPr>
    </w:p>
    <w:p w:rsidR="00163E72" w:rsidRPr="003F29ED" w:rsidRDefault="008D7EC1" w:rsidP="007C27AB">
      <w:pPr>
        <w:tabs>
          <w:tab w:val="left" w:pos="1080"/>
          <w:tab w:val="left" w:pos="8640"/>
        </w:tabs>
        <w:ind w:left="720" w:right="720"/>
        <w:jc w:val="both"/>
        <w:rPr>
          <w:rFonts w:asciiTheme="majorHAnsi" w:hAnsiTheme="majorHAnsi"/>
          <w:b/>
          <w:i/>
          <w:sz w:val="20"/>
          <w:szCs w:val="20"/>
        </w:rPr>
      </w:pPr>
      <w:r>
        <w:rPr>
          <w:rFonts w:asciiTheme="majorHAnsi" w:hAnsiTheme="majorHAnsi"/>
          <w:b/>
          <w:i/>
          <w:sz w:val="20"/>
          <w:szCs w:val="20"/>
        </w:rPr>
        <w:t>AGREEMENT</w:t>
      </w:r>
      <w:r w:rsidR="00163E72" w:rsidRPr="003F29ED">
        <w:rPr>
          <w:rFonts w:asciiTheme="majorHAnsi" w:hAnsiTheme="majorHAnsi"/>
          <w:b/>
          <w:i/>
          <w:sz w:val="20"/>
          <w:szCs w:val="20"/>
        </w:rPr>
        <w:t xml:space="preserve"> N° 7</w:t>
      </w:r>
    </w:p>
    <w:p w:rsidR="00163E72" w:rsidRPr="003F29ED" w:rsidRDefault="00163E72" w:rsidP="007C27AB">
      <w:pPr>
        <w:tabs>
          <w:tab w:val="left" w:pos="1080"/>
          <w:tab w:val="left" w:pos="8640"/>
        </w:tabs>
        <w:ind w:left="720" w:right="720"/>
        <w:jc w:val="both"/>
        <w:rPr>
          <w:rFonts w:asciiTheme="majorHAnsi" w:hAnsiTheme="majorHAnsi"/>
          <w:b/>
          <w:i/>
          <w:sz w:val="20"/>
          <w:szCs w:val="20"/>
        </w:rPr>
      </w:pPr>
    </w:p>
    <w:p w:rsidR="00163E72" w:rsidRPr="003F29ED" w:rsidRDefault="00163E72" w:rsidP="007C27AB">
      <w:pPr>
        <w:tabs>
          <w:tab w:val="left" w:pos="1080"/>
          <w:tab w:val="left" w:pos="8640"/>
        </w:tabs>
        <w:ind w:left="720" w:right="720"/>
        <w:jc w:val="both"/>
        <w:rPr>
          <w:rFonts w:asciiTheme="majorHAnsi" w:hAnsiTheme="majorHAnsi"/>
          <w:i/>
          <w:sz w:val="20"/>
          <w:szCs w:val="20"/>
        </w:rPr>
      </w:pPr>
      <w:r w:rsidRPr="003F29ED">
        <w:rPr>
          <w:rFonts w:asciiTheme="majorHAnsi" w:hAnsiTheme="majorHAnsi"/>
          <w:b/>
          <w:i/>
          <w:sz w:val="20"/>
          <w:szCs w:val="20"/>
        </w:rPr>
        <w:t>“THEREFORE</w:t>
      </w:r>
      <w:r w:rsidRPr="003F29ED">
        <w:rPr>
          <w:rFonts w:asciiTheme="majorHAnsi" w:hAnsiTheme="majorHAnsi"/>
          <w:i/>
          <w:sz w:val="20"/>
          <w:szCs w:val="20"/>
        </w:rPr>
        <w:t xml:space="preserve">; this Committee recommends the Municipal Council to: </w:t>
      </w:r>
    </w:p>
    <w:p w:rsidR="00163E72" w:rsidRPr="003F29ED" w:rsidRDefault="008D7EC1" w:rsidP="007C27AB">
      <w:pPr>
        <w:tabs>
          <w:tab w:val="left" w:pos="1080"/>
          <w:tab w:val="left" w:pos="8640"/>
        </w:tabs>
        <w:ind w:left="720" w:right="720"/>
        <w:jc w:val="both"/>
        <w:rPr>
          <w:rFonts w:asciiTheme="majorHAnsi" w:hAnsiTheme="majorHAnsi"/>
          <w:i/>
          <w:sz w:val="20"/>
          <w:szCs w:val="20"/>
        </w:rPr>
      </w:pPr>
      <w:r w:rsidRPr="008D7EC1">
        <w:rPr>
          <w:rFonts w:asciiTheme="majorHAnsi" w:hAnsiTheme="majorHAnsi"/>
          <w:i/>
          <w:sz w:val="20"/>
          <w:szCs w:val="20"/>
        </w:rPr>
        <w:t xml:space="preserve">1°. </w:t>
      </w:r>
      <w:r w:rsidR="00163E72" w:rsidRPr="003F29ED">
        <w:rPr>
          <w:rFonts w:asciiTheme="majorHAnsi" w:hAnsiTheme="majorHAnsi"/>
          <w:i/>
          <w:sz w:val="20"/>
          <w:szCs w:val="20"/>
        </w:rPr>
        <w:t xml:space="preserve"> Authorize the Mayor to carry out the notarial procedure to convey the property identified under registration number 001-240792-001-002, located in district 7 Purral, with a [surface] area of 136.90 square meters, with cadastral plat number SJ-378673-97, located on the street known as Calle Morales toward this Municipality.</w:t>
      </w:r>
    </w:p>
    <w:p w:rsidR="00163E72" w:rsidRPr="003F29ED" w:rsidRDefault="00163E72" w:rsidP="007C27AB">
      <w:pPr>
        <w:tabs>
          <w:tab w:val="left" w:pos="1080"/>
          <w:tab w:val="left" w:pos="8640"/>
        </w:tabs>
        <w:ind w:left="720" w:right="720"/>
        <w:rPr>
          <w:rFonts w:asciiTheme="majorHAnsi" w:hAnsiTheme="majorHAnsi"/>
          <w:sz w:val="20"/>
          <w:szCs w:val="20"/>
        </w:rPr>
      </w:pPr>
      <w:r w:rsidRPr="003F29ED">
        <w:rPr>
          <w:rFonts w:asciiTheme="majorHAnsi" w:hAnsiTheme="majorHAnsi"/>
          <w:i/>
          <w:sz w:val="20"/>
          <w:szCs w:val="20"/>
        </w:rPr>
        <w:t>(…)”</w:t>
      </w:r>
    </w:p>
    <w:p w:rsidR="00163E72" w:rsidRPr="003F29ED" w:rsidRDefault="00163E72" w:rsidP="007C27AB">
      <w:pPr>
        <w:tabs>
          <w:tab w:val="left" w:pos="1080"/>
          <w:tab w:val="left" w:pos="8640"/>
        </w:tabs>
        <w:ind w:left="720" w:right="720"/>
        <w:rPr>
          <w:rFonts w:asciiTheme="majorHAnsi" w:hAnsiTheme="majorHAnsi"/>
          <w:b/>
          <w:sz w:val="20"/>
          <w:szCs w:val="20"/>
        </w:rPr>
      </w:pPr>
    </w:p>
    <w:p w:rsidR="00163E72" w:rsidRPr="003F29ED" w:rsidRDefault="00163E72" w:rsidP="007C27AB">
      <w:pPr>
        <w:keepNext/>
        <w:keepLines/>
        <w:tabs>
          <w:tab w:val="left" w:pos="1080"/>
          <w:tab w:val="left" w:pos="8640"/>
        </w:tabs>
        <w:ind w:left="720" w:right="720"/>
        <w:jc w:val="center"/>
        <w:outlineLvl w:val="0"/>
        <w:rPr>
          <w:rFonts w:asciiTheme="majorHAnsi" w:hAnsiTheme="majorHAnsi"/>
          <w:b/>
          <w:sz w:val="20"/>
          <w:szCs w:val="20"/>
        </w:rPr>
      </w:pPr>
      <w:r w:rsidRPr="003F29ED">
        <w:rPr>
          <w:rFonts w:asciiTheme="majorHAnsi" w:hAnsiTheme="majorHAnsi"/>
          <w:b/>
          <w:sz w:val="20"/>
          <w:szCs w:val="20"/>
        </w:rPr>
        <w:t xml:space="preserve">FOLLOW-UP ON IMPLEMENTATION OF THE FRIENDLY SETTLEMENT AGREEMENT </w:t>
      </w:r>
    </w:p>
    <w:p w:rsidR="00163E72" w:rsidRPr="003F29ED" w:rsidRDefault="00163E72" w:rsidP="007C27AB">
      <w:pPr>
        <w:keepNext/>
        <w:keepLines/>
        <w:tabs>
          <w:tab w:val="left" w:pos="1080"/>
          <w:tab w:val="left" w:pos="8640"/>
        </w:tabs>
        <w:ind w:left="720" w:right="720"/>
        <w:jc w:val="center"/>
        <w:outlineLvl w:val="0"/>
        <w:rPr>
          <w:rFonts w:asciiTheme="majorHAnsi" w:hAnsiTheme="majorHAnsi"/>
          <w:b/>
          <w:sz w:val="20"/>
          <w:szCs w:val="20"/>
        </w:rPr>
      </w:pPr>
    </w:p>
    <w:p w:rsidR="00163E72" w:rsidRPr="003F29ED" w:rsidRDefault="00163E72" w:rsidP="007C27AB">
      <w:pPr>
        <w:tabs>
          <w:tab w:val="left" w:pos="1080"/>
          <w:tab w:val="left" w:pos="8640"/>
        </w:tabs>
        <w:ind w:left="720" w:right="720"/>
        <w:contextualSpacing/>
        <w:jc w:val="both"/>
        <w:rPr>
          <w:rFonts w:asciiTheme="majorHAnsi" w:hAnsiTheme="majorHAnsi"/>
          <w:sz w:val="20"/>
          <w:szCs w:val="20"/>
        </w:rPr>
      </w:pPr>
      <w:r w:rsidRPr="003F29ED">
        <w:rPr>
          <w:rFonts w:asciiTheme="majorHAnsi" w:hAnsiTheme="majorHAnsi"/>
          <w:sz w:val="20"/>
          <w:szCs w:val="20"/>
        </w:rPr>
        <w:t>Entering into the instant friendly settlement agreement and effective compliance therewith will enable the petitioners (</w:t>
      </w:r>
      <w:r w:rsidRPr="003F29ED">
        <w:rPr>
          <w:rFonts w:asciiTheme="majorHAnsi" w:eastAsia="Times New Roman" w:hAnsiTheme="majorHAnsi"/>
          <w:sz w:val="20"/>
          <w:szCs w:val="20"/>
          <w:lang w:eastAsia="es-ES"/>
        </w:rPr>
        <w:t>Emilia Morales Campos and Jennifer Emilia Morales Campos) of this case, and Miss</w:t>
      </w:r>
      <w:r w:rsidRPr="003F29ED">
        <w:rPr>
          <w:rFonts w:asciiTheme="majorHAnsi" w:eastAsia="Times New Roman" w:hAnsiTheme="majorHAnsi"/>
          <w:sz w:val="20"/>
          <w:szCs w:val="20"/>
          <w:lang w:eastAsia="es-CR"/>
        </w:rPr>
        <w:t xml:space="preserve"> Ivannia Moya Morales (granddaughter of Mrs. Morales Campos), to receive from the Costa Rican State, the definitive solution to their housing problem. </w:t>
      </w:r>
    </w:p>
    <w:p w:rsidR="00163E72" w:rsidRPr="003F29ED" w:rsidRDefault="00163E72" w:rsidP="007C27AB">
      <w:pPr>
        <w:tabs>
          <w:tab w:val="left" w:pos="1080"/>
          <w:tab w:val="left" w:pos="8640"/>
        </w:tabs>
        <w:ind w:left="720" w:right="720"/>
        <w:contextualSpacing/>
        <w:jc w:val="both"/>
        <w:rPr>
          <w:rFonts w:asciiTheme="majorHAnsi" w:hAnsiTheme="majorHAnsi"/>
          <w:sz w:val="20"/>
          <w:szCs w:val="20"/>
        </w:rPr>
      </w:pPr>
    </w:p>
    <w:p w:rsidR="00163E72" w:rsidRPr="003F29ED" w:rsidRDefault="008D7EC1" w:rsidP="007C27AB">
      <w:pPr>
        <w:tabs>
          <w:tab w:val="left" w:pos="1080"/>
          <w:tab w:val="left" w:pos="8640"/>
        </w:tabs>
        <w:ind w:left="720" w:right="720"/>
        <w:jc w:val="both"/>
        <w:rPr>
          <w:rFonts w:asciiTheme="majorHAnsi" w:hAnsiTheme="majorHAnsi"/>
          <w:sz w:val="20"/>
          <w:szCs w:val="20"/>
        </w:rPr>
      </w:pPr>
      <w:r w:rsidRPr="008D7EC1">
        <w:rPr>
          <w:rFonts w:asciiTheme="majorHAnsi" w:hAnsiTheme="majorHAnsi"/>
          <w:sz w:val="20"/>
          <w:szCs w:val="20"/>
        </w:rPr>
        <w:t>At the same time</w:t>
      </w:r>
      <w:r w:rsidR="00163E72" w:rsidRPr="003F29ED">
        <w:rPr>
          <w:rFonts w:asciiTheme="majorHAnsi" w:hAnsiTheme="majorHAnsi"/>
          <w:sz w:val="20"/>
          <w:szCs w:val="20"/>
        </w:rPr>
        <w:t xml:space="preserve">, the </w:t>
      </w:r>
      <w:r>
        <w:rPr>
          <w:rFonts w:asciiTheme="majorHAnsi" w:hAnsiTheme="majorHAnsi"/>
          <w:sz w:val="20"/>
          <w:szCs w:val="20"/>
        </w:rPr>
        <w:t>present</w:t>
      </w:r>
      <w:r w:rsidR="00163E72" w:rsidRPr="003F29ED">
        <w:rPr>
          <w:rFonts w:asciiTheme="majorHAnsi" w:hAnsiTheme="majorHAnsi"/>
          <w:sz w:val="20"/>
          <w:szCs w:val="20"/>
        </w:rPr>
        <w:t xml:space="preserve"> friendly settlement agreement is an opportunity for the State, in the words of the IACHR, “to demonstrate its commitment to its duty to respect and ensure human rights, and its good faith compliance with its obligations under the American Convention and other regional human rights instruments.”</w:t>
      </w:r>
      <w:r w:rsidR="00163E72" w:rsidRPr="003F29ED">
        <w:rPr>
          <w:rFonts w:asciiTheme="majorHAnsi" w:hAnsiTheme="majorHAnsi"/>
          <w:sz w:val="20"/>
          <w:szCs w:val="20"/>
          <w:vertAlign w:val="superscript"/>
        </w:rPr>
        <w:footnoteReference w:id="16"/>
      </w:r>
      <w:r w:rsidR="00163E72" w:rsidRPr="003F29ED">
        <w:rPr>
          <w:rFonts w:asciiTheme="majorHAnsi" w:hAnsiTheme="majorHAnsi"/>
          <w:sz w:val="20"/>
          <w:szCs w:val="20"/>
        </w:rPr>
        <w:t xml:space="preserve"> </w:t>
      </w:r>
    </w:p>
    <w:p w:rsidR="00163E72" w:rsidRPr="003F29ED" w:rsidRDefault="00163E72" w:rsidP="007C27AB">
      <w:pPr>
        <w:tabs>
          <w:tab w:val="left" w:pos="1080"/>
          <w:tab w:val="left" w:pos="8640"/>
        </w:tabs>
        <w:ind w:left="720" w:right="720"/>
        <w:jc w:val="both"/>
        <w:rPr>
          <w:rFonts w:asciiTheme="majorHAnsi" w:hAnsiTheme="majorHAnsi"/>
          <w:sz w:val="20"/>
          <w:szCs w:val="20"/>
        </w:rPr>
      </w:pPr>
    </w:p>
    <w:p w:rsidR="00163E72" w:rsidRPr="003F29ED" w:rsidRDefault="00163E72" w:rsidP="007C27AB">
      <w:pPr>
        <w:tabs>
          <w:tab w:val="left" w:pos="1080"/>
          <w:tab w:val="left" w:pos="8640"/>
        </w:tabs>
        <w:ind w:left="720" w:right="720"/>
        <w:jc w:val="both"/>
        <w:rPr>
          <w:rFonts w:asciiTheme="majorHAnsi" w:hAnsiTheme="majorHAnsi"/>
          <w:sz w:val="20"/>
          <w:szCs w:val="20"/>
        </w:rPr>
      </w:pPr>
      <w:r w:rsidRPr="003F29ED">
        <w:rPr>
          <w:rFonts w:asciiTheme="majorHAnsi" w:hAnsiTheme="majorHAnsi"/>
          <w:sz w:val="20"/>
          <w:szCs w:val="20"/>
        </w:rPr>
        <w:t>As put by the IACHR, the effectiveness of the friendly settlement mechanism relies on both the willingness of the parties to reach a friendly settlement in the matter, and on the level of implementation of the measures of reparation agreed upon therein. This is because “States have the duty to comply fully and in good faith with the commitments they contain.”</w:t>
      </w:r>
      <w:r w:rsidRPr="003F29ED">
        <w:rPr>
          <w:rFonts w:asciiTheme="majorHAnsi" w:hAnsiTheme="majorHAnsi"/>
          <w:sz w:val="20"/>
          <w:szCs w:val="20"/>
          <w:vertAlign w:val="superscript"/>
        </w:rPr>
        <w:footnoteReference w:id="17"/>
      </w:r>
    </w:p>
    <w:p w:rsidR="00163E72" w:rsidRPr="003F29ED" w:rsidRDefault="00163E72" w:rsidP="007C27AB">
      <w:pPr>
        <w:tabs>
          <w:tab w:val="left" w:pos="1080"/>
          <w:tab w:val="left" w:pos="8640"/>
        </w:tabs>
        <w:ind w:left="720" w:right="720"/>
        <w:jc w:val="both"/>
        <w:rPr>
          <w:rFonts w:asciiTheme="majorHAnsi" w:hAnsiTheme="majorHAnsi"/>
          <w:sz w:val="20"/>
          <w:szCs w:val="20"/>
        </w:rPr>
      </w:pPr>
    </w:p>
    <w:p w:rsidR="00163E72" w:rsidRPr="003F29ED" w:rsidRDefault="00163E72" w:rsidP="007C27AB">
      <w:pPr>
        <w:tabs>
          <w:tab w:val="left" w:pos="1080"/>
          <w:tab w:val="left" w:pos="8640"/>
        </w:tabs>
        <w:ind w:left="720" w:right="720"/>
        <w:jc w:val="both"/>
        <w:rPr>
          <w:rFonts w:asciiTheme="majorHAnsi" w:hAnsiTheme="majorHAnsi"/>
          <w:sz w:val="20"/>
          <w:szCs w:val="20"/>
        </w:rPr>
      </w:pPr>
      <w:r w:rsidRPr="003F29ED">
        <w:rPr>
          <w:rFonts w:asciiTheme="majorHAnsi" w:hAnsiTheme="majorHAnsi"/>
          <w:sz w:val="20"/>
          <w:szCs w:val="20"/>
        </w:rPr>
        <w:t xml:space="preserve">Thus, in order to ensure compliance with the measures agreed upon in the instant agreement in keeping with the principle of good faith, and in order to ensure appropriate follow-up to the implementation thereof, the parties will: </w:t>
      </w:r>
    </w:p>
    <w:p w:rsidR="00163E72" w:rsidRPr="003F29ED" w:rsidRDefault="00163E72" w:rsidP="007C27AB">
      <w:pPr>
        <w:tabs>
          <w:tab w:val="left" w:pos="1080"/>
          <w:tab w:val="left" w:pos="8640"/>
        </w:tabs>
        <w:ind w:left="720" w:right="720"/>
        <w:jc w:val="both"/>
        <w:rPr>
          <w:rFonts w:asciiTheme="majorHAnsi" w:hAnsiTheme="majorHAnsi"/>
          <w:sz w:val="20"/>
          <w:szCs w:val="20"/>
        </w:rPr>
      </w:pPr>
    </w:p>
    <w:p w:rsidR="00163E72" w:rsidRPr="003F29ED" w:rsidRDefault="00163E72" w:rsidP="00364222">
      <w:pPr>
        <w:numPr>
          <w:ilvl w:val="0"/>
          <w:numId w:val="63"/>
        </w:numPr>
        <w:tabs>
          <w:tab w:val="left" w:pos="1080"/>
          <w:tab w:val="left" w:pos="8640"/>
        </w:tabs>
        <w:ind w:right="720" w:firstLine="0"/>
        <w:contextualSpacing/>
        <w:jc w:val="both"/>
        <w:rPr>
          <w:rFonts w:asciiTheme="majorHAnsi" w:hAnsiTheme="majorHAnsi"/>
          <w:sz w:val="20"/>
          <w:szCs w:val="20"/>
        </w:rPr>
      </w:pPr>
      <w:r w:rsidRPr="003F29ED">
        <w:rPr>
          <w:rFonts w:asciiTheme="majorHAnsi" w:hAnsiTheme="majorHAnsi"/>
          <w:sz w:val="20"/>
          <w:szCs w:val="20"/>
        </w:rPr>
        <w:t xml:space="preserve">Apprise the Inter-American Commission on Human Rights about progress in complying with the instant friendly settlement agreement. </w:t>
      </w:r>
    </w:p>
    <w:p w:rsidR="00163E72" w:rsidRPr="003F29ED" w:rsidRDefault="00163E72" w:rsidP="007C27AB">
      <w:pPr>
        <w:tabs>
          <w:tab w:val="left" w:pos="1080"/>
          <w:tab w:val="left" w:pos="8640"/>
        </w:tabs>
        <w:ind w:left="720" w:right="720"/>
        <w:contextualSpacing/>
        <w:jc w:val="both"/>
        <w:rPr>
          <w:rFonts w:asciiTheme="majorHAnsi" w:hAnsiTheme="majorHAnsi"/>
          <w:sz w:val="20"/>
          <w:szCs w:val="20"/>
        </w:rPr>
      </w:pPr>
    </w:p>
    <w:p w:rsidR="00163E72" w:rsidRPr="003F29ED" w:rsidRDefault="00163E72" w:rsidP="00364222">
      <w:pPr>
        <w:numPr>
          <w:ilvl w:val="0"/>
          <w:numId w:val="63"/>
        </w:numPr>
        <w:tabs>
          <w:tab w:val="left" w:pos="1080"/>
          <w:tab w:val="left" w:pos="8640"/>
        </w:tabs>
        <w:ind w:right="720" w:firstLine="0"/>
        <w:contextualSpacing/>
        <w:jc w:val="both"/>
        <w:rPr>
          <w:rFonts w:asciiTheme="majorHAnsi" w:eastAsia="Times New Roman" w:hAnsiTheme="majorHAnsi"/>
          <w:sz w:val="20"/>
          <w:szCs w:val="20"/>
          <w:lang w:eastAsia="es-ES_tradnl"/>
        </w:rPr>
      </w:pPr>
      <w:r w:rsidRPr="003F29ED">
        <w:rPr>
          <w:rFonts w:asciiTheme="majorHAnsi" w:hAnsiTheme="majorHAnsi"/>
          <w:sz w:val="20"/>
          <w:szCs w:val="20"/>
        </w:rPr>
        <w:t xml:space="preserve">Only request approval of the instant agreement from the Inter-American Commission on Human Rights jointly and in writing, at such time that compliance with the measure contained therein has taken place, which is: that a house has been awarded in accordance with Law No. 7600, under the system of the Family Housing Voucher, which will be built on Plot of Land No. 4 of the Calle La Cedeña housing Project (property registered in the sector of Alajuela real property folio </w:t>
      </w:r>
      <w:r w:rsidRPr="003F29ED">
        <w:rPr>
          <w:rFonts w:asciiTheme="majorHAnsi" w:eastAsia="Times New Roman" w:hAnsiTheme="majorHAnsi"/>
          <w:sz w:val="20"/>
          <w:szCs w:val="20"/>
        </w:rPr>
        <w:t>525479-000, located in District 7 Puente Piedra, Cantón 3 Grecia, Province 2 Alajuela</w:t>
      </w:r>
      <w:r w:rsidRPr="003F29ED">
        <w:rPr>
          <w:rFonts w:asciiTheme="majorHAnsi" w:hAnsiTheme="majorHAnsi"/>
          <w:sz w:val="20"/>
          <w:szCs w:val="20"/>
        </w:rPr>
        <w:t>). As was fully explained under the section heading Individual Reparation Measures of the instant friendly settlement agreement.</w:t>
      </w:r>
    </w:p>
    <w:p w:rsidR="00163E72" w:rsidRPr="003F29ED" w:rsidRDefault="00163E72" w:rsidP="00163E72">
      <w:pPr>
        <w:pStyle w:val="ListParagraph"/>
        <w:contextualSpacing/>
        <w:rPr>
          <w:rFonts w:asciiTheme="majorHAnsi" w:hAnsiTheme="majorHAnsi"/>
          <w:b/>
          <w:sz w:val="20"/>
          <w:szCs w:val="20"/>
        </w:rPr>
      </w:pPr>
    </w:p>
    <w:p w:rsidR="00163E72" w:rsidRPr="003F29ED" w:rsidRDefault="00163E72" w:rsidP="00163E72">
      <w:pPr>
        <w:contextualSpacing/>
        <w:rPr>
          <w:rFonts w:asciiTheme="majorHAnsi" w:hAnsiTheme="majorHAnsi"/>
          <w:b/>
          <w:sz w:val="20"/>
          <w:szCs w:val="20"/>
        </w:rPr>
      </w:pPr>
    </w:p>
    <w:p w:rsidR="00163E72" w:rsidRPr="003F29ED" w:rsidRDefault="00163E72" w:rsidP="00364222">
      <w:pPr>
        <w:pStyle w:val="ListParagraph"/>
        <w:numPr>
          <w:ilvl w:val="0"/>
          <w:numId w:val="52"/>
        </w:numPr>
        <w:tabs>
          <w:tab w:val="left" w:pos="1440"/>
        </w:tabs>
        <w:ind w:left="0" w:firstLine="720"/>
        <w:contextualSpacing/>
        <w:rPr>
          <w:rFonts w:asciiTheme="majorHAnsi" w:hAnsiTheme="majorHAnsi"/>
          <w:b/>
          <w:sz w:val="20"/>
          <w:szCs w:val="20"/>
        </w:rPr>
      </w:pPr>
      <w:r w:rsidRPr="003F29ED">
        <w:rPr>
          <w:rFonts w:asciiTheme="majorHAnsi" w:hAnsiTheme="majorHAnsi"/>
          <w:b/>
          <w:sz w:val="20"/>
          <w:szCs w:val="20"/>
        </w:rPr>
        <w:t>DETERMINATION OF COMPATIBILITY AND COMPLIANCE.</w:t>
      </w:r>
    </w:p>
    <w:p w:rsidR="00163E72" w:rsidRPr="003F29ED" w:rsidRDefault="00163E72" w:rsidP="00163E72">
      <w:pPr>
        <w:pStyle w:val="ListParagraph"/>
        <w:ind w:left="0" w:firstLine="720"/>
        <w:rPr>
          <w:rFonts w:asciiTheme="majorHAnsi" w:hAnsiTheme="majorHAnsi"/>
          <w:b/>
          <w:sz w:val="20"/>
          <w:szCs w:val="20"/>
        </w:rPr>
      </w:pPr>
    </w:p>
    <w:p w:rsidR="00163E72" w:rsidRPr="003F29ED" w:rsidRDefault="00163E72" w:rsidP="00364222">
      <w:pPr>
        <w:pStyle w:val="ListParagraph"/>
        <w:numPr>
          <w:ilvl w:val="0"/>
          <w:numId w:val="65"/>
        </w:numPr>
        <w:pBdr>
          <w:top w:val="nil"/>
          <w:left w:val="nil"/>
          <w:bottom w:val="nil"/>
          <w:right w:val="nil"/>
          <w:between w:val="nil"/>
          <w:bar w:val="nil"/>
        </w:pBdr>
        <w:tabs>
          <w:tab w:val="num" w:pos="180"/>
          <w:tab w:val="left" w:pos="720"/>
          <w:tab w:val="left" w:pos="810"/>
        </w:tabs>
        <w:ind w:left="0" w:firstLine="720"/>
        <w:jc w:val="both"/>
        <w:rPr>
          <w:rFonts w:asciiTheme="majorHAnsi" w:hAnsiTheme="majorHAnsi" w:cs="Calibri"/>
          <w:sz w:val="20"/>
          <w:szCs w:val="20"/>
        </w:rPr>
      </w:pPr>
      <w:r w:rsidRPr="003F29ED">
        <w:rPr>
          <w:rFonts w:asciiTheme="majorHAnsi" w:hAnsiTheme="majorHAnsi" w:cs="Calibri"/>
          <w:sz w:val="20"/>
          <w:szCs w:val="20"/>
        </w:rPr>
        <w:t xml:space="preserve">The IACHR reiterates that pursuant to Articles 48.1 and 49 of the American Convention, the purpose of this proceeding is “to reach a friendly settlement of the matter on the basis of respect for the human rights recognized in this Convention.” Accepting this procedure to be carried out is an expression of the State’s </w:t>
      </w:r>
      <w:r w:rsidRPr="003F29ED">
        <w:rPr>
          <w:rFonts w:asciiTheme="majorHAnsi" w:hAnsiTheme="majorHAnsi" w:cs="Calibri"/>
          <w:sz w:val="20"/>
          <w:szCs w:val="20"/>
        </w:rPr>
        <w:lastRenderedPageBreak/>
        <w:t xml:space="preserve">good faith in fulfilling the purposes and objectives of the Convention under the principle of </w:t>
      </w:r>
      <w:r w:rsidRPr="003F29ED">
        <w:rPr>
          <w:rFonts w:asciiTheme="majorHAnsi" w:hAnsiTheme="majorHAnsi" w:cs="Calibri"/>
          <w:i/>
          <w:sz w:val="20"/>
          <w:szCs w:val="20"/>
        </w:rPr>
        <w:t>pacta sunt servanda,</w:t>
      </w:r>
      <w:r w:rsidRPr="003F29ED">
        <w:rPr>
          <w:rFonts w:asciiTheme="majorHAnsi" w:hAnsiTheme="majorHAnsi" w:cs="Calibri"/>
          <w:sz w:val="20"/>
          <w:szCs w:val="20"/>
        </w:rPr>
        <w:t xml:space="preserve"> whereby States must discharge in good faith the duties undertaken by them in treaties.</w:t>
      </w:r>
      <w:r w:rsidRPr="003F29ED">
        <w:rPr>
          <w:rStyle w:val="FootnoteReference"/>
          <w:rFonts w:asciiTheme="majorHAnsi" w:hAnsiTheme="majorHAnsi" w:cs="Calibri"/>
          <w:sz w:val="20"/>
          <w:szCs w:val="20"/>
        </w:rPr>
        <w:footnoteReference w:id="18"/>
      </w:r>
      <w:r w:rsidRPr="003F29ED">
        <w:rPr>
          <w:rFonts w:asciiTheme="majorHAnsi" w:hAnsiTheme="majorHAnsi" w:cs="Calibri"/>
          <w:sz w:val="20"/>
          <w:szCs w:val="20"/>
        </w:rPr>
        <w:t xml:space="preserve">  The Commission also underscores that the friendly settlement procedure set forth in the Convention provides for disposition of individual cases in a non-contentious manner and has proven, in cases concerning a variety of countries, to offer an important avenue of </w:t>
      </w:r>
      <w:r w:rsidR="00353643" w:rsidRPr="003F29ED">
        <w:rPr>
          <w:rFonts w:asciiTheme="majorHAnsi" w:hAnsiTheme="majorHAnsi" w:cs="Calibri"/>
          <w:sz w:val="20"/>
          <w:szCs w:val="20"/>
        </w:rPr>
        <w:t>settlement that</w:t>
      </w:r>
      <w:r w:rsidRPr="003F29ED">
        <w:rPr>
          <w:rFonts w:asciiTheme="majorHAnsi" w:hAnsiTheme="majorHAnsi" w:cs="Calibri"/>
          <w:sz w:val="20"/>
          <w:szCs w:val="20"/>
        </w:rPr>
        <w:t xml:space="preserve"> is availa</w:t>
      </w:r>
      <w:r w:rsidR="00E50693">
        <w:rPr>
          <w:rFonts w:asciiTheme="majorHAnsi" w:hAnsiTheme="majorHAnsi" w:cs="Calibri"/>
          <w:sz w:val="20"/>
          <w:szCs w:val="20"/>
        </w:rPr>
        <w:t>ble for use by both parties.</w:t>
      </w:r>
    </w:p>
    <w:p w:rsidR="00163E72" w:rsidRPr="003F29ED" w:rsidRDefault="00163E72" w:rsidP="00163E72">
      <w:pPr>
        <w:pStyle w:val="ListParagraph"/>
        <w:tabs>
          <w:tab w:val="left" w:pos="0"/>
          <w:tab w:val="left" w:pos="180"/>
          <w:tab w:val="left" w:pos="810"/>
        </w:tabs>
        <w:ind w:left="0" w:firstLine="720"/>
        <w:jc w:val="both"/>
        <w:rPr>
          <w:rFonts w:asciiTheme="majorHAnsi" w:hAnsiTheme="majorHAnsi" w:cs="Calibri"/>
          <w:sz w:val="20"/>
          <w:szCs w:val="20"/>
        </w:rPr>
      </w:pPr>
    </w:p>
    <w:p w:rsidR="00163E72" w:rsidRPr="003F29ED" w:rsidRDefault="00163E72" w:rsidP="00364222">
      <w:pPr>
        <w:pStyle w:val="ListParagraph"/>
        <w:numPr>
          <w:ilvl w:val="0"/>
          <w:numId w:val="65"/>
        </w:numPr>
        <w:pBdr>
          <w:top w:val="nil"/>
          <w:left w:val="nil"/>
          <w:bottom w:val="nil"/>
          <w:right w:val="nil"/>
          <w:between w:val="nil"/>
          <w:bar w:val="nil"/>
        </w:pBdr>
        <w:tabs>
          <w:tab w:val="left" w:pos="0"/>
          <w:tab w:val="num" w:pos="180"/>
          <w:tab w:val="left" w:pos="810"/>
        </w:tabs>
        <w:ind w:left="0" w:firstLine="720"/>
        <w:jc w:val="both"/>
        <w:rPr>
          <w:rFonts w:asciiTheme="majorHAnsi" w:hAnsiTheme="majorHAnsi" w:cs="Calibri"/>
          <w:sz w:val="20"/>
          <w:szCs w:val="20"/>
        </w:rPr>
      </w:pPr>
      <w:r w:rsidRPr="003F29ED">
        <w:rPr>
          <w:rFonts w:asciiTheme="majorHAnsi" w:hAnsiTheme="majorHAnsi" w:cs="Calibri"/>
          <w:sz w:val="20"/>
          <w:szCs w:val="20"/>
        </w:rPr>
        <w:t xml:space="preserve">The Inter-American Commission greatly appreciates the efforts displayed by both parties during agreement negotiations to reach this friendly settlement, which is compatible with the object and purpose of the Convention. </w:t>
      </w:r>
    </w:p>
    <w:p w:rsidR="00163E72" w:rsidRPr="003F29ED" w:rsidRDefault="00163E72" w:rsidP="00163E72">
      <w:pPr>
        <w:pStyle w:val="ListParagraph"/>
        <w:tabs>
          <w:tab w:val="left" w:pos="0"/>
          <w:tab w:val="left" w:pos="810"/>
        </w:tabs>
        <w:jc w:val="both"/>
        <w:rPr>
          <w:rFonts w:asciiTheme="majorHAnsi" w:hAnsiTheme="majorHAnsi" w:cs="Calibri"/>
          <w:sz w:val="20"/>
          <w:szCs w:val="20"/>
        </w:rPr>
      </w:pPr>
    </w:p>
    <w:p w:rsidR="00163E72" w:rsidRPr="003F29ED" w:rsidRDefault="00163E72" w:rsidP="00364222">
      <w:pPr>
        <w:pStyle w:val="ListParagraph"/>
        <w:numPr>
          <w:ilvl w:val="0"/>
          <w:numId w:val="65"/>
        </w:numPr>
        <w:pBdr>
          <w:top w:val="nil"/>
          <w:left w:val="nil"/>
          <w:bottom w:val="nil"/>
          <w:right w:val="nil"/>
          <w:between w:val="nil"/>
          <w:bar w:val="nil"/>
        </w:pBdr>
        <w:tabs>
          <w:tab w:val="left" w:pos="0"/>
          <w:tab w:val="num" w:pos="180"/>
          <w:tab w:val="left" w:pos="810"/>
        </w:tabs>
        <w:ind w:left="0" w:firstLine="720"/>
        <w:jc w:val="both"/>
        <w:rPr>
          <w:rFonts w:asciiTheme="majorHAnsi" w:hAnsiTheme="majorHAnsi" w:cs="Calibri"/>
          <w:sz w:val="20"/>
          <w:szCs w:val="20"/>
        </w:rPr>
      </w:pPr>
      <w:r w:rsidRPr="003F29ED">
        <w:rPr>
          <w:rFonts w:asciiTheme="majorHAnsi" w:hAnsiTheme="majorHAnsi" w:cs="Calibri"/>
          <w:sz w:val="20"/>
          <w:szCs w:val="20"/>
        </w:rPr>
        <w:t xml:space="preserve">Pursuant to the provisions of the friendly settlement agreement, the parties have jointly requested the Commission to approve the report, in accordance with Article 49 of the American Convention. </w:t>
      </w:r>
    </w:p>
    <w:p w:rsidR="00163E72" w:rsidRPr="003F29ED" w:rsidRDefault="00163E72" w:rsidP="00163E72">
      <w:pPr>
        <w:pStyle w:val="ListParagraph"/>
        <w:tabs>
          <w:tab w:val="left" w:pos="0"/>
          <w:tab w:val="left" w:pos="180"/>
          <w:tab w:val="left" w:pos="810"/>
        </w:tabs>
        <w:jc w:val="both"/>
        <w:rPr>
          <w:rFonts w:asciiTheme="majorHAnsi" w:hAnsiTheme="majorHAnsi" w:cs="Calibri"/>
          <w:sz w:val="20"/>
          <w:szCs w:val="20"/>
        </w:rPr>
      </w:pPr>
    </w:p>
    <w:p w:rsidR="00163E72" w:rsidRPr="003F29ED" w:rsidRDefault="00163E72" w:rsidP="00364222">
      <w:pPr>
        <w:pStyle w:val="ListParagraph"/>
        <w:numPr>
          <w:ilvl w:val="0"/>
          <w:numId w:val="65"/>
        </w:numPr>
        <w:pBdr>
          <w:top w:val="nil"/>
          <w:left w:val="nil"/>
          <w:bottom w:val="nil"/>
          <w:right w:val="nil"/>
          <w:between w:val="nil"/>
          <w:bar w:val="nil"/>
        </w:pBdr>
        <w:tabs>
          <w:tab w:val="left" w:pos="0"/>
          <w:tab w:val="num" w:pos="180"/>
          <w:tab w:val="left" w:pos="810"/>
        </w:tabs>
        <w:ind w:left="0" w:firstLine="720"/>
        <w:jc w:val="both"/>
        <w:rPr>
          <w:rFonts w:asciiTheme="majorHAnsi" w:hAnsiTheme="majorHAnsi" w:cs="Calibri"/>
          <w:sz w:val="20"/>
          <w:szCs w:val="20"/>
        </w:rPr>
      </w:pPr>
      <w:r w:rsidRPr="003F29ED">
        <w:rPr>
          <w:rFonts w:asciiTheme="majorHAnsi" w:hAnsiTheme="majorHAnsi" w:cs="Calibri"/>
          <w:sz w:val="20"/>
          <w:szCs w:val="20"/>
        </w:rPr>
        <w:t xml:space="preserve">The IACHR notes that because of the information provided by the parties thus far and the request for approval of the FSA submitted by the parties to the Commission, it is the Commission’s duty to assess compliance with the commitments set forth in the friendly settlement agreement. </w:t>
      </w:r>
    </w:p>
    <w:p w:rsidR="00163E72" w:rsidRPr="003F29ED" w:rsidRDefault="00163E72" w:rsidP="00163E72">
      <w:pPr>
        <w:rPr>
          <w:rFonts w:asciiTheme="majorHAnsi" w:hAnsiTheme="majorHAnsi" w:cs="Calibri"/>
          <w:sz w:val="20"/>
          <w:szCs w:val="20"/>
        </w:rPr>
      </w:pPr>
    </w:p>
    <w:p w:rsidR="00163E72" w:rsidRPr="003F29ED" w:rsidRDefault="00163E72" w:rsidP="00364222">
      <w:pPr>
        <w:pStyle w:val="ListParagraph"/>
        <w:numPr>
          <w:ilvl w:val="0"/>
          <w:numId w:val="65"/>
        </w:numPr>
        <w:pBdr>
          <w:top w:val="nil"/>
          <w:left w:val="nil"/>
          <w:bottom w:val="nil"/>
          <w:right w:val="nil"/>
          <w:between w:val="nil"/>
          <w:bar w:val="nil"/>
        </w:pBdr>
        <w:tabs>
          <w:tab w:val="left" w:pos="0"/>
          <w:tab w:val="num" w:pos="180"/>
          <w:tab w:val="left" w:pos="810"/>
        </w:tabs>
        <w:ind w:left="0" w:firstLine="720"/>
        <w:jc w:val="both"/>
        <w:rPr>
          <w:rFonts w:asciiTheme="majorHAnsi" w:hAnsiTheme="majorHAnsi" w:cs="Calibri"/>
          <w:sz w:val="20"/>
          <w:szCs w:val="20"/>
        </w:rPr>
      </w:pPr>
      <w:r w:rsidRPr="003F29ED">
        <w:rPr>
          <w:rFonts w:asciiTheme="majorHAnsi" w:hAnsiTheme="majorHAnsi" w:cs="Calibri"/>
          <w:sz w:val="20"/>
          <w:szCs w:val="20"/>
        </w:rPr>
        <w:t xml:space="preserve">According to the State’s report of July 20, 2018, during the signing ceremony of the friendly settlement agreement, which was attended by Commissioner Esmeralda Arosemena de Troitiño in her capacity as witness of honor and First Vice President of the Commission, the Former Foreign Minister of the Republic of Costa Rica offered apologies to petitioner Emilia Morales Campos, on behalf of the State of Costa Rica. At said ceremony, the following words were spoken: </w:t>
      </w:r>
    </w:p>
    <w:p w:rsidR="00163E72" w:rsidRPr="003F29ED" w:rsidRDefault="00163E72" w:rsidP="00163E72">
      <w:pPr>
        <w:pStyle w:val="ListParagraph"/>
        <w:rPr>
          <w:rFonts w:asciiTheme="majorHAnsi" w:hAnsiTheme="majorHAnsi" w:cs="Calibri"/>
          <w:sz w:val="20"/>
          <w:szCs w:val="20"/>
        </w:rPr>
      </w:pPr>
    </w:p>
    <w:p w:rsidR="00163E72" w:rsidRPr="003F29ED" w:rsidRDefault="00163E72" w:rsidP="00163E72">
      <w:pPr>
        <w:tabs>
          <w:tab w:val="num" w:pos="180"/>
          <w:tab w:val="left" w:pos="810"/>
        </w:tabs>
        <w:ind w:left="720" w:right="720"/>
        <w:jc w:val="both"/>
        <w:rPr>
          <w:rFonts w:asciiTheme="majorHAnsi" w:hAnsiTheme="majorHAnsi" w:cs="Calibri"/>
          <w:sz w:val="20"/>
          <w:szCs w:val="20"/>
        </w:rPr>
      </w:pPr>
      <w:r w:rsidRPr="003F29ED">
        <w:rPr>
          <w:rFonts w:asciiTheme="majorHAnsi" w:hAnsiTheme="majorHAnsi" w:cs="Calibri"/>
          <w:sz w:val="20"/>
          <w:szCs w:val="20"/>
        </w:rPr>
        <w:t>In representation of the Costa Rican State, I apologize to Mrs. Emilia Morales Campos for Case 12.942. Doña Emilia has struggled for years to get the State to reply to an application, where the central issue is protection of the human rights of persons. Therefore, what Doña Emilia has demanded from the State is clear, dignified and safe access to her rights and especially for the protection of her personal integrity, that of her daughter and now, that of her granddaughter. The State must ensure clear procedures for people. Currently, that is what the Costa Rican State is doing, but Doña Emilia experienced a particular and exceptional situation, that took place prior to the development of the current National Housing Finance System (SNFV) was in place in Costa Rica and in a context where the petitioner had no assurances of enhanced State mechanisms, guidance, or accompaniment to gain access to temporary or permanent housing relief. Therefore, as a specific reparation measure, the Costa Rican State is facilitating the awarding of a house under the system of the Family Housing Voucher of the SFNV to Doña Emilia Morales and, thereby, Costa Rica meets its human rights obligations in the context not only of the Inter-American human rights system […].</w:t>
      </w:r>
    </w:p>
    <w:p w:rsidR="00163E72" w:rsidRPr="003F29ED" w:rsidRDefault="00163E72" w:rsidP="00163E72">
      <w:pPr>
        <w:pStyle w:val="ListParagraph"/>
        <w:rPr>
          <w:rFonts w:asciiTheme="majorHAnsi" w:hAnsiTheme="majorHAnsi" w:cs="Calibri"/>
          <w:sz w:val="20"/>
          <w:szCs w:val="20"/>
        </w:rPr>
      </w:pPr>
    </w:p>
    <w:p w:rsidR="00163E72" w:rsidRPr="003F29ED" w:rsidRDefault="00163E72" w:rsidP="00364222">
      <w:pPr>
        <w:pStyle w:val="ListParagraph"/>
        <w:numPr>
          <w:ilvl w:val="0"/>
          <w:numId w:val="65"/>
        </w:numPr>
        <w:pBdr>
          <w:top w:val="nil"/>
          <w:left w:val="nil"/>
          <w:bottom w:val="nil"/>
          <w:right w:val="nil"/>
          <w:between w:val="nil"/>
          <w:bar w:val="nil"/>
        </w:pBdr>
        <w:tabs>
          <w:tab w:val="left" w:pos="0"/>
          <w:tab w:val="num" w:pos="180"/>
          <w:tab w:val="left" w:pos="810"/>
        </w:tabs>
        <w:ind w:left="0" w:firstLine="720"/>
        <w:jc w:val="both"/>
        <w:rPr>
          <w:rFonts w:asciiTheme="majorHAnsi" w:hAnsiTheme="majorHAnsi" w:cs="Calibri"/>
          <w:sz w:val="20"/>
          <w:szCs w:val="20"/>
        </w:rPr>
      </w:pPr>
      <w:r w:rsidRPr="003F29ED">
        <w:rPr>
          <w:rFonts w:asciiTheme="majorHAnsi" w:hAnsiTheme="majorHAnsi" w:cs="Calibri"/>
          <w:sz w:val="20"/>
          <w:szCs w:val="20"/>
        </w:rPr>
        <w:t xml:space="preserve">In this regard, the Commission appreciates the apology of the Costa Rican State and the steps to dignify Mrs. Emilia Morales and her struggle to assert her rights, both in the declarative section of the friendly settlement agreement and in the words of the public officials, who were present at the signing ceremony of said agreement. </w:t>
      </w:r>
    </w:p>
    <w:p w:rsidR="00163E72" w:rsidRPr="003F29ED" w:rsidRDefault="00163E72" w:rsidP="00163E72">
      <w:pPr>
        <w:pStyle w:val="ListParagraph"/>
        <w:tabs>
          <w:tab w:val="left" w:pos="0"/>
          <w:tab w:val="left" w:pos="810"/>
        </w:tabs>
        <w:jc w:val="both"/>
        <w:rPr>
          <w:rFonts w:asciiTheme="majorHAnsi" w:hAnsiTheme="majorHAnsi" w:cs="Calibri"/>
          <w:sz w:val="20"/>
          <w:szCs w:val="20"/>
        </w:rPr>
      </w:pPr>
    </w:p>
    <w:p w:rsidR="00163E72" w:rsidRPr="003F29ED" w:rsidRDefault="00163E72" w:rsidP="00364222">
      <w:pPr>
        <w:pStyle w:val="ListParagraph"/>
        <w:numPr>
          <w:ilvl w:val="0"/>
          <w:numId w:val="65"/>
        </w:numPr>
        <w:pBdr>
          <w:top w:val="nil"/>
          <w:left w:val="nil"/>
          <w:bottom w:val="nil"/>
          <w:right w:val="nil"/>
          <w:between w:val="nil"/>
          <w:bar w:val="nil"/>
        </w:pBdr>
        <w:tabs>
          <w:tab w:val="left" w:pos="0"/>
          <w:tab w:val="num" w:pos="180"/>
          <w:tab w:val="left" w:pos="810"/>
        </w:tabs>
        <w:ind w:left="0" w:firstLine="720"/>
        <w:jc w:val="both"/>
        <w:rPr>
          <w:rFonts w:asciiTheme="majorHAnsi" w:hAnsiTheme="majorHAnsi" w:cs="Calibri"/>
          <w:sz w:val="20"/>
          <w:szCs w:val="20"/>
        </w:rPr>
      </w:pPr>
      <w:r w:rsidRPr="003F29ED">
        <w:rPr>
          <w:rFonts w:asciiTheme="majorHAnsi" w:hAnsiTheme="majorHAnsi" w:cs="Calibri"/>
          <w:sz w:val="20"/>
          <w:szCs w:val="20"/>
        </w:rPr>
        <w:t xml:space="preserve">In relation to clause II Individual Reparation Measure, on October 24, 2018, the petitioner reported that, the house was in the process of being built and that it would be handed over to her in 22 days, because the retention wall was still being constructed.  Furthermore, she expressed her satisfaction with the ongoing process and submitted photographic records of the progress in adapting the house to her needs and bringing it in line with the terms of the friendly settlement agreement. </w:t>
      </w:r>
    </w:p>
    <w:p w:rsidR="00163E72" w:rsidRPr="003F29ED" w:rsidRDefault="00163E72" w:rsidP="00163E72">
      <w:pPr>
        <w:pStyle w:val="ListParagraph"/>
        <w:rPr>
          <w:rFonts w:asciiTheme="majorHAnsi" w:hAnsiTheme="majorHAnsi" w:cs="Calibri"/>
          <w:sz w:val="20"/>
          <w:szCs w:val="20"/>
        </w:rPr>
      </w:pPr>
    </w:p>
    <w:p w:rsidR="00163E72" w:rsidRPr="003F29ED" w:rsidRDefault="00163E72" w:rsidP="00364222">
      <w:pPr>
        <w:pStyle w:val="ListParagraph"/>
        <w:numPr>
          <w:ilvl w:val="0"/>
          <w:numId w:val="65"/>
        </w:numPr>
        <w:pBdr>
          <w:top w:val="nil"/>
          <w:left w:val="nil"/>
          <w:bottom w:val="nil"/>
          <w:right w:val="nil"/>
          <w:between w:val="nil"/>
          <w:bar w:val="nil"/>
        </w:pBdr>
        <w:tabs>
          <w:tab w:val="left" w:pos="0"/>
          <w:tab w:val="num" w:pos="180"/>
          <w:tab w:val="left" w:pos="810"/>
        </w:tabs>
        <w:ind w:left="0" w:firstLine="720"/>
        <w:jc w:val="both"/>
        <w:rPr>
          <w:rFonts w:asciiTheme="majorHAnsi" w:hAnsiTheme="majorHAnsi" w:cs="Calibri"/>
          <w:sz w:val="20"/>
          <w:szCs w:val="20"/>
        </w:rPr>
      </w:pPr>
      <w:r w:rsidRPr="003F29ED">
        <w:rPr>
          <w:rFonts w:asciiTheme="majorHAnsi" w:hAnsiTheme="majorHAnsi" w:cs="Calibri"/>
          <w:sz w:val="20"/>
          <w:szCs w:val="20"/>
        </w:rPr>
        <w:t xml:space="preserve">On January 18, 2019, the State reported that on November 30, 2018, the formal awarding ceremony of the house to Mrs. Emilia Morales was held, with the respective modifications, as undertaken in the friendly settlement agreement entered into between the parties. The State provided comprehensive </w:t>
      </w:r>
      <w:r w:rsidRPr="003F29ED">
        <w:rPr>
          <w:rFonts w:asciiTheme="majorHAnsi" w:hAnsiTheme="majorHAnsi" w:cs="Calibri"/>
          <w:sz w:val="20"/>
          <w:szCs w:val="20"/>
        </w:rPr>
        <w:lastRenderedPageBreak/>
        <w:t>photographic, video and documentary records of the awarding of the house to the petitioner. Said ceremony was posted on the webpages of the Ministry of Foreign Affairs and Worship and circulated in both the press and on social media.</w:t>
      </w:r>
      <w:r w:rsidRPr="003F29ED">
        <w:rPr>
          <w:rStyle w:val="FootnoteReference"/>
          <w:rFonts w:asciiTheme="majorHAnsi" w:hAnsiTheme="majorHAnsi" w:cs="Calibri"/>
          <w:sz w:val="20"/>
          <w:szCs w:val="20"/>
        </w:rPr>
        <w:footnoteReference w:id="19"/>
      </w:r>
      <w:r w:rsidRPr="003F29ED">
        <w:rPr>
          <w:rFonts w:asciiTheme="majorHAnsi" w:hAnsiTheme="majorHAnsi" w:cs="Calibri"/>
          <w:sz w:val="20"/>
          <w:szCs w:val="20"/>
        </w:rPr>
        <w:t xml:space="preserve"> </w:t>
      </w:r>
    </w:p>
    <w:p w:rsidR="00163E72" w:rsidRPr="003F29ED" w:rsidRDefault="00163E72" w:rsidP="00163E72">
      <w:pPr>
        <w:pStyle w:val="ListParagraph"/>
        <w:rPr>
          <w:rFonts w:asciiTheme="majorHAnsi" w:hAnsiTheme="majorHAnsi" w:cs="Calibri"/>
          <w:sz w:val="20"/>
          <w:szCs w:val="20"/>
        </w:rPr>
      </w:pPr>
    </w:p>
    <w:p w:rsidR="00163E72" w:rsidRPr="003F29ED" w:rsidRDefault="00163E72" w:rsidP="00364222">
      <w:pPr>
        <w:pStyle w:val="ListParagraph"/>
        <w:numPr>
          <w:ilvl w:val="0"/>
          <w:numId w:val="65"/>
        </w:numPr>
        <w:pBdr>
          <w:top w:val="nil"/>
          <w:left w:val="nil"/>
          <w:bottom w:val="nil"/>
          <w:right w:val="nil"/>
          <w:between w:val="nil"/>
          <w:bar w:val="nil"/>
        </w:pBdr>
        <w:tabs>
          <w:tab w:val="left" w:pos="0"/>
          <w:tab w:val="num" w:pos="180"/>
          <w:tab w:val="left" w:pos="810"/>
        </w:tabs>
        <w:ind w:left="0" w:firstLine="720"/>
        <w:jc w:val="both"/>
        <w:rPr>
          <w:rFonts w:asciiTheme="majorHAnsi" w:hAnsiTheme="majorHAnsi" w:cs="Calibri"/>
          <w:i/>
          <w:sz w:val="20"/>
          <w:szCs w:val="20"/>
        </w:rPr>
      </w:pPr>
      <w:r w:rsidRPr="003F29ED">
        <w:rPr>
          <w:rFonts w:asciiTheme="majorHAnsi" w:hAnsiTheme="majorHAnsi" w:cs="Calibri"/>
          <w:sz w:val="20"/>
          <w:szCs w:val="20"/>
        </w:rPr>
        <w:t>On January 23, 2019, the petitioner reported that she now had access to the dignified house and an enhanced quality of life. She further reported that her family, and in particular her granddaughter, “</w:t>
      </w:r>
      <w:r w:rsidRPr="003F29ED">
        <w:rPr>
          <w:rFonts w:asciiTheme="majorHAnsi" w:hAnsiTheme="majorHAnsi" w:cs="Calibri"/>
          <w:i/>
          <w:sz w:val="20"/>
          <w:szCs w:val="20"/>
        </w:rPr>
        <w:t xml:space="preserve">now has a beautiful space to play, a dignified bedroom and a place to do her homework.” </w:t>
      </w:r>
    </w:p>
    <w:p w:rsidR="00163E72" w:rsidRPr="003F29ED" w:rsidRDefault="00163E72" w:rsidP="00163E72">
      <w:pPr>
        <w:pStyle w:val="ListParagraph"/>
        <w:tabs>
          <w:tab w:val="left" w:pos="0"/>
          <w:tab w:val="left" w:pos="810"/>
        </w:tabs>
        <w:jc w:val="both"/>
        <w:rPr>
          <w:rFonts w:asciiTheme="majorHAnsi" w:hAnsiTheme="majorHAnsi" w:cs="Calibri"/>
          <w:sz w:val="20"/>
          <w:szCs w:val="20"/>
        </w:rPr>
      </w:pPr>
    </w:p>
    <w:p w:rsidR="00163E72" w:rsidRPr="003F29ED" w:rsidRDefault="00163E72" w:rsidP="00364222">
      <w:pPr>
        <w:pStyle w:val="ListParagraph"/>
        <w:numPr>
          <w:ilvl w:val="0"/>
          <w:numId w:val="65"/>
        </w:numPr>
        <w:pBdr>
          <w:top w:val="nil"/>
          <w:left w:val="nil"/>
          <w:bottom w:val="nil"/>
          <w:right w:val="nil"/>
          <w:between w:val="nil"/>
          <w:bar w:val="nil"/>
        </w:pBdr>
        <w:tabs>
          <w:tab w:val="left" w:pos="0"/>
          <w:tab w:val="num" w:pos="180"/>
          <w:tab w:val="left" w:pos="810"/>
        </w:tabs>
        <w:ind w:left="0" w:firstLine="720"/>
        <w:jc w:val="both"/>
        <w:rPr>
          <w:rFonts w:asciiTheme="majorHAnsi" w:hAnsiTheme="majorHAnsi" w:cs="Calibri"/>
          <w:sz w:val="20"/>
          <w:szCs w:val="20"/>
        </w:rPr>
      </w:pPr>
      <w:r w:rsidRPr="003F29ED">
        <w:rPr>
          <w:rFonts w:asciiTheme="majorHAnsi" w:hAnsiTheme="majorHAnsi" w:cs="Calibri"/>
          <w:sz w:val="20"/>
          <w:szCs w:val="20"/>
        </w:rPr>
        <w:t xml:space="preserve">Finally, on April 5, 2019, the State and the petitioner jointly submitted a written brief reporting that on that date, the State completed transfer of the house to Mrs. Emilia Morales Campos, under the program of Family Housing Vouchers of the National Housing Finance System, providing the details of the location of the house in </w:t>
      </w:r>
      <w:r w:rsidRPr="004C7BCC">
        <w:rPr>
          <w:rFonts w:asciiTheme="majorHAnsi" w:hAnsiTheme="majorHAnsi" w:cs="Calibri"/>
          <w:i/>
          <w:sz w:val="20"/>
          <w:szCs w:val="20"/>
        </w:rPr>
        <w:t>la Provincia 2 Alajuela</w:t>
      </w:r>
      <w:r w:rsidRPr="003F29ED">
        <w:rPr>
          <w:rFonts w:asciiTheme="majorHAnsi" w:hAnsiTheme="majorHAnsi" w:cs="Calibri"/>
          <w:sz w:val="20"/>
          <w:szCs w:val="20"/>
        </w:rPr>
        <w:t xml:space="preserve">. In this regard, the </w:t>
      </w:r>
      <w:r w:rsidR="004C7BCC" w:rsidRPr="003F29ED">
        <w:rPr>
          <w:rFonts w:asciiTheme="majorHAnsi" w:hAnsiTheme="majorHAnsi" w:cs="Calibri"/>
          <w:sz w:val="20"/>
          <w:szCs w:val="20"/>
        </w:rPr>
        <w:t>parties reported to the Commission that Mrs. Emilia Morales Campos is now the owner of record of her house and, for this reason, were</w:t>
      </w:r>
      <w:r w:rsidRPr="003F29ED">
        <w:rPr>
          <w:rFonts w:asciiTheme="majorHAnsi" w:hAnsiTheme="majorHAnsi" w:cs="Calibri"/>
          <w:sz w:val="20"/>
          <w:szCs w:val="20"/>
        </w:rPr>
        <w:t xml:space="preserve"> satisfied after finding a solution to her housing issue in the friendly settlement process. Taking into consideration the items of information described above, the Commission finds total compliance with clause II of the friendly settlement agreement and so declares it.  </w:t>
      </w:r>
    </w:p>
    <w:p w:rsidR="00163E72" w:rsidRPr="003F29ED" w:rsidRDefault="00163E72" w:rsidP="00163E72">
      <w:pPr>
        <w:pStyle w:val="ListParagraph"/>
        <w:rPr>
          <w:rFonts w:asciiTheme="majorHAnsi" w:hAnsiTheme="majorHAnsi" w:cs="Calibri"/>
          <w:sz w:val="20"/>
          <w:szCs w:val="20"/>
        </w:rPr>
      </w:pPr>
    </w:p>
    <w:p w:rsidR="00163E72" w:rsidRPr="003F29ED" w:rsidRDefault="00163E72" w:rsidP="00364222">
      <w:pPr>
        <w:pStyle w:val="ListParagraph"/>
        <w:numPr>
          <w:ilvl w:val="0"/>
          <w:numId w:val="65"/>
        </w:numPr>
        <w:pBdr>
          <w:top w:val="nil"/>
          <w:left w:val="nil"/>
          <w:bottom w:val="nil"/>
          <w:right w:val="nil"/>
          <w:between w:val="nil"/>
          <w:bar w:val="nil"/>
        </w:pBdr>
        <w:tabs>
          <w:tab w:val="left" w:pos="0"/>
          <w:tab w:val="num" w:pos="180"/>
          <w:tab w:val="left" w:pos="810"/>
        </w:tabs>
        <w:ind w:left="0" w:firstLine="720"/>
        <w:jc w:val="both"/>
        <w:rPr>
          <w:rFonts w:asciiTheme="majorHAnsi" w:hAnsiTheme="majorHAnsi" w:cs="Calibri"/>
          <w:sz w:val="20"/>
          <w:szCs w:val="20"/>
        </w:rPr>
      </w:pPr>
      <w:r w:rsidRPr="003F29ED">
        <w:rPr>
          <w:rFonts w:asciiTheme="majorHAnsi" w:hAnsiTheme="majorHAnsi" w:cs="Calibri"/>
          <w:sz w:val="20"/>
          <w:szCs w:val="20"/>
        </w:rPr>
        <w:t xml:space="preserve">The Commission further finds that the rest of the content of the agreement is of a declarative nature and so declares it. </w:t>
      </w:r>
    </w:p>
    <w:p w:rsidR="00163E72" w:rsidRPr="003F29ED" w:rsidRDefault="00163E72" w:rsidP="00163E72">
      <w:pPr>
        <w:tabs>
          <w:tab w:val="left" w:pos="0"/>
          <w:tab w:val="left" w:pos="810"/>
        </w:tabs>
        <w:jc w:val="both"/>
        <w:rPr>
          <w:rFonts w:asciiTheme="majorHAnsi" w:hAnsiTheme="majorHAnsi" w:cs="Calibri"/>
          <w:sz w:val="20"/>
          <w:szCs w:val="20"/>
        </w:rPr>
      </w:pPr>
    </w:p>
    <w:p w:rsidR="00163E72" w:rsidRPr="003F29ED" w:rsidRDefault="00163E72" w:rsidP="00364222">
      <w:pPr>
        <w:pStyle w:val="ListParagraph"/>
        <w:numPr>
          <w:ilvl w:val="0"/>
          <w:numId w:val="65"/>
        </w:numPr>
        <w:pBdr>
          <w:top w:val="nil"/>
          <w:left w:val="nil"/>
          <w:bottom w:val="nil"/>
          <w:right w:val="nil"/>
          <w:between w:val="nil"/>
          <w:bar w:val="nil"/>
        </w:pBdr>
        <w:tabs>
          <w:tab w:val="left" w:pos="0"/>
          <w:tab w:val="num" w:pos="180"/>
          <w:tab w:val="left" w:pos="810"/>
        </w:tabs>
        <w:ind w:left="0" w:firstLine="720"/>
        <w:jc w:val="both"/>
        <w:rPr>
          <w:rFonts w:asciiTheme="majorHAnsi" w:hAnsiTheme="majorHAnsi" w:cs="Calibri"/>
          <w:sz w:val="20"/>
          <w:szCs w:val="20"/>
        </w:rPr>
      </w:pPr>
      <w:r w:rsidRPr="003F29ED">
        <w:rPr>
          <w:rFonts w:asciiTheme="majorHAnsi" w:hAnsiTheme="majorHAnsi" w:cs="Calibri"/>
          <w:sz w:val="20"/>
          <w:szCs w:val="20"/>
        </w:rPr>
        <w:t xml:space="preserve">Based on the foregoing reasons, the IACHR considers the friendly settlement agreement to be totally implemented. </w:t>
      </w:r>
    </w:p>
    <w:p w:rsidR="00163E72" w:rsidRPr="003F29ED" w:rsidRDefault="00163E72" w:rsidP="00163E72">
      <w:pPr>
        <w:pStyle w:val="ListParagraph"/>
        <w:rPr>
          <w:rFonts w:asciiTheme="majorHAnsi" w:hAnsiTheme="majorHAnsi" w:cs="Calibri"/>
          <w:sz w:val="20"/>
          <w:szCs w:val="20"/>
        </w:rPr>
      </w:pPr>
    </w:p>
    <w:p w:rsidR="00163E72" w:rsidRPr="003F29ED" w:rsidRDefault="00163E72" w:rsidP="00364222">
      <w:pPr>
        <w:pStyle w:val="ListParagraph"/>
        <w:numPr>
          <w:ilvl w:val="0"/>
          <w:numId w:val="65"/>
        </w:numPr>
        <w:pBdr>
          <w:top w:val="nil"/>
          <w:left w:val="nil"/>
          <w:bottom w:val="nil"/>
          <w:right w:val="nil"/>
          <w:between w:val="nil"/>
          <w:bar w:val="nil"/>
        </w:pBdr>
        <w:tabs>
          <w:tab w:val="left" w:pos="0"/>
          <w:tab w:val="num" w:pos="180"/>
          <w:tab w:val="left" w:pos="810"/>
        </w:tabs>
        <w:ind w:left="0" w:firstLine="720"/>
        <w:jc w:val="both"/>
        <w:rPr>
          <w:rFonts w:asciiTheme="majorHAnsi" w:hAnsiTheme="majorHAnsi" w:cs="Calibri"/>
          <w:sz w:val="20"/>
          <w:szCs w:val="20"/>
        </w:rPr>
      </w:pPr>
      <w:r w:rsidRPr="003F29ED">
        <w:rPr>
          <w:rFonts w:asciiTheme="majorHAnsi" w:hAnsiTheme="majorHAnsi" w:cs="Calibri"/>
          <w:sz w:val="20"/>
          <w:szCs w:val="20"/>
        </w:rPr>
        <w:t>The Commission views as a positive step the signing of the first friendly settlement agreement by the State of Costa Rica and the progress made in total compliance therewith.</w:t>
      </w:r>
    </w:p>
    <w:p w:rsidR="00163E72" w:rsidRPr="003F29ED" w:rsidRDefault="00163E72" w:rsidP="00163E72">
      <w:pPr>
        <w:pStyle w:val="ListParagraph"/>
        <w:tabs>
          <w:tab w:val="left" w:pos="0"/>
          <w:tab w:val="left" w:pos="180"/>
          <w:tab w:val="left" w:pos="810"/>
        </w:tabs>
        <w:jc w:val="both"/>
        <w:rPr>
          <w:rFonts w:asciiTheme="majorHAnsi" w:hAnsiTheme="majorHAnsi" w:cs="Calibri"/>
          <w:sz w:val="20"/>
          <w:szCs w:val="20"/>
        </w:rPr>
      </w:pPr>
    </w:p>
    <w:p w:rsidR="00163E72" w:rsidRPr="003F29ED" w:rsidRDefault="00163E72" w:rsidP="00364222">
      <w:pPr>
        <w:pStyle w:val="ListParagraph"/>
        <w:numPr>
          <w:ilvl w:val="0"/>
          <w:numId w:val="52"/>
        </w:numPr>
        <w:pBdr>
          <w:top w:val="nil"/>
          <w:left w:val="nil"/>
          <w:bottom w:val="nil"/>
          <w:right w:val="nil"/>
          <w:between w:val="nil"/>
          <w:bar w:val="nil"/>
        </w:pBdr>
        <w:tabs>
          <w:tab w:val="left" w:pos="720"/>
        </w:tabs>
        <w:ind w:left="0" w:firstLine="720"/>
        <w:jc w:val="both"/>
        <w:rPr>
          <w:rFonts w:asciiTheme="majorHAnsi" w:hAnsiTheme="majorHAnsi" w:cs="Calibri"/>
          <w:b/>
          <w:sz w:val="20"/>
          <w:szCs w:val="20"/>
        </w:rPr>
      </w:pPr>
      <w:r w:rsidRPr="003F29ED">
        <w:rPr>
          <w:rFonts w:asciiTheme="majorHAnsi" w:hAnsiTheme="majorHAnsi" w:cs="Calibri"/>
          <w:b/>
          <w:sz w:val="20"/>
          <w:szCs w:val="20"/>
        </w:rPr>
        <w:t xml:space="preserve">CONCLUSIONS </w:t>
      </w:r>
    </w:p>
    <w:p w:rsidR="00163E72" w:rsidRPr="003F29ED" w:rsidRDefault="00163E72" w:rsidP="00163E72">
      <w:pPr>
        <w:pStyle w:val="ListParagraph"/>
        <w:tabs>
          <w:tab w:val="left" w:pos="720"/>
        </w:tabs>
        <w:ind w:left="0" w:firstLine="720"/>
        <w:jc w:val="both"/>
        <w:rPr>
          <w:rFonts w:asciiTheme="majorHAnsi" w:hAnsiTheme="majorHAnsi" w:cs="Calibri"/>
          <w:b/>
          <w:sz w:val="20"/>
          <w:szCs w:val="20"/>
        </w:rPr>
      </w:pPr>
    </w:p>
    <w:p w:rsidR="00163E72" w:rsidRPr="003F29ED" w:rsidRDefault="00163E72" w:rsidP="00364222">
      <w:pPr>
        <w:pStyle w:val="ListParagraph"/>
        <w:numPr>
          <w:ilvl w:val="0"/>
          <w:numId w:val="65"/>
        </w:numPr>
        <w:pBdr>
          <w:top w:val="nil"/>
          <w:left w:val="nil"/>
          <w:bottom w:val="nil"/>
          <w:right w:val="nil"/>
          <w:between w:val="nil"/>
          <w:bar w:val="nil"/>
        </w:pBdr>
        <w:tabs>
          <w:tab w:val="left" w:pos="720"/>
        </w:tabs>
        <w:ind w:left="0" w:firstLine="720"/>
        <w:jc w:val="both"/>
        <w:rPr>
          <w:rFonts w:asciiTheme="majorHAnsi" w:hAnsiTheme="majorHAnsi" w:cs="Calibri"/>
          <w:b/>
          <w:sz w:val="20"/>
          <w:szCs w:val="20"/>
        </w:rPr>
      </w:pPr>
      <w:r w:rsidRPr="003F29ED">
        <w:rPr>
          <w:rFonts w:asciiTheme="majorHAnsi" w:hAnsiTheme="majorHAnsi"/>
          <w:sz w:val="20"/>
          <w:szCs w:val="20"/>
        </w:rPr>
        <w:t xml:space="preserve">Based on the foregoing considerations and pursuant to the procedures set forth in Articles 48.1 and 49 of the American Convention, the Commission wishes to reiterate its deep appreciation for the efforts put forward by the parties and its satisfaction with their reaching a friendly settlement in the instant case, based on respect for human rights and consistent with the object and purpose of the American Convention. </w:t>
      </w:r>
    </w:p>
    <w:p w:rsidR="004C7BCC" w:rsidRPr="004C7BCC" w:rsidRDefault="004C7BCC" w:rsidP="004C7BCC">
      <w:pPr>
        <w:pBdr>
          <w:top w:val="nil"/>
          <w:left w:val="nil"/>
          <w:bottom w:val="nil"/>
          <w:right w:val="nil"/>
          <w:between w:val="nil"/>
          <w:bar w:val="nil"/>
        </w:pBdr>
        <w:tabs>
          <w:tab w:val="left" w:pos="720"/>
        </w:tabs>
        <w:jc w:val="both"/>
        <w:rPr>
          <w:rFonts w:asciiTheme="majorHAnsi" w:hAnsiTheme="majorHAnsi"/>
          <w:sz w:val="20"/>
          <w:szCs w:val="20"/>
          <w:u w:color="000000"/>
        </w:rPr>
      </w:pPr>
    </w:p>
    <w:p w:rsidR="00163E72" w:rsidRPr="004C7BCC" w:rsidRDefault="004C7BCC" w:rsidP="004C7BCC">
      <w:pPr>
        <w:pStyle w:val="ListParagraph"/>
        <w:numPr>
          <w:ilvl w:val="0"/>
          <w:numId w:val="65"/>
        </w:numPr>
        <w:pBdr>
          <w:top w:val="nil"/>
          <w:left w:val="nil"/>
          <w:bottom w:val="nil"/>
          <w:right w:val="nil"/>
          <w:between w:val="nil"/>
          <w:bar w:val="nil"/>
        </w:pBdr>
        <w:tabs>
          <w:tab w:val="left" w:pos="720"/>
        </w:tabs>
        <w:ind w:left="0" w:firstLine="720"/>
        <w:jc w:val="both"/>
        <w:rPr>
          <w:rFonts w:asciiTheme="majorHAnsi" w:hAnsiTheme="majorHAnsi"/>
          <w:sz w:val="20"/>
          <w:szCs w:val="20"/>
        </w:rPr>
      </w:pPr>
      <w:r w:rsidRPr="004C7BCC">
        <w:rPr>
          <w:rFonts w:asciiTheme="majorHAnsi" w:hAnsiTheme="majorHAnsi"/>
          <w:sz w:val="20"/>
          <w:szCs w:val="20"/>
        </w:rPr>
        <w:t xml:space="preserve">In light of the considerations and conclusions set forth in this report, </w:t>
      </w:r>
      <w:r w:rsidR="00163E72" w:rsidRPr="004C7BCC">
        <w:rPr>
          <w:rFonts w:asciiTheme="majorHAnsi" w:hAnsiTheme="majorHAnsi"/>
          <w:sz w:val="20"/>
          <w:szCs w:val="20"/>
        </w:rPr>
        <w:t xml:space="preserve"> </w:t>
      </w:r>
    </w:p>
    <w:p w:rsidR="00163E72" w:rsidRPr="003F29ED" w:rsidRDefault="00163E72" w:rsidP="00163E72">
      <w:pPr>
        <w:pStyle w:val="ListParagraph"/>
        <w:tabs>
          <w:tab w:val="left" w:pos="720"/>
        </w:tabs>
        <w:jc w:val="both"/>
        <w:rPr>
          <w:rFonts w:asciiTheme="majorHAnsi" w:hAnsiTheme="majorHAnsi" w:cs="Calibri"/>
          <w:b/>
          <w:sz w:val="20"/>
          <w:szCs w:val="20"/>
        </w:rPr>
      </w:pPr>
    </w:p>
    <w:p w:rsidR="00163E72" w:rsidRPr="003F29ED" w:rsidRDefault="00163E72" w:rsidP="00FD5274">
      <w:pPr>
        <w:tabs>
          <w:tab w:val="left" w:pos="720"/>
          <w:tab w:val="left" w:pos="1440"/>
          <w:tab w:val="left" w:pos="2160"/>
        </w:tabs>
        <w:jc w:val="center"/>
        <w:rPr>
          <w:rFonts w:asciiTheme="majorHAnsi" w:hAnsiTheme="majorHAnsi"/>
          <w:b/>
          <w:bCs/>
          <w:sz w:val="20"/>
          <w:szCs w:val="20"/>
        </w:rPr>
      </w:pPr>
      <w:r w:rsidRPr="003F29ED">
        <w:rPr>
          <w:rFonts w:asciiTheme="majorHAnsi" w:hAnsiTheme="majorHAnsi"/>
          <w:b/>
          <w:bCs/>
          <w:sz w:val="20"/>
          <w:szCs w:val="20"/>
        </w:rPr>
        <w:t xml:space="preserve">THE INTER-AMERICAN COMMISSION ON HUMAN RIGHTS </w:t>
      </w:r>
    </w:p>
    <w:p w:rsidR="00163E72" w:rsidRPr="003F29ED" w:rsidRDefault="00163E72" w:rsidP="00163E72">
      <w:pPr>
        <w:tabs>
          <w:tab w:val="left" w:pos="720"/>
          <w:tab w:val="left" w:pos="1440"/>
        </w:tabs>
        <w:jc w:val="center"/>
        <w:rPr>
          <w:rFonts w:asciiTheme="majorHAnsi" w:hAnsiTheme="majorHAnsi"/>
          <w:b/>
          <w:bCs/>
          <w:sz w:val="20"/>
          <w:szCs w:val="20"/>
        </w:rPr>
      </w:pPr>
    </w:p>
    <w:p w:rsidR="00163E72" w:rsidRPr="003F29ED" w:rsidRDefault="00163E72" w:rsidP="00163E72">
      <w:pPr>
        <w:tabs>
          <w:tab w:val="left" w:pos="720"/>
          <w:tab w:val="left" w:pos="1440"/>
        </w:tabs>
        <w:rPr>
          <w:rFonts w:asciiTheme="majorHAnsi" w:hAnsiTheme="majorHAnsi"/>
          <w:b/>
          <w:bCs/>
          <w:sz w:val="20"/>
          <w:szCs w:val="20"/>
        </w:rPr>
      </w:pPr>
      <w:r w:rsidRPr="003F29ED">
        <w:rPr>
          <w:rFonts w:asciiTheme="majorHAnsi" w:hAnsiTheme="majorHAnsi"/>
          <w:b/>
          <w:bCs/>
          <w:sz w:val="20"/>
          <w:szCs w:val="20"/>
        </w:rPr>
        <w:t>DECIDE</w:t>
      </w:r>
      <w:r w:rsidR="004C7BCC">
        <w:rPr>
          <w:rFonts w:asciiTheme="majorHAnsi" w:hAnsiTheme="majorHAnsi"/>
          <w:b/>
          <w:bCs/>
          <w:sz w:val="20"/>
          <w:szCs w:val="20"/>
        </w:rPr>
        <w:t>S</w:t>
      </w:r>
      <w:r w:rsidRPr="003F29ED">
        <w:rPr>
          <w:rFonts w:asciiTheme="majorHAnsi" w:hAnsiTheme="majorHAnsi"/>
          <w:b/>
          <w:bCs/>
          <w:sz w:val="20"/>
          <w:szCs w:val="20"/>
        </w:rPr>
        <w:t>:</w:t>
      </w:r>
    </w:p>
    <w:p w:rsidR="00163E72" w:rsidRPr="003F29ED" w:rsidRDefault="00163E72" w:rsidP="00163E72">
      <w:pPr>
        <w:tabs>
          <w:tab w:val="left" w:pos="720"/>
          <w:tab w:val="left" w:pos="1440"/>
        </w:tabs>
        <w:rPr>
          <w:rFonts w:asciiTheme="majorHAnsi" w:hAnsiTheme="majorHAnsi"/>
          <w:b/>
          <w:bCs/>
          <w:sz w:val="20"/>
          <w:szCs w:val="20"/>
        </w:rPr>
      </w:pPr>
    </w:p>
    <w:p w:rsidR="00163E72" w:rsidRPr="003F29ED" w:rsidRDefault="00163E72" w:rsidP="00364222">
      <w:pPr>
        <w:numPr>
          <w:ilvl w:val="0"/>
          <w:numId w:val="66"/>
        </w:numPr>
        <w:tabs>
          <w:tab w:val="left" w:pos="0"/>
          <w:tab w:val="left" w:pos="1440"/>
        </w:tabs>
        <w:ind w:left="0" w:firstLine="720"/>
        <w:jc w:val="both"/>
        <w:rPr>
          <w:rFonts w:asciiTheme="majorHAnsi" w:hAnsiTheme="majorHAnsi"/>
          <w:sz w:val="20"/>
          <w:szCs w:val="20"/>
        </w:rPr>
      </w:pPr>
      <w:r w:rsidRPr="003F29ED">
        <w:rPr>
          <w:rFonts w:asciiTheme="majorHAnsi" w:hAnsiTheme="majorHAnsi"/>
          <w:sz w:val="20"/>
          <w:szCs w:val="20"/>
        </w:rPr>
        <w:t xml:space="preserve">Approve the terms of the agreement entered into by the parties on July 20, 2018. </w:t>
      </w:r>
    </w:p>
    <w:p w:rsidR="00163E72" w:rsidRPr="003F29ED" w:rsidRDefault="00163E72" w:rsidP="007C27AB">
      <w:pPr>
        <w:tabs>
          <w:tab w:val="left" w:pos="0"/>
          <w:tab w:val="left" w:pos="1440"/>
        </w:tabs>
        <w:ind w:left="720"/>
        <w:jc w:val="both"/>
        <w:rPr>
          <w:rFonts w:asciiTheme="majorHAnsi" w:hAnsiTheme="majorHAnsi"/>
          <w:sz w:val="20"/>
          <w:szCs w:val="20"/>
        </w:rPr>
      </w:pPr>
    </w:p>
    <w:p w:rsidR="00FD5274" w:rsidRDefault="00163E72" w:rsidP="00FD5274">
      <w:pPr>
        <w:numPr>
          <w:ilvl w:val="0"/>
          <w:numId w:val="66"/>
        </w:numPr>
        <w:tabs>
          <w:tab w:val="left" w:pos="1440"/>
          <w:tab w:val="num" w:pos="3240"/>
        </w:tabs>
        <w:ind w:left="0" w:firstLine="720"/>
        <w:jc w:val="both"/>
        <w:rPr>
          <w:rFonts w:asciiTheme="majorHAnsi" w:hAnsiTheme="majorHAnsi"/>
          <w:sz w:val="20"/>
          <w:szCs w:val="20"/>
        </w:rPr>
      </w:pPr>
      <w:r w:rsidRPr="003F29ED">
        <w:rPr>
          <w:rFonts w:asciiTheme="majorHAnsi" w:hAnsiTheme="majorHAnsi"/>
          <w:sz w:val="20"/>
          <w:szCs w:val="20"/>
        </w:rPr>
        <w:t xml:space="preserve">Declare total compliance with clause II of the friendly settlement agreement concerning the individual reparation measure, based on the analysis set forth in this report. </w:t>
      </w:r>
    </w:p>
    <w:p w:rsidR="00FD5274" w:rsidRDefault="00FD5274" w:rsidP="00FD5274">
      <w:pPr>
        <w:pStyle w:val="ListParagraph"/>
        <w:rPr>
          <w:rFonts w:asciiTheme="majorHAnsi" w:hAnsiTheme="majorHAnsi"/>
          <w:sz w:val="20"/>
          <w:szCs w:val="20"/>
        </w:rPr>
      </w:pPr>
    </w:p>
    <w:p w:rsidR="00163E72" w:rsidRPr="00FD5274" w:rsidRDefault="00163E72" w:rsidP="00FD5274">
      <w:pPr>
        <w:numPr>
          <w:ilvl w:val="0"/>
          <w:numId w:val="66"/>
        </w:numPr>
        <w:tabs>
          <w:tab w:val="left" w:pos="1440"/>
          <w:tab w:val="num" w:pos="3240"/>
        </w:tabs>
        <w:ind w:left="0" w:firstLine="720"/>
        <w:jc w:val="both"/>
        <w:rPr>
          <w:rFonts w:asciiTheme="majorHAnsi" w:hAnsiTheme="majorHAnsi"/>
          <w:sz w:val="20"/>
          <w:szCs w:val="20"/>
        </w:rPr>
      </w:pPr>
      <w:r w:rsidRPr="00FD5274">
        <w:rPr>
          <w:rFonts w:asciiTheme="majorHAnsi" w:hAnsiTheme="majorHAnsi"/>
          <w:sz w:val="20"/>
          <w:szCs w:val="20"/>
        </w:rPr>
        <w:t xml:space="preserve">Declare total compliance with the friendly settlement agreement. </w:t>
      </w:r>
    </w:p>
    <w:p w:rsidR="00163E72" w:rsidRPr="003F29ED" w:rsidRDefault="00163E72" w:rsidP="007C27AB">
      <w:pPr>
        <w:tabs>
          <w:tab w:val="left" w:pos="1440"/>
        </w:tabs>
        <w:ind w:left="720"/>
        <w:jc w:val="both"/>
        <w:rPr>
          <w:rFonts w:asciiTheme="majorHAnsi" w:hAnsiTheme="majorHAnsi"/>
          <w:sz w:val="20"/>
          <w:szCs w:val="20"/>
        </w:rPr>
      </w:pPr>
    </w:p>
    <w:p w:rsidR="00163E72" w:rsidRPr="003F29ED" w:rsidRDefault="00163E72" w:rsidP="00364222">
      <w:pPr>
        <w:numPr>
          <w:ilvl w:val="0"/>
          <w:numId w:val="66"/>
        </w:numPr>
        <w:tabs>
          <w:tab w:val="left" w:pos="0"/>
          <w:tab w:val="num" w:pos="1440"/>
        </w:tabs>
        <w:suppressAutoHyphens/>
        <w:ind w:left="0" w:firstLine="720"/>
        <w:jc w:val="both"/>
        <w:rPr>
          <w:rFonts w:asciiTheme="majorHAnsi" w:hAnsiTheme="majorHAnsi"/>
          <w:sz w:val="20"/>
          <w:szCs w:val="20"/>
        </w:rPr>
      </w:pPr>
      <w:r w:rsidRPr="003F29ED">
        <w:rPr>
          <w:rFonts w:asciiTheme="majorHAnsi" w:hAnsiTheme="majorHAnsi"/>
          <w:sz w:val="20"/>
          <w:szCs w:val="20"/>
        </w:rPr>
        <w:t xml:space="preserve">Release the instant report to the public and include it in its Annual Report to the OAS General Assembly. </w:t>
      </w:r>
    </w:p>
    <w:p w:rsidR="00163E72" w:rsidRPr="003F29ED" w:rsidRDefault="00163E72" w:rsidP="007C27AB">
      <w:pPr>
        <w:tabs>
          <w:tab w:val="left" w:pos="0"/>
        </w:tabs>
        <w:suppressAutoHyphens/>
        <w:ind w:left="720"/>
        <w:jc w:val="both"/>
        <w:rPr>
          <w:rFonts w:asciiTheme="majorHAnsi" w:hAnsiTheme="majorHAnsi"/>
          <w:sz w:val="20"/>
          <w:szCs w:val="20"/>
        </w:rPr>
      </w:pPr>
    </w:p>
    <w:p w:rsidR="004E339A" w:rsidRPr="00FD5274" w:rsidRDefault="00163E72" w:rsidP="00FD5274">
      <w:pPr>
        <w:tabs>
          <w:tab w:val="left" w:pos="0"/>
        </w:tabs>
        <w:suppressAutoHyphens/>
        <w:ind w:firstLine="720"/>
        <w:jc w:val="both"/>
        <w:rPr>
          <w:rFonts w:asciiTheme="majorHAnsi" w:hAnsiTheme="majorHAnsi"/>
          <w:sz w:val="20"/>
          <w:szCs w:val="20"/>
        </w:rPr>
      </w:pPr>
      <w:r w:rsidRPr="003F29ED">
        <w:rPr>
          <w:rFonts w:asciiTheme="majorHAnsi" w:hAnsiTheme="majorHAnsi"/>
          <w:sz w:val="20"/>
          <w:szCs w:val="20"/>
        </w:rPr>
        <w:t xml:space="preserve">Approved by the Inter-American Commission on Human Rights on </w:t>
      </w:r>
      <w:r w:rsidR="00E50693">
        <w:rPr>
          <w:rFonts w:asciiTheme="majorHAnsi" w:hAnsiTheme="majorHAnsi"/>
          <w:sz w:val="20"/>
          <w:szCs w:val="20"/>
        </w:rPr>
        <w:t>May 15</w:t>
      </w:r>
      <w:r w:rsidRPr="003F29ED">
        <w:rPr>
          <w:rFonts w:asciiTheme="majorHAnsi" w:hAnsiTheme="majorHAnsi"/>
          <w:sz w:val="20"/>
          <w:szCs w:val="20"/>
        </w:rPr>
        <w:t>, 2019. (Signed):</w:t>
      </w:r>
      <w:r w:rsidR="00FD5274">
        <w:rPr>
          <w:rFonts w:asciiTheme="majorHAnsi" w:hAnsiTheme="majorHAnsi"/>
          <w:sz w:val="20"/>
          <w:szCs w:val="20"/>
        </w:rPr>
        <w:t xml:space="preserve"> </w:t>
      </w:r>
      <w:r w:rsidR="004D2661" w:rsidRPr="004D2661">
        <w:rPr>
          <w:rFonts w:ascii="Cambria" w:hAnsi="Cambria"/>
          <w:sz w:val="20"/>
          <w:bdr w:val="nil"/>
        </w:rPr>
        <w:t xml:space="preserve">Esmeralda E. Arosemena Bernal de Troitiño, President; </w:t>
      </w:r>
      <w:r w:rsidR="00BA07C8" w:rsidRPr="00BA07C8">
        <w:rPr>
          <w:rFonts w:ascii="Cambria" w:hAnsi="Cambria"/>
          <w:sz w:val="20"/>
          <w:szCs w:val="20"/>
          <w:bdr w:val="nil"/>
        </w:rPr>
        <w:t xml:space="preserve">Joel Hernández, </w:t>
      </w:r>
      <w:r w:rsidR="00BA07C8">
        <w:rPr>
          <w:rFonts w:ascii="Cambria" w:hAnsi="Cambria"/>
          <w:sz w:val="20"/>
          <w:szCs w:val="20"/>
          <w:bdr w:val="nil"/>
        </w:rPr>
        <w:t>First</w:t>
      </w:r>
      <w:r w:rsidR="00BA07C8" w:rsidRPr="00BA07C8">
        <w:rPr>
          <w:rFonts w:ascii="Cambria" w:hAnsi="Cambria"/>
          <w:sz w:val="20"/>
          <w:szCs w:val="20"/>
          <w:bdr w:val="nil"/>
        </w:rPr>
        <w:t xml:space="preserve"> Vice-president; </w:t>
      </w:r>
      <w:r w:rsidR="004D2661" w:rsidRPr="004D2661">
        <w:rPr>
          <w:rFonts w:ascii="Cambria" w:hAnsi="Cambria"/>
          <w:sz w:val="20"/>
          <w:bdr w:val="nil"/>
        </w:rPr>
        <w:t>Antonia Urrejola, Second Vice-President; Francisco José Eguiguren, Margarette May Macaulay, Luis Ernesto Vargas and Flávia Piovesan, Members of the Commission</w:t>
      </w:r>
      <w:r w:rsidR="004D2661">
        <w:rPr>
          <w:rFonts w:ascii="Cambria" w:hAnsi="Cambria"/>
          <w:sz w:val="20"/>
          <w:bdr w:val="nil"/>
        </w:rPr>
        <w:t>.</w:t>
      </w:r>
    </w:p>
    <w:p w:rsidR="004D2661" w:rsidRDefault="004D2661" w:rsidP="004D2661">
      <w:pPr>
        <w:tabs>
          <w:tab w:val="left" w:pos="0"/>
        </w:tabs>
        <w:suppressAutoHyphens/>
        <w:ind w:firstLine="720"/>
        <w:jc w:val="both"/>
        <w:rPr>
          <w:rFonts w:ascii="Cambria" w:hAnsi="Cambria"/>
          <w:sz w:val="20"/>
          <w:bdr w:val="nil"/>
        </w:rPr>
      </w:pPr>
    </w:p>
    <w:sectPr w:rsidR="004D2661" w:rsidSect="00E940BE">
      <w:footerReference w:type="first" r:id="rId18"/>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37F" w:rsidRDefault="00B8637F" w:rsidP="00573330">
      <w:r>
        <w:separator/>
      </w:r>
    </w:p>
  </w:endnote>
  <w:endnote w:type="continuationSeparator" w:id="0">
    <w:p w:rsidR="00B8637F" w:rsidRDefault="00B8637F" w:rsidP="0057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AED" w:rsidRDefault="00FF4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88" w:rsidRPr="00287BBD" w:rsidRDefault="00001288">
    <w:pPr>
      <w:pStyle w:val="Footer"/>
      <w:jc w:val="center"/>
      <w:rPr>
        <w:noProof/>
        <w:sz w:val="16"/>
        <w:szCs w:val="16"/>
      </w:rPr>
    </w:pPr>
    <w:r w:rsidRPr="00287BBD">
      <w:rPr>
        <w:noProof/>
        <w:sz w:val="16"/>
        <w:szCs w:val="16"/>
      </w:rPr>
      <w:fldChar w:fldCharType="begin"/>
    </w:r>
    <w:r w:rsidRPr="00287BBD">
      <w:rPr>
        <w:noProof/>
        <w:sz w:val="16"/>
        <w:szCs w:val="16"/>
      </w:rPr>
      <w:instrText xml:space="preserve"> PAGE   \* MERGEFORMAT </w:instrText>
    </w:r>
    <w:r w:rsidRPr="00287BBD">
      <w:rPr>
        <w:noProof/>
        <w:sz w:val="16"/>
        <w:szCs w:val="16"/>
      </w:rPr>
      <w:fldChar w:fldCharType="separate"/>
    </w:r>
    <w:r w:rsidR="00FF4AED">
      <w:rPr>
        <w:noProof/>
        <w:sz w:val="16"/>
        <w:szCs w:val="16"/>
      </w:rPr>
      <w:t>1</w:t>
    </w:r>
    <w:r w:rsidRPr="00287BBD">
      <w:rPr>
        <w:noProof/>
        <w:sz w:val="16"/>
        <w:szCs w:val="16"/>
      </w:rPr>
      <w:fldChar w:fldCharType="end"/>
    </w:r>
  </w:p>
  <w:p w:rsidR="00001288" w:rsidRPr="00287BBD" w:rsidRDefault="00001288">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88" w:rsidRPr="00287BBD" w:rsidRDefault="00001288">
    <w:pPr>
      <w:pStyle w:val="Footer"/>
      <w:jc w:val="center"/>
      <w:rPr>
        <w:noProof/>
        <w:sz w:val="16"/>
        <w:szCs w:val="16"/>
      </w:rPr>
    </w:pPr>
  </w:p>
  <w:p w:rsidR="00001288" w:rsidRPr="00287BBD" w:rsidRDefault="00001288">
    <w:pPr>
      <w:pStyle w:val="Footer"/>
      <w:rPr>
        <w:noProo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rsidR="007607C4" w:rsidRDefault="00B643F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607C4" w:rsidRDefault="00B86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37F" w:rsidRPr="00287BBD" w:rsidRDefault="00B8637F">
      <w:pPr>
        <w:rPr>
          <w:rFonts w:ascii="Cambria" w:hAnsi="Cambria" w:cs="Cambria"/>
          <w:noProof/>
          <w:sz w:val="16"/>
          <w:szCs w:val="16"/>
        </w:rPr>
      </w:pPr>
      <w:r w:rsidRPr="00287BBD">
        <w:rPr>
          <w:rFonts w:ascii="Cambria" w:hAnsi="Cambria" w:cs="Cambria"/>
          <w:noProof/>
          <w:sz w:val="16"/>
          <w:szCs w:val="16"/>
        </w:rPr>
        <w:separator/>
      </w:r>
    </w:p>
  </w:footnote>
  <w:footnote w:type="continuationSeparator" w:id="0">
    <w:p w:rsidR="00B8637F" w:rsidRPr="00287BBD" w:rsidRDefault="00B8637F" w:rsidP="000F35ED">
      <w:pPr>
        <w:rPr>
          <w:rFonts w:ascii="Cambria" w:hAnsi="Cambria" w:cs="Cambria"/>
          <w:noProof/>
          <w:sz w:val="16"/>
          <w:szCs w:val="16"/>
        </w:rPr>
      </w:pPr>
      <w:r w:rsidRPr="00287BBD">
        <w:rPr>
          <w:rFonts w:ascii="Cambria" w:hAnsi="Cambria" w:cs="Cambria"/>
          <w:noProof/>
          <w:sz w:val="16"/>
          <w:szCs w:val="16"/>
        </w:rPr>
        <w:separator/>
      </w:r>
    </w:p>
    <w:p w:rsidR="00B8637F" w:rsidRPr="00287BBD" w:rsidRDefault="00B8637F" w:rsidP="000F35ED">
      <w:pPr>
        <w:pStyle w:val="Footer"/>
        <w:rPr>
          <w:noProof/>
          <w:sz w:val="16"/>
          <w:szCs w:val="16"/>
        </w:rPr>
      </w:pPr>
      <w:r w:rsidRPr="00287BBD">
        <w:rPr>
          <w:noProof/>
          <w:sz w:val="16"/>
          <w:szCs w:val="16"/>
        </w:rPr>
        <w:t>[… continuación]</w:t>
      </w:r>
    </w:p>
  </w:footnote>
  <w:footnote w:id="1">
    <w:p w:rsidR="00163E72" w:rsidRPr="00705630" w:rsidRDefault="00163E72" w:rsidP="00163E72">
      <w:pPr>
        <w:pStyle w:val="FootnoteText"/>
        <w:jc w:val="both"/>
        <w:rPr>
          <w:rFonts w:asciiTheme="majorHAnsi" w:hAnsiTheme="majorHAnsi"/>
          <w:sz w:val="16"/>
          <w:szCs w:val="16"/>
        </w:rPr>
      </w:pPr>
      <w:r w:rsidRPr="00705630">
        <w:rPr>
          <w:rStyle w:val="FootnoteReference"/>
          <w:rFonts w:asciiTheme="majorHAnsi" w:hAnsiTheme="majorHAnsi"/>
          <w:sz w:val="16"/>
          <w:szCs w:val="16"/>
        </w:rPr>
        <w:footnoteRef/>
      </w:r>
      <w:r w:rsidRPr="00705630">
        <w:rPr>
          <w:rFonts w:asciiTheme="majorHAnsi" w:hAnsiTheme="majorHAnsi"/>
          <w:sz w:val="16"/>
          <w:szCs w:val="16"/>
        </w:rPr>
        <w:t xml:space="preserve"> </w:t>
      </w:r>
      <w:r>
        <w:rPr>
          <w:rFonts w:asciiTheme="majorHAnsi" w:hAnsiTheme="majorHAnsi"/>
          <w:sz w:val="16"/>
          <w:szCs w:val="16"/>
        </w:rPr>
        <w:t xml:space="preserve">The Family Housing Voucher is a subsidy to apply for government assisted housing, which is granted at the request of a party concerned to purchase a house, a plot of land, make repair or expand housing. </w:t>
      </w:r>
    </w:p>
  </w:footnote>
  <w:footnote w:id="2">
    <w:p w:rsidR="00163E72" w:rsidRPr="00705630" w:rsidRDefault="00163E72" w:rsidP="00163E72">
      <w:pPr>
        <w:pStyle w:val="FootnoteText"/>
        <w:jc w:val="both"/>
        <w:rPr>
          <w:rFonts w:asciiTheme="majorHAnsi" w:hAnsiTheme="majorHAnsi"/>
          <w:sz w:val="16"/>
          <w:szCs w:val="16"/>
        </w:rPr>
      </w:pPr>
      <w:r w:rsidRPr="00705630">
        <w:rPr>
          <w:rStyle w:val="FootnoteReference"/>
          <w:rFonts w:asciiTheme="majorHAnsi" w:hAnsiTheme="majorHAnsi"/>
          <w:sz w:val="16"/>
          <w:szCs w:val="16"/>
        </w:rPr>
        <w:footnoteRef/>
      </w:r>
      <w:r w:rsidRPr="00705630">
        <w:rPr>
          <w:rFonts w:asciiTheme="majorHAnsi" w:hAnsiTheme="majorHAnsi"/>
          <w:sz w:val="16"/>
          <w:szCs w:val="16"/>
        </w:rPr>
        <w:t xml:space="preserve"> See Report</w:t>
      </w:r>
      <w:r>
        <w:rPr>
          <w:rFonts w:asciiTheme="majorHAnsi" w:hAnsiTheme="majorHAnsi"/>
          <w:sz w:val="16"/>
          <w:szCs w:val="16"/>
        </w:rPr>
        <w:t xml:space="preserve"> on Admissibility</w:t>
      </w:r>
      <w:r w:rsidRPr="00705630">
        <w:rPr>
          <w:rFonts w:asciiTheme="majorHAnsi" w:hAnsiTheme="majorHAnsi"/>
          <w:sz w:val="16"/>
          <w:szCs w:val="16"/>
        </w:rPr>
        <w:t xml:space="preserve"> N° 19/14 </w:t>
      </w:r>
      <w:r>
        <w:rPr>
          <w:rFonts w:asciiTheme="majorHAnsi" w:hAnsiTheme="majorHAnsi"/>
          <w:sz w:val="16"/>
          <w:szCs w:val="16"/>
        </w:rPr>
        <w:t xml:space="preserve">of April </w:t>
      </w:r>
      <w:r w:rsidRPr="00705630">
        <w:rPr>
          <w:rFonts w:asciiTheme="majorHAnsi" w:hAnsiTheme="majorHAnsi"/>
          <w:sz w:val="16"/>
          <w:szCs w:val="16"/>
        </w:rPr>
        <w:t>3</w:t>
      </w:r>
      <w:r>
        <w:rPr>
          <w:rFonts w:asciiTheme="majorHAnsi" w:hAnsiTheme="majorHAnsi"/>
          <w:sz w:val="16"/>
          <w:szCs w:val="16"/>
        </w:rPr>
        <w:t>, 2014, Case No.</w:t>
      </w:r>
      <w:r w:rsidRPr="00705630">
        <w:rPr>
          <w:rFonts w:asciiTheme="majorHAnsi" w:hAnsiTheme="majorHAnsi"/>
          <w:sz w:val="16"/>
          <w:szCs w:val="16"/>
        </w:rPr>
        <w:t xml:space="preserve"> </w:t>
      </w:r>
      <w:r>
        <w:rPr>
          <w:rFonts w:asciiTheme="majorHAnsi" w:hAnsiTheme="majorHAnsi"/>
          <w:sz w:val="16"/>
          <w:szCs w:val="16"/>
        </w:rPr>
        <w:t>12.492 - Emilia Morales Campos and</w:t>
      </w:r>
      <w:r w:rsidRPr="00705630">
        <w:rPr>
          <w:rFonts w:asciiTheme="majorHAnsi" w:hAnsiTheme="majorHAnsi"/>
          <w:sz w:val="16"/>
          <w:szCs w:val="16"/>
        </w:rPr>
        <w:t xml:space="preserve"> J</w:t>
      </w:r>
      <w:r>
        <w:rPr>
          <w:rFonts w:asciiTheme="majorHAnsi" w:hAnsiTheme="majorHAnsi"/>
          <w:sz w:val="16"/>
          <w:szCs w:val="16"/>
        </w:rPr>
        <w:t>ennifer Emilia Morales Campos v</w:t>
      </w:r>
      <w:r w:rsidRPr="00705630">
        <w:rPr>
          <w:rFonts w:asciiTheme="majorHAnsi" w:hAnsiTheme="majorHAnsi"/>
          <w:sz w:val="16"/>
          <w:szCs w:val="16"/>
        </w:rPr>
        <w:t>. Costa Rica.</w:t>
      </w:r>
    </w:p>
  </w:footnote>
  <w:footnote w:id="3">
    <w:p w:rsidR="00163E72" w:rsidRPr="00705630" w:rsidRDefault="00163E72" w:rsidP="00163E72">
      <w:pPr>
        <w:pStyle w:val="FootnoteText"/>
        <w:rPr>
          <w:rFonts w:asciiTheme="majorHAnsi" w:hAnsiTheme="majorHAnsi"/>
          <w:sz w:val="16"/>
          <w:szCs w:val="16"/>
        </w:rPr>
      </w:pPr>
      <w:r w:rsidRPr="00705630">
        <w:rPr>
          <w:rStyle w:val="FootnoteReference"/>
          <w:rFonts w:asciiTheme="majorHAnsi" w:hAnsiTheme="majorHAnsi"/>
          <w:sz w:val="16"/>
          <w:szCs w:val="16"/>
        </w:rPr>
        <w:footnoteRef/>
      </w:r>
      <w:r w:rsidRPr="00705630">
        <w:rPr>
          <w:rFonts w:asciiTheme="majorHAnsi" w:hAnsiTheme="majorHAnsi"/>
          <w:sz w:val="16"/>
          <w:szCs w:val="16"/>
        </w:rPr>
        <w:t xml:space="preserve"> </w:t>
      </w:r>
      <w:r>
        <w:rPr>
          <w:rFonts w:asciiTheme="majorHAnsi" w:hAnsiTheme="majorHAnsi"/>
          <w:sz w:val="16"/>
          <w:szCs w:val="16"/>
        </w:rPr>
        <w:t>See, IACHR</w:t>
      </w:r>
      <w:r w:rsidRPr="00705630">
        <w:rPr>
          <w:rFonts w:asciiTheme="majorHAnsi" w:hAnsiTheme="majorHAnsi"/>
          <w:sz w:val="16"/>
          <w:szCs w:val="16"/>
        </w:rPr>
        <w:t xml:space="preserve"> </w:t>
      </w:r>
      <w:r>
        <w:rPr>
          <w:rFonts w:asciiTheme="majorHAnsi" w:hAnsiTheme="majorHAnsi"/>
          <w:sz w:val="16"/>
          <w:szCs w:val="16"/>
        </w:rPr>
        <w:t xml:space="preserve">Welcomes Progress Made by Costa Rica to Implement Friendly Settlement in the Emilia Morales Campos Case. February </w:t>
      </w:r>
      <w:r w:rsidRPr="00705630">
        <w:rPr>
          <w:rFonts w:asciiTheme="majorHAnsi" w:hAnsiTheme="majorHAnsi"/>
          <w:sz w:val="16"/>
          <w:szCs w:val="16"/>
        </w:rPr>
        <w:t>4</w:t>
      </w:r>
      <w:r>
        <w:rPr>
          <w:rFonts w:asciiTheme="majorHAnsi" w:hAnsiTheme="majorHAnsi"/>
          <w:sz w:val="16"/>
          <w:szCs w:val="16"/>
        </w:rPr>
        <w:t>,</w:t>
      </w:r>
      <w:r w:rsidRPr="00705630">
        <w:rPr>
          <w:rFonts w:asciiTheme="majorHAnsi" w:hAnsiTheme="majorHAnsi"/>
          <w:sz w:val="16"/>
          <w:szCs w:val="16"/>
        </w:rPr>
        <w:t xml:space="preserve"> 2019. </w:t>
      </w:r>
      <w:r>
        <w:rPr>
          <w:rFonts w:asciiTheme="majorHAnsi" w:hAnsiTheme="majorHAnsi"/>
          <w:sz w:val="16"/>
          <w:szCs w:val="16"/>
        </w:rPr>
        <w:t>Available electronically at</w:t>
      </w:r>
      <w:r w:rsidRPr="00705630">
        <w:rPr>
          <w:rFonts w:asciiTheme="majorHAnsi" w:hAnsiTheme="majorHAnsi"/>
          <w:sz w:val="16"/>
          <w:szCs w:val="16"/>
        </w:rPr>
        <w:t xml:space="preserve">: </w:t>
      </w:r>
      <w:hyperlink r:id="rId1" w:history="1">
        <w:r w:rsidRPr="00705630">
          <w:rPr>
            <w:rStyle w:val="Hyperlink"/>
            <w:rFonts w:asciiTheme="majorHAnsi" w:hAnsiTheme="majorHAnsi"/>
            <w:sz w:val="16"/>
            <w:szCs w:val="16"/>
          </w:rPr>
          <w:t>http://www.oas.org/es/cidh/prensa/comunicados/2019/025.asp</w:t>
        </w:r>
      </w:hyperlink>
      <w:r w:rsidRPr="00705630">
        <w:rPr>
          <w:rFonts w:asciiTheme="majorHAnsi" w:hAnsiTheme="majorHAnsi"/>
          <w:sz w:val="16"/>
          <w:szCs w:val="16"/>
        </w:rPr>
        <w:t xml:space="preserve"> </w:t>
      </w:r>
    </w:p>
  </w:footnote>
  <w:footnote w:id="4">
    <w:p w:rsidR="00163E72" w:rsidRPr="00705630" w:rsidRDefault="00163E72" w:rsidP="00163E72">
      <w:pPr>
        <w:pStyle w:val="FootnoteText"/>
        <w:jc w:val="both"/>
        <w:rPr>
          <w:rFonts w:asciiTheme="majorHAnsi" w:hAnsiTheme="majorHAnsi"/>
          <w:sz w:val="16"/>
          <w:szCs w:val="16"/>
        </w:rPr>
      </w:pPr>
      <w:r w:rsidRPr="00705630">
        <w:rPr>
          <w:rStyle w:val="FootnoteReference"/>
          <w:rFonts w:asciiTheme="majorHAnsi" w:hAnsiTheme="majorHAnsi"/>
          <w:sz w:val="16"/>
          <w:szCs w:val="16"/>
        </w:rPr>
        <w:footnoteRef/>
      </w:r>
      <w:r w:rsidRPr="00705630">
        <w:rPr>
          <w:rFonts w:asciiTheme="majorHAnsi" w:hAnsiTheme="majorHAnsi"/>
          <w:sz w:val="16"/>
          <w:szCs w:val="16"/>
        </w:rPr>
        <w:t xml:space="preserve"> Res. No. 002619-2006 </w:t>
      </w:r>
      <w:r>
        <w:rPr>
          <w:rFonts w:asciiTheme="majorHAnsi" w:hAnsiTheme="majorHAnsi"/>
          <w:sz w:val="16"/>
          <w:szCs w:val="16"/>
        </w:rPr>
        <w:t xml:space="preserve">of the Constitutional Chamber of the Supreme Court of Justice dated February </w:t>
      </w:r>
      <w:r w:rsidRPr="00705630">
        <w:rPr>
          <w:rFonts w:asciiTheme="majorHAnsi" w:hAnsiTheme="majorHAnsi"/>
          <w:sz w:val="16"/>
          <w:szCs w:val="16"/>
        </w:rPr>
        <w:t>28</w:t>
      </w:r>
      <w:r>
        <w:rPr>
          <w:rFonts w:asciiTheme="majorHAnsi" w:hAnsiTheme="majorHAnsi"/>
          <w:sz w:val="16"/>
          <w:szCs w:val="16"/>
        </w:rPr>
        <w:t>,</w:t>
      </w:r>
      <w:r w:rsidRPr="00705630">
        <w:rPr>
          <w:rFonts w:asciiTheme="majorHAnsi" w:hAnsiTheme="majorHAnsi"/>
          <w:sz w:val="16"/>
          <w:szCs w:val="16"/>
        </w:rPr>
        <w:t xml:space="preserve"> 2006.</w:t>
      </w:r>
    </w:p>
  </w:footnote>
  <w:footnote w:id="5">
    <w:p w:rsidR="00163E72" w:rsidRPr="00705630" w:rsidRDefault="00163E72" w:rsidP="00163E72">
      <w:pPr>
        <w:pStyle w:val="FootnoteText"/>
        <w:jc w:val="both"/>
        <w:rPr>
          <w:rFonts w:asciiTheme="majorHAnsi" w:hAnsiTheme="majorHAnsi"/>
          <w:sz w:val="16"/>
          <w:szCs w:val="16"/>
        </w:rPr>
      </w:pPr>
      <w:r w:rsidRPr="00705630">
        <w:rPr>
          <w:rStyle w:val="FootnoteReference"/>
          <w:rFonts w:asciiTheme="majorHAnsi" w:hAnsiTheme="majorHAnsi"/>
          <w:sz w:val="16"/>
          <w:szCs w:val="16"/>
        </w:rPr>
        <w:footnoteRef/>
      </w:r>
      <w:r w:rsidRPr="00705630">
        <w:rPr>
          <w:rFonts w:asciiTheme="majorHAnsi" w:hAnsiTheme="majorHAnsi"/>
          <w:sz w:val="16"/>
          <w:szCs w:val="16"/>
        </w:rPr>
        <w:t xml:space="preserve"> </w:t>
      </w:r>
      <w:r>
        <w:rPr>
          <w:rFonts w:asciiTheme="majorHAnsi" w:hAnsiTheme="majorHAnsi"/>
          <w:sz w:val="16"/>
          <w:szCs w:val="16"/>
        </w:rPr>
        <w:t xml:space="preserve">This is the legally used term in these proceedings, but it does not pose any difficulty or obstacle to the access that Mrs. Emilia Morales Campos will have to the appropriate procedure. </w:t>
      </w:r>
    </w:p>
  </w:footnote>
  <w:footnote w:id="6">
    <w:p w:rsidR="00163E72" w:rsidRPr="00705630" w:rsidRDefault="00163E72" w:rsidP="00163E72">
      <w:pPr>
        <w:pStyle w:val="FootnoteText"/>
        <w:jc w:val="both"/>
        <w:rPr>
          <w:rFonts w:asciiTheme="majorHAnsi" w:hAnsiTheme="majorHAnsi"/>
          <w:sz w:val="16"/>
          <w:szCs w:val="16"/>
        </w:rPr>
      </w:pPr>
      <w:r w:rsidRPr="00705630">
        <w:rPr>
          <w:rStyle w:val="FootnoteReference"/>
          <w:rFonts w:asciiTheme="majorHAnsi" w:hAnsiTheme="majorHAnsi"/>
          <w:sz w:val="16"/>
          <w:szCs w:val="16"/>
        </w:rPr>
        <w:footnoteRef/>
      </w:r>
      <w:r w:rsidRPr="00705630">
        <w:rPr>
          <w:rFonts w:asciiTheme="majorHAnsi" w:hAnsiTheme="majorHAnsi"/>
          <w:sz w:val="16"/>
          <w:szCs w:val="16"/>
        </w:rPr>
        <w:t xml:space="preserve"> </w:t>
      </w:r>
      <w:r>
        <w:rPr>
          <w:rFonts w:asciiTheme="majorHAnsi" w:hAnsiTheme="majorHAnsi"/>
          <w:sz w:val="16"/>
          <w:szCs w:val="16"/>
        </w:rPr>
        <w:t xml:space="preserve">The IACHR is not releasing the name of the victim’s granddaughter because she is a minor at the time of approval of this report.  </w:t>
      </w:r>
    </w:p>
  </w:footnote>
  <w:footnote w:id="7">
    <w:p w:rsidR="00163E72" w:rsidRPr="00705630" w:rsidRDefault="00163E72" w:rsidP="00163E72">
      <w:pPr>
        <w:pStyle w:val="FootnoteText"/>
        <w:jc w:val="both"/>
        <w:rPr>
          <w:rFonts w:asciiTheme="majorHAnsi" w:hAnsiTheme="majorHAnsi"/>
          <w:sz w:val="16"/>
          <w:szCs w:val="16"/>
        </w:rPr>
      </w:pPr>
      <w:r w:rsidRPr="00705630">
        <w:rPr>
          <w:rStyle w:val="FootnoteReference"/>
          <w:rFonts w:asciiTheme="majorHAnsi" w:hAnsiTheme="majorHAnsi"/>
          <w:sz w:val="16"/>
          <w:szCs w:val="16"/>
        </w:rPr>
        <w:footnoteRef/>
      </w:r>
      <w:r w:rsidRPr="00705630">
        <w:rPr>
          <w:rFonts w:asciiTheme="majorHAnsi" w:hAnsiTheme="majorHAnsi"/>
          <w:sz w:val="16"/>
          <w:szCs w:val="16"/>
        </w:rPr>
        <w:t xml:space="preserve"> Costa Rica </w:t>
      </w:r>
      <w:r>
        <w:rPr>
          <w:rFonts w:asciiTheme="majorHAnsi" w:hAnsiTheme="majorHAnsi"/>
          <w:sz w:val="16"/>
          <w:szCs w:val="16"/>
        </w:rPr>
        <w:t xml:space="preserve">has been a State Party to the American Convention on Human Rights since April 8, 1970. </w:t>
      </w:r>
    </w:p>
  </w:footnote>
  <w:footnote w:id="8">
    <w:p w:rsidR="00163E72" w:rsidRPr="00705630" w:rsidRDefault="00163E72" w:rsidP="00163E72">
      <w:pPr>
        <w:pStyle w:val="FootnoteText"/>
        <w:jc w:val="both"/>
        <w:rPr>
          <w:rFonts w:asciiTheme="majorHAnsi" w:hAnsiTheme="majorHAnsi"/>
          <w:sz w:val="16"/>
          <w:szCs w:val="16"/>
        </w:rPr>
      </w:pPr>
      <w:r w:rsidRPr="00705630">
        <w:rPr>
          <w:rStyle w:val="FootnoteReference"/>
          <w:rFonts w:asciiTheme="majorHAnsi" w:hAnsiTheme="majorHAnsi"/>
          <w:sz w:val="16"/>
          <w:szCs w:val="16"/>
        </w:rPr>
        <w:footnoteRef/>
      </w:r>
      <w:r>
        <w:rPr>
          <w:rFonts w:asciiTheme="majorHAnsi" w:hAnsiTheme="majorHAnsi"/>
          <w:sz w:val="16"/>
          <w:szCs w:val="16"/>
        </w:rPr>
        <w:t xml:space="preserve"> See, for example, Supreme Court of Justice of </w:t>
      </w:r>
      <w:r w:rsidRPr="00705630">
        <w:rPr>
          <w:rFonts w:asciiTheme="majorHAnsi" w:hAnsiTheme="majorHAnsi"/>
          <w:sz w:val="16"/>
          <w:szCs w:val="16"/>
        </w:rPr>
        <w:t xml:space="preserve">Costa </w:t>
      </w:r>
      <w:r>
        <w:rPr>
          <w:rFonts w:asciiTheme="majorHAnsi" w:hAnsiTheme="majorHAnsi"/>
          <w:sz w:val="16"/>
          <w:szCs w:val="16"/>
        </w:rPr>
        <w:t>Rica. Unconstitutionality Action. Opinion</w:t>
      </w:r>
      <w:r w:rsidRPr="00705630">
        <w:rPr>
          <w:rFonts w:asciiTheme="majorHAnsi" w:hAnsiTheme="majorHAnsi"/>
          <w:sz w:val="16"/>
          <w:szCs w:val="16"/>
        </w:rPr>
        <w:t xml:space="preserve"> 2313-95 (</w:t>
      </w:r>
      <w:r>
        <w:rPr>
          <w:rFonts w:asciiTheme="majorHAnsi" w:hAnsiTheme="majorHAnsi"/>
          <w:sz w:val="16"/>
          <w:szCs w:val="16"/>
        </w:rPr>
        <w:t>Case File</w:t>
      </w:r>
      <w:r w:rsidRPr="00705630">
        <w:rPr>
          <w:rFonts w:asciiTheme="majorHAnsi" w:hAnsiTheme="majorHAnsi"/>
          <w:sz w:val="16"/>
          <w:szCs w:val="16"/>
        </w:rPr>
        <w:t xml:space="preserve"> 0421-S-90), </w:t>
      </w:r>
      <w:r>
        <w:rPr>
          <w:rFonts w:asciiTheme="majorHAnsi" w:hAnsiTheme="majorHAnsi"/>
          <w:sz w:val="16"/>
          <w:szCs w:val="16"/>
        </w:rPr>
        <w:t xml:space="preserve">‘whereas’ clause </w:t>
      </w:r>
      <w:r w:rsidRPr="00705630">
        <w:rPr>
          <w:rFonts w:asciiTheme="majorHAnsi" w:hAnsiTheme="majorHAnsi"/>
          <w:sz w:val="16"/>
          <w:szCs w:val="16"/>
        </w:rPr>
        <w:t>VII.</w:t>
      </w:r>
    </w:p>
  </w:footnote>
  <w:footnote w:id="9">
    <w:p w:rsidR="00163E72" w:rsidRPr="00705630" w:rsidRDefault="00163E72" w:rsidP="00163E72">
      <w:pPr>
        <w:pStyle w:val="FootnoteText"/>
        <w:jc w:val="both"/>
        <w:rPr>
          <w:rFonts w:asciiTheme="majorHAnsi" w:hAnsiTheme="majorHAnsi"/>
          <w:sz w:val="16"/>
          <w:szCs w:val="16"/>
        </w:rPr>
      </w:pPr>
      <w:r w:rsidRPr="00705630">
        <w:rPr>
          <w:rStyle w:val="FootnoteReference"/>
          <w:rFonts w:asciiTheme="majorHAnsi" w:hAnsiTheme="majorHAnsi"/>
          <w:sz w:val="16"/>
          <w:szCs w:val="16"/>
        </w:rPr>
        <w:footnoteRef/>
      </w:r>
      <w:r w:rsidRPr="00705630">
        <w:rPr>
          <w:rFonts w:asciiTheme="majorHAnsi" w:hAnsiTheme="majorHAnsi"/>
          <w:sz w:val="16"/>
          <w:szCs w:val="16"/>
        </w:rPr>
        <w:t xml:space="preserve"> </w:t>
      </w:r>
      <w:r>
        <w:rPr>
          <w:rFonts w:asciiTheme="majorHAnsi" w:hAnsiTheme="majorHAnsi"/>
          <w:sz w:val="16"/>
          <w:szCs w:val="16"/>
        </w:rPr>
        <w:t>IA Court of HR. Case of</w:t>
      </w:r>
      <w:r w:rsidRPr="00705630">
        <w:rPr>
          <w:rFonts w:asciiTheme="majorHAnsi" w:hAnsiTheme="majorHAnsi"/>
          <w:sz w:val="16"/>
          <w:szCs w:val="16"/>
        </w:rPr>
        <w:t xml:space="preserve"> </w:t>
      </w:r>
      <w:proofErr w:type="spellStart"/>
      <w:r w:rsidRPr="00705630">
        <w:rPr>
          <w:rFonts w:asciiTheme="majorHAnsi" w:hAnsiTheme="majorHAnsi"/>
          <w:sz w:val="16"/>
          <w:szCs w:val="16"/>
        </w:rPr>
        <w:t>Gudiel</w:t>
      </w:r>
      <w:proofErr w:type="spellEnd"/>
      <w:r w:rsidRPr="00705630">
        <w:rPr>
          <w:rFonts w:asciiTheme="majorHAnsi" w:hAnsiTheme="majorHAnsi"/>
          <w:sz w:val="16"/>
          <w:szCs w:val="16"/>
        </w:rPr>
        <w:t xml:space="preserve"> </w:t>
      </w:r>
      <w:proofErr w:type="spellStart"/>
      <w:r w:rsidRPr="00705630">
        <w:rPr>
          <w:rFonts w:asciiTheme="majorHAnsi" w:hAnsiTheme="majorHAnsi"/>
          <w:sz w:val="16"/>
          <w:szCs w:val="16"/>
        </w:rPr>
        <w:t>Álva</w:t>
      </w:r>
      <w:r>
        <w:rPr>
          <w:rFonts w:asciiTheme="majorHAnsi" w:hAnsiTheme="majorHAnsi"/>
          <w:sz w:val="16"/>
          <w:szCs w:val="16"/>
        </w:rPr>
        <w:t>rez</w:t>
      </w:r>
      <w:proofErr w:type="spellEnd"/>
      <w:r>
        <w:rPr>
          <w:rFonts w:asciiTheme="majorHAnsi" w:hAnsiTheme="majorHAnsi"/>
          <w:sz w:val="16"/>
          <w:szCs w:val="16"/>
        </w:rPr>
        <w:t xml:space="preserve"> et al</w:t>
      </w:r>
      <w:r w:rsidRPr="00705630">
        <w:rPr>
          <w:rFonts w:asciiTheme="majorHAnsi" w:hAnsiTheme="majorHAnsi"/>
          <w:sz w:val="16"/>
          <w:szCs w:val="16"/>
        </w:rPr>
        <w:t xml:space="preserve"> (“</w:t>
      </w:r>
      <w:proofErr w:type="spellStart"/>
      <w:r>
        <w:rPr>
          <w:rFonts w:asciiTheme="majorHAnsi" w:hAnsiTheme="majorHAnsi"/>
          <w:sz w:val="16"/>
          <w:szCs w:val="16"/>
        </w:rPr>
        <w:t>Diario</w:t>
      </w:r>
      <w:proofErr w:type="spellEnd"/>
      <w:r>
        <w:rPr>
          <w:rFonts w:asciiTheme="majorHAnsi" w:hAnsiTheme="majorHAnsi"/>
          <w:sz w:val="16"/>
          <w:szCs w:val="16"/>
        </w:rPr>
        <w:t xml:space="preserve"> </w:t>
      </w:r>
      <w:proofErr w:type="spellStart"/>
      <w:r>
        <w:rPr>
          <w:rFonts w:asciiTheme="majorHAnsi" w:hAnsiTheme="majorHAnsi"/>
          <w:sz w:val="16"/>
          <w:szCs w:val="16"/>
        </w:rPr>
        <w:t>Militar</w:t>
      </w:r>
      <w:proofErr w:type="spellEnd"/>
      <w:r>
        <w:rPr>
          <w:rFonts w:asciiTheme="majorHAnsi" w:hAnsiTheme="majorHAnsi"/>
          <w:sz w:val="16"/>
          <w:szCs w:val="16"/>
        </w:rPr>
        <w:t>”) v</w:t>
      </w:r>
      <w:r w:rsidRPr="00705630">
        <w:rPr>
          <w:rFonts w:asciiTheme="majorHAnsi" w:hAnsiTheme="majorHAnsi"/>
          <w:sz w:val="16"/>
          <w:szCs w:val="16"/>
        </w:rPr>
        <w:t xml:space="preserve">. Guatemala. </w:t>
      </w:r>
      <w:r>
        <w:rPr>
          <w:rFonts w:asciiTheme="majorHAnsi" w:hAnsiTheme="majorHAnsi"/>
          <w:sz w:val="16"/>
          <w:szCs w:val="16"/>
        </w:rPr>
        <w:t>Merits, Reparations and Costs. Judgment of November</w:t>
      </w:r>
      <w:r w:rsidRPr="00705630">
        <w:rPr>
          <w:rFonts w:asciiTheme="majorHAnsi" w:hAnsiTheme="majorHAnsi"/>
          <w:sz w:val="16"/>
          <w:szCs w:val="16"/>
        </w:rPr>
        <w:t xml:space="preserve"> 20</w:t>
      </w:r>
      <w:r>
        <w:rPr>
          <w:rFonts w:asciiTheme="majorHAnsi" w:hAnsiTheme="majorHAnsi"/>
          <w:sz w:val="16"/>
          <w:szCs w:val="16"/>
        </w:rPr>
        <w:t>, 2012, pa</w:t>
      </w:r>
      <w:r w:rsidRPr="00705630">
        <w:rPr>
          <w:rFonts w:asciiTheme="majorHAnsi" w:hAnsiTheme="majorHAnsi"/>
          <w:sz w:val="16"/>
          <w:szCs w:val="16"/>
        </w:rPr>
        <w:t>r. 330.</w:t>
      </w:r>
    </w:p>
  </w:footnote>
  <w:footnote w:id="10">
    <w:p w:rsidR="00163E72" w:rsidRPr="00705630" w:rsidRDefault="00163E72" w:rsidP="00163E72">
      <w:pPr>
        <w:pStyle w:val="FootnoteText"/>
        <w:jc w:val="both"/>
        <w:rPr>
          <w:rFonts w:asciiTheme="majorHAnsi" w:hAnsiTheme="majorHAnsi"/>
          <w:bCs/>
          <w:sz w:val="16"/>
          <w:szCs w:val="16"/>
        </w:rPr>
      </w:pPr>
      <w:r w:rsidRPr="00705630">
        <w:rPr>
          <w:rStyle w:val="FootnoteReference"/>
          <w:rFonts w:asciiTheme="majorHAnsi" w:hAnsiTheme="majorHAnsi"/>
          <w:sz w:val="16"/>
          <w:szCs w:val="16"/>
        </w:rPr>
        <w:footnoteRef/>
      </w:r>
      <w:r w:rsidRPr="00705630">
        <w:rPr>
          <w:rFonts w:asciiTheme="majorHAnsi" w:hAnsiTheme="majorHAnsi"/>
          <w:sz w:val="16"/>
          <w:szCs w:val="16"/>
        </w:rPr>
        <w:t xml:space="preserve"> </w:t>
      </w:r>
      <w:r>
        <w:rPr>
          <w:rFonts w:asciiTheme="majorHAnsi" w:hAnsiTheme="majorHAnsi"/>
          <w:sz w:val="16"/>
          <w:szCs w:val="16"/>
        </w:rPr>
        <w:t>IA Court of HR. Case of</w:t>
      </w:r>
      <w:r>
        <w:rPr>
          <w:rFonts w:asciiTheme="majorHAnsi" w:hAnsiTheme="majorHAnsi"/>
          <w:bCs/>
          <w:sz w:val="16"/>
          <w:szCs w:val="16"/>
        </w:rPr>
        <w:t xml:space="preserve"> Acevedo </w:t>
      </w:r>
      <w:proofErr w:type="spellStart"/>
      <w:r>
        <w:rPr>
          <w:rFonts w:asciiTheme="majorHAnsi" w:hAnsiTheme="majorHAnsi"/>
          <w:bCs/>
          <w:sz w:val="16"/>
          <w:szCs w:val="16"/>
        </w:rPr>
        <w:t>Buendía</w:t>
      </w:r>
      <w:proofErr w:type="spellEnd"/>
      <w:r>
        <w:rPr>
          <w:rFonts w:asciiTheme="majorHAnsi" w:hAnsiTheme="majorHAnsi"/>
          <w:bCs/>
          <w:sz w:val="16"/>
          <w:szCs w:val="16"/>
        </w:rPr>
        <w:t xml:space="preserve"> et al</w:t>
      </w:r>
      <w:r w:rsidRPr="00705630">
        <w:rPr>
          <w:rFonts w:asciiTheme="majorHAnsi" w:hAnsiTheme="majorHAnsi"/>
          <w:bCs/>
          <w:sz w:val="16"/>
          <w:szCs w:val="16"/>
        </w:rPr>
        <w:t xml:space="preserve"> (“</w:t>
      </w:r>
      <w:r>
        <w:rPr>
          <w:rFonts w:asciiTheme="majorHAnsi" w:hAnsiTheme="majorHAnsi"/>
          <w:bCs/>
          <w:sz w:val="16"/>
          <w:szCs w:val="16"/>
        </w:rPr>
        <w:t>Discharged and Retired Employees of the Comptroller”) v. Peru</w:t>
      </w:r>
      <w:r w:rsidRPr="00705630">
        <w:rPr>
          <w:rFonts w:asciiTheme="majorHAnsi" w:hAnsiTheme="majorHAnsi"/>
          <w:bCs/>
          <w:sz w:val="16"/>
          <w:szCs w:val="16"/>
        </w:rPr>
        <w:t xml:space="preserve">. </w:t>
      </w:r>
      <w:r>
        <w:rPr>
          <w:rFonts w:asciiTheme="majorHAnsi" w:hAnsiTheme="majorHAnsi"/>
          <w:bCs/>
          <w:sz w:val="16"/>
          <w:szCs w:val="16"/>
        </w:rPr>
        <w:t xml:space="preserve">Preliminary Objection, Merits, Reparations and Costs. Judgment of July </w:t>
      </w:r>
      <w:r w:rsidRPr="00705630">
        <w:rPr>
          <w:rFonts w:asciiTheme="majorHAnsi" w:hAnsiTheme="majorHAnsi"/>
          <w:bCs/>
          <w:sz w:val="16"/>
          <w:szCs w:val="16"/>
        </w:rPr>
        <w:t>1</w:t>
      </w:r>
      <w:r>
        <w:rPr>
          <w:rFonts w:asciiTheme="majorHAnsi" w:hAnsiTheme="majorHAnsi"/>
          <w:bCs/>
          <w:sz w:val="16"/>
          <w:szCs w:val="16"/>
        </w:rPr>
        <w:t>,</w:t>
      </w:r>
      <w:r w:rsidRPr="00705630">
        <w:rPr>
          <w:rFonts w:asciiTheme="majorHAnsi" w:hAnsiTheme="majorHAnsi"/>
          <w:bCs/>
          <w:sz w:val="16"/>
          <w:szCs w:val="16"/>
        </w:rPr>
        <w:t xml:space="preserve"> 2009. Serie</w:t>
      </w:r>
      <w:r>
        <w:rPr>
          <w:rFonts w:asciiTheme="majorHAnsi" w:hAnsiTheme="majorHAnsi"/>
          <w:bCs/>
          <w:sz w:val="16"/>
          <w:szCs w:val="16"/>
        </w:rPr>
        <w:t>s C No. 198, pars. 100, 101 and</w:t>
      </w:r>
      <w:r w:rsidRPr="00705630">
        <w:rPr>
          <w:rFonts w:asciiTheme="majorHAnsi" w:hAnsiTheme="majorHAnsi"/>
          <w:bCs/>
          <w:sz w:val="16"/>
          <w:szCs w:val="16"/>
        </w:rPr>
        <w:t xml:space="preserve"> 102. </w:t>
      </w:r>
    </w:p>
  </w:footnote>
  <w:footnote w:id="11">
    <w:p w:rsidR="00163E72" w:rsidRPr="00705630" w:rsidRDefault="00163E72" w:rsidP="00163E72">
      <w:pPr>
        <w:jc w:val="both"/>
        <w:rPr>
          <w:rFonts w:asciiTheme="majorHAnsi" w:hAnsiTheme="majorHAnsi"/>
          <w:sz w:val="16"/>
          <w:szCs w:val="16"/>
        </w:rPr>
      </w:pPr>
      <w:r w:rsidRPr="00705630">
        <w:rPr>
          <w:rStyle w:val="FootnoteReference"/>
          <w:rFonts w:asciiTheme="majorHAnsi" w:hAnsiTheme="majorHAnsi"/>
          <w:sz w:val="16"/>
          <w:szCs w:val="16"/>
        </w:rPr>
        <w:footnoteRef/>
      </w:r>
      <w:r w:rsidRPr="00705630">
        <w:rPr>
          <w:rFonts w:asciiTheme="majorHAnsi" w:hAnsiTheme="majorHAnsi"/>
          <w:sz w:val="16"/>
          <w:szCs w:val="16"/>
        </w:rPr>
        <w:t xml:space="preserve"> </w:t>
      </w:r>
      <w:r>
        <w:rPr>
          <w:rFonts w:asciiTheme="majorHAnsi" w:hAnsiTheme="majorHAnsi"/>
          <w:sz w:val="16"/>
          <w:szCs w:val="16"/>
          <w:shd w:val="clear" w:color="auto" w:fill="FFFFFF"/>
        </w:rPr>
        <w:t>Executive Decree No.</w:t>
      </w:r>
      <w:r w:rsidRPr="00705630">
        <w:rPr>
          <w:rFonts w:asciiTheme="majorHAnsi" w:hAnsiTheme="majorHAnsi"/>
          <w:sz w:val="16"/>
          <w:szCs w:val="16"/>
          <w:shd w:val="clear" w:color="auto" w:fill="FFFFFF"/>
        </w:rPr>
        <w:t>17270-P </w:t>
      </w:r>
      <w:r>
        <w:rPr>
          <w:rFonts w:asciiTheme="majorHAnsi" w:hAnsiTheme="majorHAnsi"/>
          <w:sz w:val="16"/>
          <w:szCs w:val="16"/>
          <w:shd w:val="clear" w:color="auto" w:fill="FFFFFF"/>
        </w:rPr>
        <w:t xml:space="preserve">of October </w:t>
      </w:r>
      <w:r w:rsidRPr="00705630">
        <w:rPr>
          <w:rFonts w:asciiTheme="majorHAnsi" w:hAnsiTheme="majorHAnsi"/>
          <w:sz w:val="16"/>
          <w:szCs w:val="16"/>
          <w:shd w:val="clear" w:color="auto" w:fill="FFFFFF"/>
        </w:rPr>
        <w:t>29</w:t>
      </w:r>
      <w:r>
        <w:rPr>
          <w:rFonts w:asciiTheme="majorHAnsi" w:hAnsiTheme="majorHAnsi"/>
          <w:sz w:val="16"/>
          <w:szCs w:val="16"/>
          <w:shd w:val="clear" w:color="auto" w:fill="FFFFFF"/>
        </w:rPr>
        <w:t>,</w:t>
      </w:r>
      <w:r w:rsidRPr="00705630">
        <w:rPr>
          <w:rFonts w:asciiTheme="majorHAnsi" w:hAnsiTheme="majorHAnsi"/>
          <w:sz w:val="16"/>
          <w:szCs w:val="16"/>
          <w:shd w:val="clear" w:color="auto" w:fill="FFFFFF"/>
        </w:rPr>
        <w:t xml:space="preserve"> 1986.</w:t>
      </w:r>
    </w:p>
  </w:footnote>
  <w:footnote w:id="12">
    <w:p w:rsidR="00163E72" w:rsidRPr="00705630" w:rsidRDefault="00163E72" w:rsidP="00163E72">
      <w:pPr>
        <w:jc w:val="both"/>
        <w:rPr>
          <w:rFonts w:asciiTheme="majorHAnsi" w:hAnsiTheme="majorHAnsi"/>
          <w:sz w:val="16"/>
          <w:szCs w:val="16"/>
        </w:rPr>
      </w:pPr>
      <w:r w:rsidRPr="00705630">
        <w:rPr>
          <w:rStyle w:val="FootnoteReference"/>
          <w:rFonts w:asciiTheme="majorHAnsi" w:hAnsiTheme="majorHAnsi"/>
          <w:sz w:val="16"/>
          <w:szCs w:val="16"/>
        </w:rPr>
        <w:footnoteRef/>
      </w:r>
      <w:r w:rsidRPr="00705630">
        <w:rPr>
          <w:rFonts w:asciiTheme="majorHAnsi" w:hAnsiTheme="majorHAnsi"/>
          <w:sz w:val="16"/>
          <w:szCs w:val="16"/>
        </w:rPr>
        <w:t xml:space="preserve"> </w:t>
      </w:r>
      <w:r>
        <w:rPr>
          <w:rFonts w:asciiTheme="majorHAnsi" w:hAnsiTheme="majorHAnsi"/>
          <w:sz w:val="16"/>
          <w:szCs w:val="16"/>
        </w:rPr>
        <w:t xml:space="preserve">Executive Decree No. </w:t>
      </w:r>
      <w:r w:rsidRPr="00705630">
        <w:rPr>
          <w:rFonts w:asciiTheme="majorHAnsi" w:hAnsiTheme="majorHAnsi"/>
          <w:sz w:val="16"/>
          <w:szCs w:val="16"/>
          <w:shd w:val="clear" w:color="auto" w:fill="FFFFFF"/>
        </w:rPr>
        <w:t>17270-P </w:t>
      </w:r>
      <w:r>
        <w:rPr>
          <w:rFonts w:asciiTheme="majorHAnsi" w:hAnsiTheme="majorHAnsi"/>
          <w:sz w:val="16"/>
          <w:szCs w:val="16"/>
          <w:shd w:val="clear" w:color="auto" w:fill="FFFFFF"/>
        </w:rPr>
        <w:t xml:space="preserve">of October </w:t>
      </w:r>
      <w:r w:rsidRPr="00705630">
        <w:rPr>
          <w:rFonts w:asciiTheme="majorHAnsi" w:hAnsiTheme="majorHAnsi"/>
          <w:sz w:val="16"/>
          <w:szCs w:val="16"/>
          <w:shd w:val="clear" w:color="auto" w:fill="FFFFFF"/>
        </w:rPr>
        <w:t>29</w:t>
      </w:r>
      <w:r>
        <w:rPr>
          <w:rFonts w:asciiTheme="majorHAnsi" w:hAnsiTheme="majorHAnsi"/>
          <w:sz w:val="16"/>
          <w:szCs w:val="16"/>
          <w:shd w:val="clear" w:color="auto" w:fill="FFFFFF"/>
        </w:rPr>
        <w:t>,</w:t>
      </w:r>
      <w:r w:rsidRPr="00705630">
        <w:rPr>
          <w:rFonts w:asciiTheme="majorHAnsi" w:hAnsiTheme="majorHAnsi"/>
          <w:sz w:val="16"/>
          <w:szCs w:val="16"/>
          <w:shd w:val="clear" w:color="auto" w:fill="FFFFFF"/>
        </w:rPr>
        <w:t xml:space="preserve"> 1986.</w:t>
      </w:r>
    </w:p>
  </w:footnote>
  <w:footnote w:id="13">
    <w:p w:rsidR="00163E72" w:rsidRPr="00705630" w:rsidRDefault="00163E72" w:rsidP="00163E72">
      <w:pPr>
        <w:jc w:val="both"/>
        <w:rPr>
          <w:rFonts w:asciiTheme="majorHAnsi" w:hAnsiTheme="majorHAnsi"/>
          <w:iCs/>
          <w:sz w:val="16"/>
          <w:szCs w:val="16"/>
          <w:lang w:eastAsia="es-ES"/>
        </w:rPr>
      </w:pPr>
      <w:r w:rsidRPr="00705630">
        <w:rPr>
          <w:rStyle w:val="FootnoteReference"/>
          <w:rFonts w:asciiTheme="majorHAnsi" w:hAnsiTheme="majorHAnsi"/>
          <w:sz w:val="16"/>
          <w:szCs w:val="16"/>
        </w:rPr>
        <w:footnoteRef/>
      </w:r>
      <w:r w:rsidRPr="00705630">
        <w:rPr>
          <w:rFonts w:asciiTheme="majorHAnsi" w:hAnsiTheme="majorHAnsi"/>
          <w:sz w:val="16"/>
          <w:szCs w:val="16"/>
        </w:rPr>
        <w:t xml:space="preserve"> Resol</w:t>
      </w:r>
      <w:r>
        <w:rPr>
          <w:rFonts w:asciiTheme="majorHAnsi" w:hAnsiTheme="majorHAnsi"/>
          <w:sz w:val="16"/>
          <w:szCs w:val="16"/>
        </w:rPr>
        <w:t xml:space="preserve">ution No. </w:t>
      </w:r>
      <w:r w:rsidRPr="00705630">
        <w:rPr>
          <w:rFonts w:asciiTheme="majorHAnsi" w:hAnsiTheme="majorHAnsi"/>
          <w:sz w:val="16"/>
          <w:szCs w:val="16"/>
        </w:rPr>
        <w:t xml:space="preserve">3410-92 </w:t>
      </w:r>
      <w:r>
        <w:rPr>
          <w:rFonts w:asciiTheme="majorHAnsi" w:hAnsiTheme="majorHAnsi"/>
          <w:sz w:val="16"/>
          <w:szCs w:val="16"/>
        </w:rPr>
        <w:t xml:space="preserve">of </w:t>
      </w:r>
      <w:r w:rsidRPr="00705630">
        <w:rPr>
          <w:rFonts w:asciiTheme="majorHAnsi" w:hAnsiTheme="majorHAnsi"/>
          <w:sz w:val="16"/>
          <w:szCs w:val="16"/>
        </w:rPr>
        <w:t xml:space="preserve">14:45 </w:t>
      </w:r>
      <w:r>
        <w:rPr>
          <w:rFonts w:asciiTheme="majorHAnsi" w:hAnsiTheme="majorHAnsi"/>
          <w:sz w:val="16"/>
          <w:szCs w:val="16"/>
        </w:rPr>
        <w:t xml:space="preserve">hours of November </w:t>
      </w:r>
      <w:r w:rsidRPr="00705630">
        <w:rPr>
          <w:rFonts w:asciiTheme="majorHAnsi" w:hAnsiTheme="majorHAnsi"/>
          <w:sz w:val="16"/>
          <w:szCs w:val="16"/>
        </w:rPr>
        <w:t>10</w:t>
      </w:r>
      <w:r>
        <w:rPr>
          <w:rFonts w:asciiTheme="majorHAnsi" w:hAnsiTheme="majorHAnsi"/>
          <w:sz w:val="16"/>
          <w:szCs w:val="16"/>
        </w:rPr>
        <w:t>,</w:t>
      </w:r>
      <w:r w:rsidRPr="00705630">
        <w:rPr>
          <w:rFonts w:asciiTheme="majorHAnsi" w:hAnsiTheme="majorHAnsi"/>
          <w:sz w:val="16"/>
          <w:szCs w:val="16"/>
        </w:rPr>
        <w:t xml:space="preserve"> 1992.</w:t>
      </w:r>
    </w:p>
  </w:footnote>
  <w:footnote w:id="14">
    <w:p w:rsidR="00163E72" w:rsidRPr="00403DE6" w:rsidRDefault="00163E72" w:rsidP="00163E72">
      <w:pPr>
        <w:jc w:val="both"/>
        <w:rPr>
          <w:rFonts w:asciiTheme="majorHAnsi" w:hAnsiTheme="majorHAnsi"/>
          <w:sz w:val="16"/>
          <w:szCs w:val="16"/>
        </w:rPr>
      </w:pPr>
      <w:r w:rsidRPr="00705630">
        <w:rPr>
          <w:rStyle w:val="FootnoteReference"/>
          <w:rFonts w:asciiTheme="majorHAnsi" w:hAnsiTheme="majorHAnsi"/>
          <w:sz w:val="16"/>
          <w:szCs w:val="16"/>
        </w:rPr>
        <w:footnoteRef/>
      </w:r>
      <w:r w:rsidRPr="00705630">
        <w:rPr>
          <w:rFonts w:asciiTheme="majorHAnsi" w:hAnsiTheme="majorHAnsi"/>
          <w:sz w:val="16"/>
          <w:szCs w:val="16"/>
        </w:rPr>
        <w:t xml:space="preserve"> </w:t>
      </w:r>
      <w:r>
        <w:rPr>
          <w:rFonts w:asciiTheme="majorHAnsi" w:hAnsiTheme="majorHAnsi"/>
          <w:sz w:val="16"/>
          <w:szCs w:val="16"/>
        </w:rPr>
        <w:t xml:space="preserve">Political Constitution of </w:t>
      </w:r>
      <w:r>
        <w:rPr>
          <w:rFonts w:asciiTheme="majorHAnsi" w:hAnsiTheme="majorHAnsi"/>
          <w:color w:val="000000"/>
          <w:sz w:val="16"/>
          <w:szCs w:val="16"/>
          <w:shd w:val="clear" w:color="auto" w:fill="FFFFFF"/>
        </w:rPr>
        <w:t>Costa Rica, Article</w:t>
      </w:r>
      <w:r w:rsidRPr="00705630">
        <w:rPr>
          <w:rFonts w:asciiTheme="majorHAnsi" w:hAnsiTheme="majorHAnsi"/>
          <w:color w:val="000000"/>
          <w:sz w:val="16"/>
          <w:szCs w:val="16"/>
          <w:shd w:val="clear" w:color="auto" w:fill="FFFFFF"/>
        </w:rPr>
        <w:t xml:space="preserve"> 65. </w:t>
      </w:r>
      <w:r w:rsidRPr="00163E72">
        <w:rPr>
          <w:rFonts w:asciiTheme="majorHAnsi" w:hAnsiTheme="majorHAnsi"/>
          <w:i/>
          <w:color w:val="000000"/>
          <w:sz w:val="16"/>
          <w:szCs w:val="16"/>
          <w:shd w:val="clear" w:color="auto" w:fill="FFFFFF"/>
          <w:lang w:val="es-VE"/>
        </w:rPr>
        <w:t xml:space="preserve">El Estado promoverá la construcción de viviendas populares y creará el patrimonio familiar del trabajador. </w:t>
      </w:r>
      <w:r>
        <w:rPr>
          <w:rFonts w:asciiTheme="majorHAnsi" w:hAnsiTheme="majorHAnsi"/>
          <w:color w:val="000000"/>
          <w:sz w:val="16"/>
          <w:szCs w:val="16"/>
          <w:shd w:val="clear" w:color="auto" w:fill="FFFFFF"/>
        </w:rPr>
        <w:t>[‘The State shall promote the construction of public housing and shall create the worker’s family patrimony’]</w:t>
      </w:r>
    </w:p>
  </w:footnote>
  <w:footnote w:id="15">
    <w:p w:rsidR="00163E72" w:rsidRPr="00705630" w:rsidRDefault="00163E72" w:rsidP="00163E72">
      <w:pPr>
        <w:pStyle w:val="FootnoteText"/>
        <w:jc w:val="both"/>
        <w:rPr>
          <w:rFonts w:asciiTheme="majorHAnsi" w:hAnsiTheme="majorHAnsi"/>
          <w:sz w:val="16"/>
          <w:szCs w:val="16"/>
        </w:rPr>
      </w:pPr>
      <w:r w:rsidRPr="00705630">
        <w:rPr>
          <w:rStyle w:val="FootnoteReference"/>
          <w:rFonts w:asciiTheme="majorHAnsi" w:hAnsiTheme="majorHAnsi"/>
          <w:sz w:val="16"/>
          <w:szCs w:val="16"/>
        </w:rPr>
        <w:footnoteRef/>
      </w:r>
      <w:r>
        <w:rPr>
          <w:rFonts w:asciiTheme="majorHAnsi" w:hAnsiTheme="majorHAnsi"/>
          <w:sz w:val="16"/>
          <w:szCs w:val="16"/>
        </w:rPr>
        <w:t xml:space="preserve"> As of June </w:t>
      </w:r>
      <w:r w:rsidRPr="00705630">
        <w:rPr>
          <w:rFonts w:asciiTheme="majorHAnsi" w:hAnsiTheme="majorHAnsi"/>
          <w:sz w:val="16"/>
          <w:szCs w:val="16"/>
        </w:rPr>
        <w:t>2018.</w:t>
      </w:r>
    </w:p>
  </w:footnote>
  <w:footnote w:id="16">
    <w:p w:rsidR="00163E72" w:rsidRPr="00705630" w:rsidRDefault="00163E72" w:rsidP="00163E72">
      <w:pPr>
        <w:pStyle w:val="FootnoteText"/>
        <w:jc w:val="both"/>
        <w:rPr>
          <w:rFonts w:asciiTheme="majorHAnsi" w:hAnsiTheme="majorHAnsi"/>
          <w:sz w:val="16"/>
          <w:szCs w:val="16"/>
        </w:rPr>
      </w:pPr>
      <w:r w:rsidRPr="00705630">
        <w:rPr>
          <w:rStyle w:val="FootnoteReference"/>
          <w:rFonts w:asciiTheme="majorHAnsi" w:hAnsiTheme="majorHAnsi"/>
          <w:sz w:val="16"/>
          <w:szCs w:val="16"/>
        </w:rPr>
        <w:footnoteRef/>
      </w:r>
      <w:r w:rsidRPr="00705630">
        <w:rPr>
          <w:rFonts w:asciiTheme="majorHAnsi" w:hAnsiTheme="majorHAnsi"/>
          <w:sz w:val="16"/>
          <w:szCs w:val="16"/>
        </w:rPr>
        <w:t xml:space="preserve"> </w:t>
      </w:r>
      <w:r>
        <w:rPr>
          <w:rFonts w:asciiTheme="majorHAnsi" w:hAnsiTheme="majorHAnsi"/>
          <w:sz w:val="16"/>
          <w:szCs w:val="16"/>
        </w:rPr>
        <w:t>IACHR, “Impact of the Friendly Settlement Procedure.”</w:t>
      </w:r>
      <w:r w:rsidRPr="00705630">
        <w:rPr>
          <w:rFonts w:asciiTheme="majorHAnsi" w:hAnsiTheme="majorHAnsi"/>
          <w:sz w:val="16"/>
          <w:szCs w:val="16"/>
        </w:rPr>
        <w:t xml:space="preserve"> OEA/</w:t>
      </w:r>
      <w:proofErr w:type="spellStart"/>
      <w:r w:rsidRPr="00705630">
        <w:rPr>
          <w:rFonts w:asciiTheme="majorHAnsi" w:hAnsiTheme="majorHAnsi"/>
          <w:sz w:val="16"/>
          <w:szCs w:val="16"/>
        </w:rPr>
        <w:t>Ser.L</w:t>
      </w:r>
      <w:proofErr w:type="spellEnd"/>
      <w:r w:rsidRPr="00705630">
        <w:rPr>
          <w:rFonts w:asciiTheme="majorHAnsi" w:hAnsiTheme="majorHAnsi"/>
          <w:sz w:val="16"/>
          <w:szCs w:val="16"/>
        </w:rPr>
        <w:t xml:space="preserve">/V/II. Doc. 45/13, </w:t>
      </w:r>
      <w:r>
        <w:rPr>
          <w:rFonts w:asciiTheme="majorHAnsi" w:hAnsiTheme="majorHAnsi"/>
          <w:sz w:val="16"/>
          <w:szCs w:val="16"/>
        </w:rPr>
        <w:t xml:space="preserve">December </w:t>
      </w:r>
      <w:r w:rsidRPr="00705630">
        <w:rPr>
          <w:rFonts w:asciiTheme="majorHAnsi" w:hAnsiTheme="majorHAnsi"/>
          <w:sz w:val="16"/>
          <w:szCs w:val="16"/>
        </w:rPr>
        <w:t>18</w:t>
      </w:r>
      <w:r>
        <w:rPr>
          <w:rFonts w:asciiTheme="majorHAnsi" w:hAnsiTheme="majorHAnsi"/>
          <w:sz w:val="16"/>
          <w:szCs w:val="16"/>
        </w:rPr>
        <w:t>, 2013, pa</w:t>
      </w:r>
      <w:r w:rsidRPr="00705630">
        <w:rPr>
          <w:rFonts w:asciiTheme="majorHAnsi" w:hAnsiTheme="majorHAnsi"/>
          <w:sz w:val="16"/>
          <w:szCs w:val="16"/>
        </w:rPr>
        <w:t xml:space="preserve">r. 5 </w:t>
      </w:r>
      <w:r>
        <w:rPr>
          <w:rFonts w:asciiTheme="majorHAnsi" w:hAnsiTheme="majorHAnsi"/>
          <w:i/>
          <w:sz w:val="16"/>
          <w:szCs w:val="16"/>
        </w:rPr>
        <w:t>available at</w:t>
      </w:r>
      <w:r w:rsidRPr="00705630">
        <w:rPr>
          <w:rFonts w:asciiTheme="majorHAnsi" w:hAnsiTheme="majorHAnsi"/>
          <w:i/>
          <w:sz w:val="16"/>
          <w:szCs w:val="16"/>
        </w:rPr>
        <w:t>:</w:t>
      </w:r>
      <w:r w:rsidRPr="00705630">
        <w:rPr>
          <w:rFonts w:asciiTheme="majorHAnsi" w:hAnsiTheme="majorHAnsi"/>
          <w:sz w:val="16"/>
          <w:szCs w:val="16"/>
        </w:rPr>
        <w:t xml:space="preserve"> </w:t>
      </w:r>
      <w:hyperlink r:id="rId2" w:history="1">
        <w:r w:rsidRPr="00705630">
          <w:rPr>
            <w:rStyle w:val="Hyperlink"/>
            <w:rFonts w:asciiTheme="majorHAnsi" w:hAnsiTheme="majorHAnsi"/>
            <w:sz w:val="16"/>
            <w:szCs w:val="16"/>
          </w:rPr>
          <w:t>http://www.oas.org/es/cidh/soluciones_amistosas/docs/Informe-Soluciones-Amistosas.pdf</w:t>
        </w:r>
      </w:hyperlink>
    </w:p>
  </w:footnote>
  <w:footnote w:id="17">
    <w:p w:rsidR="00163E72" w:rsidRPr="00705630" w:rsidRDefault="00163E72" w:rsidP="00163E72">
      <w:pPr>
        <w:pStyle w:val="FootnoteText"/>
        <w:jc w:val="both"/>
        <w:rPr>
          <w:rFonts w:asciiTheme="majorHAnsi" w:hAnsiTheme="majorHAnsi" w:cs="Arial"/>
          <w:sz w:val="16"/>
          <w:szCs w:val="16"/>
        </w:rPr>
      </w:pPr>
      <w:r w:rsidRPr="00705630">
        <w:rPr>
          <w:rStyle w:val="FootnoteReference"/>
          <w:rFonts w:asciiTheme="majorHAnsi" w:hAnsiTheme="majorHAnsi"/>
          <w:sz w:val="16"/>
          <w:szCs w:val="16"/>
        </w:rPr>
        <w:footnoteRef/>
      </w:r>
      <w:r w:rsidRPr="00705630">
        <w:rPr>
          <w:rFonts w:asciiTheme="majorHAnsi" w:hAnsiTheme="majorHAnsi"/>
          <w:sz w:val="16"/>
          <w:szCs w:val="16"/>
        </w:rPr>
        <w:t xml:space="preserve"> </w:t>
      </w:r>
      <w:r>
        <w:rPr>
          <w:rFonts w:asciiTheme="majorHAnsi" w:hAnsiTheme="majorHAnsi"/>
          <w:sz w:val="16"/>
          <w:szCs w:val="16"/>
        </w:rPr>
        <w:t>IACHR, “Impact of the Friendly Settlement Procedure.”</w:t>
      </w:r>
      <w:r w:rsidRPr="00705630">
        <w:rPr>
          <w:rFonts w:asciiTheme="majorHAnsi" w:hAnsiTheme="majorHAnsi"/>
          <w:sz w:val="16"/>
          <w:szCs w:val="16"/>
        </w:rPr>
        <w:t xml:space="preserve"> OEA/</w:t>
      </w:r>
      <w:proofErr w:type="spellStart"/>
      <w:r w:rsidRPr="00705630">
        <w:rPr>
          <w:rFonts w:asciiTheme="majorHAnsi" w:hAnsiTheme="majorHAnsi"/>
          <w:sz w:val="16"/>
          <w:szCs w:val="16"/>
        </w:rPr>
        <w:t>Ser.L</w:t>
      </w:r>
      <w:proofErr w:type="spellEnd"/>
      <w:r w:rsidRPr="00705630">
        <w:rPr>
          <w:rFonts w:asciiTheme="majorHAnsi" w:hAnsiTheme="majorHAnsi"/>
          <w:sz w:val="16"/>
          <w:szCs w:val="16"/>
        </w:rPr>
        <w:t xml:space="preserve">/V/II. Doc. 45/13, </w:t>
      </w:r>
      <w:r>
        <w:rPr>
          <w:rFonts w:asciiTheme="majorHAnsi" w:hAnsiTheme="majorHAnsi"/>
          <w:sz w:val="16"/>
          <w:szCs w:val="16"/>
        </w:rPr>
        <w:t xml:space="preserve">December </w:t>
      </w:r>
      <w:r w:rsidRPr="00705630">
        <w:rPr>
          <w:rFonts w:asciiTheme="majorHAnsi" w:hAnsiTheme="majorHAnsi"/>
          <w:sz w:val="16"/>
          <w:szCs w:val="16"/>
        </w:rPr>
        <w:t>18</w:t>
      </w:r>
      <w:r>
        <w:rPr>
          <w:rFonts w:asciiTheme="majorHAnsi" w:hAnsiTheme="majorHAnsi"/>
          <w:sz w:val="16"/>
          <w:szCs w:val="16"/>
        </w:rPr>
        <w:t>, 2013, pars. 6 and</w:t>
      </w:r>
      <w:r w:rsidRPr="00705630">
        <w:rPr>
          <w:rFonts w:asciiTheme="majorHAnsi" w:hAnsiTheme="majorHAnsi"/>
          <w:sz w:val="16"/>
          <w:szCs w:val="16"/>
        </w:rPr>
        <w:t xml:space="preserve"> 230 </w:t>
      </w:r>
      <w:r>
        <w:rPr>
          <w:rFonts w:asciiTheme="majorHAnsi" w:hAnsiTheme="majorHAnsi"/>
          <w:i/>
          <w:sz w:val="16"/>
          <w:szCs w:val="16"/>
        </w:rPr>
        <w:t>available at</w:t>
      </w:r>
      <w:r w:rsidRPr="00705630">
        <w:rPr>
          <w:rFonts w:asciiTheme="majorHAnsi" w:hAnsiTheme="majorHAnsi"/>
          <w:i/>
          <w:sz w:val="16"/>
          <w:szCs w:val="16"/>
        </w:rPr>
        <w:t>:</w:t>
      </w:r>
      <w:r w:rsidRPr="00705630">
        <w:rPr>
          <w:rFonts w:asciiTheme="majorHAnsi" w:hAnsiTheme="majorHAnsi"/>
          <w:sz w:val="16"/>
          <w:szCs w:val="16"/>
        </w:rPr>
        <w:t xml:space="preserve"> </w:t>
      </w:r>
      <w:hyperlink r:id="rId3" w:history="1">
        <w:r w:rsidRPr="00705630">
          <w:rPr>
            <w:rStyle w:val="Hyperlink"/>
            <w:rFonts w:asciiTheme="majorHAnsi" w:hAnsiTheme="majorHAnsi"/>
            <w:sz w:val="16"/>
            <w:szCs w:val="16"/>
          </w:rPr>
          <w:t>http://www.oas.org/es/cidh/soluciones_amistosas/docs/Informe-Soluciones-Amistosas.pdf</w:t>
        </w:r>
      </w:hyperlink>
    </w:p>
  </w:footnote>
  <w:footnote w:id="18">
    <w:p w:rsidR="00163E72" w:rsidRPr="00705630" w:rsidRDefault="00163E72" w:rsidP="00163E72">
      <w:pPr>
        <w:pStyle w:val="FootnoteText"/>
        <w:jc w:val="both"/>
        <w:rPr>
          <w:rFonts w:asciiTheme="majorHAnsi" w:hAnsiTheme="majorHAnsi"/>
          <w:sz w:val="16"/>
          <w:szCs w:val="16"/>
        </w:rPr>
      </w:pPr>
      <w:r w:rsidRPr="00705630">
        <w:rPr>
          <w:rStyle w:val="FootnoteReference"/>
          <w:rFonts w:asciiTheme="majorHAnsi" w:hAnsiTheme="majorHAnsi"/>
          <w:sz w:val="16"/>
          <w:szCs w:val="16"/>
        </w:rPr>
        <w:footnoteRef/>
      </w:r>
      <w:r w:rsidRPr="00705630">
        <w:rPr>
          <w:rFonts w:asciiTheme="majorHAnsi" w:hAnsiTheme="majorHAnsi"/>
          <w:sz w:val="16"/>
          <w:szCs w:val="16"/>
        </w:rPr>
        <w:t xml:space="preserve"> </w:t>
      </w:r>
      <w:r>
        <w:rPr>
          <w:rFonts w:asciiTheme="majorHAnsi" w:hAnsiTheme="majorHAnsi"/>
          <w:sz w:val="16"/>
          <w:szCs w:val="16"/>
        </w:rPr>
        <w:t xml:space="preserve">Vienna Convention on the Law of Treaties, </w:t>
      </w:r>
      <w:r w:rsidRPr="00705630">
        <w:rPr>
          <w:rFonts w:asciiTheme="majorHAnsi" w:hAnsiTheme="majorHAnsi"/>
          <w:sz w:val="16"/>
          <w:szCs w:val="16"/>
        </w:rPr>
        <w:t>U.N. D</w:t>
      </w:r>
      <w:r>
        <w:rPr>
          <w:rFonts w:asciiTheme="majorHAnsi" w:hAnsiTheme="majorHAnsi"/>
          <w:sz w:val="16"/>
          <w:szCs w:val="16"/>
        </w:rPr>
        <w:t>oc A/CONF.39/27 (1969), Article</w:t>
      </w:r>
      <w:r w:rsidRPr="00705630">
        <w:rPr>
          <w:rFonts w:asciiTheme="majorHAnsi" w:hAnsiTheme="majorHAnsi"/>
          <w:sz w:val="16"/>
          <w:szCs w:val="16"/>
        </w:rPr>
        <w:t xml:space="preserve"> 26: </w:t>
      </w:r>
      <w:r w:rsidRPr="00705630">
        <w:rPr>
          <w:rFonts w:asciiTheme="majorHAnsi" w:hAnsiTheme="majorHAnsi"/>
          <w:b/>
          <w:sz w:val="16"/>
          <w:szCs w:val="16"/>
        </w:rPr>
        <w:t>"</w:t>
      </w:r>
      <w:proofErr w:type="spellStart"/>
      <w:r w:rsidRPr="00705630">
        <w:rPr>
          <w:rFonts w:asciiTheme="majorHAnsi" w:hAnsiTheme="majorHAnsi"/>
          <w:b/>
          <w:sz w:val="16"/>
          <w:szCs w:val="16"/>
        </w:rPr>
        <w:t>Pacta</w:t>
      </w:r>
      <w:proofErr w:type="spellEnd"/>
      <w:r w:rsidRPr="00705630">
        <w:rPr>
          <w:rFonts w:asciiTheme="majorHAnsi" w:hAnsiTheme="majorHAnsi"/>
          <w:b/>
          <w:sz w:val="16"/>
          <w:szCs w:val="16"/>
        </w:rPr>
        <w:t xml:space="preserve"> </w:t>
      </w:r>
      <w:proofErr w:type="spellStart"/>
      <w:r w:rsidRPr="00705630">
        <w:rPr>
          <w:rFonts w:asciiTheme="majorHAnsi" w:hAnsiTheme="majorHAnsi"/>
          <w:b/>
          <w:sz w:val="16"/>
          <w:szCs w:val="16"/>
        </w:rPr>
        <w:t>sunt</w:t>
      </w:r>
      <w:proofErr w:type="spellEnd"/>
      <w:r w:rsidRPr="00705630">
        <w:rPr>
          <w:rFonts w:asciiTheme="majorHAnsi" w:hAnsiTheme="majorHAnsi"/>
          <w:b/>
          <w:sz w:val="16"/>
          <w:szCs w:val="16"/>
        </w:rPr>
        <w:t xml:space="preserve"> </w:t>
      </w:r>
      <w:proofErr w:type="spellStart"/>
      <w:r w:rsidRPr="00705630">
        <w:rPr>
          <w:rFonts w:asciiTheme="majorHAnsi" w:hAnsiTheme="majorHAnsi"/>
          <w:b/>
          <w:sz w:val="16"/>
          <w:szCs w:val="16"/>
        </w:rPr>
        <w:t>servanda</w:t>
      </w:r>
      <w:proofErr w:type="spellEnd"/>
      <w:r w:rsidRPr="00705630">
        <w:rPr>
          <w:rFonts w:asciiTheme="majorHAnsi" w:hAnsiTheme="majorHAnsi"/>
          <w:b/>
          <w:sz w:val="16"/>
          <w:szCs w:val="16"/>
        </w:rPr>
        <w:t xml:space="preserve">". </w:t>
      </w:r>
      <w:r>
        <w:rPr>
          <w:rFonts w:asciiTheme="majorHAnsi" w:hAnsiTheme="majorHAnsi"/>
          <w:i/>
          <w:sz w:val="16"/>
          <w:szCs w:val="16"/>
        </w:rPr>
        <w:t xml:space="preserve">Every treaty in force is binding upon the parties to it and must be performed by them in good faith. </w:t>
      </w:r>
    </w:p>
  </w:footnote>
  <w:footnote w:id="19">
    <w:p w:rsidR="00163E72" w:rsidRPr="00705630" w:rsidRDefault="00163E72" w:rsidP="00163E72">
      <w:pPr>
        <w:pStyle w:val="FootnoteText"/>
        <w:jc w:val="both"/>
        <w:rPr>
          <w:rFonts w:asciiTheme="majorHAnsi" w:hAnsiTheme="majorHAnsi"/>
          <w:sz w:val="16"/>
          <w:szCs w:val="16"/>
        </w:rPr>
      </w:pPr>
      <w:r w:rsidRPr="00705630">
        <w:rPr>
          <w:rStyle w:val="FootnoteReference"/>
          <w:rFonts w:asciiTheme="majorHAnsi" w:hAnsiTheme="majorHAnsi"/>
          <w:sz w:val="16"/>
          <w:szCs w:val="16"/>
        </w:rPr>
        <w:footnoteRef/>
      </w:r>
      <w:r w:rsidRPr="00705630">
        <w:rPr>
          <w:rFonts w:asciiTheme="majorHAnsi" w:hAnsiTheme="majorHAnsi"/>
          <w:sz w:val="16"/>
          <w:szCs w:val="16"/>
        </w:rPr>
        <w:t xml:space="preserve"> </w:t>
      </w:r>
      <w:r>
        <w:rPr>
          <w:rFonts w:asciiTheme="majorHAnsi" w:hAnsiTheme="majorHAnsi"/>
          <w:sz w:val="16"/>
          <w:szCs w:val="16"/>
        </w:rPr>
        <w:t>In this regard, see, Press Release, Web page of the Ministry of Foreign Affairs of Costa Rica</w:t>
      </w:r>
      <w:r w:rsidRPr="00705630">
        <w:rPr>
          <w:rFonts w:asciiTheme="majorHAnsi" w:hAnsiTheme="majorHAnsi"/>
          <w:sz w:val="16"/>
          <w:szCs w:val="16"/>
        </w:rPr>
        <w:t>. “</w:t>
      </w:r>
      <w:r>
        <w:rPr>
          <w:rFonts w:asciiTheme="majorHAnsi" w:hAnsiTheme="majorHAnsi"/>
          <w:sz w:val="16"/>
          <w:szCs w:val="16"/>
        </w:rPr>
        <w:t xml:space="preserve">Press Release: Costa Rica complies with reparation measure as agreed after signing of friendly settlement agreement.” July </w:t>
      </w:r>
      <w:r w:rsidRPr="00705630">
        <w:rPr>
          <w:rFonts w:asciiTheme="majorHAnsi" w:hAnsiTheme="majorHAnsi"/>
          <w:sz w:val="16"/>
          <w:szCs w:val="16"/>
        </w:rPr>
        <w:t>20</w:t>
      </w:r>
      <w:r>
        <w:rPr>
          <w:rFonts w:asciiTheme="majorHAnsi" w:hAnsiTheme="majorHAnsi"/>
          <w:sz w:val="16"/>
          <w:szCs w:val="16"/>
        </w:rPr>
        <w:t>,</w:t>
      </w:r>
      <w:r w:rsidRPr="00705630">
        <w:rPr>
          <w:rFonts w:asciiTheme="majorHAnsi" w:hAnsiTheme="majorHAnsi"/>
          <w:sz w:val="16"/>
          <w:szCs w:val="16"/>
        </w:rPr>
        <w:t xml:space="preserve"> 2018”. </w:t>
      </w:r>
      <w:r>
        <w:rPr>
          <w:rFonts w:asciiTheme="majorHAnsi" w:hAnsiTheme="majorHAnsi"/>
          <w:sz w:val="16"/>
          <w:szCs w:val="16"/>
        </w:rPr>
        <w:t>Available electronically at</w:t>
      </w:r>
      <w:r w:rsidRPr="00705630">
        <w:rPr>
          <w:rFonts w:asciiTheme="majorHAnsi" w:hAnsiTheme="majorHAnsi"/>
          <w:sz w:val="16"/>
          <w:szCs w:val="16"/>
        </w:rPr>
        <w:t xml:space="preserve">: </w:t>
      </w:r>
      <w:hyperlink r:id="rId4" w:history="1">
        <w:r w:rsidRPr="00705630">
          <w:rPr>
            <w:rStyle w:val="Hyperlink"/>
            <w:rFonts w:asciiTheme="majorHAnsi" w:hAnsiTheme="majorHAnsi"/>
            <w:sz w:val="16"/>
            <w:szCs w:val="16"/>
          </w:rPr>
          <w:t>https://www.rree.go.cr/?sec=servicios&amp;cat=prensa&amp;cont=593&amp;id=4345</w:t>
        </w:r>
      </w:hyperlink>
      <w:r w:rsidRPr="00705630">
        <w:rPr>
          <w:rFonts w:asciiTheme="majorHAnsi" w:hAnsiTheme="majorHAnsi"/>
          <w:sz w:val="16"/>
          <w:szCs w:val="16"/>
        </w:rPr>
        <w:t xml:space="preserve"> </w:t>
      </w:r>
    </w:p>
    <w:p w:rsidR="00163E72" w:rsidRPr="00705630" w:rsidRDefault="00163E72" w:rsidP="00163E72">
      <w:pPr>
        <w:pStyle w:val="FootnoteText"/>
        <w:jc w:val="both"/>
        <w:rPr>
          <w:rFonts w:asciiTheme="majorHAnsi" w:hAnsiTheme="majorHAnsi"/>
          <w:sz w:val="16"/>
          <w:szCs w:val="16"/>
        </w:rPr>
      </w:pPr>
      <w:r>
        <w:rPr>
          <w:rFonts w:asciiTheme="majorHAnsi" w:hAnsiTheme="majorHAnsi"/>
          <w:sz w:val="16"/>
          <w:szCs w:val="16"/>
        </w:rPr>
        <w:t xml:space="preserve">Also see, Facebook Page of </w:t>
      </w:r>
      <w:r w:rsidRPr="00705630">
        <w:rPr>
          <w:rFonts w:asciiTheme="majorHAnsi" w:hAnsiTheme="majorHAnsi"/>
          <w:sz w:val="16"/>
          <w:szCs w:val="16"/>
        </w:rPr>
        <w:t xml:space="preserve">FUPROPI </w:t>
      </w:r>
      <w:r>
        <w:rPr>
          <w:rFonts w:asciiTheme="majorHAnsi" w:hAnsiTheme="majorHAnsi"/>
          <w:sz w:val="16"/>
          <w:szCs w:val="16"/>
        </w:rPr>
        <w:t>Available electronically at</w:t>
      </w:r>
      <w:r w:rsidRPr="00705630">
        <w:rPr>
          <w:rFonts w:asciiTheme="majorHAnsi" w:hAnsiTheme="majorHAnsi"/>
          <w:sz w:val="16"/>
          <w:szCs w:val="16"/>
        </w:rPr>
        <w:t xml:space="preserve">: </w:t>
      </w:r>
    </w:p>
    <w:p w:rsidR="00163E72" w:rsidRPr="00705630" w:rsidRDefault="00B8637F" w:rsidP="00163E72">
      <w:pPr>
        <w:pStyle w:val="FootnoteText"/>
        <w:jc w:val="both"/>
        <w:rPr>
          <w:rFonts w:asciiTheme="majorHAnsi" w:hAnsiTheme="majorHAnsi"/>
          <w:sz w:val="16"/>
          <w:szCs w:val="16"/>
        </w:rPr>
      </w:pPr>
      <w:hyperlink r:id="rId5" w:history="1">
        <w:r w:rsidR="00163E72" w:rsidRPr="00705630">
          <w:rPr>
            <w:rStyle w:val="Hyperlink"/>
            <w:rFonts w:asciiTheme="majorHAnsi" w:hAnsiTheme="majorHAnsi"/>
            <w:sz w:val="16"/>
            <w:szCs w:val="16"/>
          </w:rPr>
          <w:t>https://www.facebook.com/140861025933522/videos/vb.140861025933522/487467208413326/?type=2&amp;theater</w:t>
        </w:r>
      </w:hyperlink>
    </w:p>
    <w:p w:rsidR="00163E72" w:rsidRPr="00705630" w:rsidRDefault="00163E72" w:rsidP="00163E72">
      <w:pPr>
        <w:pStyle w:val="FootnoteText"/>
        <w:rPr>
          <w:rFonts w:asciiTheme="majorHAnsi" w:hAnsiTheme="majorHAns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AED" w:rsidRDefault="00FF4A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88" w:rsidRPr="00287BBD" w:rsidRDefault="00001288" w:rsidP="00A50FCF">
    <w:pPr>
      <w:pStyle w:val="Header"/>
      <w:tabs>
        <w:tab w:val="clear" w:pos="4320"/>
        <w:tab w:val="clear" w:pos="8640"/>
      </w:tabs>
      <w:jc w:val="center"/>
      <w:rPr>
        <w:rFonts w:cs="Times New Roman"/>
        <w:noProof/>
        <w:sz w:val="22"/>
        <w:szCs w:val="22"/>
      </w:rPr>
    </w:pPr>
  </w:p>
  <w:p w:rsidR="00001288" w:rsidRPr="00287BBD" w:rsidRDefault="00B8637F" w:rsidP="00A50FCF">
    <w:pPr>
      <w:pStyle w:val="Header"/>
      <w:tabs>
        <w:tab w:val="clear" w:pos="4320"/>
        <w:tab w:val="clear" w:pos="8640"/>
      </w:tabs>
      <w:jc w:val="center"/>
      <w:rPr>
        <w:rFonts w:cs="Times New Roman"/>
        <w:noProof/>
        <w:sz w:val="22"/>
        <w:szCs w:val="22"/>
      </w:rPr>
    </w:pPr>
    <w:r>
      <w:rPr>
        <w:rFonts w:cs="Times New Roman"/>
        <w:noProof/>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AED" w:rsidRDefault="00FF4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7CEC"/>
    <w:multiLevelType w:val="hybridMultilevel"/>
    <w:tmpl w:val="6ABAD2EE"/>
    <w:lvl w:ilvl="0" w:tplc="6D1EA756">
      <w:start w:val="1"/>
      <w:numFmt w:val="decimal"/>
      <w:lvlText w:val="%1."/>
      <w:lvlJc w:val="left"/>
      <w:pPr>
        <w:ind w:left="720" w:hanging="360"/>
      </w:pPr>
      <w:rPr>
        <w:rFonts w:ascii="Cambria" w:hAnsi="Cambria" w:cs="Times New Roman" w:hint="default"/>
        <w:b w:val="0"/>
        <w:i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A27CA4"/>
    <w:multiLevelType w:val="hybridMultilevel"/>
    <w:tmpl w:val="2EA2446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 w15:restartNumberingAfterBreak="0">
    <w:nsid w:val="07393C72"/>
    <w:multiLevelType w:val="hybridMultilevel"/>
    <w:tmpl w:val="2B940F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decimal"/>
      <w:lvlText w:val="%1.%2."/>
      <w:lvlJc w:val="left"/>
      <w:pPr>
        <w:tabs>
          <w:tab w:val="num" w:pos="690"/>
        </w:tabs>
        <w:ind w:left="690" w:hanging="330"/>
      </w:pPr>
      <w:rPr>
        <w:rFonts w:ascii="Calibri" w:eastAsia="Times New Roman" w:hAnsi="Calibri"/>
        <w:b/>
        <w:bCs/>
        <w:color w:val="000000"/>
        <w:position w:val="0"/>
        <w:sz w:val="22"/>
        <w:szCs w:val="22"/>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3" w15:restartNumberingAfterBreak="0">
    <w:nsid w:val="21A26E98"/>
    <w:multiLevelType w:val="hybridMultilevel"/>
    <w:tmpl w:val="141026F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8"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bullet"/>
      <w:lvlText w:val="•"/>
      <w:lvlJc w:val="left"/>
      <w:pPr>
        <w:tabs>
          <w:tab w:val="num" w:pos="1740"/>
        </w:tabs>
        <w:ind w:left="1740" w:hanging="66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2" w15:restartNumberingAfterBreak="0">
    <w:nsid w:val="458671E4"/>
    <w:multiLevelType w:val="hybridMultilevel"/>
    <w:tmpl w:val="B41E6E86"/>
    <w:lvl w:ilvl="0" w:tplc="3C92223C">
      <w:start w:val="1"/>
      <w:numFmt w:val="upperRoman"/>
      <w:lvlText w:val="%1."/>
      <w:lvlJc w:val="left"/>
      <w:pPr>
        <w:ind w:left="1080" w:hanging="720"/>
      </w:pPr>
      <w:rPr>
        <w:rFonts w:eastAsia="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770"/>
        </w:tabs>
        <w:ind w:left="177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495"/>
        </w:tabs>
        <w:ind w:left="2495" w:hanging="271"/>
      </w:pPr>
      <w:rPr>
        <w:rFonts w:ascii="Calibri" w:eastAsia="Times New Roman" w:hAnsi="Calibri"/>
        <w:b/>
        <w:bCs/>
        <w:color w:val="000000"/>
        <w:position w:val="0"/>
        <w:sz w:val="22"/>
        <w:szCs w:val="22"/>
        <w:u w:val="single"/>
      </w:rPr>
    </w:lvl>
    <w:lvl w:ilvl="3">
      <w:start w:val="1"/>
      <w:numFmt w:val="decimal"/>
      <w:lvlText w:val="%4."/>
      <w:lvlJc w:val="left"/>
      <w:pPr>
        <w:tabs>
          <w:tab w:val="num" w:pos="3210"/>
        </w:tabs>
        <w:ind w:left="321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930"/>
        </w:tabs>
        <w:ind w:left="393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655"/>
        </w:tabs>
        <w:ind w:left="465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370"/>
        </w:tabs>
        <w:ind w:left="537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6090"/>
        </w:tabs>
        <w:ind w:left="609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815"/>
        </w:tabs>
        <w:ind w:left="6815" w:hanging="271"/>
      </w:pPr>
      <w:rPr>
        <w:rFonts w:ascii="Calibri" w:eastAsia="Times New Roman" w:hAnsi="Calibri"/>
        <w:b/>
        <w:bCs/>
        <w:color w:val="000000"/>
        <w:position w:val="0"/>
        <w:sz w:val="22"/>
        <w:szCs w:val="22"/>
        <w:u w:val="single"/>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720"/>
        </w:tabs>
        <w:ind w:left="720" w:hanging="360"/>
      </w:pPr>
      <w:rPr>
        <w:rFonts w:ascii="Trebuchet MS" w:eastAsia="Times New Roman" w:hAnsi="Trebuchet MS"/>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0" w15:restartNumberingAfterBreak="0">
    <w:nsid w:val="522D5301"/>
    <w:multiLevelType w:val="hybridMultilevel"/>
    <w:tmpl w:val="3D0445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15:restartNumberingAfterBreak="0">
    <w:nsid w:val="541A23FA"/>
    <w:multiLevelType w:val="hybridMultilevel"/>
    <w:tmpl w:val="F2D8FBC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3" w15:restartNumberingAfterBreak="0">
    <w:nsid w:val="55090EAF"/>
    <w:multiLevelType w:val="hybridMultilevel"/>
    <w:tmpl w:val="558674BA"/>
    <w:lvl w:ilvl="0" w:tplc="A4FA7A24">
      <w:start w:val="1"/>
      <w:numFmt w:val="decimal"/>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45" w15:restartNumberingAfterBreak="0">
    <w:nsid w:val="5B213CF1"/>
    <w:multiLevelType w:val="hybridMultilevel"/>
    <w:tmpl w:val="C5EA172E"/>
    <w:lvl w:ilvl="0" w:tplc="6D1EA756">
      <w:start w:val="1"/>
      <w:numFmt w:val="decimal"/>
      <w:lvlText w:val="%1."/>
      <w:lvlJc w:val="left"/>
      <w:pPr>
        <w:ind w:left="720" w:hanging="360"/>
      </w:pPr>
      <w:rPr>
        <w:rFonts w:ascii="Cambria" w:hAnsi="Cambria" w:cs="Times New Roman" w:hint="default"/>
        <w:b w:val="0"/>
        <w:i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7" w15:restartNumberingAfterBreak="0">
    <w:nsid w:val="5CDB12F8"/>
    <w:multiLevelType w:val="hybridMultilevel"/>
    <w:tmpl w:val="31C2291A"/>
    <w:lvl w:ilvl="0" w:tplc="1730E962">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8" w15:restartNumberingAfterBreak="0">
    <w:nsid w:val="5E645E6C"/>
    <w:multiLevelType w:val="hybridMultilevel"/>
    <w:tmpl w:val="6EB2467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b/>
        <w:bCs/>
        <w:color w:val="000000"/>
        <w:position w:val="0"/>
        <w:sz w:val="22"/>
        <w:szCs w:val="22"/>
        <w:u w:val="single"/>
      </w:rPr>
    </w:lvl>
    <w:lvl w:ilvl="1">
      <w:start w:val="2"/>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3" w15:restartNumberingAfterBreak="0">
    <w:nsid w:val="70786ED7"/>
    <w:multiLevelType w:val="hybridMultilevel"/>
    <w:tmpl w:val="0004DB54"/>
    <w:lvl w:ilvl="0" w:tplc="2E386DD8">
      <w:start w:val="1"/>
      <w:numFmt w:val="upperRoman"/>
      <w:pStyle w:val="Heading1"/>
      <w:lvlText w:val="%1."/>
      <w:lvlJc w:val="left"/>
      <w:pPr>
        <w:ind w:left="720" w:hanging="360"/>
      </w:pPr>
      <w:rPr>
        <w:rFonts w:hint="default"/>
      </w:rPr>
    </w:lvl>
    <w:lvl w:ilvl="1" w:tplc="53929B2A">
      <w:start w:val="1"/>
      <w:numFmt w:val="lowerLetter"/>
      <w:lvlText w:val="%2."/>
      <w:lvlJc w:val="left"/>
      <w:pPr>
        <w:ind w:left="1440" w:hanging="360"/>
      </w:pPr>
    </w:lvl>
    <w:lvl w:ilvl="2" w:tplc="0C1E5B34">
      <w:start w:val="1"/>
      <w:numFmt w:val="lowerRoman"/>
      <w:lvlText w:val="%3."/>
      <w:lvlJc w:val="right"/>
      <w:pPr>
        <w:ind w:left="2160" w:hanging="180"/>
      </w:pPr>
    </w:lvl>
    <w:lvl w:ilvl="3" w:tplc="60F4FFF6">
      <w:start w:val="1"/>
      <w:numFmt w:val="decimal"/>
      <w:lvlText w:val="%4."/>
      <w:lvlJc w:val="left"/>
      <w:pPr>
        <w:ind w:left="2880" w:hanging="360"/>
      </w:pPr>
    </w:lvl>
    <w:lvl w:ilvl="4" w:tplc="0C1CE664">
      <w:start w:val="1"/>
      <w:numFmt w:val="lowerLetter"/>
      <w:lvlText w:val="%5."/>
      <w:lvlJc w:val="left"/>
      <w:pPr>
        <w:ind w:left="3600" w:hanging="360"/>
      </w:pPr>
    </w:lvl>
    <w:lvl w:ilvl="5" w:tplc="1F2C28DE">
      <w:start w:val="1"/>
      <w:numFmt w:val="lowerRoman"/>
      <w:lvlText w:val="%6."/>
      <w:lvlJc w:val="right"/>
      <w:pPr>
        <w:ind w:left="4320" w:hanging="180"/>
      </w:pPr>
    </w:lvl>
    <w:lvl w:ilvl="6" w:tplc="40B6D268">
      <w:start w:val="1"/>
      <w:numFmt w:val="decimal"/>
      <w:lvlText w:val="%7."/>
      <w:lvlJc w:val="left"/>
      <w:pPr>
        <w:ind w:left="5040" w:hanging="360"/>
      </w:pPr>
    </w:lvl>
    <w:lvl w:ilvl="7" w:tplc="589CDE2C">
      <w:start w:val="1"/>
      <w:numFmt w:val="lowerLetter"/>
      <w:lvlText w:val="%8."/>
      <w:lvlJc w:val="left"/>
      <w:pPr>
        <w:ind w:left="5760" w:hanging="360"/>
      </w:pPr>
    </w:lvl>
    <w:lvl w:ilvl="8" w:tplc="E54ADFDA">
      <w:start w:val="1"/>
      <w:numFmt w:val="lowerRoman"/>
      <w:lvlText w:val="%9."/>
      <w:lvlJc w:val="right"/>
      <w:pPr>
        <w:ind w:left="6480" w:hanging="180"/>
      </w:pPr>
    </w:lvl>
  </w:abstractNum>
  <w:abstractNum w:abstractNumId="54" w15:restartNumberingAfterBreak="0">
    <w:nsid w:val="73CF2FFF"/>
    <w:multiLevelType w:val="multilevel"/>
    <w:tmpl w:val="98FA20A6"/>
    <w:lvl w:ilvl="0">
      <w:start w:val="1"/>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55" w15:restartNumberingAfterBreak="0">
    <w:nsid w:val="741935A5"/>
    <w:multiLevelType w:val="hybridMultilevel"/>
    <w:tmpl w:val="5F522680"/>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56"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7" w15:restartNumberingAfterBreak="0">
    <w:nsid w:val="75A871ED"/>
    <w:multiLevelType w:val="hybridMultilevel"/>
    <w:tmpl w:val="DA800DA6"/>
    <w:lvl w:ilvl="0" w:tplc="140A0003">
      <w:start w:val="1"/>
      <w:numFmt w:val="bullet"/>
      <w:lvlText w:val="o"/>
      <w:lvlJc w:val="left"/>
      <w:pPr>
        <w:ind w:left="1440" w:hanging="360"/>
      </w:pPr>
      <w:rPr>
        <w:rFonts w:ascii="Courier New" w:hAnsi="Courier New" w:cs="Courier New" w:hint="default"/>
      </w:rPr>
    </w:lvl>
    <w:lvl w:ilvl="1" w:tplc="140A0003">
      <w:start w:val="1"/>
      <w:numFmt w:val="bullet"/>
      <w:lvlText w:val="o"/>
      <w:lvlJc w:val="left"/>
      <w:pPr>
        <w:ind w:left="2160" w:hanging="360"/>
      </w:pPr>
      <w:rPr>
        <w:rFonts w:ascii="Courier New" w:hAnsi="Courier New" w:cs="Courier New" w:hint="default"/>
      </w:rPr>
    </w:lvl>
    <w:lvl w:ilvl="2" w:tplc="140A0005">
      <w:start w:val="1"/>
      <w:numFmt w:val="bullet"/>
      <w:lvlText w:val=""/>
      <w:lvlJc w:val="left"/>
      <w:pPr>
        <w:ind w:left="2880" w:hanging="360"/>
      </w:pPr>
      <w:rPr>
        <w:rFonts w:ascii="Wingdings" w:hAnsi="Wingdings" w:hint="default"/>
      </w:rPr>
    </w:lvl>
    <w:lvl w:ilvl="3" w:tplc="140A0001">
      <w:start w:val="1"/>
      <w:numFmt w:val="bullet"/>
      <w:lvlText w:val=""/>
      <w:lvlJc w:val="left"/>
      <w:pPr>
        <w:ind w:left="3600" w:hanging="360"/>
      </w:pPr>
      <w:rPr>
        <w:rFonts w:ascii="Symbol" w:hAnsi="Symbol" w:hint="default"/>
      </w:rPr>
    </w:lvl>
    <w:lvl w:ilvl="4" w:tplc="140A0003">
      <w:start w:val="1"/>
      <w:numFmt w:val="bullet"/>
      <w:lvlText w:val="o"/>
      <w:lvlJc w:val="left"/>
      <w:pPr>
        <w:ind w:left="4320" w:hanging="360"/>
      </w:pPr>
      <w:rPr>
        <w:rFonts w:ascii="Courier New" w:hAnsi="Courier New" w:cs="Courier New" w:hint="default"/>
      </w:rPr>
    </w:lvl>
    <w:lvl w:ilvl="5" w:tplc="140A0005">
      <w:start w:val="1"/>
      <w:numFmt w:val="bullet"/>
      <w:lvlText w:val=""/>
      <w:lvlJc w:val="left"/>
      <w:pPr>
        <w:ind w:left="5040" w:hanging="360"/>
      </w:pPr>
      <w:rPr>
        <w:rFonts w:ascii="Wingdings" w:hAnsi="Wingdings" w:hint="default"/>
      </w:rPr>
    </w:lvl>
    <w:lvl w:ilvl="6" w:tplc="140A0001">
      <w:start w:val="1"/>
      <w:numFmt w:val="bullet"/>
      <w:lvlText w:val=""/>
      <w:lvlJc w:val="left"/>
      <w:pPr>
        <w:ind w:left="5760" w:hanging="360"/>
      </w:pPr>
      <w:rPr>
        <w:rFonts w:ascii="Symbol" w:hAnsi="Symbol" w:hint="default"/>
      </w:rPr>
    </w:lvl>
    <w:lvl w:ilvl="7" w:tplc="140A0003">
      <w:start w:val="1"/>
      <w:numFmt w:val="bullet"/>
      <w:lvlText w:val="o"/>
      <w:lvlJc w:val="left"/>
      <w:pPr>
        <w:ind w:left="6480" w:hanging="360"/>
      </w:pPr>
      <w:rPr>
        <w:rFonts w:ascii="Courier New" w:hAnsi="Courier New" w:cs="Courier New" w:hint="default"/>
      </w:rPr>
    </w:lvl>
    <w:lvl w:ilvl="8" w:tplc="140A0005">
      <w:start w:val="1"/>
      <w:numFmt w:val="bullet"/>
      <w:lvlText w:val=""/>
      <w:lvlJc w:val="left"/>
      <w:pPr>
        <w:ind w:left="7200" w:hanging="360"/>
      </w:pPr>
      <w:rPr>
        <w:rFonts w:ascii="Wingdings" w:hAnsi="Wingdings" w:hint="default"/>
      </w:rPr>
    </w:lvl>
  </w:abstractNum>
  <w:abstractNum w:abstractNumId="58" w15:restartNumberingAfterBreak="0">
    <w:nsid w:val="76FA2013"/>
    <w:multiLevelType w:val="hybridMultilevel"/>
    <w:tmpl w:val="2148393A"/>
    <w:lvl w:ilvl="0" w:tplc="54AEE81C">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9"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bC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b/>
        <w:bCs/>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b/>
        <w:bCs/>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b/>
        <w:bCs/>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b/>
        <w:bCs/>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b/>
        <w:bCs/>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b/>
        <w:bCs/>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b/>
        <w:bCs/>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b/>
        <w:bCs/>
        <w:color w:val="000000"/>
        <w:position w:val="0"/>
        <w:sz w:val="22"/>
        <w:szCs w:val="22"/>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num w:numId="1">
    <w:abstractNumId w:val="6"/>
  </w:num>
  <w:num w:numId="2">
    <w:abstractNumId w:val="61"/>
  </w:num>
  <w:num w:numId="3">
    <w:abstractNumId w:val="22"/>
  </w:num>
  <w:num w:numId="4">
    <w:abstractNumId w:val="50"/>
  </w:num>
  <w:num w:numId="5">
    <w:abstractNumId w:val="27"/>
  </w:num>
  <w:num w:numId="6">
    <w:abstractNumId w:val="7"/>
  </w:num>
  <w:num w:numId="7">
    <w:abstractNumId w:val="19"/>
  </w:num>
  <w:num w:numId="8">
    <w:abstractNumId w:val="42"/>
  </w:num>
  <w:num w:numId="9">
    <w:abstractNumId w:val="2"/>
  </w:num>
  <w:num w:numId="10">
    <w:abstractNumId w:val="35"/>
  </w:num>
  <w:num w:numId="11">
    <w:abstractNumId w:val="36"/>
  </w:num>
  <w:num w:numId="12">
    <w:abstractNumId w:val="44"/>
  </w:num>
  <w:num w:numId="13">
    <w:abstractNumId w:val="3"/>
  </w:num>
  <w:num w:numId="14">
    <w:abstractNumId w:val="5"/>
  </w:num>
  <w:num w:numId="15">
    <w:abstractNumId w:val="8"/>
  </w:num>
  <w:num w:numId="16">
    <w:abstractNumId w:val="9"/>
  </w:num>
  <w:num w:numId="17">
    <w:abstractNumId w:val="10"/>
  </w:num>
  <w:num w:numId="18">
    <w:abstractNumId w:val="11"/>
  </w:num>
  <w:num w:numId="19">
    <w:abstractNumId w:val="12"/>
  </w:num>
  <w:num w:numId="20">
    <w:abstractNumId w:val="14"/>
  </w:num>
  <w:num w:numId="21">
    <w:abstractNumId w:val="15"/>
  </w:num>
  <w:num w:numId="22">
    <w:abstractNumId w:val="16"/>
  </w:num>
  <w:num w:numId="23">
    <w:abstractNumId w:val="17"/>
  </w:num>
  <w:num w:numId="24">
    <w:abstractNumId w:val="20"/>
  </w:num>
  <w:num w:numId="25">
    <w:abstractNumId w:val="21"/>
  </w:num>
  <w:num w:numId="26">
    <w:abstractNumId w:val="23"/>
  </w:num>
  <w:num w:numId="27">
    <w:abstractNumId w:val="24"/>
  </w:num>
  <w:num w:numId="28">
    <w:abstractNumId w:val="25"/>
  </w:num>
  <w:num w:numId="29">
    <w:abstractNumId w:val="26"/>
  </w:num>
  <w:num w:numId="30">
    <w:abstractNumId w:val="28"/>
  </w:num>
  <w:num w:numId="31">
    <w:abstractNumId w:val="29"/>
  </w:num>
  <w:num w:numId="32">
    <w:abstractNumId w:val="30"/>
  </w:num>
  <w:num w:numId="33">
    <w:abstractNumId w:val="31"/>
  </w:num>
  <w:num w:numId="34">
    <w:abstractNumId w:val="33"/>
  </w:num>
  <w:num w:numId="35">
    <w:abstractNumId w:val="34"/>
  </w:num>
  <w:num w:numId="36">
    <w:abstractNumId w:val="37"/>
  </w:num>
  <w:num w:numId="37">
    <w:abstractNumId w:val="38"/>
  </w:num>
  <w:num w:numId="38">
    <w:abstractNumId w:val="49"/>
  </w:num>
  <w:num w:numId="39">
    <w:abstractNumId w:val="51"/>
  </w:num>
  <w:num w:numId="40">
    <w:abstractNumId w:val="52"/>
  </w:num>
  <w:num w:numId="41">
    <w:abstractNumId w:val="56"/>
  </w:num>
  <w:num w:numId="42">
    <w:abstractNumId w:val="60"/>
  </w:num>
  <w:num w:numId="43">
    <w:abstractNumId w:val="62"/>
  </w:num>
  <w:num w:numId="44">
    <w:abstractNumId w:val="63"/>
  </w:num>
  <w:num w:numId="45">
    <w:abstractNumId w:val="64"/>
  </w:num>
  <w:num w:numId="46">
    <w:abstractNumId w:val="65"/>
  </w:num>
  <w:num w:numId="47">
    <w:abstractNumId w:val="66"/>
  </w:num>
  <w:num w:numId="48">
    <w:abstractNumId w:val="39"/>
  </w:num>
  <w:num w:numId="49">
    <w:abstractNumId w:val="53"/>
  </w:num>
  <w:num w:numId="50">
    <w:abstractNumId w:val="46"/>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num>
  <w:num w:numId="53">
    <w:abstractNumId w:val="40"/>
  </w:num>
  <w:num w:numId="54">
    <w:abstractNumId w:val="41"/>
  </w:num>
  <w:num w:numId="55">
    <w:abstractNumId w:val="48"/>
  </w:num>
  <w:num w:numId="56">
    <w:abstractNumId w:val="1"/>
  </w:num>
  <w:num w:numId="57">
    <w:abstractNumId w:val="55"/>
  </w:num>
  <w:num w:numId="58">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num>
  <w:num w:numId="60">
    <w:abstractNumId w:val="57"/>
  </w:num>
  <w:num w:numId="61">
    <w:abstractNumId w:val="32"/>
  </w:num>
  <w:num w:numId="62">
    <w:abstractNumId w:val="47"/>
  </w:num>
  <w:num w:numId="63">
    <w:abstractNumId w:val="54"/>
  </w:num>
  <w:num w:numId="64">
    <w:abstractNumId w:val="4"/>
  </w:num>
  <w:num w:numId="65">
    <w:abstractNumId w:val="0"/>
  </w:num>
  <w:num w:numId="66">
    <w:abstractNumId w:val="45"/>
  </w:num>
  <w:num w:numId="67">
    <w:abstractNumId w:val="43"/>
  </w:num>
  <w:num w:numId="68">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30"/>
    <w:rsid w:val="00001288"/>
    <w:rsid w:val="00004795"/>
    <w:rsid w:val="0004084E"/>
    <w:rsid w:val="000670A0"/>
    <w:rsid w:val="00071291"/>
    <w:rsid w:val="00075CDA"/>
    <w:rsid w:val="00097689"/>
    <w:rsid w:val="000A0A27"/>
    <w:rsid w:val="000C4430"/>
    <w:rsid w:val="000C5C06"/>
    <w:rsid w:val="000E46BA"/>
    <w:rsid w:val="000F2E29"/>
    <w:rsid w:val="000F35ED"/>
    <w:rsid w:val="000F4242"/>
    <w:rsid w:val="000F5C79"/>
    <w:rsid w:val="00116F0A"/>
    <w:rsid w:val="001336C2"/>
    <w:rsid w:val="001543AD"/>
    <w:rsid w:val="00155D66"/>
    <w:rsid w:val="00163E72"/>
    <w:rsid w:val="001864D7"/>
    <w:rsid w:val="001B1185"/>
    <w:rsid w:val="001D0857"/>
    <w:rsid w:val="001D1A4B"/>
    <w:rsid w:val="001E0025"/>
    <w:rsid w:val="002029C6"/>
    <w:rsid w:val="00205043"/>
    <w:rsid w:val="00205A50"/>
    <w:rsid w:val="002133A5"/>
    <w:rsid w:val="002272B7"/>
    <w:rsid w:val="00233FCC"/>
    <w:rsid w:val="00263FF9"/>
    <w:rsid w:val="00264D69"/>
    <w:rsid w:val="00287BBD"/>
    <w:rsid w:val="002901B7"/>
    <w:rsid w:val="002A1100"/>
    <w:rsid w:val="002B02FA"/>
    <w:rsid w:val="002B0814"/>
    <w:rsid w:val="002B789B"/>
    <w:rsid w:val="002D74EF"/>
    <w:rsid w:val="002E115D"/>
    <w:rsid w:val="00353643"/>
    <w:rsid w:val="00364222"/>
    <w:rsid w:val="00364864"/>
    <w:rsid w:val="00386743"/>
    <w:rsid w:val="0039205A"/>
    <w:rsid w:val="00394DF4"/>
    <w:rsid w:val="00397927"/>
    <w:rsid w:val="003A3509"/>
    <w:rsid w:val="003D46D2"/>
    <w:rsid w:val="003D489D"/>
    <w:rsid w:val="003F29ED"/>
    <w:rsid w:val="0041406D"/>
    <w:rsid w:val="00416B78"/>
    <w:rsid w:val="004366B8"/>
    <w:rsid w:val="00471CFB"/>
    <w:rsid w:val="00473767"/>
    <w:rsid w:val="004935E9"/>
    <w:rsid w:val="004C7BCC"/>
    <w:rsid w:val="004D2661"/>
    <w:rsid w:val="004E339A"/>
    <w:rsid w:val="004F3EDA"/>
    <w:rsid w:val="004F6809"/>
    <w:rsid w:val="0051286B"/>
    <w:rsid w:val="00513707"/>
    <w:rsid w:val="00520ED1"/>
    <w:rsid w:val="00531E8A"/>
    <w:rsid w:val="00573330"/>
    <w:rsid w:val="005A153F"/>
    <w:rsid w:val="005A6431"/>
    <w:rsid w:val="005B5E9B"/>
    <w:rsid w:val="005D1E60"/>
    <w:rsid w:val="005D2021"/>
    <w:rsid w:val="005D74BD"/>
    <w:rsid w:val="005F4A5B"/>
    <w:rsid w:val="00607A75"/>
    <w:rsid w:val="00621B1E"/>
    <w:rsid w:val="0065252B"/>
    <w:rsid w:val="006648C9"/>
    <w:rsid w:val="0067473B"/>
    <w:rsid w:val="00676E1A"/>
    <w:rsid w:val="006B17EC"/>
    <w:rsid w:val="006B1C31"/>
    <w:rsid w:val="006C4219"/>
    <w:rsid w:val="00702CF8"/>
    <w:rsid w:val="00731170"/>
    <w:rsid w:val="007406CC"/>
    <w:rsid w:val="00757793"/>
    <w:rsid w:val="00780CB2"/>
    <w:rsid w:val="007876B4"/>
    <w:rsid w:val="00794D89"/>
    <w:rsid w:val="007C27AB"/>
    <w:rsid w:val="007C6BC9"/>
    <w:rsid w:val="007E73EA"/>
    <w:rsid w:val="008140B3"/>
    <w:rsid w:val="00823CB3"/>
    <w:rsid w:val="008530B2"/>
    <w:rsid w:val="0086707C"/>
    <w:rsid w:val="00871C88"/>
    <w:rsid w:val="00877519"/>
    <w:rsid w:val="008B2A70"/>
    <w:rsid w:val="008B2E7F"/>
    <w:rsid w:val="008D2194"/>
    <w:rsid w:val="008D7EC1"/>
    <w:rsid w:val="009041E7"/>
    <w:rsid w:val="00904350"/>
    <w:rsid w:val="00932BBE"/>
    <w:rsid w:val="00934880"/>
    <w:rsid w:val="00934A2C"/>
    <w:rsid w:val="00943E54"/>
    <w:rsid w:val="00956FBD"/>
    <w:rsid w:val="00965F08"/>
    <w:rsid w:val="0098126A"/>
    <w:rsid w:val="009A0B12"/>
    <w:rsid w:val="009C1E6B"/>
    <w:rsid w:val="009C33F1"/>
    <w:rsid w:val="00A50FCF"/>
    <w:rsid w:val="00A765D6"/>
    <w:rsid w:val="00A814FC"/>
    <w:rsid w:val="00A8277C"/>
    <w:rsid w:val="00A96E6D"/>
    <w:rsid w:val="00AA6FBF"/>
    <w:rsid w:val="00AC54C4"/>
    <w:rsid w:val="00AE1F3C"/>
    <w:rsid w:val="00B04F62"/>
    <w:rsid w:val="00B45B46"/>
    <w:rsid w:val="00B5403A"/>
    <w:rsid w:val="00B643F0"/>
    <w:rsid w:val="00B84E9C"/>
    <w:rsid w:val="00B8637F"/>
    <w:rsid w:val="00B87B1E"/>
    <w:rsid w:val="00BA07C8"/>
    <w:rsid w:val="00BB2870"/>
    <w:rsid w:val="00BE3F6B"/>
    <w:rsid w:val="00C054DF"/>
    <w:rsid w:val="00C55F1E"/>
    <w:rsid w:val="00C732BF"/>
    <w:rsid w:val="00C80FA4"/>
    <w:rsid w:val="00CA372B"/>
    <w:rsid w:val="00CB4123"/>
    <w:rsid w:val="00CE4459"/>
    <w:rsid w:val="00CF5C7B"/>
    <w:rsid w:val="00D237CC"/>
    <w:rsid w:val="00D34C84"/>
    <w:rsid w:val="00D57B14"/>
    <w:rsid w:val="00D73FB0"/>
    <w:rsid w:val="00D80039"/>
    <w:rsid w:val="00D8380D"/>
    <w:rsid w:val="00DC6760"/>
    <w:rsid w:val="00DE5170"/>
    <w:rsid w:val="00DF47DB"/>
    <w:rsid w:val="00E1747D"/>
    <w:rsid w:val="00E23A64"/>
    <w:rsid w:val="00E47775"/>
    <w:rsid w:val="00E50693"/>
    <w:rsid w:val="00E51CAF"/>
    <w:rsid w:val="00E55EB6"/>
    <w:rsid w:val="00E62481"/>
    <w:rsid w:val="00E629E5"/>
    <w:rsid w:val="00E67AF1"/>
    <w:rsid w:val="00E8548A"/>
    <w:rsid w:val="00E940BE"/>
    <w:rsid w:val="00E94E25"/>
    <w:rsid w:val="00E9539F"/>
    <w:rsid w:val="00ED15A2"/>
    <w:rsid w:val="00F05BF4"/>
    <w:rsid w:val="00F22A36"/>
    <w:rsid w:val="00F45D2F"/>
    <w:rsid w:val="00F4654A"/>
    <w:rsid w:val="00FD5274"/>
    <w:rsid w:val="00FD5EA5"/>
    <w:rsid w:val="00FF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E9C"/>
    <w:rPr>
      <w:sz w:val="24"/>
      <w:szCs w:val="24"/>
    </w:rPr>
  </w:style>
  <w:style w:type="paragraph" w:styleId="Heading1">
    <w:name w:val="heading 1"/>
    <w:basedOn w:val="Normal"/>
    <w:next w:val="Normal"/>
    <w:link w:val="Heading1Char"/>
    <w:uiPriority w:val="9"/>
    <w:qFormat/>
    <w:rsid w:val="00B84E9C"/>
    <w:pPr>
      <w:keepNext/>
      <w:keepLines/>
      <w:numPr>
        <w:numId w:val="49"/>
      </w:numPr>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B84E9C"/>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B84E9C"/>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84E9C"/>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B84E9C"/>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B84E9C"/>
    <w:rPr>
      <w:rFonts w:ascii="Arial" w:hAnsi="Arial" w:cs="Arial"/>
      <w:b/>
      <w:bCs/>
      <w:sz w:val="26"/>
      <w:szCs w:val="26"/>
      <w:lang w:val="en-US" w:eastAsia="en-US"/>
    </w:rPr>
  </w:style>
  <w:style w:type="character" w:styleId="Hyperlink">
    <w:name w:val="Hyperlink"/>
    <w:basedOn w:val="DefaultParagraphFont"/>
    <w:uiPriority w:val="99"/>
    <w:rsid w:val="00B84E9C"/>
    <w:rPr>
      <w:u w:val="single"/>
    </w:rPr>
  </w:style>
  <w:style w:type="paragraph" w:customStyle="1" w:styleId="Cabeceraypie">
    <w:name w:val="Cabecera y pie"/>
    <w:rsid w:val="00B84E9C"/>
    <w:pPr>
      <w:tabs>
        <w:tab w:val="right" w:pos="9020"/>
      </w:tabs>
    </w:pPr>
    <w:rPr>
      <w:rFonts w:ascii="Helvetica" w:eastAsia="Times New Roman" w:hAnsi="Arial Unicode MS" w:cs="Helvetica"/>
      <w:color w:val="000000"/>
      <w:sz w:val="24"/>
      <w:szCs w:val="24"/>
      <w:lang w:val="es-ES" w:eastAsia="es-ES"/>
    </w:rPr>
  </w:style>
  <w:style w:type="paragraph" w:styleId="Footer">
    <w:name w:val="footer"/>
    <w:basedOn w:val="Normal"/>
    <w:link w:val="FooterChar"/>
    <w:uiPriority w:val="99"/>
    <w:rsid w:val="00B84E9C"/>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B84E9C"/>
    <w:rPr>
      <w:rFonts w:ascii="Cambria" w:hAnsi="Cambria" w:cs="Cambria"/>
      <w:color w:val="000000"/>
      <w:sz w:val="24"/>
      <w:szCs w:val="24"/>
      <w:u w:color="000000"/>
      <w:lang w:val="en-US" w:eastAsia="es-ES"/>
    </w:rPr>
  </w:style>
  <w:style w:type="paragraph" w:customStyle="1" w:styleId="Cuerpo">
    <w:name w:val="Cuerpo"/>
    <w:rsid w:val="00B84E9C"/>
    <w:rPr>
      <w:rFonts w:ascii="Cambria" w:hAnsi="Cambria" w:cs="Cambria"/>
      <w:color w:val="000000"/>
      <w:sz w:val="24"/>
      <w:szCs w:val="24"/>
      <w:u w:color="000000"/>
      <w:lang w:val="es-ES" w:eastAsia="es-ES"/>
    </w:rPr>
  </w:style>
  <w:style w:type="paragraph" w:styleId="BodyTextIndent">
    <w:name w:val="Body Text Indent"/>
    <w:basedOn w:val="Normal"/>
    <w:link w:val="BodyTextIndentChar"/>
    <w:rsid w:val="00B84E9C"/>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locked/>
    <w:rsid w:val="00B84E9C"/>
    <w:rPr>
      <w:sz w:val="24"/>
      <w:szCs w:val="24"/>
    </w:rPr>
  </w:style>
  <w:style w:type="paragraph" w:styleId="ListParagraph">
    <w:name w:val="List Paragraph"/>
    <w:basedOn w:val="Normal"/>
    <w:link w:val="ListParagraphChar"/>
    <w:uiPriority w:val="34"/>
    <w:qFormat/>
    <w:rsid w:val="00B84E9C"/>
    <w:pPr>
      <w:ind w:left="720"/>
    </w:pPr>
    <w:rPr>
      <w:rFonts w:ascii="Cambria" w:hAnsi="Cambria" w:cs="Cambria"/>
      <w:color w:val="000000"/>
      <w:u w:color="000000"/>
      <w:lang w:eastAsia="es-ES"/>
    </w:r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footnote text"/>
    <w:basedOn w:val="Normal"/>
    <w:link w:val="FootnoteTextChar1"/>
    <w:qFormat/>
    <w:rsid w:val="00B84E9C"/>
    <w:rPr>
      <w:rFonts w:ascii="Calibri" w:hAnsi="Calibri" w:cs="Calibri"/>
      <w:color w:val="000000"/>
      <w:sz w:val="20"/>
      <w:szCs w:val="20"/>
      <w:u w:color="000000"/>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basedOn w:val="DefaultParagraphFont"/>
    <w:locked/>
    <w:rsid w:val="00702CF8"/>
    <w:rPr>
      <w:sz w:val="20"/>
      <w:szCs w:val="20"/>
    </w:rPr>
  </w:style>
  <w:style w:type="character" w:customStyle="1" w:styleId="FootnoteTextChar2">
    <w:name w:val="Footnote Text Char2"/>
    <w:aliases w:val="Ca Char2,FA Fu Char2,FA Fußnotentext Char2,FA Fuﬂnotentext Char2,Footnote Text Cha Char2,Footnote Text Char Char Char Char Char Char1,Footnote Text Char Char Char Char Char11,Footnote Text Char Char Char Char11,f Char"/>
    <w:basedOn w:val="DefaultParagraphFont"/>
    <w:uiPriority w:val="99"/>
    <w:semiHidden/>
    <w:locked/>
    <w:rsid w:val="00B84E9C"/>
    <w:rPr>
      <w:sz w:val="20"/>
      <w:szCs w:val="20"/>
    </w:rPr>
  </w:style>
  <w:style w:type="paragraph" w:styleId="BalloonText">
    <w:name w:val="Balloon Text"/>
    <w:basedOn w:val="Normal"/>
    <w:link w:val="BalloonTextChar"/>
    <w:uiPriority w:val="99"/>
    <w:semiHidden/>
    <w:rsid w:val="00B84E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E9C"/>
    <w:rPr>
      <w:rFonts w:ascii="Tahoma" w:hAnsi="Tahoma" w:cs="Tahoma"/>
      <w:sz w:val="16"/>
      <w:szCs w:val="16"/>
      <w:lang w:val="en-US" w:eastAsia="en-US"/>
    </w:rPr>
  </w:style>
  <w:style w:type="paragraph" w:styleId="Header">
    <w:name w:val="header"/>
    <w:aliases w:val="encabezado"/>
    <w:basedOn w:val="Normal"/>
    <w:link w:val="HeaderChar"/>
    <w:rsid w:val="00B84E9C"/>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locked/>
    <w:rsid w:val="00B84E9C"/>
    <w:rPr>
      <w:rFonts w:ascii="Univers" w:hAnsi="Univers" w:cs="Univers"/>
      <w:sz w:val="24"/>
      <w:szCs w:val="24"/>
      <w:lang w:val="en-US" w:eastAsia="en-US"/>
    </w:rPr>
  </w:style>
  <w:style w:type="table" w:styleId="MediumShading1-Accent1">
    <w:name w:val="Medium Shading 1 Accent 1"/>
    <w:basedOn w:val="TableNormal"/>
    <w:uiPriority w:val="63"/>
    <w:rsid w:val="00B84E9C"/>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rsid w:val="00B84E9C"/>
    <w:pPr>
      <w:tabs>
        <w:tab w:val="left" w:pos="1440"/>
        <w:tab w:val="right" w:leader="dot" w:pos="9350"/>
      </w:tabs>
      <w:spacing w:after="100"/>
      <w:ind w:left="1440" w:hanging="720"/>
    </w:pPr>
  </w:style>
  <w:style w:type="paragraph" w:styleId="TOC1">
    <w:name w:val="toc 1"/>
    <w:basedOn w:val="Normal"/>
    <w:next w:val="Normal"/>
    <w:autoRedefine/>
    <w:uiPriority w:val="39"/>
    <w:rsid w:val="00B84E9C"/>
    <w:pPr>
      <w:spacing w:after="100"/>
    </w:pPr>
    <w:rPr>
      <w:rFonts w:ascii="Calibri" w:hAnsi="Calibri" w:cs="Calibri"/>
      <w:sz w:val="22"/>
      <w:szCs w:val="22"/>
    </w:rPr>
  </w:style>
  <w:style w:type="paragraph" w:styleId="TOC3">
    <w:name w:val="toc 3"/>
    <w:basedOn w:val="Normal"/>
    <w:next w:val="Normal"/>
    <w:autoRedefine/>
    <w:uiPriority w:val="39"/>
    <w:rsid w:val="00B84E9C"/>
    <w:pPr>
      <w:tabs>
        <w:tab w:val="left" w:pos="880"/>
        <w:tab w:val="right" w:leader="dot" w:pos="9350"/>
      </w:tabs>
      <w:spacing w:after="100"/>
      <w:ind w:left="2160" w:hanging="720"/>
    </w:pPr>
  </w:style>
  <w:style w:type="paragraph" w:styleId="TOC4">
    <w:name w:val="toc 4"/>
    <w:basedOn w:val="Normal"/>
    <w:next w:val="Normal"/>
    <w:autoRedefine/>
    <w:uiPriority w:val="39"/>
    <w:rsid w:val="00B84E9C"/>
    <w:pPr>
      <w:spacing w:after="100"/>
      <w:ind w:left="720"/>
    </w:pPr>
  </w:style>
  <w:style w:type="character" w:styleId="PageNumber">
    <w:name w:val="page number"/>
    <w:basedOn w:val="DefaultParagraphFont"/>
    <w:rsid w:val="00B84E9C"/>
  </w:style>
  <w:style w:type="character" w:styleId="FootnoteReference">
    <w:name w:val="footnote reference"/>
    <w:aliases w:val="Appel note de bas de page,BVI fnr,Footnote number,Footnotes refss,Ref. de nota al pie.,Texto de nota al pie,f1,referencia nota al pie,Footnote symbol,Footnote,4_G,16 Point,Superscript 6 Point,Texto nota al pie,Ref,de nota al pie,norma"/>
    <w:basedOn w:val="DefaultParagraphFont"/>
    <w:link w:val="4GChar"/>
    <w:uiPriority w:val="99"/>
    <w:qFormat/>
    <w:rsid w:val="00B84E9C"/>
    <w:rPr>
      <w:vertAlign w:val="superscript"/>
    </w:rPr>
  </w:style>
  <w:style w:type="paragraph" w:styleId="BodyTextIndent2">
    <w:name w:val="Body Text Indent 2"/>
    <w:basedOn w:val="Normal"/>
    <w:link w:val="BodyTextIndent2Char"/>
    <w:uiPriority w:val="99"/>
    <w:semiHidden/>
    <w:rsid w:val="00B84E9C"/>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84E9C"/>
    <w:rPr>
      <w:sz w:val="24"/>
      <w:szCs w:val="24"/>
      <w:lang w:val="en-US" w:eastAsia="en-US"/>
    </w:rPr>
  </w:style>
  <w:style w:type="paragraph" w:styleId="BodyText">
    <w:name w:val="Body Text"/>
    <w:basedOn w:val="Normal"/>
    <w:link w:val="BodyTextChar"/>
    <w:uiPriority w:val="99"/>
    <w:semiHidden/>
    <w:rsid w:val="00B84E9C"/>
    <w:pPr>
      <w:spacing w:after="120"/>
    </w:pPr>
  </w:style>
  <w:style w:type="character" w:customStyle="1" w:styleId="BodyTextChar">
    <w:name w:val="Body Text Char"/>
    <w:basedOn w:val="DefaultParagraphFont"/>
    <w:link w:val="BodyText"/>
    <w:uiPriority w:val="99"/>
    <w:semiHidden/>
    <w:locked/>
    <w:rsid w:val="00B84E9C"/>
    <w:rPr>
      <w:sz w:val="24"/>
      <w:szCs w:val="24"/>
      <w:lang w:val="en-US" w:eastAsia="en-US"/>
    </w:rPr>
  </w:style>
  <w:style w:type="character" w:customStyle="1" w:styleId="FootnoteTextChar1">
    <w:name w:val="Footnote Text Char1"/>
    <w:aliases w:val="Ca Char1,FA Fu Char1,FA Fußnotentext Char1,FA Fuﬂnotentext Char1,Footnote Text Cha Char1,Footnote Text Char Char Char2,Footnote Text Char Char Char Char2,Footnote Text Char Char Char Char Char2,Footnote reference Char,f Char1"/>
    <w:link w:val="FootnoteText"/>
    <w:uiPriority w:val="99"/>
    <w:locked/>
    <w:rsid w:val="00B84E9C"/>
    <w:rPr>
      <w:rFonts w:ascii="Calibri" w:hAnsi="Calibri" w:cs="Calibri"/>
      <w:color w:val="000000"/>
      <w:u w:color="000000"/>
      <w:lang w:val="en-US"/>
    </w:rPr>
  </w:style>
  <w:style w:type="paragraph" w:customStyle="1" w:styleId="Default">
    <w:name w:val="Default"/>
    <w:link w:val="DefaultChar"/>
    <w:rsid w:val="00B84E9C"/>
    <w:pPr>
      <w:autoSpaceDE w:val="0"/>
      <w:autoSpaceDN w:val="0"/>
      <w:adjustRightInd w:val="0"/>
    </w:pPr>
    <w:rPr>
      <w:rFonts w:eastAsia="Times New Roman"/>
      <w:color w:val="000000"/>
      <w:sz w:val="24"/>
      <w:szCs w:val="24"/>
    </w:rPr>
  </w:style>
  <w:style w:type="paragraph" w:styleId="EndnoteText">
    <w:name w:val="endnote text"/>
    <w:basedOn w:val="Normal"/>
    <w:link w:val="EndnoteTextChar"/>
    <w:uiPriority w:val="99"/>
    <w:semiHidden/>
    <w:rsid w:val="00B84E9C"/>
    <w:pP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B84E9C"/>
    <w:rPr>
      <w:rFonts w:eastAsia="Times New Roman"/>
      <w:sz w:val="24"/>
      <w:szCs w:val="24"/>
      <w:lang w:val="en-US" w:eastAsia="en-US"/>
    </w:rPr>
  </w:style>
  <w:style w:type="character" w:customStyle="1" w:styleId="DefaultChar">
    <w:name w:val="Default Char"/>
    <w:link w:val="Default"/>
    <w:locked/>
    <w:rsid w:val="00B84E9C"/>
    <w:rPr>
      <w:rFonts w:eastAsia="Times New Roman"/>
      <w:color w:val="000000"/>
      <w:sz w:val="22"/>
      <w:szCs w:val="22"/>
      <w:lang w:val="en-US" w:eastAsia="en-US"/>
    </w:rPr>
  </w:style>
  <w:style w:type="numbering" w:customStyle="1" w:styleId="List16">
    <w:name w:val="List 16"/>
    <w:rsid w:val="004A5F4E"/>
    <w:pPr>
      <w:numPr>
        <w:numId w:val="9"/>
      </w:numPr>
    </w:pPr>
  </w:style>
  <w:style w:type="numbering" w:customStyle="1" w:styleId="List36">
    <w:name w:val="List 36"/>
    <w:rsid w:val="004A5F4E"/>
    <w:pPr>
      <w:numPr>
        <w:numId w:val="13"/>
      </w:numPr>
    </w:pPr>
  </w:style>
  <w:style w:type="numbering" w:customStyle="1" w:styleId="List25">
    <w:name w:val="List 25"/>
    <w:rsid w:val="004A5F4E"/>
    <w:pPr>
      <w:numPr>
        <w:numId w:val="14"/>
      </w:numPr>
    </w:pPr>
  </w:style>
  <w:style w:type="numbering" w:customStyle="1" w:styleId="List1">
    <w:name w:val="List 1"/>
    <w:rsid w:val="004A5F4E"/>
    <w:pPr>
      <w:numPr>
        <w:numId w:val="1"/>
      </w:numPr>
    </w:pPr>
  </w:style>
  <w:style w:type="numbering" w:customStyle="1" w:styleId="List11">
    <w:name w:val="List 11"/>
    <w:rsid w:val="004A5F4E"/>
    <w:pPr>
      <w:numPr>
        <w:numId w:val="6"/>
      </w:numPr>
    </w:pPr>
  </w:style>
  <w:style w:type="numbering" w:customStyle="1" w:styleId="List15">
    <w:name w:val="List 15"/>
    <w:rsid w:val="004A5F4E"/>
    <w:pPr>
      <w:numPr>
        <w:numId w:val="15"/>
      </w:numPr>
    </w:pPr>
  </w:style>
  <w:style w:type="numbering" w:customStyle="1" w:styleId="List14">
    <w:name w:val="List 14"/>
    <w:rsid w:val="004A5F4E"/>
    <w:pPr>
      <w:numPr>
        <w:numId w:val="16"/>
      </w:numPr>
    </w:pPr>
  </w:style>
  <w:style w:type="numbering" w:customStyle="1" w:styleId="List23">
    <w:name w:val="List 23"/>
    <w:rsid w:val="004A5F4E"/>
    <w:pPr>
      <w:numPr>
        <w:numId w:val="17"/>
      </w:numPr>
    </w:pPr>
  </w:style>
  <w:style w:type="numbering" w:customStyle="1" w:styleId="List19">
    <w:name w:val="List 19"/>
    <w:rsid w:val="004A5F4E"/>
    <w:pPr>
      <w:numPr>
        <w:numId w:val="18"/>
      </w:numPr>
    </w:pPr>
  </w:style>
  <w:style w:type="numbering" w:customStyle="1" w:styleId="List45">
    <w:name w:val="List 45"/>
    <w:rsid w:val="004A5F4E"/>
    <w:pPr>
      <w:numPr>
        <w:numId w:val="19"/>
      </w:numPr>
    </w:pPr>
  </w:style>
  <w:style w:type="numbering" w:customStyle="1" w:styleId="List40">
    <w:name w:val="List 40"/>
    <w:rsid w:val="004A5F4E"/>
    <w:pPr>
      <w:numPr>
        <w:numId w:val="20"/>
      </w:numPr>
    </w:pPr>
  </w:style>
  <w:style w:type="numbering" w:customStyle="1" w:styleId="List9">
    <w:name w:val="List 9"/>
    <w:rsid w:val="004A5F4E"/>
    <w:pPr>
      <w:numPr>
        <w:numId w:val="21"/>
      </w:numPr>
    </w:pPr>
  </w:style>
  <w:style w:type="numbering" w:customStyle="1" w:styleId="List43">
    <w:name w:val="List 43"/>
    <w:rsid w:val="004A5F4E"/>
    <w:pPr>
      <w:numPr>
        <w:numId w:val="22"/>
      </w:numPr>
    </w:pPr>
  </w:style>
  <w:style w:type="numbering" w:customStyle="1" w:styleId="List46">
    <w:name w:val="List 46"/>
    <w:rsid w:val="004A5F4E"/>
    <w:pPr>
      <w:numPr>
        <w:numId w:val="23"/>
      </w:numPr>
    </w:pPr>
  </w:style>
  <w:style w:type="numbering" w:customStyle="1" w:styleId="List35">
    <w:name w:val="List 35"/>
    <w:rsid w:val="004A5F4E"/>
    <w:pPr>
      <w:numPr>
        <w:numId w:val="7"/>
      </w:numPr>
    </w:pPr>
  </w:style>
  <w:style w:type="numbering" w:customStyle="1" w:styleId="List17">
    <w:name w:val="List 17"/>
    <w:rsid w:val="004A5F4E"/>
    <w:pPr>
      <w:numPr>
        <w:numId w:val="24"/>
      </w:numPr>
    </w:pPr>
  </w:style>
  <w:style w:type="numbering" w:customStyle="1" w:styleId="List33">
    <w:name w:val="List 33"/>
    <w:rsid w:val="004A5F4E"/>
    <w:pPr>
      <w:numPr>
        <w:numId w:val="25"/>
      </w:numPr>
    </w:pPr>
  </w:style>
  <w:style w:type="numbering" w:customStyle="1" w:styleId="List7">
    <w:name w:val="List 7"/>
    <w:rsid w:val="004A5F4E"/>
    <w:pPr>
      <w:numPr>
        <w:numId w:val="3"/>
      </w:numPr>
    </w:pPr>
  </w:style>
  <w:style w:type="numbering" w:customStyle="1" w:styleId="List18">
    <w:name w:val="List 18"/>
    <w:rsid w:val="004A5F4E"/>
    <w:pPr>
      <w:numPr>
        <w:numId w:val="26"/>
      </w:numPr>
    </w:pPr>
  </w:style>
  <w:style w:type="numbering" w:customStyle="1" w:styleId="List22">
    <w:name w:val="List 22"/>
    <w:rsid w:val="004A5F4E"/>
    <w:pPr>
      <w:numPr>
        <w:numId w:val="27"/>
      </w:numPr>
    </w:pPr>
  </w:style>
  <w:style w:type="numbering" w:customStyle="1" w:styleId="List47">
    <w:name w:val="List 47"/>
    <w:rsid w:val="004A5F4E"/>
    <w:pPr>
      <w:numPr>
        <w:numId w:val="28"/>
      </w:numPr>
    </w:pPr>
  </w:style>
  <w:style w:type="numbering" w:customStyle="1" w:styleId="List28">
    <w:name w:val="List 28"/>
    <w:rsid w:val="004A5F4E"/>
    <w:pPr>
      <w:numPr>
        <w:numId w:val="29"/>
      </w:numPr>
    </w:pPr>
  </w:style>
  <w:style w:type="numbering" w:customStyle="1" w:styleId="List10">
    <w:name w:val="List 10"/>
    <w:rsid w:val="004A5F4E"/>
    <w:pPr>
      <w:numPr>
        <w:numId w:val="5"/>
      </w:numPr>
    </w:pPr>
  </w:style>
  <w:style w:type="numbering" w:customStyle="1" w:styleId="List0">
    <w:name w:val="List 0"/>
    <w:rsid w:val="004A5F4E"/>
    <w:pPr>
      <w:numPr>
        <w:numId w:val="30"/>
      </w:numPr>
    </w:pPr>
  </w:style>
  <w:style w:type="numbering" w:customStyle="1" w:styleId="List30">
    <w:name w:val="List 30"/>
    <w:rsid w:val="004A5F4E"/>
    <w:pPr>
      <w:numPr>
        <w:numId w:val="31"/>
      </w:numPr>
    </w:pPr>
  </w:style>
  <w:style w:type="numbering" w:customStyle="1" w:styleId="List29">
    <w:name w:val="List 29"/>
    <w:rsid w:val="004A5F4E"/>
    <w:pPr>
      <w:numPr>
        <w:numId w:val="32"/>
      </w:numPr>
    </w:pPr>
  </w:style>
  <w:style w:type="numbering" w:customStyle="1" w:styleId="List38">
    <w:name w:val="List 38"/>
    <w:rsid w:val="004A5F4E"/>
    <w:pPr>
      <w:numPr>
        <w:numId w:val="33"/>
      </w:numPr>
    </w:pPr>
  </w:style>
  <w:style w:type="numbering" w:customStyle="1" w:styleId="List12">
    <w:name w:val="List 12"/>
    <w:rsid w:val="004A5F4E"/>
    <w:pPr>
      <w:numPr>
        <w:numId w:val="34"/>
      </w:numPr>
    </w:pPr>
  </w:style>
  <w:style w:type="numbering" w:customStyle="1" w:styleId="List50">
    <w:name w:val="List 50"/>
    <w:rsid w:val="004A5F4E"/>
    <w:pPr>
      <w:numPr>
        <w:numId w:val="35"/>
      </w:numPr>
    </w:pPr>
  </w:style>
  <w:style w:type="numbering" w:customStyle="1" w:styleId="List34">
    <w:name w:val="List 34"/>
    <w:rsid w:val="004A5F4E"/>
    <w:pPr>
      <w:numPr>
        <w:numId w:val="10"/>
      </w:numPr>
    </w:pPr>
  </w:style>
  <w:style w:type="numbering" w:customStyle="1" w:styleId="List42">
    <w:name w:val="List 42"/>
    <w:rsid w:val="004A5F4E"/>
    <w:pPr>
      <w:numPr>
        <w:numId w:val="11"/>
      </w:numPr>
    </w:pPr>
  </w:style>
  <w:style w:type="numbering" w:customStyle="1" w:styleId="List49">
    <w:name w:val="List 49"/>
    <w:rsid w:val="004A5F4E"/>
    <w:pPr>
      <w:numPr>
        <w:numId w:val="36"/>
      </w:numPr>
    </w:pPr>
  </w:style>
  <w:style w:type="numbering" w:customStyle="1" w:styleId="List44">
    <w:name w:val="List 44"/>
    <w:rsid w:val="004A5F4E"/>
    <w:pPr>
      <w:numPr>
        <w:numId w:val="37"/>
      </w:numPr>
    </w:pPr>
  </w:style>
  <w:style w:type="numbering" w:customStyle="1" w:styleId="List21">
    <w:name w:val="List 21"/>
    <w:rsid w:val="004A5F4E"/>
    <w:pPr>
      <w:numPr>
        <w:numId w:val="48"/>
      </w:numPr>
    </w:pPr>
  </w:style>
  <w:style w:type="numbering" w:customStyle="1" w:styleId="List52">
    <w:name w:val="List 52"/>
    <w:rsid w:val="004A5F4E"/>
    <w:pPr>
      <w:numPr>
        <w:numId w:val="8"/>
      </w:numPr>
    </w:pPr>
  </w:style>
  <w:style w:type="numbering" w:customStyle="1" w:styleId="List24">
    <w:name w:val="List 24"/>
    <w:rsid w:val="004A5F4E"/>
    <w:pPr>
      <w:numPr>
        <w:numId w:val="12"/>
      </w:numPr>
    </w:pPr>
  </w:style>
  <w:style w:type="numbering" w:customStyle="1" w:styleId="List51">
    <w:name w:val="List 51"/>
    <w:rsid w:val="004A5F4E"/>
    <w:pPr>
      <w:numPr>
        <w:numId w:val="50"/>
      </w:numPr>
    </w:pPr>
  </w:style>
  <w:style w:type="numbering" w:customStyle="1" w:styleId="List27">
    <w:name w:val="List 27"/>
    <w:rsid w:val="004A5F4E"/>
    <w:pPr>
      <w:numPr>
        <w:numId w:val="38"/>
      </w:numPr>
    </w:pPr>
  </w:style>
  <w:style w:type="numbering" w:customStyle="1" w:styleId="List8">
    <w:name w:val="List 8"/>
    <w:rsid w:val="004A5F4E"/>
    <w:pPr>
      <w:numPr>
        <w:numId w:val="4"/>
      </w:numPr>
    </w:pPr>
  </w:style>
  <w:style w:type="numbering" w:customStyle="1" w:styleId="List13">
    <w:name w:val="List 13"/>
    <w:rsid w:val="004A5F4E"/>
    <w:pPr>
      <w:numPr>
        <w:numId w:val="39"/>
      </w:numPr>
    </w:pPr>
  </w:style>
  <w:style w:type="numbering" w:customStyle="1" w:styleId="List20">
    <w:name w:val="List 20"/>
    <w:rsid w:val="004A5F4E"/>
    <w:pPr>
      <w:numPr>
        <w:numId w:val="40"/>
      </w:numPr>
    </w:pPr>
  </w:style>
  <w:style w:type="numbering" w:customStyle="1" w:styleId="List41">
    <w:name w:val="List 41"/>
    <w:rsid w:val="004A5F4E"/>
    <w:pPr>
      <w:numPr>
        <w:numId w:val="41"/>
      </w:numPr>
    </w:pPr>
  </w:style>
  <w:style w:type="numbering" w:customStyle="1" w:styleId="List31">
    <w:name w:val="List 31"/>
    <w:rsid w:val="004A5F4E"/>
    <w:pPr>
      <w:numPr>
        <w:numId w:val="42"/>
      </w:numPr>
    </w:pPr>
  </w:style>
  <w:style w:type="numbering" w:customStyle="1" w:styleId="List6">
    <w:name w:val="List 6"/>
    <w:rsid w:val="004A5F4E"/>
    <w:pPr>
      <w:numPr>
        <w:numId w:val="2"/>
      </w:numPr>
    </w:pPr>
  </w:style>
  <w:style w:type="numbering" w:customStyle="1" w:styleId="List39">
    <w:name w:val="List 39"/>
    <w:rsid w:val="004A5F4E"/>
    <w:pPr>
      <w:numPr>
        <w:numId w:val="43"/>
      </w:numPr>
    </w:pPr>
  </w:style>
  <w:style w:type="numbering" w:customStyle="1" w:styleId="List37">
    <w:name w:val="List 37"/>
    <w:rsid w:val="004A5F4E"/>
    <w:pPr>
      <w:numPr>
        <w:numId w:val="44"/>
      </w:numPr>
    </w:pPr>
  </w:style>
  <w:style w:type="numbering" w:customStyle="1" w:styleId="List32">
    <w:name w:val="List 32"/>
    <w:rsid w:val="004A5F4E"/>
    <w:pPr>
      <w:numPr>
        <w:numId w:val="45"/>
      </w:numPr>
    </w:pPr>
  </w:style>
  <w:style w:type="numbering" w:customStyle="1" w:styleId="List26">
    <w:name w:val="List 26"/>
    <w:rsid w:val="004A5F4E"/>
    <w:pPr>
      <w:numPr>
        <w:numId w:val="46"/>
      </w:numPr>
    </w:pPr>
  </w:style>
  <w:style w:type="numbering" w:customStyle="1" w:styleId="List48">
    <w:name w:val="List 48"/>
    <w:rsid w:val="004A5F4E"/>
    <w:pPr>
      <w:numPr>
        <w:numId w:val="47"/>
      </w:numPr>
    </w:pPr>
  </w:style>
  <w:style w:type="numbering" w:customStyle="1" w:styleId="Estiloimportado1">
    <w:name w:val="Estilo importado 1"/>
    <w:rsid w:val="00163E72"/>
  </w:style>
  <w:style w:type="numbering" w:customStyle="1" w:styleId="Estiloimportado2">
    <w:name w:val="Estilo importado 2"/>
    <w:rsid w:val="00163E72"/>
  </w:style>
  <w:style w:type="numbering" w:customStyle="1" w:styleId="Estiloimportado3">
    <w:name w:val="Estilo importado 3"/>
    <w:rsid w:val="00163E72"/>
  </w:style>
  <w:style w:type="numbering" w:customStyle="1" w:styleId="Estiloimportado4">
    <w:name w:val="Estilo importado 4"/>
    <w:rsid w:val="00163E72"/>
  </w:style>
  <w:style w:type="numbering" w:customStyle="1" w:styleId="Estiloimportado5">
    <w:name w:val="Estilo importado 5"/>
    <w:rsid w:val="00163E72"/>
  </w:style>
  <w:style w:type="numbering" w:customStyle="1" w:styleId="Estiloimportado6">
    <w:name w:val="Estilo importado 6"/>
    <w:rsid w:val="00163E72"/>
  </w:style>
  <w:style w:type="numbering" w:customStyle="1" w:styleId="Estiloimportado7">
    <w:name w:val="Estilo importado 7"/>
    <w:rsid w:val="00163E72"/>
  </w:style>
  <w:style w:type="numbering" w:customStyle="1" w:styleId="Estiloimportado8">
    <w:name w:val="Estilo importado 8"/>
    <w:rsid w:val="00163E72"/>
  </w:style>
  <w:style w:type="numbering" w:customStyle="1" w:styleId="Estiloimportado9">
    <w:name w:val="Estilo importado 9"/>
    <w:rsid w:val="00163E72"/>
  </w:style>
  <w:style w:type="numbering" w:customStyle="1" w:styleId="Estiloimportado10">
    <w:name w:val="Estilo importado 10"/>
    <w:rsid w:val="00163E72"/>
  </w:style>
  <w:style w:type="numbering" w:customStyle="1" w:styleId="Estiloimportado11">
    <w:name w:val="Estilo importado 11"/>
    <w:rsid w:val="00163E72"/>
  </w:style>
  <w:style w:type="numbering" w:customStyle="1" w:styleId="Estiloimportado12">
    <w:name w:val="Estilo importado 12"/>
    <w:rsid w:val="00163E72"/>
  </w:style>
  <w:style w:type="numbering" w:customStyle="1" w:styleId="Estiloimportado13">
    <w:name w:val="Estilo importado 13"/>
    <w:rsid w:val="00163E72"/>
  </w:style>
  <w:style w:type="numbering" w:customStyle="1" w:styleId="Estiloimportado14">
    <w:name w:val="Estilo importado 14"/>
    <w:rsid w:val="00163E72"/>
  </w:style>
  <w:style w:type="numbering" w:customStyle="1" w:styleId="Estiloimportado15">
    <w:name w:val="Estilo importado 15"/>
    <w:rsid w:val="00163E72"/>
  </w:style>
  <w:style w:type="numbering" w:customStyle="1" w:styleId="Estiloimportado16">
    <w:name w:val="Estilo importado 16"/>
    <w:rsid w:val="00163E72"/>
  </w:style>
  <w:style w:type="numbering" w:customStyle="1" w:styleId="Estiloimportado17">
    <w:name w:val="Estilo importado 17"/>
    <w:rsid w:val="00163E72"/>
  </w:style>
  <w:style w:type="numbering" w:customStyle="1" w:styleId="Estiloimportado18">
    <w:name w:val="Estilo importado 18"/>
    <w:rsid w:val="00163E72"/>
  </w:style>
  <w:style w:type="numbering" w:customStyle="1" w:styleId="Estiloimportado19">
    <w:name w:val="Estilo importado 19"/>
    <w:rsid w:val="00163E72"/>
  </w:style>
  <w:style w:type="numbering" w:customStyle="1" w:styleId="Estiloimportado20">
    <w:name w:val="Estilo importado 20"/>
    <w:rsid w:val="00163E72"/>
  </w:style>
  <w:style w:type="numbering" w:customStyle="1" w:styleId="Estiloimportado21">
    <w:name w:val="Estilo importado 21"/>
    <w:rsid w:val="00163E72"/>
  </w:style>
  <w:style w:type="numbering" w:customStyle="1" w:styleId="Estiloimportado22">
    <w:name w:val="Estilo importado 22"/>
    <w:rsid w:val="00163E72"/>
  </w:style>
  <w:style w:type="numbering" w:customStyle="1" w:styleId="Estiloimportado23">
    <w:name w:val="Estilo importado 23"/>
    <w:rsid w:val="00163E72"/>
  </w:style>
  <w:style w:type="numbering" w:customStyle="1" w:styleId="Estiloimportado24">
    <w:name w:val="Estilo importado 24"/>
    <w:rsid w:val="00163E72"/>
  </w:style>
  <w:style w:type="numbering" w:customStyle="1" w:styleId="Estiloimportado25">
    <w:name w:val="Estilo importado 25"/>
    <w:rsid w:val="00163E72"/>
  </w:style>
  <w:style w:type="numbering" w:customStyle="1" w:styleId="Estiloimportado26">
    <w:name w:val="Estilo importado 26"/>
    <w:rsid w:val="00163E72"/>
  </w:style>
  <w:style w:type="numbering" w:customStyle="1" w:styleId="Estiloimportado27">
    <w:name w:val="Estilo importado 27"/>
    <w:rsid w:val="00163E72"/>
  </w:style>
  <w:style w:type="numbering" w:customStyle="1" w:styleId="Estiloimportado28">
    <w:name w:val="Estilo importado 28"/>
    <w:rsid w:val="00163E72"/>
  </w:style>
  <w:style w:type="numbering" w:customStyle="1" w:styleId="Estiloimportado29">
    <w:name w:val="Estilo importado 29"/>
    <w:rsid w:val="00163E72"/>
  </w:style>
  <w:style w:type="numbering" w:customStyle="1" w:styleId="Estiloimportado30">
    <w:name w:val="Estilo importado 30"/>
    <w:rsid w:val="00163E72"/>
  </w:style>
  <w:style w:type="numbering" w:customStyle="1" w:styleId="Estiloimportado31">
    <w:name w:val="Estilo importado 31"/>
    <w:rsid w:val="00163E72"/>
  </w:style>
  <w:style w:type="numbering" w:customStyle="1" w:styleId="Estiloimportado32">
    <w:name w:val="Estilo importado 32"/>
    <w:rsid w:val="00163E72"/>
  </w:style>
  <w:style w:type="numbering" w:customStyle="1" w:styleId="Estiloimportado33">
    <w:name w:val="Estilo importado 33"/>
    <w:rsid w:val="00163E72"/>
  </w:style>
  <w:style w:type="numbering" w:customStyle="1" w:styleId="Estiloimportado34">
    <w:name w:val="Estilo importado 34"/>
    <w:rsid w:val="00163E72"/>
  </w:style>
  <w:style w:type="numbering" w:customStyle="1" w:styleId="Estiloimportado35">
    <w:name w:val="Estilo importado 35"/>
    <w:rsid w:val="00163E72"/>
  </w:style>
  <w:style w:type="numbering" w:customStyle="1" w:styleId="Estiloimportado36">
    <w:name w:val="Estilo importado 36"/>
    <w:rsid w:val="00163E72"/>
  </w:style>
  <w:style w:type="numbering" w:customStyle="1" w:styleId="Estiloimportado37">
    <w:name w:val="Estilo importado 37"/>
    <w:rsid w:val="00163E72"/>
  </w:style>
  <w:style w:type="numbering" w:customStyle="1" w:styleId="Estiloimportado38">
    <w:name w:val="Estilo importado 38"/>
    <w:rsid w:val="00163E72"/>
  </w:style>
  <w:style w:type="numbering" w:customStyle="1" w:styleId="Estiloimportado39">
    <w:name w:val="Estilo importado 39"/>
    <w:rsid w:val="00163E72"/>
  </w:style>
  <w:style w:type="numbering" w:customStyle="1" w:styleId="Estiloimportado40">
    <w:name w:val="Estilo importado 40"/>
    <w:rsid w:val="00163E72"/>
  </w:style>
  <w:style w:type="numbering" w:customStyle="1" w:styleId="Estiloimportado41">
    <w:name w:val="Estilo importado 41"/>
    <w:rsid w:val="00163E72"/>
  </w:style>
  <w:style w:type="numbering" w:customStyle="1" w:styleId="Estiloimportado42">
    <w:name w:val="Estilo importado 42"/>
    <w:rsid w:val="00163E72"/>
  </w:style>
  <w:style w:type="numbering" w:customStyle="1" w:styleId="Estiloimportado43">
    <w:name w:val="Estilo importado 43"/>
    <w:rsid w:val="00163E72"/>
  </w:style>
  <w:style w:type="numbering" w:customStyle="1" w:styleId="Estiloimportado44">
    <w:name w:val="Estilo importado 44"/>
    <w:rsid w:val="00163E72"/>
  </w:style>
  <w:style w:type="numbering" w:customStyle="1" w:styleId="Estiloimportado45">
    <w:name w:val="Estilo importado 45"/>
    <w:rsid w:val="00163E72"/>
  </w:style>
  <w:style w:type="numbering" w:customStyle="1" w:styleId="Estiloimportado46">
    <w:name w:val="Estilo importado 46"/>
    <w:rsid w:val="00163E72"/>
  </w:style>
  <w:style w:type="character" w:customStyle="1" w:styleId="ListParagraphChar">
    <w:name w:val="List Paragraph Char"/>
    <w:link w:val="ListParagraph"/>
    <w:uiPriority w:val="34"/>
    <w:rsid w:val="00163E72"/>
    <w:rPr>
      <w:rFonts w:ascii="Cambria" w:hAnsi="Cambria" w:cs="Cambria"/>
      <w:color w:val="000000"/>
      <w:sz w:val="24"/>
      <w:szCs w:val="24"/>
      <w:u w:color="000000"/>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163E72"/>
    <w:pPr>
      <w:jc w:val="both"/>
    </w:pPr>
    <w:rPr>
      <w:sz w:val="22"/>
      <w:szCs w:val="22"/>
      <w:vertAlign w:val="superscript"/>
    </w:rPr>
  </w:style>
  <w:style w:type="character" w:styleId="FollowedHyperlink">
    <w:name w:val="FollowedHyperlink"/>
    <w:basedOn w:val="DefaultParagraphFont"/>
    <w:uiPriority w:val="99"/>
    <w:semiHidden/>
    <w:unhideWhenUsed/>
    <w:rsid w:val="00163E72"/>
    <w:rPr>
      <w:color w:val="800080" w:themeColor="followedHyperlink"/>
      <w:u w:val="single"/>
    </w:rPr>
  </w:style>
  <w:style w:type="character" w:styleId="CommentReference">
    <w:name w:val="annotation reference"/>
    <w:basedOn w:val="DefaultParagraphFont"/>
    <w:uiPriority w:val="99"/>
    <w:semiHidden/>
    <w:unhideWhenUsed/>
    <w:rsid w:val="000F4242"/>
    <w:rPr>
      <w:sz w:val="16"/>
      <w:szCs w:val="16"/>
    </w:rPr>
  </w:style>
  <w:style w:type="paragraph" w:styleId="CommentText">
    <w:name w:val="annotation text"/>
    <w:basedOn w:val="Normal"/>
    <w:link w:val="CommentTextChar"/>
    <w:uiPriority w:val="99"/>
    <w:semiHidden/>
    <w:unhideWhenUsed/>
    <w:rsid w:val="000F4242"/>
    <w:rPr>
      <w:sz w:val="20"/>
      <w:szCs w:val="20"/>
    </w:rPr>
  </w:style>
  <w:style w:type="character" w:customStyle="1" w:styleId="CommentTextChar">
    <w:name w:val="Comment Text Char"/>
    <w:basedOn w:val="DefaultParagraphFont"/>
    <w:link w:val="CommentText"/>
    <w:uiPriority w:val="99"/>
    <w:semiHidden/>
    <w:rsid w:val="000F4242"/>
    <w:rPr>
      <w:sz w:val="20"/>
      <w:szCs w:val="20"/>
    </w:rPr>
  </w:style>
  <w:style w:type="paragraph" w:styleId="CommentSubject">
    <w:name w:val="annotation subject"/>
    <w:basedOn w:val="CommentText"/>
    <w:next w:val="CommentText"/>
    <w:link w:val="CommentSubjectChar"/>
    <w:uiPriority w:val="99"/>
    <w:semiHidden/>
    <w:unhideWhenUsed/>
    <w:rsid w:val="000F4242"/>
    <w:rPr>
      <w:b/>
      <w:bCs/>
    </w:rPr>
  </w:style>
  <w:style w:type="character" w:customStyle="1" w:styleId="CommentSubjectChar">
    <w:name w:val="Comment Subject Char"/>
    <w:basedOn w:val="CommentTextChar"/>
    <w:link w:val="CommentSubject"/>
    <w:uiPriority w:val="99"/>
    <w:semiHidden/>
    <w:rsid w:val="000F42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6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soluciones_amistosas/docs/Informe-Soluciones-Amistosas.pdf" TargetMode="External"/><Relationship Id="rId2" Type="http://schemas.openxmlformats.org/officeDocument/2006/relationships/hyperlink" Target="http://www.oas.org/es/cidh/soluciones_amistosas/docs/Informe-Soluciones-Amistosas.pdf" TargetMode="External"/><Relationship Id="rId1" Type="http://schemas.openxmlformats.org/officeDocument/2006/relationships/hyperlink" Target="http://www.oas.org/es/cidh/prensa/comunicados/2019/025.asp" TargetMode="External"/><Relationship Id="rId5" Type="http://schemas.openxmlformats.org/officeDocument/2006/relationships/hyperlink" Target="https://www.facebook.com/140861025933522/videos/vb.140861025933522/487467208413326/?type=2&amp;theater" TargetMode="External"/><Relationship Id="rId4" Type="http://schemas.openxmlformats.org/officeDocument/2006/relationships/hyperlink" Target="https://www.rree.go.cr/?sec=servicios&amp;cat=prensa&amp;cont=593&amp;id=43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6C479-FF55-48BC-94FF-7BA1FC34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8690</Words>
  <Characters>45366</Characters>
  <Application>Microsoft Office Word</Application>
  <DocSecurity>0</DocSecurity>
  <Lines>824</Lines>
  <Paragraphs>202</Paragraphs>
  <ScaleCrop>false</ScaleCrop>
  <LinksUpToDate>false</LinksUpToDate>
  <CharactersWithSpaces>53854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71/19</dc:title>
  <dc:creator/>
  <cp:lastModifiedBy/>
  <cp:revision>1</cp:revision>
  <dcterms:created xsi:type="dcterms:W3CDTF">2019-05-21T16:34:00Z</dcterms:created>
  <dcterms:modified xsi:type="dcterms:W3CDTF">2019-05-21T16:34:00Z</dcterms:modified>
</cp:coreProperties>
</file>