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3ECBFC3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75F3A">
                              <w:rPr>
                                <w:rFonts w:asciiTheme="majorHAnsi" w:hAnsiTheme="majorHAnsi" w:cs="Arial"/>
                                <w:b/>
                                <w:bCs/>
                                <w:color w:val="0D0D0D" w:themeColor="text1" w:themeTint="F2"/>
                                <w:sz w:val="36"/>
                                <w:szCs w:val="40"/>
                              </w:rPr>
                              <w:t>181</w:t>
                            </w:r>
                            <w:r w:rsidR="00322450" w:rsidRPr="004B7EB6">
                              <w:rPr>
                                <w:rFonts w:asciiTheme="majorHAnsi" w:hAnsiTheme="majorHAnsi" w:cs="Arial"/>
                                <w:b/>
                                <w:bCs/>
                                <w:color w:val="0D0D0D" w:themeColor="text1" w:themeTint="F2"/>
                                <w:sz w:val="36"/>
                                <w:szCs w:val="40"/>
                              </w:rPr>
                              <w:t>/</w:t>
                            </w:r>
                            <w:r w:rsidR="00D91448">
                              <w:rPr>
                                <w:rFonts w:asciiTheme="majorHAnsi" w:hAnsiTheme="majorHAnsi" w:cs="Arial"/>
                                <w:b/>
                                <w:bCs/>
                                <w:color w:val="0D0D0D" w:themeColor="text1" w:themeTint="F2"/>
                                <w:sz w:val="36"/>
                                <w:szCs w:val="40"/>
                              </w:rPr>
                              <w:t>19</w:t>
                            </w:r>
                          </w:p>
                          <w:p w14:paraId="2857F468" w14:textId="25B841D3"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D91448">
                              <w:rPr>
                                <w:rFonts w:asciiTheme="majorHAnsi" w:hAnsiTheme="majorHAnsi" w:cs="Arial"/>
                                <w:b/>
                                <w:bCs/>
                                <w:color w:val="0D0D0D" w:themeColor="text1" w:themeTint="F2"/>
                                <w:sz w:val="36"/>
                                <w:szCs w:val="40"/>
                              </w:rPr>
                              <w:t>686-08</w:t>
                            </w:r>
                          </w:p>
                          <w:p w14:paraId="51480B27" w14:textId="28C20A1B"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w:t>
                            </w:r>
                            <w:r w:rsidR="00D91448">
                              <w:rPr>
                                <w:rFonts w:asciiTheme="majorHAnsi" w:hAnsiTheme="majorHAnsi" w:cs="Arial"/>
                                <w:color w:val="0D0D0D" w:themeColor="text1" w:themeTint="F2"/>
                                <w:szCs w:val="22"/>
                              </w:rPr>
                              <w: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566449F1" w14:textId="77777777" w:rsidR="00D91448" w:rsidRPr="00D91448" w:rsidRDefault="00D91448" w:rsidP="00D91448">
                            <w:pPr>
                              <w:spacing w:line="276" w:lineRule="auto"/>
                              <w:rPr>
                                <w:rFonts w:asciiTheme="majorHAnsi" w:hAnsiTheme="majorHAnsi" w:cs="Arial"/>
                                <w:color w:val="0D0D0D" w:themeColor="text1" w:themeTint="F2"/>
                                <w:szCs w:val="22"/>
                              </w:rPr>
                            </w:pPr>
                            <w:r w:rsidRPr="00D91448">
                              <w:rPr>
                                <w:rFonts w:asciiTheme="majorHAnsi" w:hAnsiTheme="majorHAnsi" w:cs="Arial"/>
                                <w:color w:val="0D0D0D" w:themeColor="text1" w:themeTint="F2"/>
                                <w:szCs w:val="22"/>
                              </w:rPr>
                              <w:t>DILIO ARGUETA Y ARGUETA</w:t>
                            </w:r>
                          </w:p>
                          <w:p w14:paraId="67476ECA" w14:textId="60759052" w:rsidR="005B52B0" w:rsidRPr="000C4365" w:rsidRDefault="00D91448" w:rsidP="00D91448">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3ECBFC3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75F3A">
                        <w:rPr>
                          <w:rFonts w:asciiTheme="majorHAnsi" w:hAnsiTheme="majorHAnsi" w:cs="Arial"/>
                          <w:b/>
                          <w:bCs/>
                          <w:color w:val="0D0D0D" w:themeColor="text1" w:themeTint="F2"/>
                          <w:sz w:val="36"/>
                          <w:szCs w:val="40"/>
                        </w:rPr>
                        <w:t>181</w:t>
                      </w:r>
                      <w:r w:rsidR="00322450" w:rsidRPr="004B7EB6">
                        <w:rPr>
                          <w:rFonts w:asciiTheme="majorHAnsi" w:hAnsiTheme="majorHAnsi" w:cs="Arial"/>
                          <w:b/>
                          <w:bCs/>
                          <w:color w:val="0D0D0D" w:themeColor="text1" w:themeTint="F2"/>
                          <w:sz w:val="36"/>
                          <w:szCs w:val="40"/>
                        </w:rPr>
                        <w:t>/</w:t>
                      </w:r>
                      <w:r w:rsidR="00D91448">
                        <w:rPr>
                          <w:rFonts w:asciiTheme="majorHAnsi" w:hAnsiTheme="majorHAnsi" w:cs="Arial"/>
                          <w:b/>
                          <w:bCs/>
                          <w:color w:val="0D0D0D" w:themeColor="text1" w:themeTint="F2"/>
                          <w:sz w:val="36"/>
                          <w:szCs w:val="40"/>
                        </w:rPr>
                        <w:t>19</w:t>
                      </w:r>
                    </w:p>
                    <w:p w14:paraId="2857F468" w14:textId="25B841D3"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D91448">
                        <w:rPr>
                          <w:rFonts w:asciiTheme="majorHAnsi" w:hAnsiTheme="majorHAnsi" w:cs="Arial"/>
                          <w:b/>
                          <w:bCs/>
                          <w:color w:val="0D0D0D" w:themeColor="text1" w:themeTint="F2"/>
                          <w:sz w:val="36"/>
                          <w:szCs w:val="40"/>
                        </w:rPr>
                        <w:t>686-08</w:t>
                      </w:r>
                    </w:p>
                    <w:p w14:paraId="51480B27" w14:textId="28C20A1B"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w:t>
                      </w:r>
                      <w:r w:rsidR="00D91448">
                        <w:rPr>
                          <w:rFonts w:asciiTheme="majorHAnsi" w:hAnsiTheme="majorHAnsi" w:cs="Arial"/>
                          <w:color w:val="0D0D0D" w:themeColor="text1" w:themeTint="F2"/>
                          <w:szCs w:val="22"/>
                        </w:rPr>
                        <w: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566449F1" w14:textId="77777777" w:rsidR="00D91448" w:rsidRPr="00D91448" w:rsidRDefault="00D91448" w:rsidP="00D91448">
                      <w:pPr>
                        <w:spacing w:line="276" w:lineRule="auto"/>
                        <w:rPr>
                          <w:rFonts w:asciiTheme="majorHAnsi" w:hAnsiTheme="majorHAnsi" w:cs="Arial"/>
                          <w:color w:val="0D0D0D" w:themeColor="text1" w:themeTint="F2"/>
                          <w:szCs w:val="22"/>
                        </w:rPr>
                      </w:pPr>
                      <w:r w:rsidRPr="00D91448">
                        <w:rPr>
                          <w:rFonts w:asciiTheme="majorHAnsi" w:hAnsiTheme="majorHAnsi" w:cs="Arial"/>
                          <w:color w:val="0D0D0D" w:themeColor="text1" w:themeTint="F2"/>
                          <w:szCs w:val="22"/>
                        </w:rPr>
                        <w:t>DILIO ARGUETA Y ARGUETA</w:t>
                      </w:r>
                    </w:p>
                    <w:p w14:paraId="67476ECA" w14:textId="60759052" w:rsidR="005B52B0" w:rsidRPr="000C4365" w:rsidRDefault="00D91448" w:rsidP="00D91448">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GUATEMALA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5A26485D" w:rsidR="00627C9F" w:rsidRPr="00E75F3A" w:rsidRDefault="00E75F3A" w:rsidP="009E566A">
                            <w:pPr>
                              <w:jc w:val="right"/>
                              <w:rPr>
                                <w:rFonts w:asciiTheme="minorHAnsi" w:hAnsiTheme="minorHAnsi"/>
                                <w:color w:val="FFFFFF" w:themeColor="background1"/>
                                <w:sz w:val="22"/>
                                <w:lang w:val="pt-BR"/>
                              </w:rPr>
                            </w:pPr>
                            <w:r w:rsidRPr="00E75F3A">
                              <w:rPr>
                                <w:rFonts w:asciiTheme="minorHAnsi" w:hAnsiTheme="minorHAnsi"/>
                                <w:color w:val="FFFFFF" w:themeColor="background1"/>
                                <w:sz w:val="22"/>
                                <w:lang w:val="pt-BR"/>
                              </w:rPr>
                              <w:t>OEA/</w:t>
                            </w:r>
                            <w:proofErr w:type="spellStart"/>
                            <w:proofErr w:type="gramStart"/>
                            <w:r w:rsidRPr="00E75F3A">
                              <w:rPr>
                                <w:rFonts w:asciiTheme="minorHAnsi" w:hAnsiTheme="minorHAnsi"/>
                                <w:color w:val="FFFFFF" w:themeColor="background1"/>
                                <w:sz w:val="22"/>
                                <w:lang w:val="pt-BR"/>
                              </w:rPr>
                              <w:t>Ser.</w:t>
                            </w:r>
                            <w:proofErr w:type="gramEnd"/>
                            <w:r w:rsidRPr="00E75F3A">
                              <w:rPr>
                                <w:rFonts w:asciiTheme="minorHAnsi" w:hAnsiTheme="minorHAnsi"/>
                                <w:color w:val="FFFFFF" w:themeColor="background1"/>
                                <w:sz w:val="22"/>
                                <w:lang w:val="pt-BR"/>
                              </w:rPr>
                              <w:t>L</w:t>
                            </w:r>
                            <w:proofErr w:type="spellEnd"/>
                            <w:r w:rsidRPr="00E75F3A">
                              <w:rPr>
                                <w:rFonts w:asciiTheme="minorHAnsi" w:hAnsiTheme="minorHAnsi"/>
                                <w:color w:val="FFFFFF" w:themeColor="background1"/>
                                <w:sz w:val="22"/>
                                <w:lang w:val="pt-BR"/>
                              </w:rPr>
                              <w:t>/V/II.</w:t>
                            </w:r>
                          </w:p>
                          <w:p w14:paraId="2B86BB36" w14:textId="2A5286AD" w:rsidR="00627C9F" w:rsidRPr="00E75F3A" w:rsidRDefault="00CA6577" w:rsidP="009E566A">
                            <w:pPr>
                              <w:jc w:val="right"/>
                              <w:rPr>
                                <w:rFonts w:asciiTheme="minorHAnsi" w:hAnsiTheme="minorHAnsi"/>
                                <w:color w:val="FFFFFF" w:themeColor="background1"/>
                                <w:sz w:val="22"/>
                                <w:lang w:val="pt-BR"/>
                              </w:rPr>
                            </w:pPr>
                            <w:r w:rsidRPr="00E75F3A">
                              <w:rPr>
                                <w:rFonts w:asciiTheme="minorHAnsi" w:hAnsiTheme="minorHAnsi"/>
                                <w:color w:val="FFFFFF" w:themeColor="background1"/>
                                <w:sz w:val="22"/>
                                <w:lang w:val="pt-BR"/>
                              </w:rPr>
                              <w:t xml:space="preserve">Doc. </w:t>
                            </w:r>
                            <w:r w:rsidR="00E75F3A" w:rsidRPr="00E75F3A">
                              <w:rPr>
                                <w:rFonts w:asciiTheme="minorHAnsi" w:hAnsiTheme="minorHAnsi"/>
                                <w:color w:val="FFFFFF" w:themeColor="background1"/>
                                <w:sz w:val="22"/>
                                <w:lang w:val="pt-BR"/>
                              </w:rPr>
                              <w:t>203</w:t>
                            </w:r>
                          </w:p>
                          <w:p w14:paraId="6AC8D657" w14:textId="4A4A84A5" w:rsidR="00627C9F" w:rsidRPr="00E75F3A" w:rsidRDefault="00022CF5" w:rsidP="009E566A">
                            <w:pPr>
                              <w:jc w:val="right"/>
                              <w:rPr>
                                <w:rFonts w:asciiTheme="minorHAnsi" w:hAnsiTheme="minorHAnsi"/>
                                <w:color w:val="FFFFFF" w:themeColor="background1"/>
                                <w:sz w:val="22"/>
                              </w:rPr>
                            </w:pPr>
                            <w:r w:rsidRPr="00E75F3A">
                              <w:rPr>
                                <w:rFonts w:asciiTheme="minorHAnsi" w:hAnsiTheme="minorHAnsi"/>
                                <w:color w:val="FFFFFF" w:themeColor="background1"/>
                                <w:sz w:val="22"/>
                                <w:lang w:val="pt-BR"/>
                              </w:rPr>
                              <w:t xml:space="preserve"> </w:t>
                            </w:r>
                            <w:r w:rsidR="00E75F3A" w:rsidRPr="00E75F3A">
                              <w:rPr>
                                <w:rFonts w:asciiTheme="minorHAnsi" w:hAnsiTheme="minorHAnsi"/>
                                <w:color w:val="FFFFFF" w:themeColor="background1"/>
                                <w:sz w:val="22"/>
                              </w:rPr>
                              <w:t>December 5</w:t>
                            </w:r>
                            <w:r w:rsidR="000C4365" w:rsidRPr="00E75F3A">
                              <w:rPr>
                                <w:rFonts w:asciiTheme="minorHAnsi" w:hAnsiTheme="minorHAnsi"/>
                                <w:color w:val="FFFFFF" w:themeColor="background1"/>
                                <w:sz w:val="22"/>
                              </w:rPr>
                              <w:t xml:space="preserve">, </w:t>
                            </w:r>
                            <w:r w:rsidR="00F42B71" w:rsidRPr="00E75F3A">
                              <w:rPr>
                                <w:rFonts w:asciiTheme="minorHAnsi" w:hAnsiTheme="minorHAnsi"/>
                                <w:color w:val="FFFFFF" w:themeColor="background1"/>
                                <w:sz w:val="22"/>
                              </w:rPr>
                              <w:t>2</w:t>
                            </w:r>
                            <w:r w:rsidR="00D91448" w:rsidRPr="00E75F3A">
                              <w:rPr>
                                <w:rFonts w:asciiTheme="minorHAnsi" w:hAnsiTheme="minorHAnsi"/>
                                <w:color w:val="FFFFFF" w:themeColor="background1"/>
                                <w:sz w:val="22"/>
                              </w:rPr>
                              <w:t>019</w:t>
                            </w:r>
                          </w:p>
                          <w:p w14:paraId="35D3ABA3" w14:textId="4D5A616E" w:rsidR="00627C9F" w:rsidRPr="004B7EB6" w:rsidRDefault="00627C9F" w:rsidP="009E566A">
                            <w:pPr>
                              <w:jc w:val="right"/>
                              <w:rPr>
                                <w:rFonts w:asciiTheme="minorHAnsi" w:hAnsiTheme="minorHAnsi"/>
                                <w:color w:val="FFFFFF" w:themeColor="background1"/>
                                <w:sz w:val="22"/>
                              </w:rPr>
                            </w:pPr>
                            <w:r w:rsidRPr="00E75F3A">
                              <w:rPr>
                                <w:rFonts w:asciiTheme="minorHAnsi" w:hAnsiTheme="minorHAnsi"/>
                                <w:color w:val="FFFFFF" w:themeColor="background1"/>
                                <w:sz w:val="22"/>
                              </w:rPr>
                              <w:t>Original:</w:t>
                            </w:r>
                            <w:r w:rsidR="002C1641" w:rsidRPr="00E75F3A">
                              <w:rPr>
                                <w:rFonts w:asciiTheme="minorHAnsi" w:hAnsiTheme="minorHAnsi"/>
                                <w:color w:val="FFFFFF" w:themeColor="background1"/>
                                <w:sz w:val="22"/>
                              </w:rPr>
                              <w:t xml:space="preserve"> </w:t>
                            </w:r>
                            <w:r w:rsidR="00F42B71" w:rsidRPr="00E75F3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5A26485D" w:rsidR="00627C9F" w:rsidRPr="00E75F3A" w:rsidRDefault="00E75F3A" w:rsidP="009E566A">
                      <w:pPr>
                        <w:jc w:val="right"/>
                        <w:rPr>
                          <w:rFonts w:asciiTheme="minorHAnsi" w:hAnsiTheme="minorHAnsi"/>
                          <w:color w:val="FFFFFF" w:themeColor="background1"/>
                          <w:sz w:val="22"/>
                          <w:lang w:val="pt-BR"/>
                        </w:rPr>
                      </w:pPr>
                      <w:r w:rsidRPr="00E75F3A">
                        <w:rPr>
                          <w:rFonts w:asciiTheme="minorHAnsi" w:hAnsiTheme="minorHAnsi"/>
                          <w:color w:val="FFFFFF" w:themeColor="background1"/>
                          <w:sz w:val="22"/>
                          <w:lang w:val="pt-BR"/>
                        </w:rPr>
                        <w:t>OEA/</w:t>
                      </w:r>
                      <w:proofErr w:type="spellStart"/>
                      <w:proofErr w:type="gramStart"/>
                      <w:r w:rsidRPr="00E75F3A">
                        <w:rPr>
                          <w:rFonts w:asciiTheme="minorHAnsi" w:hAnsiTheme="minorHAnsi"/>
                          <w:color w:val="FFFFFF" w:themeColor="background1"/>
                          <w:sz w:val="22"/>
                          <w:lang w:val="pt-BR"/>
                        </w:rPr>
                        <w:t>Ser.</w:t>
                      </w:r>
                      <w:proofErr w:type="gramEnd"/>
                      <w:r w:rsidRPr="00E75F3A">
                        <w:rPr>
                          <w:rFonts w:asciiTheme="minorHAnsi" w:hAnsiTheme="minorHAnsi"/>
                          <w:color w:val="FFFFFF" w:themeColor="background1"/>
                          <w:sz w:val="22"/>
                          <w:lang w:val="pt-BR"/>
                        </w:rPr>
                        <w:t>L</w:t>
                      </w:r>
                      <w:proofErr w:type="spellEnd"/>
                      <w:r w:rsidRPr="00E75F3A">
                        <w:rPr>
                          <w:rFonts w:asciiTheme="minorHAnsi" w:hAnsiTheme="minorHAnsi"/>
                          <w:color w:val="FFFFFF" w:themeColor="background1"/>
                          <w:sz w:val="22"/>
                          <w:lang w:val="pt-BR"/>
                        </w:rPr>
                        <w:t>/V/II.</w:t>
                      </w:r>
                    </w:p>
                    <w:p w14:paraId="2B86BB36" w14:textId="2A5286AD" w:rsidR="00627C9F" w:rsidRPr="00E75F3A" w:rsidRDefault="00CA6577" w:rsidP="009E566A">
                      <w:pPr>
                        <w:jc w:val="right"/>
                        <w:rPr>
                          <w:rFonts w:asciiTheme="minorHAnsi" w:hAnsiTheme="minorHAnsi"/>
                          <w:color w:val="FFFFFF" w:themeColor="background1"/>
                          <w:sz w:val="22"/>
                          <w:lang w:val="pt-BR"/>
                        </w:rPr>
                      </w:pPr>
                      <w:r w:rsidRPr="00E75F3A">
                        <w:rPr>
                          <w:rFonts w:asciiTheme="minorHAnsi" w:hAnsiTheme="minorHAnsi"/>
                          <w:color w:val="FFFFFF" w:themeColor="background1"/>
                          <w:sz w:val="22"/>
                          <w:lang w:val="pt-BR"/>
                        </w:rPr>
                        <w:t xml:space="preserve">Doc. </w:t>
                      </w:r>
                      <w:r w:rsidR="00E75F3A" w:rsidRPr="00E75F3A">
                        <w:rPr>
                          <w:rFonts w:asciiTheme="minorHAnsi" w:hAnsiTheme="minorHAnsi"/>
                          <w:color w:val="FFFFFF" w:themeColor="background1"/>
                          <w:sz w:val="22"/>
                          <w:lang w:val="pt-BR"/>
                        </w:rPr>
                        <w:t>203</w:t>
                      </w:r>
                    </w:p>
                    <w:p w14:paraId="6AC8D657" w14:textId="4A4A84A5" w:rsidR="00627C9F" w:rsidRPr="00E75F3A" w:rsidRDefault="00022CF5" w:rsidP="009E566A">
                      <w:pPr>
                        <w:jc w:val="right"/>
                        <w:rPr>
                          <w:rFonts w:asciiTheme="minorHAnsi" w:hAnsiTheme="minorHAnsi"/>
                          <w:color w:val="FFFFFF" w:themeColor="background1"/>
                          <w:sz w:val="22"/>
                        </w:rPr>
                      </w:pPr>
                      <w:r w:rsidRPr="00E75F3A">
                        <w:rPr>
                          <w:rFonts w:asciiTheme="minorHAnsi" w:hAnsiTheme="minorHAnsi"/>
                          <w:color w:val="FFFFFF" w:themeColor="background1"/>
                          <w:sz w:val="22"/>
                          <w:lang w:val="pt-BR"/>
                        </w:rPr>
                        <w:t xml:space="preserve"> </w:t>
                      </w:r>
                      <w:r w:rsidR="00E75F3A" w:rsidRPr="00E75F3A">
                        <w:rPr>
                          <w:rFonts w:asciiTheme="minorHAnsi" w:hAnsiTheme="minorHAnsi"/>
                          <w:color w:val="FFFFFF" w:themeColor="background1"/>
                          <w:sz w:val="22"/>
                        </w:rPr>
                        <w:t>December 5</w:t>
                      </w:r>
                      <w:r w:rsidR="000C4365" w:rsidRPr="00E75F3A">
                        <w:rPr>
                          <w:rFonts w:asciiTheme="minorHAnsi" w:hAnsiTheme="minorHAnsi"/>
                          <w:color w:val="FFFFFF" w:themeColor="background1"/>
                          <w:sz w:val="22"/>
                        </w:rPr>
                        <w:t xml:space="preserve">, </w:t>
                      </w:r>
                      <w:r w:rsidR="00F42B71" w:rsidRPr="00E75F3A">
                        <w:rPr>
                          <w:rFonts w:asciiTheme="minorHAnsi" w:hAnsiTheme="minorHAnsi"/>
                          <w:color w:val="FFFFFF" w:themeColor="background1"/>
                          <w:sz w:val="22"/>
                        </w:rPr>
                        <w:t>2</w:t>
                      </w:r>
                      <w:r w:rsidR="00D91448" w:rsidRPr="00E75F3A">
                        <w:rPr>
                          <w:rFonts w:asciiTheme="minorHAnsi" w:hAnsiTheme="minorHAnsi"/>
                          <w:color w:val="FFFFFF" w:themeColor="background1"/>
                          <w:sz w:val="22"/>
                        </w:rPr>
                        <w:t>019</w:t>
                      </w:r>
                    </w:p>
                    <w:p w14:paraId="35D3ABA3" w14:textId="4D5A616E" w:rsidR="00627C9F" w:rsidRPr="004B7EB6" w:rsidRDefault="00627C9F" w:rsidP="009E566A">
                      <w:pPr>
                        <w:jc w:val="right"/>
                        <w:rPr>
                          <w:rFonts w:asciiTheme="minorHAnsi" w:hAnsiTheme="minorHAnsi"/>
                          <w:color w:val="FFFFFF" w:themeColor="background1"/>
                          <w:sz w:val="22"/>
                        </w:rPr>
                      </w:pPr>
                      <w:r w:rsidRPr="00E75F3A">
                        <w:rPr>
                          <w:rFonts w:asciiTheme="minorHAnsi" w:hAnsiTheme="minorHAnsi"/>
                          <w:color w:val="FFFFFF" w:themeColor="background1"/>
                          <w:sz w:val="22"/>
                        </w:rPr>
                        <w:t>Original:</w:t>
                      </w:r>
                      <w:r w:rsidR="002C1641" w:rsidRPr="00E75F3A">
                        <w:rPr>
                          <w:rFonts w:asciiTheme="minorHAnsi" w:hAnsiTheme="minorHAnsi"/>
                          <w:color w:val="FFFFFF" w:themeColor="background1"/>
                          <w:sz w:val="22"/>
                        </w:rPr>
                        <w:t xml:space="preserve"> </w:t>
                      </w:r>
                      <w:r w:rsidR="00F42B71" w:rsidRPr="00E75F3A">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89A63" w14:textId="7B24A732" w:rsidR="00092F32" w:rsidRDefault="00B167E9" w:rsidP="004165C2">
                            <w:pPr>
                              <w:tabs>
                                <w:tab w:val="center" w:pos="5400"/>
                              </w:tabs>
                              <w:suppressAutoHyphens/>
                              <w:spacing w:before="60"/>
                              <w:rPr>
                                <w:rFonts w:asciiTheme="majorHAnsi" w:hAnsiTheme="majorHAnsi" w:cs="Univers"/>
                                <w:color w:val="0D0D0D" w:themeColor="text1" w:themeTint="F2"/>
                                <w:sz w:val="20"/>
                                <w:szCs w:val="22"/>
                              </w:rPr>
                            </w:pPr>
                            <w:r w:rsidRPr="009B306D">
                              <w:rPr>
                                <w:rFonts w:asciiTheme="majorHAnsi" w:hAnsiTheme="majorHAnsi"/>
                                <w:color w:val="0D0D0D" w:themeColor="text1" w:themeTint="F2"/>
                                <w:sz w:val="20"/>
                                <w:szCs w:val="22"/>
                              </w:rPr>
                              <w:t xml:space="preserve">Approved by the Commission on </w:t>
                            </w:r>
                            <w:r w:rsidR="009F469B">
                              <w:rPr>
                                <w:rFonts w:asciiTheme="majorHAnsi" w:hAnsiTheme="majorHAnsi"/>
                                <w:color w:val="0D0D0D" w:themeColor="text1" w:themeTint="F2"/>
                                <w:sz w:val="20"/>
                                <w:szCs w:val="22"/>
                              </w:rPr>
                              <w:t>December 5</w:t>
                            </w:r>
                            <w:r w:rsidR="000C4365" w:rsidRPr="009B306D">
                              <w:rPr>
                                <w:rFonts w:asciiTheme="majorHAnsi" w:hAnsiTheme="majorHAnsi"/>
                                <w:color w:val="0D0D0D" w:themeColor="text1" w:themeTint="F2"/>
                                <w:sz w:val="20"/>
                                <w:szCs w:val="22"/>
                              </w:rPr>
                              <w:t>, 20</w:t>
                            </w:r>
                            <w:r w:rsidR="00D91448">
                              <w:rPr>
                                <w:rFonts w:asciiTheme="majorHAnsi" w:hAnsiTheme="majorHAnsi"/>
                                <w:color w:val="0D0D0D" w:themeColor="text1" w:themeTint="F2"/>
                                <w:sz w:val="20"/>
                                <w:szCs w:val="22"/>
                              </w:rPr>
                              <w:t>19</w:t>
                            </w:r>
                            <w:r w:rsidR="009F469B">
                              <w:rPr>
                                <w:rFonts w:asciiTheme="majorHAnsi" w:hAnsiTheme="majorHAnsi"/>
                                <w:color w:val="0D0D0D" w:themeColor="text1" w:themeTint="F2"/>
                                <w:sz w:val="20"/>
                                <w:szCs w:val="22"/>
                              </w:rPr>
                              <w:t xml:space="preserve">, in San Salvador, </w:t>
                            </w:r>
                            <w:r w:rsidR="009F469B">
                              <w:rPr>
                                <w:rFonts w:asciiTheme="majorHAnsi" w:hAnsiTheme="majorHAnsi"/>
                                <w:color w:val="0D0D0D" w:themeColor="text1" w:themeTint="F2"/>
                                <w:sz w:val="20"/>
                                <w:szCs w:val="22"/>
                              </w:rPr>
                              <w:t>El Salvador</w:t>
                            </w:r>
                            <w:r w:rsidR="004B7EB6" w:rsidRPr="009B306D">
                              <w:rPr>
                                <w:rFonts w:asciiTheme="majorHAnsi" w:hAnsiTheme="majorHAnsi"/>
                                <w:color w:val="0D0D0D" w:themeColor="text1" w:themeTint="F2"/>
                                <w:sz w:val="2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1AA89A63" w14:textId="7B24A732" w:rsidR="00092F32" w:rsidRDefault="00B167E9" w:rsidP="004165C2">
                      <w:pPr>
                        <w:tabs>
                          <w:tab w:val="center" w:pos="5400"/>
                        </w:tabs>
                        <w:suppressAutoHyphens/>
                        <w:spacing w:before="60"/>
                        <w:rPr>
                          <w:rFonts w:asciiTheme="majorHAnsi" w:hAnsiTheme="majorHAnsi" w:cs="Univers"/>
                          <w:color w:val="0D0D0D" w:themeColor="text1" w:themeTint="F2"/>
                          <w:sz w:val="20"/>
                          <w:szCs w:val="22"/>
                        </w:rPr>
                      </w:pPr>
                      <w:r w:rsidRPr="009B306D">
                        <w:rPr>
                          <w:rFonts w:asciiTheme="majorHAnsi" w:hAnsiTheme="majorHAnsi"/>
                          <w:color w:val="0D0D0D" w:themeColor="text1" w:themeTint="F2"/>
                          <w:sz w:val="20"/>
                          <w:szCs w:val="22"/>
                        </w:rPr>
                        <w:t xml:space="preserve">Approved by the Commission on </w:t>
                      </w:r>
                      <w:r w:rsidR="009F469B">
                        <w:rPr>
                          <w:rFonts w:asciiTheme="majorHAnsi" w:hAnsiTheme="majorHAnsi"/>
                          <w:color w:val="0D0D0D" w:themeColor="text1" w:themeTint="F2"/>
                          <w:sz w:val="20"/>
                          <w:szCs w:val="22"/>
                        </w:rPr>
                        <w:t>December 5</w:t>
                      </w:r>
                      <w:r w:rsidR="000C4365" w:rsidRPr="009B306D">
                        <w:rPr>
                          <w:rFonts w:asciiTheme="majorHAnsi" w:hAnsiTheme="majorHAnsi"/>
                          <w:color w:val="0D0D0D" w:themeColor="text1" w:themeTint="F2"/>
                          <w:sz w:val="20"/>
                          <w:szCs w:val="22"/>
                        </w:rPr>
                        <w:t>, 20</w:t>
                      </w:r>
                      <w:r w:rsidR="00D91448">
                        <w:rPr>
                          <w:rFonts w:asciiTheme="majorHAnsi" w:hAnsiTheme="majorHAnsi"/>
                          <w:color w:val="0D0D0D" w:themeColor="text1" w:themeTint="F2"/>
                          <w:sz w:val="20"/>
                          <w:szCs w:val="22"/>
                        </w:rPr>
                        <w:t>19</w:t>
                      </w:r>
                      <w:r w:rsidR="009F469B">
                        <w:rPr>
                          <w:rFonts w:asciiTheme="majorHAnsi" w:hAnsiTheme="majorHAnsi"/>
                          <w:color w:val="0D0D0D" w:themeColor="text1" w:themeTint="F2"/>
                          <w:sz w:val="20"/>
                          <w:szCs w:val="22"/>
                        </w:rPr>
                        <w:t xml:space="preserve">, in San Salvador, </w:t>
                      </w:r>
                      <w:r w:rsidR="009F469B">
                        <w:rPr>
                          <w:rFonts w:asciiTheme="majorHAnsi" w:hAnsiTheme="majorHAnsi"/>
                          <w:color w:val="0D0D0D" w:themeColor="text1" w:themeTint="F2"/>
                          <w:sz w:val="20"/>
                          <w:szCs w:val="22"/>
                        </w:rPr>
                        <w:t>El Salvador</w:t>
                      </w:r>
                      <w:r w:rsidR="004B7EB6" w:rsidRPr="009B306D">
                        <w:rPr>
                          <w:rFonts w:asciiTheme="majorHAnsi" w:hAnsiTheme="majorHAnsi"/>
                          <w:color w:val="0D0D0D" w:themeColor="text1" w:themeTint="F2"/>
                          <w:sz w:val="20"/>
                          <w:szCs w:val="22"/>
                        </w:rPr>
                        <w:br/>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53C0336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F469B">
                              <w:rPr>
                                <w:rFonts w:asciiTheme="majorHAnsi" w:hAnsiTheme="majorHAnsi"/>
                                <w:color w:val="595959" w:themeColor="text1" w:themeTint="A6"/>
                                <w:sz w:val="18"/>
                              </w:rPr>
                              <w:t>181</w:t>
                            </w:r>
                            <w:r w:rsidR="00022CF5">
                              <w:rPr>
                                <w:rFonts w:asciiTheme="majorHAnsi" w:hAnsiTheme="majorHAnsi"/>
                                <w:color w:val="595959" w:themeColor="text1" w:themeTint="A6"/>
                                <w:sz w:val="18"/>
                              </w:rPr>
                              <w:t>/</w:t>
                            </w:r>
                            <w:r w:rsidR="00D91448">
                              <w:rPr>
                                <w:rFonts w:asciiTheme="majorHAnsi" w:hAnsiTheme="majorHAnsi"/>
                                <w:color w:val="595959" w:themeColor="text1" w:themeTint="A6"/>
                                <w:sz w:val="18"/>
                              </w:rPr>
                              <w:t xml:space="preserve">19. </w:t>
                            </w:r>
                            <w:proofErr w:type="gramStart"/>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spellStart"/>
                            <w:r w:rsidR="00D91448">
                              <w:rPr>
                                <w:rFonts w:asciiTheme="majorHAnsi" w:hAnsiTheme="majorHAnsi"/>
                                <w:color w:val="595959" w:themeColor="text1" w:themeTint="A6"/>
                                <w:sz w:val="18"/>
                              </w:rPr>
                              <w:t>Dilio</w:t>
                            </w:r>
                            <w:proofErr w:type="spellEnd"/>
                            <w:r w:rsidR="00D91448">
                              <w:rPr>
                                <w:rFonts w:asciiTheme="majorHAnsi" w:hAnsiTheme="majorHAnsi"/>
                                <w:color w:val="595959" w:themeColor="text1" w:themeTint="A6"/>
                                <w:sz w:val="18"/>
                              </w:rPr>
                              <w:t xml:space="preserve"> Argueta y Argueta</w:t>
                            </w:r>
                            <w:r w:rsidRPr="003C32BC">
                              <w:rPr>
                                <w:rFonts w:asciiTheme="majorHAnsi" w:hAnsiTheme="majorHAnsi"/>
                                <w:color w:val="595959" w:themeColor="text1" w:themeTint="A6"/>
                                <w:sz w:val="18"/>
                              </w:rPr>
                              <w:t xml:space="preserve">. </w:t>
                            </w:r>
                            <w:r w:rsidR="00D91448">
                              <w:rPr>
                                <w:rFonts w:asciiTheme="majorHAnsi" w:hAnsiTheme="majorHAnsi"/>
                                <w:color w:val="595959" w:themeColor="text1" w:themeTint="A6"/>
                                <w:sz w:val="18"/>
                              </w:rPr>
                              <w:t>Guatemala</w:t>
                            </w:r>
                            <w:r w:rsidR="00022CF5">
                              <w:rPr>
                                <w:rFonts w:asciiTheme="majorHAnsi" w:hAnsiTheme="majorHAnsi"/>
                                <w:color w:val="595959" w:themeColor="text1" w:themeTint="A6"/>
                                <w:sz w:val="18"/>
                              </w:rPr>
                              <w:t xml:space="preserve">. </w:t>
                            </w:r>
                            <w:r w:rsidR="009F469B">
                              <w:rPr>
                                <w:rFonts w:asciiTheme="majorHAnsi" w:hAnsiTheme="majorHAnsi"/>
                                <w:color w:val="595959" w:themeColor="text1" w:themeTint="A6"/>
                                <w:sz w:val="18"/>
                              </w:rPr>
                              <w:t>December 5,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53C0336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F469B">
                        <w:rPr>
                          <w:rFonts w:asciiTheme="majorHAnsi" w:hAnsiTheme="majorHAnsi"/>
                          <w:color w:val="595959" w:themeColor="text1" w:themeTint="A6"/>
                          <w:sz w:val="18"/>
                        </w:rPr>
                        <w:t>181</w:t>
                      </w:r>
                      <w:r w:rsidR="00022CF5">
                        <w:rPr>
                          <w:rFonts w:asciiTheme="majorHAnsi" w:hAnsiTheme="majorHAnsi"/>
                          <w:color w:val="595959" w:themeColor="text1" w:themeTint="A6"/>
                          <w:sz w:val="18"/>
                        </w:rPr>
                        <w:t>/</w:t>
                      </w:r>
                      <w:r w:rsidR="00D91448">
                        <w:rPr>
                          <w:rFonts w:asciiTheme="majorHAnsi" w:hAnsiTheme="majorHAnsi"/>
                          <w:color w:val="595959" w:themeColor="text1" w:themeTint="A6"/>
                          <w:sz w:val="18"/>
                        </w:rPr>
                        <w:t xml:space="preserve">19. </w:t>
                      </w:r>
                      <w:proofErr w:type="gramStart"/>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spellStart"/>
                      <w:r w:rsidR="00D91448">
                        <w:rPr>
                          <w:rFonts w:asciiTheme="majorHAnsi" w:hAnsiTheme="majorHAnsi"/>
                          <w:color w:val="595959" w:themeColor="text1" w:themeTint="A6"/>
                          <w:sz w:val="18"/>
                        </w:rPr>
                        <w:t>Dilio</w:t>
                      </w:r>
                      <w:proofErr w:type="spellEnd"/>
                      <w:r w:rsidR="00D91448">
                        <w:rPr>
                          <w:rFonts w:asciiTheme="majorHAnsi" w:hAnsiTheme="majorHAnsi"/>
                          <w:color w:val="595959" w:themeColor="text1" w:themeTint="A6"/>
                          <w:sz w:val="18"/>
                        </w:rPr>
                        <w:t xml:space="preserve"> Argueta y Argueta</w:t>
                      </w:r>
                      <w:r w:rsidRPr="003C32BC">
                        <w:rPr>
                          <w:rFonts w:asciiTheme="majorHAnsi" w:hAnsiTheme="majorHAnsi"/>
                          <w:color w:val="595959" w:themeColor="text1" w:themeTint="A6"/>
                          <w:sz w:val="18"/>
                        </w:rPr>
                        <w:t xml:space="preserve">. </w:t>
                      </w:r>
                      <w:r w:rsidR="00D91448">
                        <w:rPr>
                          <w:rFonts w:asciiTheme="majorHAnsi" w:hAnsiTheme="majorHAnsi"/>
                          <w:color w:val="595959" w:themeColor="text1" w:themeTint="A6"/>
                          <w:sz w:val="18"/>
                        </w:rPr>
                        <w:t>Guatemala</w:t>
                      </w:r>
                      <w:r w:rsidR="00022CF5">
                        <w:rPr>
                          <w:rFonts w:asciiTheme="majorHAnsi" w:hAnsiTheme="majorHAnsi"/>
                          <w:color w:val="595959" w:themeColor="text1" w:themeTint="A6"/>
                          <w:sz w:val="18"/>
                        </w:rPr>
                        <w:t xml:space="preserve">. </w:t>
                      </w:r>
                      <w:r w:rsidR="009F469B">
                        <w:rPr>
                          <w:rFonts w:asciiTheme="majorHAnsi" w:hAnsiTheme="majorHAnsi"/>
                          <w:color w:val="595959" w:themeColor="text1" w:themeTint="A6"/>
                          <w:sz w:val="18"/>
                        </w:rPr>
                        <w:t>December 5, 2019</w:t>
                      </w:r>
                      <w:r w:rsidR="00F621C3">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Look w:val="04A0" w:firstRow="1" w:lastRow="0" w:firstColumn="1" w:lastColumn="0" w:noHBand="0" w:noVBand="1"/>
      </w:tblPr>
      <w:tblGrid>
        <w:gridCol w:w="2790"/>
        <w:gridCol w:w="6570"/>
      </w:tblGrid>
      <w:tr w:rsidR="00261E08" w:rsidRPr="003A5566" w14:paraId="0D1CC739" w14:textId="77777777" w:rsidTr="00571C7E">
        <w:tc>
          <w:tcPr>
            <w:tcW w:w="2790" w:type="dxa"/>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538A4861" w:rsidR="00261E08" w:rsidRPr="003A5566" w:rsidRDefault="00D91448" w:rsidP="009163FC">
            <w:pPr>
              <w:jc w:val="both"/>
              <w:rPr>
                <w:rFonts w:asciiTheme="majorHAnsi" w:hAnsiTheme="majorHAnsi"/>
                <w:bCs/>
                <w:sz w:val="19"/>
                <w:szCs w:val="19"/>
              </w:rPr>
            </w:pPr>
            <w:r>
              <w:rPr>
                <w:rFonts w:asciiTheme="majorHAnsi" w:hAnsiTheme="majorHAnsi"/>
                <w:sz w:val="19"/>
                <w:szCs w:val="19"/>
              </w:rPr>
              <w:t>Dilio Argueta y Argueta</w:t>
            </w:r>
          </w:p>
        </w:tc>
      </w:tr>
      <w:tr w:rsidR="00261E08" w:rsidRPr="003A5566" w14:paraId="4A730984" w14:textId="77777777" w:rsidTr="00571C7E">
        <w:tc>
          <w:tcPr>
            <w:tcW w:w="2790" w:type="dxa"/>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7B079A0F" w:rsidR="00261E08" w:rsidRPr="003A5566" w:rsidRDefault="00D91448" w:rsidP="009163FC">
            <w:pPr>
              <w:jc w:val="both"/>
              <w:rPr>
                <w:rFonts w:asciiTheme="majorHAnsi" w:hAnsiTheme="majorHAnsi"/>
                <w:bCs/>
                <w:sz w:val="19"/>
                <w:szCs w:val="19"/>
              </w:rPr>
            </w:pPr>
            <w:r>
              <w:rPr>
                <w:rFonts w:asciiTheme="majorHAnsi" w:hAnsiTheme="majorHAnsi"/>
                <w:sz w:val="19"/>
                <w:szCs w:val="19"/>
              </w:rPr>
              <w:t>Dilio Argueta y Argueta</w:t>
            </w:r>
          </w:p>
        </w:tc>
      </w:tr>
      <w:tr w:rsidR="00261E08" w:rsidRPr="003A5566" w14:paraId="03D81EE5" w14:textId="77777777" w:rsidTr="00571C7E">
        <w:tc>
          <w:tcPr>
            <w:tcW w:w="2790" w:type="dxa"/>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7EBBB09D" w:rsidR="00261E08" w:rsidRPr="003A5566" w:rsidRDefault="00D91448" w:rsidP="009163FC">
            <w:pPr>
              <w:jc w:val="both"/>
              <w:rPr>
                <w:rFonts w:asciiTheme="majorHAnsi" w:hAnsiTheme="majorHAnsi"/>
                <w:bCs/>
                <w:sz w:val="19"/>
                <w:szCs w:val="19"/>
              </w:rPr>
            </w:pPr>
            <w:r>
              <w:rPr>
                <w:rFonts w:asciiTheme="majorHAnsi" w:hAnsiTheme="majorHAnsi"/>
                <w:bCs/>
                <w:sz w:val="19"/>
                <w:szCs w:val="19"/>
              </w:rPr>
              <w:t>Guatemala</w:t>
            </w:r>
          </w:p>
        </w:tc>
      </w:tr>
      <w:tr w:rsidR="00261E08" w:rsidRPr="003A5566" w14:paraId="61049B38" w14:textId="77777777" w:rsidTr="00571C7E">
        <w:tc>
          <w:tcPr>
            <w:tcW w:w="2790" w:type="dxa"/>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7DEBCF76" w:rsidR="00261E08" w:rsidRPr="003A5566" w:rsidRDefault="00D91448" w:rsidP="00261E08">
            <w:pPr>
              <w:jc w:val="both"/>
              <w:rPr>
                <w:rFonts w:asciiTheme="majorHAnsi" w:hAnsiTheme="majorHAnsi"/>
                <w:bCs/>
                <w:sz w:val="19"/>
                <w:szCs w:val="19"/>
              </w:rPr>
            </w:pPr>
            <w:r>
              <w:rPr>
                <w:rFonts w:asciiTheme="majorHAnsi" w:hAnsiTheme="majorHAnsi"/>
                <w:sz w:val="19"/>
                <w:szCs w:val="19"/>
              </w:rPr>
              <w:t xml:space="preserve">Articles 9 (freedom from </w:t>
            </w:r>
            <w:r w:rsidRPr="00D91448">
              <w:rPr>
                <w:rFonts w:asciiTheme="majorHAnsi" w:hAnsiTheme="majorHAnsi"/>
                <w:i/>
                <w:iCs/>
                <w:sz w:val="19"/>
                <w:szCs w:val="19"/>
              </w:rPr>
              <w:t>ex post facto</w:t>
            </w:r>
            <w:r>
              <w:rPr>
                <w:rFonts w:asciiTheme="majorHAnsi" w:hAnsiTheme="majorHAnsi"/>
                <w:sz w:val="19"/>
                <w:szCs w:val="19"/>
              </w:rPr>
              <w:t xml:space="preserve"> laws), 24 (equal protection), and 25 (judicial protection) of the American Convention on Human Rights</w:t>
            </w:r>
            <w:r>
              <w:rPr>
                <w:rStyle w:val="FootnoteReference"/>
                <w:rFonts w:asciiTheme="majorHAnsi" w:hAnsiTheme="majorHAnsi"/>
                <w:sz w:val="19"/>
                <w:szCs w:val="19"/>
              </w:rPr>
              <w:footnoteReference w:id="2"/>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3"/>
      </w:r>
    </w:p>
    <w:tbl>
      <w:tblPr>
        <w:tblStyle w:val="TableGrid"/>
        <w:tblW w:w="9360" w:type="dxa"/>
        <w:tblInd w:w="108" w:type="dxa"/>
        <w:tblLook w:val="04A0" w:firstRow="1" w:lastRow="0" w:firstColumn="1" w:lastColumn="0" w:noHBand="0" w:noVBand="1"/>
      </w:tblPr>
      <w:tblGrid>
        <w:gridCol w:w="2790"/>
        <w:gridCol w:w="6570"/>
      </w:tblGrid>
      <w:tr w:rsidR="00261E08" w:rsidRPr="003A5566" w14:paraId="6DA75E12" w14:textId="77777777" w:rsidTr="00571C7E">
        <w:tc>
          <w:tcPr>
            <w:tcW w:w="2790" w:type="dxa"/>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518630D9" w:rsidR="00261E08" w:rsidRPr="003A5566" w:rsidRDefault="00D91448" w:rsidP="009163FC">
            <w:pPr>
              <w:jc w:val="both"/>
              <w:rPr>
                <w:rFonts w:asciiTheme="majorHAnsi" w:hAnsiTheme="majorHAnsi"/>
                <w:bCs/>
                <w:sz w:val="19"/>
                <w:szCs w:val="19"/>
              </w:rPr>
            </w:pPr>
            <w:r>
              <w:rPr>
                <w:rFonts w:asciiTheme="majorHAnsi" w:hAnsiTheme="majorHAnsi"/>
                <w:bCs/>
                <w:sz w:val="19"/>
                <w:szCs w:val="19"/>
              </w:rPr>
              <w:t>June 5, 2008</w:t>
            </w:r>
          </w:p>
        </w:tc>
      </w:tr>
      <w:tr w:rsidR="00261E08" w:rsidRPr="003A5566" w14:paraId="070BC314" w14:textId="77777777" w:rsidTr="00571C7E">
        <w:tc>
          <w:tcPr>
            <w:tcW w:w="2790" w:type="dxa"/>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71592612" w:rsidR="00261E08" w:rsidRPr="003A5566" w:rsidRDefault="00D91448" w:rsidP="009163FC">
            <w:pPr>
              <w:jc w:val="both"/>
              <w:rPr>
                <w:rFonts w:asciiTheme="majorHAnsi" w:hAnsiTheme="majorHAnsi"/>
                <w:bCs/>
                <w:sz w:val="19"/>
                <w:szCs w:val="19"/>
              </w:rPr>
            </w:pPr>
            <w:r>
              <w:rPr>
                <w:rFonts w:asciiTheme="majorHAnsi" w:hAnsiTheme="majorHAnsi"/>
                <w:bCs/>
                <w:sz w:val="19"/>
                <w:szCs w:val="19"/>
              </w:rPr>
              <w:t>September 30, 2016</w:t>
            </w:r>
          </w:p>
        </w:tc>
      </w:tr>
      <w:tr w:rsidR="00261E08" w:rsidRPr="003A5566" w14:paraId="3063240C" w14:textId="77777777" w:rsidTr="00571C7E">
        <w:trPr>
          <w:trHeight w:val="264"/>
        </w:trPr>
        <w:tc>
          <w:tcPr>
            <w:tcW w:w="2790" w:type="dxa"/>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1DFD133A" w:rsidR="00261E08" w:rsidRPr="003A5566" w:rsidRDefault="00D91448" w:rsidP="009163FC">
            <w:pPr>
              <w:jc w:val="both"/>
              <w:rPr>
                <w:rFonts w:asciiTheme="majorHAnsi" w:hAnsiTheme="majorHAnsi"/>
                <w:bCs/>
                <w:sz w:val="19"/>
                <w:szCs w:val="19"/>
              </w:rPr>
            </w:pPr>
            <w:r>
              <w:rPr>
                <w:rFonts w:asciiTheme="majorHAnsi" w:hAnsiTheme="majorHAnsi"/>
                <w:bCs/>
                <w:sz w:val="19"/>
                <w:szCs w:val="19"/>
              </w:rPr>
              <w:t>December 21, 2016</w:t>
            </w:r>
          </w:p>
        </w:tc>
      </w:tr>
      <w:tr w:rsidR="00261E08" w:rsidRPr="003A5566" w14:paraId="158C8FCC" w14:textId="77777777" w:rsidTr="00571C7E">
        <w:tc>
          <w:tcPr>
            <w:tcW w:w="2790" w:type="dxa"/>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016DB54C" w:rsidR="00261E08" w:rsidRPr="003A5566" w:rsidRDefault="00D91448" w:rsidP="009163FC">
            <w:pPr>
              <w:jc w:val="both"/>
              <w:rPr>
                <w:rFonts w:asciiTheme="majorHAnsi" w:hAnsiTheme="majorHAnsi"/>
                <w:bCs/>
                <w:sz w:val="19"/>
                <w:szCs w:val="19"/>
              </w:rPr>
            </w:pPr>
            <w:r>
              <w:rPr>
                <w:rFonts w:asciiTheme="majorHAnsi" w:hAnsiTheme="majorHAnsi"/>
                <w:bCs/>
                <w:sz w:val="19"/>
                <w:szCs w:val="19"/>
              </w:rPr>
              <w:t>August 18, 2008; February 2, 2009; September 22, 2014</w:t>
            </w:r>
          </w:p>
        </w:tc>
      </w:tr>
      <w:tr w:rsidR="00752D34" w:rsidRPr="003A5566" w14:paraId="061438F4" w14:textId="77777777" w:rsidTr="00571C7E">
        <w:tc>
          <w:tcPr>
            <w:tcW w:w="2790" w:type="dxa"/>
            <w:shd w:val="clear" w:color="auto" w:fill="67AE3C"/>
            <w:vAlign w:val="center"/>
          </w:tcPr>
          <w:p w14:paraId="5760FBA5" w14:textId="391378F7" w:rsidR="00752D34" w:rsidRPr="003D1E33" w:rsidRDefault="00113A4F" w:rsidP="00653EA6">
            <w:pPr>
              <w:jc w:val="center"/>
              <w:rPr>
                <w:rFonts w:asciiTheme="majorHAnsi" w:hAnsiTheme="majorHAnsi"/>
                <w:bCs/>
                <w:color w:val="FFFFFF" w:themeColor="background1"/>
                <w:sz w:val="19"/>
                <w:szCs w:val="19"/>
              </w:rPr>
            </w:pPr>
            <w:r w:rsidRPr="003D1E33">
              <w:rPr>
                <w:rFonts w:asciiTheme="majorHAnsi" w:hAnsiTheme="majorHAnsi"/>
                <w:bCs/>
                <w:color w:val="FFFFFF" w:themeColor="background1"/>
                <w:sz w:val="19"/>
                <w:szCs w:val="19"/>
              </w:rPr>
              <w:t>Notification of the possible archiving of the petition</w:t>
            </w:r>
          </w:p>
        </w:tc>
        <w:tc>
          <w:tcPr>
            <w:tcW w:w="6570" w:type="dxa"/>
            <w:vAlign w:val="center"/>
          </w:tcPr>
          <w:p w14:paraId="3EA2C960" w14:textId="7F6F9C4B" w:rsidR="00752D34" w:rsidRPr="003A5566" w:rsidRDefault="00D91448" w:rsidP="009163FC">
            <w:pPr>
              <w:jc w:val="both"/>
              <w:rPr>
                <w:rFonts w:asciiTheme="majorHAnsi" w:hAnsiTheme="majorHAnsi"/>
                <w:bCs/>
                <w:sz w:val="19"/>
                <w:szCs w:val="19"/>
              </w:rPr>
            </w:pPr>
            <w:r>
              <w:rPr>
                <w:rFonts w:asciiTheme="majorHAnsi" w:hAnsiTheme="majorHAnsi"/>
                <w:bCs/>
                <w:sz w:val="19"/>
                <w:szCs w:val="19"/>
              </w:rPr>
              <w:t>November 5, 2018</w:t>
            </w:r>
          </w:p>
        </w:tc>
      </w:tr>
      <w:tr w:rsidR="00113A4F" w:rsidRPr="003A5566" w14:paraId="663B0D20" w14:textId="77777777" w:rsidTr="00571C7E">
        <w:tc>
          <w:tcPr>
            <w:tcW w:w="2790" w:type="dxa"/>
            <w:shd w:val="clear" w:color="auto" w:fill="67AE3C"/>
            <w:vAlign w:val="center"/>
          </w:tcPr>
          <w:p w14:paraId="59B9D9B2" w14:textId="407B8C6F" w:rsidR="00113A4F" w:rsidRPr="003D1E33" w:rsidRDefault="00113A4F" w:rsidP="00653EA6">
            <w:pPr>
              <w:jc w:val="center"/>
              <w:rPr>
                <w:rFonts w:asciiTheme="majorHAnsi" w:hAnsiTheme="majorHAnsi"/>
                <w:bCs/>
                <w:color w:val="FFFFFF" w:themeColor="background1"/>
                <w:sz w:val="19"/>
                <w:szCs w:val="19"/>
              </w:rPr>
            </w:pPr>
            <w:r w:rsidRPr="003D1E33">
              <w:rPr>
                <w:rFonts w:asciiTheme="majorHAnsi" w:hAnsiTheme="majorHAnsi"/>
                <w:bCs/>
                <w:color w:val="FFFFFF" w:themeColor="background1"/>
                <w:sz w:val="19"/>
                <w:szCs w:val="19"/>
              </w:rPr>
              <w:t>Petitioner’s response to the notification on the possible archiving of the petition</w:t>
            </w:r>
          </w:p>
        </w:tc>
        <w:tc>
          <w:tcPr>
            <w:tcW w:w="6570" w:type="dxa"/>
            <w:vAlign w:val="center"/>
          </w:tcPr>
          <w:p w14:paraId="49E16060" w14:textId="50084A1F" w:rsidR="00113A4F" w:rsidRPr="003A5566" w:rsidRDefault="00D91448" w:rsidP="009163FC">
            <w:pPr>
              <w:jc w:val="both"/>
              <w:rPr>
                <w:rFonts w:asciiTheme="majorHAnsi" w:hAnsiTheme="majorHAnsi"/>
                <w:bCs/>
                <w:sz w:val="19"/>
                <w:szCs w:val="19"/>
              </w:rPr>
            </w:pPr>
            <w:r>
              <w:rPr>
                <w:rFonts w:asciiTheme="majorHAnsi" w:hAnsiTheme="majorHAnsi"/>
                <w:bCs/>
                <w:sz w:val="19"/>
                <w:szCs w:val="19"/>
              </w:rPr>
              <w:t>November 30, 2018</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Look w:val="04A0" w:firstRow="1" w:lastRow="0" w:firstColumn="1" w:lastColumn="0" w:noHBand="0" w:noVBand="1"/>
      </w:tblPr>
      <w:tblGrid>
        <w:gridCol w:w="2763"/>
        <w:gridCol w:w="6622"/>
      </w:tblGrid>
      <w:tr w:rsidR="00261E08" w:rsidRPr="003A5566" w14:paraId="684F4233" w14:textId="77777777" w:rsidTr="00571C7E">
        <w:trPr>
          <w:cantSplit/>
        </w:trPr>
        <w:tc>
          <w:tcPr>
            <w:tcW w:w="2763" w:type="dxa"/>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21522B2E" w14:textId="69688DB6" w:rsidR="00261E08" w:rsidRPr="003A5566" w:rsidRDefault="00D91448"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571C7E">
        <w:trPr>
          <w:cantSplit/>
        </w:trPr>
        <w:tc>
          <w:tcPr>
            <w:tcW w:w="2763" w:type="dxa"/>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vAlign w:val="center"/>
          </w:tcPr>
          <w:p w14:paraId="27041F7E" w14:textId="48710077" w:rsidR="00261E08" w:rsidRPr="003A5566" w:rsidRDefault="00D91448"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571C7E">
        <w:trPr>
          <w:cantSplit/>
        </w:trPr>
        <w:tc>
          <w:tcPr>
            <w:tcW w:w="2763" w:type="dxa"/>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vAlign w:val="center"/>
          </w:tcPr>
          <w:p w14:paraId="6091B7B0" w14:textId="33A3A0EF" w:rsidR="00261E08" w:rsidRPr="003A5566" w:rsidRDefault="00D91448"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571C7E">
        <w:trPr>
          <w:cantSplit/>
        </w:trPr>
        <w:tc>
          <w:tcPr>
            <w:tcW w:w="2763" w:type="dxa"/>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vAlign w:val="center"/>
          </w:tcPr>
          <w:p w14:paraId="49BB57C8" w14:textId="616C95C0" w:rsidR="00261E08" w:rsidRPr="003A5566" w:rsidRDefault="00D91448" w:rsidP="009163FC">
            <w:pPr>
              <w:jc w:val="both"/>
              <w:rPr>
                <w:rFonts w:asciiTheme="majorHAnsi" w:hAnsiTheme="majorHAnsi"/>
                <w:bCs/>
                <w:sz w:val="19"/>
                <w:szCs w:val="19"/>
              </w:rPr>
            </w:pPr>
            <w:r>
              <w:rPr>
                <w:rFonts w:asciiTheme="majorHAnsi" w:hAnsiTheme="majorHAnsi"/>
                <w:bCs/>
                <w:sz w:val="19"/>
                <w:szCs w:val="19"/>
              </w:rPr>
              <w:t>Yes. American Convention (deposit of instrument of ratification on May 25, 1978)</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Look w:val="04A0" w:firstRow="1" w:lastRow="0" w:firstColumn="1" w:lastColumn="0" w:noHBand="0" w:noVBand="1"/>
      </w:tblPr>
      <w:tblGrid>
        <w:gridCol w:w="2767"/>
        <w:gridCol w:w="6618"/>
      </w:tblGrid>
      <w:tr w:rsidR="00261E08" w:rsidRPr="003A5566" w14:paraId="47EC0E6D" w14:textId="77777777" w:rsidTr="00571C7E">
        <w:trPr>
          <w:cantSplit/>
        </w:trPr>
        <w:tc>
          <w:tcPr>
            <w:tcW w:w="2767" w:type="dxa"/>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7CAAB52B" w:rsidR="00261E08" w:rsidRPr="003A5566" w:rsidRDefault="00D91448"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571C7E">
        <w:trPr>
          <w:cantSplit/>
        </w:trPr>
        <w:tc>
          <w:tcPr>
            <w:tcW w:w="2767" w:type="dxa"/>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0031260E" w:rsidR="00261E08" w:rsidRPr="003A5566" w:rsidRDefault="00D91448" w:rsidP="009163FC">
            <w:pPr>
              <w:jc w:val="both"/>
              <w:rPr>
                <w:rFonts w:asciiTheme="majorHAnsi" w:hAnsiTheme="majorHAnsi"/>
                <w:bCs/>
                <w:sz w:val="19"/>
                <w:szCs w:val="19"/>
              </w:rPr>
            </w:pPr>
            <w:r>
              <w:rPr>
                <w:rFonts w:asciiTheme="majorHAnsi" w:hAnsiTheme="majorHAnsi"/>
                <w:bCs/>
                <w:sz w:val="19"/>
                <w:szCs w:val="19"/>
              </w:rPr>
              <w:t xml:space="preserve">Articles 8 (fair trial), 9 (freedom from </w:t>
            </w:r>
            <w:r w:rsidRPr="00D91448">
              <w:rPr>
                <w:rFonts w:asciiTheme="majorHAnsi" w:hAnsiTheme="majorHAnsi"/>
                <w:bCs/>
                <w:i/>
                <w:iCs/>
                <w:sz w:val="19"/>
                <w:szCs w:val="19"/>
              </w:rPr>
              <w:t>ex post facto</w:t>
            </w:r>
            <w:r>
              <w:rPr>
                <w:rFonts w:asciiTheme="majorHAnsi" w:hAnsiTheme="majorHAnsi"/>
                <w:bCs/>
                <w:sz w:val="19"/>
                <w:szCs w:val="19"/>
              </w:rPr>
              <w:t xml:space="preserve"> laws), 24 (equal protection), 25 (judicial protection), and 26 (economic, social, and cultural rights) of the American Convention, in relation to its Articles 1.1 (obligation to respect rights) and 2 (domestic legal effects) </w:t>
            </w:r>
          </w:p>
        </w:tc>
      </w:tr>
      <w:tr w:rsidR="00261E08" w:rsidRPr="003A5566" w14:paraId="77899B94" w14:textId="77777777" w:rsidTr="00571C7E">
        <w:trPr>
          <w:cantSplit/>
        </w:trPr>
        <w:tc>
          <w:tcPr>
            <w:tcW w:w="2767" w:type="dxa"/>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08981CB2" w:rsidR="00261E08" w:rsidRPr="003A5566" w:rsidRDefault="00D91448" w:rsidP="009163FC">
            <w:pPr>
              <w:rPr>
                <w:rFonts w:asciiTheme="majorHAnsi" w:hAnsiTheme="majorHAnsi"/>
                <w:bCs/>
                <w:sz w:val="19"/>
                <w:szCs w:val="19"/>
              </w:rPr>
            </w:pPr>
            <w:r>
              <w:rPr>
                <w:rFonts w:asciiTheme="majorHAnsi" w:hAnsiTheme="majorHAnsi"/>
                <w:bCs/>
                <w:sz w:val="19"/>
                <w:szCs w:val="19"/>
              </w:rPr>
              <w:t>Yes. December 5, 2007</w:t>
            </w:r>
          </w:p>
        </w:tc>
      </w:tr>
      <w:tr w:rsidR="00261E08" w:rsidRPr="003A5566" w14:paraId="4F59B7C5" w14:textId="77777777" w:rsidTr="00571C7E">
        <w:trPr>
          <w:cantSplit/>
        </w:trPr>
        <w:tc>
          <w:tcPr>
            <w:tcW w:w="2767" w:type="dxa"/>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6976AF71" w:rsidR="00261E08" w:rsidRPr="003A5566" w:rsidRDefault="00D91448" w:rsidP="009163FC">
            <w:pPr>
              <w:rPr>
                <w:rFonts w:asciiTheme="majorHAnsi" w:hAnsiTheme="majorHAnsi"/>
                <w:bCs/>
                <w:sz w:val="19"/>
                <w:szCs w:val="19"/>
              </w:rPr>
            </w:pPr>
            <w:r>
              <w:rPr>
                <w:rFonts w:asciiTheme="majorHAnsi" w:hAnsiTheme="majorHAnsi"/>
                <w:bCs/>
                <w:sz w:val="19"/>
                <w:szCs w:val="19"/>
              </w:rPr>
              <w:t>Yes. June 5, 2008</w:t>
            </w:r>
          </w:p>
        </w:tc>
      </w:tr>
    </w:tbl>
    <w:p w14:paraId="3FEBD323" w14:textId="6C19C762"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1FAAC647" w14:textId="73296394" w:rsidR="006A19D5" w:rsidRDefault="006A19D5" w:rsidP="006A19D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0" w:firstLine="709"/>
        <w:jc w:val="both"/>
        <w:rPr>
          <w:rFonts w:asciiTheme="majorHAnsi" w:hAnsiTheme="majorHAnsi"/>
          <w:sz w:val="20"/>
          <w:szCs w:val="20"/>
        </w:rPr>
      </w:pPr>
      <w:r>
        <w:rPr>
          <w:rFonts w:asciiTheme="majorHAnsi" w:hAnsiTheme="majorHAnsi"/>
          <w:sz w:val="20"/>
          <w:szCs w:val="20"/>
          <w:lang w:val="en"/>
        </w:rPr>
        <w:t>Dilio Argueta y Argueta (“the petitioner”) alleges purported human violations</w:t>
      </w:r>
      <w:r w:rsidR="00C130CD">
        <w:rPr>
          <w:rFonts w:asciiTheme="majorHAnsi" w:hAnsiTheme="majorHAnsi"/>
          <w:sz w:val="20"/>
          <w:szCs w:val="20"/>
          <w:lang w:val="en"/>
        </w:rPr>
        <w:t xml:space="preserve"> to his human rights</w:t>
      </w:r>
      <w:r>
        <w:rPr>
          <w:rFonts w:asciiTheme="majorHAnsi" w:hAnsiTheme="majorHAnsi"/>
          <w:sz w:val="20"/>
          <w:szCs w:val="20"/>
          <w:lang w:val="en"/>
        </w:rPr>
        <w:t xml:space="preserve"> because of his illegal and arbitrary discharge from the National Civil Police of Guatemala (“PNC”). He submits that he was terminated without a prior administrative trial and with disregard for the labor norms that protected him given his participation in a collective labor dispute with his employer</w:t>
      </w:r>
      <w:r w:rsidR="00431C2A">
        <w:rPr>
          <w:rFonts w:asciiTheme="majorHAnsi" w:hAnsiTheme="majorHAnsi"/>
          <w:sz w:val="20"/>
          <w:szCs w:val="20"/>
          <w:lang w:val="en"/>
        </w:rPr>
        <w:t xml:space="preserve">, which </w:t>
      </w:r>
      <w:r>
        <w:rPr>
          <w:rFonts w:asciiTheme="majorHAnsi" w:hAnsiTheme="majorHAnsi"/>
          <w:sz w:val="20"/>
          <w:szCs w:val="20"/>
          <w:lang w:val="en"/>
        </w:rPr>
        <w:t xml:space="preserve">prohibited his </w:t>
      </w:r>
      <w:r w:rsidR="00431C2A">
        <w:rPr>
          <w:rFonts w:asciiTheme="majorHAnsi" w:hAnsiTheme="majorHAnsi"/>
          <w:sz w:val="20"/>
          <w:szCs w:val="20"/>
          <w:lang w:val="en"/>
        </w:rPr>
        <w:t>dismissal</w:t>
      </w:r>
      <w:r>
        <w:rPr>
          <w:rFonts w:asciiTheme="majorHAnsi" w:hAnsiTheme="majorHAnsi"/>
          <w:sz w:val="20"/>
          <w:szCs w:val="20"/>
          <w:lang w:val="en"/>
        </w:rPr>
        <w:t xml:space="preserve"> without prior judicial authorization. </w:t>
      </w:r>
    </w:p>
    <w:p w14:paraId="75855A52" w14:textId="4BE52F79" w:rsidR="006A19D5" w:rsidRPr="006C35E4" w:rsidRDefault="006A19D5" w:rsidP="006A19D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0" w:firstLine="709"/>
        <w:jc w:val="both"/>
        <w:rPr>
          <w:rFonts w:asciiTheme="majorHAnsi" w:hAnsiTheme="majorHAnsi"/>
          <w:sz w:val="20"/>
          <w:szCs w:val="20"/>
        </w:rPr>
      </w:pPr>
      <w:r>
        <w:rPr>
          <w:rFonts w:asciiTheme="majorHAnsi" w:hAnsiTheme="majorHAnsi"/>
          <w:sz w:val="20"/>
          <w:szCs w:val="20"/>
          <w:lang w:val="en"/>
        </w:rPr>
        <w:t>He indicates that he was second police lieutenant (</w:t>
      </w:r>
      <w:r>
        <w:rPr>
          <w:rFonts w:asciiTheme="majorHAnsi" w:hAnsiTheme="majorHAnsi"/>
          <w:i/>
          <w:iCs/>
          <w:sz w:val="20"/>
          <w:szCs w:val="20"/>
          <w:lang w:val="en"/>
        </w:rPr>
        <w:t>oficial segundo</w:t>
      </w:r>
      <w:r>
        <w:rPr>
          <w:rFonts w:asciiTheme="majorHAnsi" w:hAnsiTheme="majorHAnsi"/>
          <w:sz w:val="20"/>
          <w:szCs w:val="20"/>
          <w:lang w:val="en"/>
        </w:rPr>
        <w:t xml:space="preserve">) at the Directorate-General for the National Civil Police from October 31, 1997, until August 26, 2004, when he and other 80 officers were notified of their discharge under ministerial resolution 1491-2004. According to the resolution, he was dismissed because of “acts that seriously harm the National Civil Police or bring it into disrepute,” as set out in article 31.c of the </w:t>
      </w:r>
      <w:r w:rsidR="00DF3B2B">
        <w:rPr>
          <w:rFonts w:asciiTheme="majorHAnsi" w:hAnsiTheme="majorHAnsi"/>
          <w:sz w:val="20"/>
          <w:szCs w:val="20"/>
          <w:lang w:val="en"/>
        </w:rPr>
        <w:t xml:space="preserve">PNC </w:t>
      </w:r>
      <w:r>
        <w:rPr>
          <w:rFonts w:asciiTheme="majorHAnsi" w:hAnsiTheme="majorHAnsi"/>
          <w:sz w:val="20"/>
          <w:szCs w:val="20"/>
          <w:lang w:val="en"/>
        </w:rPr>
        <w:t xml:space="preserve">rules. The petitioner applied for his reinstatement before the Seventh Court for Labor and Social Security Matters for the First Economic Zone. On January 20, 2005, the court ordered he be reinstated immediately, based on article 380 of the Labor Code, under which workers involved in a collective labor dispute with their employer cannot be terminated from employment unless with prior judicial authorization. The judge also considered that the accused bodies had not proven the grounds for his dismissal. </w:t>
      </w:r>
    </w:p>
    <w:p w14:paraId="17E6F567" w14:textId="32419D27" w:rsidR="006A19D5" w:rsidRPr="00283EB0" w:rsidRDefault="006A19D5" w:rsidP="006A19D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0" w:firstLine="709"/>
        <w:jc w:val="both"/>
        <w:rPr>
          <w:rFonts w:asciiTheme="majorHAnsi" w:hAnsiTheme="majorHAnsi"/>
          <w:sz w:val="20"/>
          <w:szCs w:val="20"/>
        </w:rPr>
      </w:pPr>
      <w:r>
        <w:rPr>
          <w:rFonts w:asciiTheme="majorHAnsi" w:hAnsiTheme="majorHAnsi"/>
          <w:sz w:val="20"/>
          <w:szCs w:val="20"/>
          <w:lang w:val="en"/>
        </w:rPr>
        <w:t>The PNC Directorate-General, the Ministry of the Interior, and the Attorney</w:t>
      </w:r>
      <w:r w:rsidR="00D34F8A">
        <w:rPr>
          <w:rFonts w:asciiTheme="majorHAnsi" w:hAnsiTheme="majorHAnsi"/>
          <w:sz w:val="20"/>
          <w:szCs w:val="20"/>
          <w:lang w:val="en"/>
        </w:rPr>
        <w:t>-</w:t>
      </w:r>
      <w:r>
        <w:rPr>
          <w:rFonts w:asciiTheme="majorHAnsi" w:hAnsiTheme="majorHAnsi"/>
          <w:sz w:val="20"/>
          <w:szCs w:val="20"/>
          <w:lang w:val="en"/>
        </w:rPr>
        <w:t xml:space="preserve">General's Office (“the accused bodies”) appealed the petition for reinstatement. On April 21, 2005, the Third Division of the Court of Appeals for Labor and Social Security Matters </w:t>
      </w:r>
      <w:r w:rsidR="006F3B5A">
        <w:rPr>
          <w:rFonts w:asciiTheme="majorHAnsi" w:hAnsiTheme="majorHAnsi"/>
          <w:sz w:val="20"/>
          <w:szCs w:val="20"/>
          <w:lang w:val="en"/>
        </w:rPr>
        <w:t>conceded</w:t>
      </w:r>
      <w:r>
        <w:rPr>
          <w:rFonts w:asciiTheme="majorHAnsi" w:hAnsiTheme="majorHAnsi"/>
          <w:sz w:val="20"/>
          <w:szCs w:val="20"/>
          <w:lang w:val="en"/>
        </w:rPr>
        <w:t xml:space="preserve"> the appeal, revoking the </w:t>
      </w:r>
      <w:r w:rsidR="001A0C8C">
        <w:rPr>
          <w:rFonts w:asciiTheme="majorHAnsi" w:hAnsiTheme="majorHAnsi"/>
          <w:sz w:val="20"/>
          <w:szCs w:val="20"/>
          <w:lang w:val="en"/>
        </w:rPr>
        <w:t xml:space="preserve">decision of the </w:t>
      </w:r>
      <w:r>
        <w:rPr>
          <w:rFonts w:asciiTheme="majorHAnsi" w:hAnsiTheme="majorHAnsi"/>
          <w:sz w:val="20"/>
          <w:szCs w:val="20"/>
          <w:lang w:val="en"/>
        </w:rPr>
        <w:t xml:space="preserve">trial court. The </w:t>
      </w:r>
      <w:r w:rsidR="006F3B5A">
        <w:rPr>
          <w:rFonts w:asciiTheme="majorHAnsi" w:hAnsiTheme="majorHAnsi"/>
          <w:sz w:val="20"/>
          <w:szCs w:val="20"/>
          <w:lang w:val="en"/>
        </w:rPr>
        <w:t xml:space="preserve">Court of Appeals </w:t>
      </w:r>
      <w:r>
        <w:rPr>
          <w:rFonts w:asciiTheme="majorHAnsi" w:hAnsiTheme="majorHAnsi"/>
          <w:sz w:val="20"/>
          <w:szCs w:val="20"/>
          <w:lang w:val="en"/>
        </w:rPr>
        <w:t>deemed that article 380 of the Labor Code did not protect the petitioner since article 4.c.1 of the Unionization and Regulation of Strikes by State Workers Act applied in his case</w:t>
      </w:r>
      <w:r w:rsidR="00DF3B2B">
        <w:rPr>
          <w:rFonts w:asciiTheme="majorHAnsi" w:hAnsiTheme="majorHAnsi"/>
          <w:sz w:val="20"/>
          <w:szCs w:val="20"/>
          <w:lang w:val="en"/>
        </w:rPr>
        <w:t xml:space="preserve"> given the nature of his job</w:t>
      </w:r>
      <w:r>
        <w:rPr>
          <w:rFonts w:asciiTheme="majorHAnsi" w:hAnsiTheme="majorHAnsi"/>
          <w:sz w:val="20"/>
          <w:szCs w:val="20"/>
          <w:lang w:val="en"/>
        </w:rPr>
        <w:t xml:space="preserve">. The court of appeals considered that under this article, state workers </w:t>
      </w:r>
      <w:r w:rsidR="00D34F8A">
        <w:rPr>
          <w:rFonts w:asciiTheme="majorHAnsi" w:hAnsiTheme="majorHAnsi"/>
          <w:sz w:val="20"/>
          <w:szCs w:val="20"/>
          <w:lang w:val="en"/>
        </w:rPr>
        <w:t>might</w:t>
      </w:r>
      <w:r>
        <w:rPr>
          <w:rFonts w:asciiTheme="majorHAnsi" w:hAnsiTheme="majorHAnsi"/>
          <w:sz w:val="20"/>
          <w:szCs w:val="20"/>
          <w:lang w:val="en"/>
        </w:rPr>
        <w:t xml:space="preserve"> be dismissed without prior judicial authorization, regardless of a collective labor dispute, whenever they meet any of the grounds for dismissal with reasonable cause. </w:t>
      </w:r>
    </w:p>
    <w:p w14:paraId="12611C67" w14:textId="51E9FA9C" w:rsidR="006A19D5" w:rsidRPr="00E840F0" w:rsidRDefault="006A19D5" w:rsidP="006A19D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0" w:firstLine="709"/>
        <w:jc w:val="both"/>
        <w:rPr>
          <w:rFonts w:asciiTheme="majorHAnsi" w:hAnsiTheme="majorHAnsi"/>
          <w:sz w:val="20"/>
          <w:szCs w:val="20"/>
        </w:rPr>
      </w:pPr>
      <w:r>
        <w:rPr>
          <w:rFonts w:asciiTheme="majorHAnsi" w:hAnsiTheme="majorHAnsi"/>
          <w:sz w:val="20"/>
          <w:szCs w:val="20"/>
          <w:lang w:val="en"/>
        </w:rPr>
        <w:t xml:space="preserve">Accordingly, the petitioner filed an </w:t>
      </w:r>
      <w:r w:rsidRPr="00E43E97">
        <w:rPr>
          <w:rFonts w:asciiTheme="majorHAnsi" w:hAnsiTheme="majorHAnsi"/>
          <w:sz w:val="20"/>
          <w:szCs w:val="20"/>
          <w:lang w:val="en"/>
        </w:rPr>
        <w:t>amparo</w:t>
      </w:r>
      <w:r>
        <w:rPr>
          <w:rFonts w:asciiTheme="majorHAnsi" w:hAnsiTheme="majorHAnsi"/>
          <w:sz w:val="20"/>
          <w:szCs w:val="20"/>
          <w:lang w:val="en"/>
        </w:rPr>
        <w:t xml:space="preserve"> action with the Amparo and Preliminary Hearings Division (</w:t>
      </w:r>
      <w:r>
        <w:rPr>
          <w:rFonts w:asciiTheme="majorHAnsi" w:hAnsiTheme="majorHAnsi"/>
          <w:i/>
          <w:iCs/>
          <w:sz w:val="20"/>
          <w:szCs w:val="20"/>
          <w:lang w:val="en"/>
        </w:rPr>
        <w:t>Cámara de Amparo y Antejuicio</w:t>
      </w:r>
      <w:r>
        <w:rPr>
          <w:rFonts w:asciiTheme="majorHAnsi" w:hAnsiTheme="majorHAnsi"/>
          <w:sz w:val="20"/>
          <w:szCs w:val="20"/>
          <w:lang w:val="en"/>
        </w:rPr>
        <w:t xml:space="preserve">) of the Supreme Court of Justice, which granted </w:t>
      </w:r>
      <w:r w:rsidR="00574174">
        <w:rPr>
          <w:rFonts w:asciiTheme="majorHAnsi" w:hAnsiTheme="majorHAnsi"/>
          <w:sz w:val="20"/>
          <w:szCs w:val="20"/>
          <w:lang w:val="en"/>
        </w:rPr>
        <w:t>the amparo action</w:t>
      </w:r>
      <w:r>
        <w:rPr>
          <w:rFonts w:asciiTheme="majorHAnsi" w:hAnsiTheme="majorHAnsi"/>
          <w:sz w:val="20"/>
          <w:szCs w:val="20"/>
          <w:lang w:val="en"/>
        </w:rPr>
        <w:t xml:space="preserve"> on November 6, 2006. The Supreme Court of Justice deemed that the petitioner’s rights to defense and due process had been violated because he was discharged without the prior statutory administrative trial. The Supreme Court established that although the Unionization and Regulation of Strikes by State Workers Act was in force at the time of his dismissal, on December 27, 2005, the Constitutional Court had temporarily suspended article 4.c.1 of this law due to its probable unconstitutional character.</w:t>
      </w:r>
      <w:r>
        <w:rPr>
          <w:rStyle w:val="FootnoteReference"/>
          <w:rFonts w:asciiTheme="majorHAnsi" w:hAnsiTheme="majorHAnsi"/>
          <w:sz w:val="20"/>
          <w:szCs w:val="20"/>
          <w:lang w:val="en"/>
        </w:rPr>
        <w:footnoteReference w:id="4"/>
      </w:r>
      <w:r>
        <w:rPr>
          <w:rFonts w:asciiTheme="majorHAnsi" w:hAnsiTheme="majorHAnsi"/>
          <w:sz w:val="20"/>
          <w:szCs w:val="20"/>
          <w:lang w:val="en"/>
        </w:rPr>
        <w:t xml:space="preserve"> The court also considered a precedent of the Constitutional Court, dated January 13, 1997, </w:t>
      </w:r>
      <w:r w:rsidR="00574174">
        <w:rPr>
          <w:rFonts w:asciiTheme="majorHAnsi" w:hAnsiTheme="majorHAnsi"/>
          <w:sz w:val="20"/>
          <w:szCs w:val="20"/>
          <w:lang w:val="en"/>
        </w:rPr>
        <w:t>under which</w:t>
      </w:r>
      <w:r>
        <w:rPr>
          <w:rFonts w:asciiTheme="majorHAnsi" w:hAnsiTheme="majorHAnsi"/>
          <w:sz w:val="20"/>
          <w:szCs w:val="20"/>
          <w:lang w:val="en"/>
        </w:rPr>
        <w:t xml:space="preserve"> article 4 should be applied after dismissal proceedings have been lawfully held in the administrative jurisdiction. </w:t>
      </w:r>
    </w:p>
    <w:p w14:paraId="328B66CC" w14:textId="58699EE2" w:rsidR="006A19D5" w:rsidRPr="00283EB0" w:rsidRDefault="00574174" w:rsidP="006A19D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0" w:firstLine="709"/>
        <w:jc w:val="both"/>
        <w:rPr>
          <w:rFonts w:asciiTheme="majorHAnsi" w:hAnsiTheme="majorHAnsi"/>
          <w:sz w:val="20"/>
          <w:szCs w:val="20"/>
        </w:rPr>
      </w:pPr>
      <w:r>
        <w:rPr>
          <w:rFonts w:asciiTheme="majorHAnsi" w:hAnsiTheme="majorHAnsi"/>
          <w:sz w:val="20"/>
          <w:szCs w:val="20"/>
          <w:lang w:val="en"/>
        </w:rPr>
        <w:t>Subsequently</w:t>
      </w:r>
      <w:r w:rsidR="006A19D5">
        <w:rPr>
          <w:rFonts w:asciiTheme="majorHAnsi" w:hAnsiTheme="majorHAnsi"/>
          <w:sz w:val="20"/>
          <w:szCs w:val="20"/>
          <w:lang w:val="en"/>
        </w:rPr>
        <w:t xml:space="preserve">, the accused bodies challenged this decision before the constitutional court. On July 26, 2007, the latter overturned the decision by the Supreme Court of Justice and rejected the petitioner’s amparo action. The </w:t>
      </w:r>
      <w:r>
        <w:rPr>
          <w:rFonts w:asciiTheme="majorHAnsi" w:hAnsiTheme="majorHAnsi"/>
          <w:sz w:val="20"/>
          <w:szCs w:val="20"/>
          <w:lang w:val="en"/>
        </w:rPr>
        <w:t xml:space="preserve">constitutional </w:t>
      </w:r>
      <w:r w:rsidR="006A19D5">
        <w:rPr>
          <w:rFonts w:asciiTheme="majorHAnsi" w:hAnsiTheme="majorHAnsi"/>
          <w:sz w:val="20"/>
          <w:szCs w:val="20"/>
          <w:lang w:val="en"/>
        </w:rPr>
        <w:t xml:space="preserve">court deemed that given their duty, state workers in the national and public security forces should be </w:t>
      </w:r>
      <w:r w:rsidR="00ED58CD">
        <w:rPr>
          <w:rFonts w:asciiTheme="majorHAnsi" w:hAnsiTheme="majorHAnsi"/>
          <w:sz w:val="20"/>
          <w:szCs w:val="20"/>
          <w:lang w:val="en"/>
        </w:rPr>
        <w:t>subjected to swift and efficient disciplinary proceedings</w:t>
      </w:r>
      <w:r w:rsidR="006A19D5">
        <w:rPr>
          <w:rFonts w:asciiTheme="majorHAnsi" w:hAnsiTheme="majorHAnsi"/>
          <w:sz w:val="20"/>
          <w:szCs w:val="20"/>
          <w:lang w:val="en"/>
        </w:rPr>
        <w:t xml:space="preserve"> and should not be protected by labor courts’ prior authorization—unlike the case of</w:t>
      </w:r>
      <w:r w:rsidR="00ED58CD">
        <w:rPr>
          <w:rFonts w:asciiTheme="majorHAnsi" w:hAnsiTheme="majorHAnsi"/>
          <w:sz w:val="20"/>
          <w:szCs w:val="20"/>
          <w:lang w:val="en"/>
        </w:rPr>
        <w:t xml:space="preserve"> other</w:t>
      </w:r>
      <w:r w:rsidR="006A19D5">
        <w:rPr>
          <w:rFonts w:asciiTheme="majorHAnsi" w:hAnsiTheme="majorHAnsi"/>
          <w:sz w:val="20"/>
          <w:szCs w:val="20"/>
          <w:lang w:val="en"/>
        </w:rPr>
        <w:t xml:space="preserve"> state civil servants. It also considered that the Supreme Court of Justice was not competent to review ordinary courts’ juridical criteria. </w:t>
      </w:r>
      <w:r w:rsidR="002E6219">
        <w:rPr>
          <w:rFonts w:asciiTheme="majorHAnsi" w:hAnsiTheme="majorHAnsi"/>
          <w:sz w:val="20"/>
          <w:szCs w:val="20"/>
          <w:lang w:val="en"/>
        </w:rPr>
        <w:t>O</w:t>
      </w:r>
      <w:r w:rsidR="006A19D5">
        <w:rPr>
          <w:rFonts w:asciiTheme="majorHAnsi" w:hAnsiTheme="majorHAnsi"/>
          <w:sz w:val="20"/>
          <w:szCs w:val="20"/>
          <w:lang w:val="en"/>
        </w:rPr>
        <w:t xml:space="preserve">n February 20, 2008, the Third Division of the Court of Appeals for Labor and Social Security Matters notified the petitioner of its decision to close proceedings. </w:t>
      </w:r>
    </w:p>
    <w:p w14:paraId="28F36F9C" w14:textId="474222DF" w:rsidR="006A19D5" w:rsidRDefault="006A19D5" w:rsidP="006A19D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0" w:firstLine="709"/>
        <w:jc w:val="both"/>
        <w:rPr>
          <w:rFonts w:asciiTheme="majorHAnsi" w:hAnsiTheme="majorHAnsi"/>
          <w:sz w:val="20"/>
          <w:szCs w:val="20"/>
        </w:rPr>
      </w:pPr>
      <w:r>
        <w:rPr>
          <w:rFonts w:asciiTheme="majorHAnsi" w:hAnsiTheme="majorHAnsi"/>
          <w:sz w:val="20"/>
          <w:szCs w:val="20"/>
          <w:lang w:val="en"/>
        </w:rPr>
        <w:t xml:space="preserve">The petitioner alleges the violation of his rights </w:t>
      </w:r>
      <w:r w:rsidR="00431C2A">
        <w:rPr>
          <w:rFonts w:asciiTheme="majorHAnsi" w:hAnsiTheme="majorHAnsi"/>
          <w:sz w:val="20"/>
          <w:szCs w:val="20"/>
          <w:lang w:val="en"/>
        </w:rPr>
        <w:t>as he was</w:t>
      </w:r>
      <w:r>
        <w:rPr>
          <w:rFonts w:asciiTheme="majorHAnsi" w:hAnsiTheme="majorHAnsi"/>
          <w:sz w:val="20"/>
          <w:szCs w:val="20"/>
          <w:lang w:val="en"/>
        </w:rPr>
        <w:t xml:space="preserve"> dismissed without the administrative trial established in the law and the rules of procedure of the body he worked for</w:t>
      </w:r>
      <w:r w:rsidR="00574174">
        <w:rPr>
          <w:rFonts w:asciiTheme="majorHAnsi" w:hAnsiTheme="majorHAnsi"/>
          <w:sz w:val="20"/>
          <w:szCs w:val="20"/>
          <w:lang w:val="en"/>
        </w:rPr>
        <w:t>,</w:t>
      </w:r>
      <w:r>
        <w:rPr>
          <w:rFonts w:asciiTheme="majorHAnsi" w:hAnsiTheme="majorHAnsi"/>
          <w:sz w:val="20"/>
          <w:szCs w:val="20"/>
          <w:lang w:val="en"/>
        </w:rPr>
        <w:t xml:space="preserve"> and without a disciplinary complaint having been filed in which he was accused of a criminal offense</w:t>
      </w:r>
      <w:r w:rsidR="00ED58CD">
        <w:rPr>
          <w:rFonts w:asciiTheme="majorHAnsi" w:hAnsiTheme="majorHAnsi"/>
          <w:sz w:val="20"/>
          <w:szCs w:val="20"/>
          <w:lang w:val="en"/>
        </w:rPr>
        <w:t xml:space="preserve"> or administrative fault</w:t>
      </w:r>
      <w:r>
        <w:rPr>
          <w:rFonts w:asciiTheme="majorHAnsi" w:hAnsiTheme="majorHAnsi"/>
          <w:sz w:val="20"/>
          <w:szCs w:val="20"/>
          <w:lang w:val="en"/>
        </w:rPr>
        <w:t xml:space="preserve"> so that he could enforce his rights and defend himself. He argues that in the case of disputes, the norm that most favors a worker should be applied. Therefore, he believes that he was protected </w:t>
      </w:r>
      <w:r w:rsidR="00574174">
        <w:rPr>
          <w:rFonts w:asciiTheme="majorHAnsi" w:hAnsiTheme="majorHAnsi"/>
          <w:sz w:val="20"/>
          <w:szCs w:val="20"/>
          <w:lang w:val="en"/>
        </w:rPr>
        <w:t>under</w:t>
      </w:r>
      <w:r>
        <w:rPr>
          <w:rFonts w:asciiTheme="majorHAnsi" w:hAnsiTheme="majorHAnsi"/>
          <w:sz w:val="20"/>
          <w:szCs w:val="20"/>
          <w:lang w:val="en"/>
        </w:rPr>
        <w:t xml:space="preserve"> article 380 of the Labor Code and that the PNC could not lawfully dismiss him without prior judicial authorization. He moreover claims that the constitutional court revoked his petition for an </w:t>
      </w:r>
      <w:r w:rsidRPr="00D40EC1">
        <w:rPr>
          <w:rFonts w:asciiTheme="majorHAnsi" w:hAnsiTheme="majorHAnsi"/>
          <w:sz w:val="20"/>
          <w:szCs w:val="20"/>
          <w:lang w:val="en"/>
        </w:rPr>
        <w:t>amparo</w:t>
      </w:r>
      <w:r>
        <w:rPr>
          <w:rFonts w:asciiTheme="majorHAnsi" w:hAnsiTheme="majorHAnsi"/>
          <w:sz w:val="20"/>
          <w:szCs w:val="20"/>
          <w:lang w:val="en"/>
        </w:rPr>
        <w:t xml:space="preserve"> action without providing any explanation. </w:t>
      </w:r>
    </w:p>
    <w:p w14:paraId="1E0D82CC" w14:textId="0704C7A3" w:rsidR="006A19D5" w:rsidRPr="00A74E5F" w:rsidRDefault="006A19D5" w:rsidP="006A19D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0" w:firstLine="709"/>
        <w:jc w:val="both"/>
        <w:rPr>
          <w:rFonts w:asciiTheme="majorHAnsi" w:hAnsiTheme="majorHAnsi"/>
          <w:sz w:val="20"/>
          <w:szCs w:val="20"/>
        </w:rPr>
      </w:pPr>
      <w:r>
        <w:rPr>
          <w:rFonts w:asciiTheme="majorHAnsi" w:hAnsiTheme="majorHAnsi"/>
          <w:sz w:val="20"/>
          <w:szCs w:val="20"/>
          <w:lang w:val="en"/>
        </w:rPr>
        <w:t>The State contends that the alleged facts do not constitute human rights violations. It indicates that the constitutional court has duly argued that in the case of state workers in the security forces, dismissals do not require judicial authorization or prior administrative proceedings. For the constitutional court has established that “</w:t>
      </w:r>
      <w:r>
        <w:rPr>
          <w:rFonts w:asciiTheme="majorHAnsi" w:hAnsiTheme="majorHAnsi"/>
          <w:color w:val="auto"/>
          <w:sz w:val="20"/>
          <w:szCs w:val="20"/>
          <w:lang w:val="en"/>
        </w:rPr>
        <w:t xml:space="preserve">given their duty to protect the civil population, in the case of abandonment, omission, or negligence in their performance of duties—when these acts or omissions are serious or reveal manifest ignorance or unawareness—, as well as in the case of the commission of acts that, without being criminal in nature, seriously harm the institution or bring it into disrepute, involved officers should not be dismissed or suspended for such offenses through procedures prolonging to the detriment of </w:t>
      </w:r>
      <w:r w:rsidR="00574174">
        <w:rPr>
          <w:rFonts w:asciiTheme="majorHAnsi" w:hAnsiTheme="majorHAnsi"/>
          <w:color w:val="auto"/>
          <w:sz w:val="20"/>
          <w:szCs w:val="20"/>
          <w:lang w:val="en"/>
        </w:rPr>
        <w:t xml:space="preserve">public </w:t>
      </w:r>
      <w:r>
        <w:rPr>
          <w:rFonts w:asciiTheme="majorHAnsi" w:hAnsiTheme="majorHAnsi"/>
          <w:color w:val="auto"/>
          <w:sz w:val="20"/>
          <w:szCs w:val="20"/>
          <w:lang w:val="en"/>
        </w:rPr>
        <w:t>security. Therefore, officers accused of such offenses should be discharged through swift and adequate procedures.”</w:t>
      </w:r>
      <w:r>
        <w:rPr>
          <w:rFonts w:asciiTheme="majorHAnsi" w:hAnsiTheme="majorHAnsi"/>
          <w:color w:val="313131"/>
          <w:sz w:val="20"/>
          <w:szCs w:val="20"/>
          <w:lang w:val="en"/>
        </w:rPr>
        <w:t xml:space="preserve"> </w:t>
      </w:r>
      <w:r>
        <w:rPr>
          <w:rFonts w:asciiTheme="majorHAnsi" w:hAnsiTheme="majorHAnsi"/>
          <w:color w:val="auto"/>
          <w:sz w:val="20"/>
          <w:szCs w:val="20"/>
          <w:lang w:val="en"/>
        </w:rPr>
        <w:t>It stresses that this</w:t>
      </w:r>
      <w:r w:rsidR="00574174">
        <w:rPr>
          <w:rFonts w:asciiTheme="majorHAnsi" w:hAnsiTheme="majorHAnsi"/>
          <w:color w:val="auto"/>
          <w:sz w:val="20"/>
          <w:szCs w:val="20"/>
          <w:lang w:val="en"/>
        </w:rPr>
        <w:t xml:space="preserve">, as </w:t>
      </w:r>
      <w:r>
        <w:rPr>
          <w:rFonts w:asciiTheme="majorHAnsi" w:hAnsiTheme="majorHAnsi"/>
          <w:color w:val="auto"/>
          <w:sz w:val="20"/>
          <w:szCs w:val="20"/>
          <w:lang w:val="en"/>
        </w:rPr>
        <w:t xml:space="preserve">an established criterion of the Constitutional Court, </w:t>
      </w:r>
      <w:r w:rsidR="00574174">
        <w:rPr>
          <w:rFonts w:asciiTheme="majorHAnsi" w:hAnsiTheme="majorHAnsi"/>
          <w:color w:val="auto"/>
          <w:sz w:val="20"/>
          <w:szCs w:val="20"/>
          <w:lang w:val="en"/>
        </w:rPr>
        <w:t>is</w:t>
      </w:r>
      <w:r>
        <w:rPr>
          <w:rFonts w:asciiTheme="majorHAnsi" w:hAnsiTheme="majorHAnsi"/>
          <w:color w:val="auto"/>
          <w:sz w:val="20"/>
          <w:szCs w:val="20"/>
          <w:lang w:val="en"/>
        </w:rPr>
        <w:t xml:space="preserve"> deemed </w:t>
      </w:r>
      <w:r w:rsidR="00574174">
        <w:rPr>
          <w:rFonts w:asciiTheme="majorHAnsi" w:hAnsiTheme="majorHAnsi"/>
          <w:color w:val="auto"/>
          <w:sz w:val="20"/>
          <w:szCs w:val="20"/>
          <w:lang w:val="en"/>
        </w:rPr>
        <w:t xml:space="preserve">a </w:t>
      </w:r>
      <w:r>
        <w:rPr>
          <w:rFonts w:asciiTheme="majorHAnsi" w:hAnsiTheme="majorHAnsi"/>
          <w:color w:val="auto"/>
          <w:sz w:val="20"/>
          <w:szCs w:val="20"/>
          <w:lang w:val="en"/>
        </w:rPr>
        <w:t>“legal doctrine.”</w:t>
      </w:r>
      <w:r>
        <w:rPr>
          <w:rStyle w:val="FootnoteReference"/>
          <w:rFonts w:asciiTheme="majorHAnsi" w:hAnsiTheme="majorHAnsi"/>
          <w:color w:val="auto"/>
          <w:sz w:val="20"/>
          <w:szCs w:val="20"/>
          <w:lang w:val="en"/>
        </w:rPr>
        <w:footnoteReference w:id="5"/>
      </w:r>
      <w:r>
        <w:rPr>
          <w:rFonts w:asciiTheme="majorHAnsi" w:hAnsiTheme="majorHAnsi"/>
          <w:color w:val="auto"/>
          <w:sz w:val="20"/>
          <w:szCs w:val="20"/>
          <w:lang w:val="en"/>
        </w:rPr>
        <w:t xml:space="preserve"> </w:t>
      </w:r>
    </w:p>
    <w:p w14:paraId="075F9EC2" w14:textId="4BD67C52" w:rsidR="006A19D5" w:rsidRDefault="006A19D5" w:rsidP="006A19D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0" w:firstLine="709"/>
        <w:jc w:val="both"/>
        <w:rPr>
          <w:rFonts w:asciiTheme="majorHAnsi" w:hAnsiTheme="majorHAnsi"/>
          <w:sz w:val="20"/>
          <w:szCs w:val="20"/>
        </w:rPr>
      </w:pPr>
      <w:r>
        <w:rPr>
          <w:rFonts w:asciiTheme="majorHAnsi" w:hAnsiTheme="majorHAnsi"/>
          <w:sz w:val="20"/>
          <w:szCs w:val="20"/>
          <w:lang w:val="en"/>
        </w:rPr>
        <w:t xml:space="preserve">The State moreover alleges that the Commission </w:t>
      </w:r>
      <w:r w:rsidR="00621D49">
        <w:rPr>
          <w:rFonts w:asciiTheme="majorHAnsi" w:hAnsiTheme="majorHAnsi"/>
          <w:sz w:val="20"/>
          <w:szCs w:val="20"/>
          <w:lang w:val="en"/>
        </w:rPr>
        <w:t>is not competent</w:t>
      </w:r>
      <w:r>
        <w:rPr>
          <w:rFonts w:asciiTheme="majorHAnsi" w:hAnsiTheme="majorHAnsi"/>
          <w:sz w:val="20"/>
          <w:szCs w:val="20"/>
          <w:lang w:val="en"/>
        </w:rPr>
        <w:t xml:space="preserve"> to review a lawful judgment and that the petitioner seeks that the Commission work as</w:t>
      </w:r>
      <w:r w:rsidR="00405147">
        <w:rPr>
          <w:rFonts w:asciiTheme="majorHAnsi" w:hAnsiTheme="majorHAnsi"/>
          <w:sz w:val="20"/>
          <w:szCs w:val="20"/>
          <w:lang w:val="en"/>
        </w:rPr>
        <w:t xml:space="preserve"> a</w:t>
      </w:r>
      <w:r>
        <w:rPr>
          <w:rFonts w:asciiTheme="majorHAnsi" w:hAnsiTheme="majorHAnsi"/>
          <w:sz w:val="20"/>
          <w:szCs w:val="20"/>
          <w:lang w:val="en"/>
        </w:rPr>
        <w:t xml:space="preserve"> court of appeals, which violates the subsidiary character of the inter-American system. </w:t>
      </w:r>
    </w:p>
    <w:p w14:paraId="7A5A395C" w14:textId="77777777" w:rsidR="006A19D5" w:rsidRPr="00F2766A" w:rsidRDefault="006A19D5" w:rsidP="006A19D5">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72578A29" w14:textId="1598129F" w:rsidR="006A19D5" w:rsidRPr="00336D8A" w:rsidRDefault="006A19D5" w:rsidP="006A19D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0" w:firstLine="709"/>
        <w:jc w:val="both"/>
        <w:rPr>
          <w:rFonts w:asciiTheme="majorHAnsi" w:hAnsiTheme="majorHAnsi"/>
          <w:sz w:val="20"/>
          <w:szCs w:val="20"/>
        </w:rPr>
      </w:pPr>
      <w:r>
        <w:rPr>
          <w:rFonts w:asciiTheme="majorHAnsi" w:hAnsiTheme="majorHAnsi"/>
          <w:sz w:val="20"/>
          <w:szCs w:val="20"/>
          <w:lang w:val="en"/>
        </w:rPr>
        <w:t xml:space="preserve">The Commission believes that the final judgment regarding the petitioner’s dismissal was that issued by the constitutional court on July 26, 2007 </w:t>
      </w:r>
      <w:r w:rsidR="00574174">
        <w:rPr>
          <w:rFonts w:asciiTheme="majorHAnsi" w:hAnsiTheme="majorHAnsi"/>
          <w:sz w:val="20"/>
          <w:szCs w:val="20"/>
          <w:lang w:val="en"/>
        </w:rPr>
        <w:t xml:space="preserve">and </w:t>
      </w:r>
      <w:r>
        <w:rPr>
          <w:rFonts w:asciiTheme="majorHAnsi" w:hAnsiTheme="majorHAnsi"/>
          <w:sz w:val="20"/>
          <w:szCs w:val="20"/>
          <w:lang w:val="en"/>
        </w:rPr>
        <w:t xml:space="preserve">notified to the petitioner on December 5, 2007. The petition was filed to the Commission on June 5, 2008. Thus, the Commission finds that the instant petition meets the requirements </w:t>
      </w:r>
      <w:r w:rsidR="00574174">
        <w:rPr>
          <w:rFonts w:asciiTheme="majorHAnsi" w:hAnsiTheme="majorHAnsi"/>
          <w:sz w:val="20"/>
          <w:szCs w:val="20"/>
          <w:lang w:val="en"/>
        </w:rPr>
        <w:t>foreseen</w:t>
      </w:r>
      <w:r>
        <w:rPr>
          <w:rFonts w:asciiTheme="majorHAnsi" w:hAnsiTheme="majorHAnsi"/>
          <w:sz w:val="20"/>
          <w:szCs w:val="20"/>
          <w:lang w:val="en"/>
        </w:rPr>
        <w:t xml:space="preserve"> in Article 46.1 (a) and (b) of the Convention. </w:t>
      </w:r>
    </w:p>
    <w:p w14:paraId="235C3DF5" w14:textId="77777777" w:rsidR="006A19D5" w:rsidRPr="00336D8A" w:rsidRDefault="006A19D5" w:rsidP="006A19D5">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w:t>
      </w:r>
    </w:p>
    <w:p w14:paraId="24C1AB9C" w14:textId="50E9CA6A" w:rsidR="006A19D5" w:rsidRPr="009E7DBF" w:rsidRDefault="006A19D5" w:rsidP="006A19D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0" w:firstLine="709"/>
        <w:jc w:val="both"/>
        <w:rPr>
          <w:rFonts w:asciiTheme="majorHAnsi" w:hAnsiTheme="majorHAnsi"/>
          <w:sz w:val="20"/>
          <w:szCs w:val="20"/>
        </w:rPr>
      </w:pPr>
      <w:r>
        <w:rPr>
          <w:rFonts w:asciiTheme="majorHAnsi" w:hAnsiTheme="majorHAnsi"/>
          <w:sz w:val="20"/>
          <w:szCs w:val="20"/>
          <w:lang w:val="en"/>
        </w:rPr>
        <w:t xml:space="preserve">In view of the factual and legal elements submitted by the parties and the nature of the matter brought </w:t>
      </w:r>
      <w:r w:rsidR="00BC24FF">
        <w:rPr>
          <w:rFonts w:asciiTheme="majorHAnsi" w:hAnsiTheme="majorHAnsi"/>
          <w:sz w:val="20"/>
          <w:szCs w:val="20"/>
          <w:lang w:val="en"/>
        </w:rPr>
        <w:t>to</w:t>
      </w:r>
      <w:r>
        <w:rPr>
          <w:rFonts w:asciiTheme="majorHAnsi" w:hAnsiTheme="majorHAnsi"/>
          <w:sz w:val="20"/>
          <w:szCs w:val="20"/>
          <w:lang w:val="en"/>
        </w:rPr>
        <w:t xml:space="preserve"> its attention, the Commission deems that, if proven, the petitioner’s claims of his dismissal without the prior administrative trial required by the law and the institutional rules may establish violations of Articles 8 (fair trial), 25 (judicial protection), and 26 (economic, social and cultural rights) of the American Convention in connection with its Articles 1.1 (obligation to respect rights) and 2 (domestic legal effects).</w:t>
      </w:r>
      <w:r>
        <w:rPr>
          <w:rStyle w:val="FootnoteReference"/>
          <w:rFonts w:asciiTheme="majorHAnsi" w:hAnsiTheme="majorHAnsi"/>
          <w:sz w:val="20"/>
          <w:szCs w:val="20"/>
          <w:lang w:val="en"/>
        </w:rPr>
        <w:footnoteReference w:id="6"/>
      </w:r>
      <w:r>
        <w:rPr>
          <w:rFonts w:asciiTheme="majorHAnsi" w:hAnsiTheme="majorHAnsi"/>
          <w:sz w:val="20"/>
          <w:szCs w:val="20"/>
          <w:lang w:val="en"/>
        </w:rPr>
        <w:t xml:space="preserve"> The Commission observes that according to the </w:t>
      </w:r>
      <w:r w:rsidR="00DD1BD4">
        <w:rPr>
          <w:rFonts w:asciiTheme="majorHAnsi" w:hAnsiTheme="majorHAnsi"/>
          <w:sz w:val="20"/>
          <w:szCs w:val="20"/>
          <w:lang w:val="en"/>
        </w:rPr>
        <w:t xml:space="preserve">national courts’ </w:t>
      </w:r>
      <w:r>
        <w:rPr>
          <w:rFonts w:asciiTheme="majorHAnsi" w:hAnsiTheme="majorHAnsi"/>
          <w:sz w:val="20"/>
          <w:szCs w:val="20"/>
          <w:lang w:val="en"/>
        </w:rPr>
        <w:t>final resolution, the petitioner</w:t>
      </w:r>
      <w:r w:rsidR="00410FA0">
        <w:rPr>
          <w:rFonts w:asciiTheme="majorHAnsi" w:hAnsiTheme="majorHAnsi"/>
          <w:sz w:val="20"/>
          <w:szCs w:val="20"/>
          <w:lang w:val="en"/>
        </w:rPr>
        <w:t>’s job at</w:t>
      </w:r>
      <w:r>
        <w:rPr>
          <w:rFonts w:asciiTheme="majorHAnsi" w:hAnsiTheme="majorHAnsi"/>
          <w:sz w:val="20"/>
          <w:szCs w:val="20"/>
          <w:lang w:val="en"/>
        </w:rPr>
        <w:t xml:space="preserve"> the security forces</w:t>
      </w:r>
      <w:r w:rsidR="00410FA0">
        <w:rPr>
          <w:rFonts w:asciiTheme="majorHAnsi" w:hAnsiTheme="majorHAnsi"/>
          <w:sz w:val="20"/>
          <w:szCs w:val="20"/>
          <w:lang w:val="en"/>
        </w:rPr>
        <w:t xml:space="preserve"> entailed</w:t>
      </w:r>
      <w:r>
        <w:rPr>
          <w:rFonts w:asciiTheme="majorHAnsi" w:hAnsiTheme="majorHAnsi"/>
          <w:sz w:val="20"/>
          <w:szCs w:val="20"/>
          <w:lang w:val="en"/>
        </w:rPr>
        <w:t xml:space="preserve"> </w:t>
      </w:r>
      <w:r w:rsidR="00410FA0">
        <w:rPr>
          <w:rFonts w:asciiTheme="majorHAnsi" w:hAnsiTheme="majorHAnsi"/>
          <w:sz w:val="20"/>
          <w:szCs w:val="20"/>
          <w:lang w:val="en"/>
        </w:rPr>
        <w:t>his exclusion</w:t>
      </w:r>
      <w:r>
        <w:rPr>
          <w:rFonts w:asciiTheme="majorHAnsi" w:hAnsiTheme="majorHAnsi"/>
          <w:sz w:val="20"/>
          <w:szCs w:val="20"/>
          <w:lang w:val="en"/>
        </w:rPr>
        <w:t xml:space="preserve"> from the requirement of prior administrative trial applicable to other state workers and the protection that the Labor Code provides to workers involved in a collective bargaining process with their employer. In the merits stage, the Commission will examine if this differential treatment toward the petitioner based on his duties conformed to the requirement of Article 24 (equal protection) of the American Convention. Similarly, and based on the jurisprudence of the Inter-American Court, the Commission will analyze in the merits stage if the ground</w:t>
      </w:r>
      <w:r w:rsidR="00A41466">
        <w:rPr>
          <w:rFonts w:asciiTheme="majorHAnsi" w:hAnsiTheme="majorHAnsi"/>
          <w:sz w:val="20"/>
          <w:szCs w:val="20"/>
          <w:lang w:val="en"/>
        </w:rPr>
        <w:t>s</w:t>
      </w:r>
      <w:r>
        <w:rPr>
          <w:rFonts w:asciiTheme="majorHAnsi" w:hAnsiTheme="majorHAnsi"/>
          <w:sz w:val="20"/>
          <w:szCs w:val="20"/>
          <w:lang w:val="en"/>
        </w:rPr>
        <w:t xml:space="preserve"> for the petitioner’s dismissal, </w:t>
      </w:r>
      <w:r>
        <w:rPr>
          <w:rFonts w:asciiTheme="majorHAnsi" w:hAnsiTheme="majorHAnsi"/>
          <w:color w:val="auto"/>
          <w:sz w:val="20"/>
          <w:szCs w:val="20"/>
          <w:lang w:val="en"/>
        </w:rPr>
        <w:t>“acts that without being criminal offenses, seriously harm</w:t>
      </w:r>
      <w:r>
        <w:rPr>
          <w:rFonts w:asciiTheme="majorHAnsi" w:hAnsiTheme="majorHAnsi"/>
          <w:sz w:val="20"/>
          <w:szCs w:val="20"/>
          <w:lang w:val="en"/>
        </w:rPr>
        <w:t xml:space="preserve"> </w:t>
      </w:r>
      <w:r>
        <w:rPr>
          <w:rFonts w:asciiTheme="majorHAnsi" w:hAnsiTheme="majorHAnsi"/>
          <w:color w:val="auto"/>
          <w:sz w:val="20"/>
          <w:szCs w:val="20"/>
          <w:lang w:val="en"/>
        </w:rPr>
        <w:t xml:space="preserve">the institution or bring it into disrepute,” meet the requirements set out in Article 9 (freedom from </w:t>
      </w:r>
      <w:r w:rsidRPr="00DD1BD4">
        <w:rPr>
          <w:rFonts w:asciiTheme="majorHAnsi" w:hAnsiTheme="majorHAnsi"/>
          <w:i/>
          <w:iCs/>
          <w:color w:val="auto"/>
          <w:sz w:val="20"/>
          <w:szCs w:val="20"/>
          <w:lang w:val="en"/>
        </w:rPr>
        <w:t>ex post facto</w:t>
      </w:r>
      <w:r>
        <w:rPr>
          <w:rFonts w:asciiTheme="majorHAnsi" w:hAnsiTheme="majorHAnsi"/>
          <w:color w:val="auto"/>
          <w:sz w:val="20"/>
          <w:szCs w:val="20"/>
          <w:lang w:val="en"/>
        </w:rPr>
        <w:t xml:space="preserve"> laws)</w:t>
      </w:r>
      <w:r>
        <w:rPr>
          <w:rStyle w:val="FootnoteReference"/>
          <w:rFonts w:asciiTheme="majorHAnsi" w:hAnsiTheme="majorHAnsi"/>
          <w:color w:val="auto"/>
          <w:sz w:val="20"/>
          <w:szCs w:val="20"/>
          <w:lang w:val="en"/>
        </w:rPr>
        <w:footnoteReference w:id="7"/>
      </w:r>
      <w:r>
        <w:rPr>
          <w:rFonts w:asciiTheme="majorHAnsi" w:hAnsiTheme="majorHAnsi"/>
          <w:color w:val="auto"/>
          <w:sz w:val="20"/>
          <w:szCs w:val="20"/>
          <w:lang w:val="en"/>
        </w:rPr>
        <w:t xml:space="preserve"> of the American Convention.</w:t>
      </w:r>
      <w:r w:rsidR="00DD1BD4">
        <w:rPr>
          <w:rFonts w:asciiTheme="majorHAnsi" w:hAnsiTheme="majorHAnsi"/>
          <w:color w:val="auto"/>
          <w:sz w:val="20"/>
          <w:szCs w:val="20"/>
          <w:lang w:val="en"/>
        </w:rPr>
        <w:t xml:space="preserve"> </w:t>
      </w:r>
    </w:p>
    <w:p w14:paraId="34E13DB7" w14:textId="5CD0A710" w:rsidR="006A19D5" w:rsidRPr="009E7DBF" w:rsidRDefault="006A19D5" w:rsidP="006A19D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0" w:firstLine="709"/>
        <w:jc w:val="both"/>
        <w:rPr>
          <w:rFonts w:asciiTheme="majorHAnsi" w:hAnsiTheme="majorHAnsi"/>
          <w:sz w:val="20"/>
          <w:szCs w:val="20"/>
        </w:rPr>
      </w:pPr>
      <w:r>
        <w:rPr>
          <w:rFonts w:cs="Calibri"/>
          <w:sz w:val="20"/>
          <w:szCs w:val="20"/>
          <w:lang w:val="en"/>
        </w:rPr>
        <w:t>As for the claims submitted by the State regarding a</w:t>
      </w:r>
      <w:r w:rsidR="00341B0E">
        <w:rPr>
          <w:rFonts w:cs="Calibri"/>
          <w:sz w:val="20"/>
          <w:szCs w:val="20"/>
          <w:lang w:val="en"/>
        </w:rPr>
        <w:t xml:space="preserve"> court of</w:t>
      </w:r>
      <w:r>
        <w:rPr>
          <w:rFonts w:cs="Calibri"/>
          <w:sz w:val="20"/>
          <w:szCs w:val="20"/>
          <w:lang w:val="en"/>
        </w:rPr>
        <w:t xml:space="preserve"> fourth instance, the Commission recognizes its lack of competence to review judgments passed by national courts acting within the scope of their jurisdiction in conformity with due process and judicial guarantees. Nonetheless, it reiterates that under its mandate, the Commission is competent to declare a petition admissible and rule on the merits when it concerns domestic proceedings that may </w:t>
      </w:r>
      <w:r w:rsidR="002E6219">
        <w:rPr>
          <w:rFonts w:cs="Calibri"/>
          <w:sz w:val="20"/>
          <w:szCs w:val="20"/>
          <w:lang w:val="en"/>
        </w:rPr>
        <w:t>violate</w:t>
      </w:r>
      <w:r>
        <w:rPr>
          <w:rFonts w:cs="Calibri"/>
          <w:sz w:val="20"/>
          <w:szCs w:val="20"/>
          <w:lang w:val="en"/>
        </w:rPr>
        <w:t xml:space="preserve"> rights protected by the American Convention. </w:t>
      </w:r>
    </w:p>
    <w:p w14:paraId="4009583E" w14:textId="77777777" w:rsidR="006A19D5" w:rsidRPr="009E7DBF" w:rsidRDefault="006A19D5" w:rsidP="006A19D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709"/>
        <w:jc w:val="both"/>
        <w:rPr>
          <w:rFonts w:asciiTheme="majorHAnsi" w:hAnsiTheme="majorHAnsi"/>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418B164B" w14:textId="77777777" w:rsidR="006A19D5" w:rsidRPr="00283EB0" w:rsidRDefault="006A19D5" w:rsidP="006A19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To declare this petition admissible regarding Articles 8, 9, 24, 25, and 26 of the American Convention in accordance with its Articles 1.1 and 2; and </w:t>
      </w:r>
    </w:p>
    <w:p w14:paraId="535F5BF9" w14:textId="19AAEB4C" w:rsidR="003053BF" w:rsidRPr="003053BF" w:rsidRDefault="006A19D5" w:rsidP="006A19D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rFonts w:asciiTheme="majorHAnsi" w:hAnsiTheme="majorHAnsi"/>
          <w:sz w:val="20"/>
          <w:szCs w:val="20"/>
          <w:lang w:val="en"/>
        </w:rPr>
        <w:t>To notify the parties of this decision; to continue with the analysis on the merits</w:t>
      </w:r>
      <w:r w:rsidR="00405147">
        <w:rPr>
          <w:rFonts w:asciiTheme="majorHAnsi" w:hAnsiTheme="majorHAnsi"/>
          <w:sz w:val="20"/>
          <w:szCs w:val="20"/>
          <w:lang w:val="en"/>
        </w:rPr>
        <w:t>,</w:t>
      </w:r>
      <w:r>
        <w:rPr>
          <w:rFonts w:asciiTheme="majorHAnsi" w:hAnsiTheme="majorHAnsi"/>
          <w:sz w:val="20"/>
          <w:szCs w:val="20"/>
          <w:lang w:val="en"/>
        </w:rPr>
        <w:t xml:space="preserve"> and to publish this decision and include it in its Annual Report to the General Assembly of the Organization of American States.</w:t>
      </w:r>
      <w:r w:rsidR="003053BF">
        <w:rPr>
          <w:rFonts w:asciiTheme="majorHAnsi" w:hAnsiTheme="majorHAnsi"/>
          <w:sz w:val="20"/>
          <w:szCs w:val="20"/>
        </w:rPr>
        <w:t xml:space="preserve"> </w:t>
      </w:r>
    </w:p>
    <w:p w14:paraId="49C91919"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D4A60E"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AB3FC" w14:textId="77777777" w:rsidR="00116737" w:rsidRDefault="00116737" w:rsidP="00036A8A">
      <w:r>
        <w:separator/>
      </w:r>
    </w:p>
  </w:endnote>
  <w:endnote w:type="continuationSeparator" w:id="0">
    <w:p w14:paraId="63D077C1" w14:textId="77777777" w:rsidR="00116737" w:rsidRDefault="0011673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76ACF" w14:textId="77777777" w:rsidR="00FE039F" w:rsidRDefault="00FE0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76A4D9E6"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E039F">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4DE26" w14:textId="77777777" w:rsidR="00116737" w:rsidRPr="00036A8A" w:rsidRDefault="0011673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8BD366A" w14:textId="77777777" w:rsidR="00116737" w:rsidRPr="00036A8A" w:rsidRDefault="00116737" w:rsidP="00036A8A">
      <w:pPr>
        <w:rPr>
          <w:rFonts w:asciiTheme="majorHAnsi" w:hAnsiTheme="majorHAnsi"/>
          <w:sz w:val="16"/>
          <w:szCs w:val="16"/>
        </w:rPr>
      </w:pPr>
      <w:r w:rsidRPr="00036A8A">
        <w:rPr>
          <w:rFonts w:asciiTheme="majorHAnsi" w:hAnsiTheme="majorHAnsi"/>
          <w:sz w:val="16"/>
          <w:szCs w:val="16"/>
        </w:rPr>
        <w:separator/>
      </w:r>
    </w:p>
    <w:p w14:paraId="4DDD6091" w14:textId="77777777" w:rsidR="00116737" w:rsidRPr="00036A8A" w:rsidRDefault="0011673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A8F86AD" w14:textId="77777777" w:rsidR="00116737" w:rsidRPr="0093441A" w:rsidRDefault="00116737"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A82DE66" w14:textId="5F9E8DDF" w:rsidR="00D91448" w:rsidRPr="006A19D5" w:rsidRDefault="00D91448" w:rsidP="006A19D5">
      <w:pPr>
        <w:pStyle w:val="FootnoteText"/>
        <w:ind w:firstLine="709"/>
        <w:rPr>
          <w:rFonts w:asciiTheme="majorHAnsi" w:hAnsiTheme="majorHAnsi"/>
          <w:sz w:val="16"/>
          <w:szCs w:val="16"/>
        </w:rPr>
      </w:pPr>
      <w:r w:rsidRPr="006A19D5">
        <w:rPr>
          <w:rStyle w:val="FootnoteReference"/>
          <w:rFonts w:asciiTheme="majorHAnsi" w:hAnsiTheme="majorHAnsi"/>
          <w:sz w:val="16"/>
          <w:szCs w:val="16"/>
        </w:rPr>
        <w:footnoteRef/>
      </w:r>
      <w:r w:rsidRPr="006A19D5">
        <w:rPr>
          <w:rFonts w:asciiTheme="majorHAnsi" w:hAnsiTheme="majorHAnsi"/>
          <w:sz w:val="16"/>
          <w:szCs w:val="16"/>
        </w:rPr>
        <w:t xml:space="preserve"> </w:t>
      </w:r>
      <w:proofErr w:type="gramStart"/>
      <w:r w:rsidRPr="006A19D5">
        <w:rPr>
          <w:rFonts w:asciiTheme="majorHAnsi" w:hAnsiTheme="majorHAnsi"/>
          <w:sz w:val="16"/>
          <w:szCs w:val="16"/>
        </w:rPr>
        <w:t>Hereinafter, “American Convention” or “Convention.”</w:t>
      </w:r>
      <w:proofErr w:type="gramEnd"/>
    </w:p>
  </w:footnote>
  <w:footnote w:id="3">
    <w:p w14:paraId="55774E34" w14:textId="77777777" w:rsidR="00653EA6" w:rsidRPr="006A19D5" w:rsidRDefault="00653EA6" w:rsidP="006A19D5">
      <w:pPr>
        <w:pStyle w:val="FootnoteText"/>
        <w:ind w:firstLine="709"/>
        <w:jc w:val="both"/>
        <w:rPr>
          <w:rFonts w:asciiTheme="majorHAnsi" w:hAnsiTheme="majorHAnsi"/>
          <w:sz w:val="16"/>
          <w:szCs w:val="16"/>
        </w:rPr>
      </w:pPr>
      <w:r w:rsidRPr="006A19D5">
        <w:rPr>
          <w:rStyle w:val="FootnoteReference"/>
          <w:rFonts w:asciiTheme="majorHAnsi" w:hAnsiTheme="majorHAnsi"/>
          <w:sz w:val="16"/>
          <w:szCs w:val="16"/>
        </w:rPr>
        <w:footnoteRef/>
      </w:r>
      <w:r w:rsidRPr="006A19D5">
        <w:rPr>
          <w:rFonts w:asciiTheme="majorHAnsi" w:hAnsiTheme="majorHAnsi"/>
          <w:sz w:val="16"/>
          <w:szCs w:val="16"/>
        </w:rPr>
        <w:t xml:space="preserve"> The observations </w:t>
      </w:r>
      <w:r w:rsidR="00321AFD" w:rsidRPr="006A19D5">
        <w:rPr>
          <w:rFonts w:asciiTheme="majorHAnsi" w:hAnsiTheme="majorHAnsi"/>
          <w:sz w:val="16"/>
          <w:szCs w:val="16"/>
        </w:rPr>
        <w:t>submitted</w:t>
      </w:r>
      <w:r w:rsidRPr="006A19D5">
        <w:rPr>
          <w:rFonts w:asciiTheme="majorHAnsi" w:hAnsiTheme="majorHAnsi"/>
          <w:sz w:val="16"/>
          <w:szCs w:val="16"/>
        </w:rPr>
        <w:t xml:space="preserve"> by each party were duly transmitted to the opposing party.</w:t>
      </w:r>
    </w:p>
  </w:footnote>
  <w:footnote w:id="4">
    <w:p w14:paraId="1619F9C1" w14:textId="1AE21AAE" w:rsidR="006A19D5" w:rsidRPr="006A19D5" w:rsidRDefault="006A19D5" w:rsidP="006A19D5">
      <w:pPr>
        <w:pStyle w:val="FootnoteText"/>
        <w:ind w:firstLine="720"/>
        <w:jc w:val="both"/>
        <w:rPr>
          <w:rFonts w:asciiTheme="majorHAnsi" w:hAnsiTheme="majorHAnsi"/>
          <w:sz w:val="16"/>
          <w:szCs w:val="16"/>
        </w:rPr>
      </w:pPr>
      <w:r w:rsidRPr="006A19D5">
        <w:rPr>
          <w:rStyle w:val="FootnoteReference"/>
          <w:rFonts w:asciiTheme="majorHAnsi" w:hAnsiTheme="majorHAnsi"/>
          <w:sz w:val="16"/>
          <w:szCs w:val="16"/>
          <w:lang w:val="en"/>
        </w:rPr>
        <w:footnoteRef/>
      </w:r>
      <w:r w:rsidRPr="006A19D5">
        <w:rPr>
          <w:rFonts w:asciiTheme="majorHAnsi" w:hAnsiTheme="majorHAnsi"/>
          <w:sz w:val="16"/>
          <w:szCs w:val="16"/>
          <w:lang w:val="en"/>
        </w:rPr>
        <w:t xml:space="preserve"> Then, on March 29, 2007, the Constitutional Court declared the unconstitutionality of article 4.c.1 of the Unionization and Regulation of Strikes by State Workers Act on deeming it contrary to the equality principle that these workers are excluded from the protection given to private</w:t>
      </w:r>
      <w:r w:rsidR="00603A63">
        <w:rPr>
          <w:rFonts w:asciiTheme="majorHAnsi" w:hAnsiTheme="majorHAnsi"/>
          <w:sz w:val="16"/>
          <w:szCs w:val="16"/>
          <w:lang w:val="en"/>
        </w:rPr>
        <w:t>-</w:t>
      </w:r>
      <w:r w:rsidRPr="006A19D5">
        <w:rPr>
          <w:rFonts w:asciiTheme="majorHAnsi" w:hAnsiTheme="majorHAnsi"/>
          <w:sz w:val="16"/>
          <w:szCs w:val="16"/>
          <w:lang w:val="en"/>
        </w:rPr>
        <w:t>sector workers in case of collective labor disputes.</w:t>
      </w:r>
    </w:p>
  </w:footnote>
  <w:footnote w:id="5">
    <w:p w14:paraId="7D8F10FD" w14:textId="1367945F" w:rsidR="006A19D5" w:rsidRPr="006A19D5" w:rsidRDefault="006A19D5" w:rsidP="006A19D5">
      <w:pPr>
        <w:pStyle w:val="FootnoteText"/>
        <w:ind w:firstLine="720"/>
        <w:jc w:val="both"/>
        <w:rPr>
          <w:rFonts w:asciiTheme="majorHAnsi" w:hAnsiTheme="majorHAnsi"/>
          <w:sz w:val="16"/>
          <w:szCs w:val="16"/>
        </w:rPr>
      </w:pPr>
      <w:r w:rsidRPr="006A19D5">
        <w:rPr>
          <w:rStyle w:val="FootnoteReference"/>
          <w:rFonts w:asciiTheme="majorHAnsi" w:hAnsiTheme="majorHAnsi"/>
          <w:sz w:val="16"/>
          <w:szCs w:val="16"/>
          <w:lang w:val="en"/>
        </w:rPr>
        <w:footnoteRef/>
      </w:r>
      <w:r w:rsidRPr="006A19D5">
        <w:rPr>
          <w:rFonts w:asciiTheme="majorHAnsi" w:hAnsiTheme="majorHAnsi"/>
          <w:sz w:val="16"/>
          <w:szCs w:val="16"/>
          <w:lang w:val="en"/>
        </w:rPr>
        <w:t xml:space="preserve"> The State cites article 43 of the Law o</w:t>
      </w:r>
      <w:r w:rsidR="00470BF8">
        <w:rPr>
          <w:rFonts w:asciiTheme="majorHAnsi" w:hAnsiTheme="majorHAnsi"/>
          <w:sz w:val="16"/>
          <w:szCs w:val="16"/>
          <w:lang w:val="en"/>
        </w:rPr>
        <w:t>f</w:t>
      </w:r>
      <w:r w:rsidRPr="006A19D5">
        <w:rPr>
          <w:rFonts w:asciiTheme="majorHAnsi" w:hAnsiTheme="majorHAnsi"/>
          <w:sz w:val="16"/>
          <w:szCs w:val="16"/>
          <w:lang w:val="en"/>
        </w:rPr>
        <w:t xml:space="preserve"> Amparo, Habeas Corpus, and Constitutionality, which reads as follows: “The interpretation of the norms of the Constitution and other laws contained in the judgments of the Constitutional Court will establish a legal doctrine which courts must respect when the same Court has ruled in the same way thrice. However, the Constitutional Court may depart from its jurisprudence, following a reasoned analysis for the change, in which case other courts are not obliged to apply this change unless the Constitutional Court passes three similar judgments.”</w:t>
      </w:r>
    </w:p>
  </w:footnote>
  <w:footnote w:id="6">
    <w:p w14:paraId="748BBCBB" w14:textId="77777777" w:rsidR="006A19D5" w:rsidRPr="006A19D5" w:rsidRDefault="006A19D5" w:rsidP="006A19D5">
      <w:pPr>
        <w:pStyle w:val="FootnoteText"/>
        <w:ind w:firstLine="720"/>
        <w:jc w:val="both"/>
        <w:rPr>
          <w:rFonts w:asciiTheme="majorHAnsi" w:hAnsiTheme="majorHAnsi"/>
          <w:sz w:val="16"/>
          <w:szCs w:val="16"/>
        </w:rPr>
      </w:pPr>
      <w:r w:rsidRPr="006A19D5">
        <w:rPr>
          <w:rStyle w:val="FootnoteReference"/>
          <w:rFonts w:asciiTheme="majorHAnsi" w:hAnsiTheme="majorHAnsi"/>
          <w:sz w:val="16"/>
          <w:szCs w:val="16"/>
          <w:lang w:val="en"/>
        </w:rPr>
        <w:footnoteRef/>
      </w:r>
      <w:r w:rsidRPr="006A19D5">
        <w:rPr>
          <w:rFonts w:asciiTheme="majorHAnsi" w:hAnsiTheme="majorHAnsi"/>
          <w:sz w:val="16"/>
          <w:szCs w:val="16"/>
          <w:lang w:val="en"/>
        </w:rPr>
        <w:t xml:space="preserve"> The Commission recalls that in the past it admitted for a report on the merits a similar case regarding a PNC member purportedly dismissed without due process “for acts that seriously harm the National Civil Police or bring it into disrepute.” (IACHR, Report No. 72/19. </w:t>
      </w:r>
      <w:proofErr w:type="gramStart"/>
      <w:r w:rsidRPr="006A19D5">
        <w:rPr>
          <w:rFonts w:asciiTheme="majorHAnsi" w:hAnsiTheme="majorHAnsi"/>
          <w:sz w:val="16"/>
          <w:szCs w:val="16"/>
          <w:lang w:val="en"/>
        </w:rPr>
        <w:t>Petition 14-09.</w:t>
      </w:r>
      <w:proofErr w:type="gramEnd"/>
      <w:r w:rsidRPr="006A19D5">
        <w:rPr>
          <w:rFonts w:asciiTheme="majorHAnsi" w:hAnsiTheme="majorHAnsi"/>
          <w:sz w:val="16"/>
          <w:szCs w:val="16"/>
          <w:lang w:val="en"/>
        </w:rPr>
        <w:t xml:space="preserve"> </w:t>
      </w:r>
      <w:proofErr w:type="gramStart"/>
      <w:r w:rsidRPr="006A19D5">
        <w:rPr>
          <w:rFonts w:asciiTheme="majorHAnsi" w:hAnsiTheme="majorHAnsi"/>
          <w:sz w:val="16"/>
          <w:szCs w:val="16"/>
          <w:lang w:val="en"/>
        </w:rPr>
        <w:t>Admissibility.</w:t>
      </w:r>
      <w:proofErr w:type="gramEnd"/>
      <w:r w:rsidRPr="006A19D5">
        <w:rPr>
          <w:rFonts w:asciiTheme="majorHAnsi" w:hAnsiTheme="majorHAnsi"/>
          <w:sz w:val="16"/>
          <w:szCs w:val="16"/>
          <w:lang w:val="en"/>
        </w:rPr>
        <w:t xml:space="preserve"> Luis Armando Castillo Osorio. Guatemala. May 17, 2019).</w:t>
      </w:r>
    </w:p>
  </w:footnote>
  <w:footnote w:id="7">
    <w:p w14:paraId="2FD457D5" w14:textId="1C472CBF" w:rsidR="006A19D5" w:rsidRPr="006A19D5" w:rsidRDefault="006A19D5" w:rsidP="006A19D5">
      <w:pPr>
        <w:pStyle w:val="FootnoteText"/>
        <w:ind w:firstLine="720"/>
        <w:jc w:val="both"/>
        <w:rPr>
          <w:rFonts w:asciiTheme="majorHAnsi" w:hAnsiTheme="majorHAnsi"/>
          <w:sz w:val="16"/>
          <w:szCs w:val="16"/>
        </w:rPr>
      </w:pPr>
      <w:r w:rsidRPr="006A19D5">
        <w:rPr>
          <w:rStyle w:val="FootnoteReference"/>
          <w:rFonts w:asciiTheme="majorHAnsi" w:hAnsiTheme="majorHAnsi"/>
          <w:sz w:val="16"/>
          <w:szCs w:val="16"/>
          <w:lang w:val="en"/>
        </w:rPr>
        <w:footnoteRef/>
      </w:r>
      <w:r w:rsidRPr="006A19D5">
        <w:rPr>
          <w:rFonts w:asciiTheme="majorHAnsi" w:hAnsiTheme="majorHAnsi"/>
          <w:sz w:val="16"/>
          <w:szCs w:val="16"/>
          <w:lang w:val="en"/>
        </w:rPr>
        <w:t xml:space="preserve"> The Commission recalls that the Inter-American Court has recognized the applicability of Article 9 (freedom from </w:t>
      </w:r>
      <w:r w:rsidRPr="00DD1BD4">
        <w:rPr>
          <w:rFonts w:asciiTheme="majorHAnsi" w:hAnsiTheme="majorHAnsi"/>
          <w:i/>
          <w:iCs/>
          <w:sz w:val="16"/>
          <w:szCs w:val="16"/>
          <w:lang w:val="en"/>
        </w:rPr>
        <w:t>ex post facto</w:t>
      </w:r>
      <w:r w:rsidRPr="006A19D5">
        <w:rPr>
          <w:rFonts w:asciiTheme="majorHAnsi" w:hAnsiTheme="majorHAnsi"/>
          <w:sz w:val="16"/>
          <w:szCs w:val="16"/>
          <w:lang w:val="en"/>
        </w:rPr>
        <w:t xml:space="preserve"> laws) of the American Convention to matters pertaining to disciplinary sanctions and established that “[t]</w:t>
      </w:r>
      <w:proofErr w:type="spellStart"/>
      <w:r w:rsidRPr="006A19D5">
        <w:rPr>
          <w:rFonts w:asciiTheme="majorHAnsi" w:hAnsiTheme="majorHAnsi"/>
          <w:sz w:val="16"/>
          <w:szCs w:val="16"/>
          <w:lang w:val="en"/>
        </w:rPr>
        <w:t>aking</w:t>
      </w:r>
      <w:proofErr w:type="spellEnd"/>
      <w:r w:rsidRPr="006A19D5">
        <w:rPr>
          <w:rFonts w:asciiTheme="majorHAnsi" w:hAnsiTheme="majorHAnsi"/>
          <w:sz w:val="16"/>
          <w:szCs w:val="16"/>
          <w:lang w:val="en"/>
        </w:rPr>
        <w:t xml:space="preserve"> into account that dismissal or removal from office is the most restrictive and severe disciplinary measure that can be adopted, the possibility of its application must be predictable, either because the punishable conduct is expressly and clearly established, precisely, clearly and previously, by law, or because the law delegates its imposition to the judge or to an infra-legal norm, under objective criteria that limit the scope of discretion.” </w:t>
      </w:r>
      <w:r w:rsidRPr="006A19D5">
        <w:rPr>
          <w:rFonts w:asciiTheme="majorHAnsi" w:hAnsiTheme="majorHAnsi"/>
          <w:sz w:val="16"/>
          <w:szCs w:val="16"/>
          <w:bdr w:val="none" w:sz="0" w:space="0" w:color="auto" w:frame="1"/>
          <w:lang w:val="en"/>
        </w:rPr>
        <w:t xml:space="preserve">(I/A Court H.R., Case of López Lone </w:t>
      </w:r>
      <w:r w:rsidRPr="006A19D5">
        <w:rPr>
          <w:rFonts w:asciiTheme="majorHAnsi" w:hAnsiTheme="majorHAnsi"/>
          <w:i/>
          <w:iCs/>
          <w:sz w:val="16"/>
          <w:szCs w:val="16"/>
          <w:bdr w:val="none" w:sz="0" w:space="0" w:color="auto" w:frame="1"/>
          <w:lang w:val="en"/>
        </w:rPr>
        <w:t>et al</w:t>
      </w:r>
      <w:r w:rsidRPr="006A19D5">
        <w:rPr>
          <w:rFonts w:asciiTheme="majorHAnsi" w:hAnsiTheme="majorHAnsi"/>
          <w:sz w:val="16"/>
          <w:szCs w:val="16"/>
          <w:bdr w:val="none" w:sz="0" w:space="0" w:color="auto" w:frame="1"/>
          <w:lang w:val="en"/>
        </w:rPr>
        <w:t xml:space="preserve">. v. Honduras. </w:t>
      </w:r>
      <w:proofErr w:type="gramStart"/>
      <w:r w:rsidRPr="006A19D5">
        <w:rPr>
          <w:rFonts w:asciiTheme="majorHAnsi" w:hAnsiTheme="majorHAnsi"/>
          <w:sz w:val="16"/>
          <w:szCs w:val="16"/>
          <w:bdr w:val="none" w:sz="0" w:space="0" w:color="auto" w:frame="1"/>
          <w:lang w:val="en"/>
        </w:rPr>
        <w:t>Preliminary Objection, Merits, Reparations</w:t>
      </w:r>
      <w:r w:rsidR="00345FE8">
        <w:rPr>
          <w:rFonts w:asciiTheme="majorHAnsi" w:hAnsiTheme="majorHAnsi"/>
          <w:sz w:val="16"/>
          <w:szCs w:val="16"/>
          <w:bdr w:val="none" w:sz="0" w:space="0" w:color="auto" w:frame="1"/>
          <w:lang w:val="en"/>
        </w:rPr>
        <w:t>,</w:t>
      </w:r>
      <w:r w:rsidRPr="006A19D5">
        <w:rPr>
          <w:rFonts w:asciiTheme="majorHAnsi" w:hAnsiTheme="majorHAnsi"/>
          <w:sz w:val="16"/>
          <w:szCs w:val="16"/>
          <w:bdr w:val="none" w:sz="0" w:space="0" w:color="auto" w:frame="1"/>
          <w:lang w:val="en"/>
        </w:rPr>
        <w:t xml:space="preserve"> and Costs.</w:t>
      </w:r>
      <w:proofErr w:type="gramEnd"/>
      <w:r w:rsidRPr="006A19D5">
        <w:rPr>
          <w:rFonts w:asciiTheme="majorHAnsi" w:hAnsiTheme="majorHAnsi"/>
          <w:sz w:val="16"/>
          <w:szCs w:val="16"/>
          <w:bdr w:val="none" w:sz="0" w:space="0" w:color="auto" w:frame="1"/>
          <w:lang w:val="en"/>
        </w:rPr>
        <w:t xml:space="preserve"> Judgment of October 5, 2015. Series C No. 302, paras. 257-259).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116737"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AD8DA" w14:textId="77777777" w:rsidR="00FE039F" w:rsidRDefault="00FE0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872792"/>
    <w:multiLevelType w:val="hybridMultilevel"/>
    <w:tmpl w:val="7334F392"/>
    <w:lvl w:ilvl="0" w:tplc="DF9281A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6"/>
  </w:num>
  <w:num w:numId="102">
    <w:abstractNumId w:val="50"/>
  </w:num>
  <w:num w:numId="103">
    <w:abstractNumId w:val="5"/>
  </w:num>
  <w:num w:numId="104">
    <w:abstractNumId w:val="11"/>
  </w:num>
  <w:num w:numId="105">
    <w:abstractNumId w:val="46"/>
  </w:num>
  <w:num w:numId="106">
    <w:abstractNumId w:val="31"/>
  </w:num>
  <w:num w:numId="107">
    <w:abstractNumId w:val="3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39C0"/>
    <w:rsid w:val="00070F3A"/>
    <w:rsid w:val="000716C5"/>
    <w:rsid w:val="00075E23"/>
    <w:rsid w:val="00092F32"/>
    <w:rsid w:val="0009344A"/>
    <w:rsid w:val="000A575F"/>
    <w:rsid w:val="000C4365"/>
    <w:rsid w:val="000D10DB"/>
    <w:rsid w:val="00113A4F"/>
    <w:rsid w:val="00115F41"/>
    <w:rsid w:val="00116737"/>
    <w:rsid w:val="00124116"/>
    <w:rsid w:val="00126E08"/>
    <w:rsid w:val="0013104F"/>
    <w:rsid w:val="00137EBA"/>
    <w:rsid w:val="00145EDC"/>
    <w:rsid w:val="00153084"/>
    <w:rsid w:val="00167A34"/>
    <w:rsid w:val="001714B4"/>
    <w:rsid w:val="0018037F"/>
    <w:rsid w:val="001A0C8C"/>
    <w:rsid w:val="001A5F27"/>
    <w:rsid w:val="001A65E4"/>
    <w:rsid w:val="001A69FF"/>
    <w:rsid w:val="001A7870"/>
    <w:rsid w:val="001C1B41"/>
    <w:rsid w:val="001E366B"/>
    <w:rsid w:val="001F1902"/>
    <w:rsid w:val="00210E0E"/>
    <w:rsid w:val="00210F4B"/>
    <w:rsid w:val="00230163"/>
    <w:rsid w:val="0023351C"/>
    <w:rsid w:val="00247403"/>
    <w:rsid w:val="00247542"/>
    <w:rsid w:val="00257893"/>
    <w:rsid w:val="00261E08"/>
    <w:rsid w:val="00262ADD"/>
    <w:rsid w:val="00263BF5"/>
    <w:rsid w:val="00266092"/>
    <w:rsid w:val="00266B61"/>
    <w:rsid w:val="0026712A"/>
    <w:rsid w:val="002704DB"/>
    <w:rsid w:val="002760CE"/>
    <w:rsid w:val="002826D3"/>
    <w:rsid w:val="002A6B0C"/>
    <w:rsid w:val="002B7A85"/>
    <w:rsid w:val="002C1641"/>
    <w:rsid w:val="002D7EA2"/>
    <w:rsid w:val="002E15DF"/>
    <w:rsid w:val="002E187C"/>
    <w:rsid w:val="002E6219"/>
    <w:rsid w:val="002E6E57"/>
    <w:rsid w:val="00301075"/>
    <w:rsid w:val="00302733"/>
    <w:rsid w:val="003053BF"/>
    <w:rsid w:val="00311A4F"/>
    <w:rsid w:val="00314078"/>
    <w:rsid w:val="00315387"/>
    <w:rsid w:val="00321AFD"/>
    <w:rsid w:val="00322450"/>
    <w:rsid w:val="003246B5"/>
    <w:rsid w:val="0033169F"/>
    <w:rsid w:val="003414AC"/>
    <w:rsid w:val="00341B0E"/>
    <w:rsid w:val="00345FE8"/>
    <w:rsid w:val="00356185"/>
    <w:rsid w:val="00360380"/>
    <w:rsid w:val="003771A3"/>
    <w:rsid w:val="00386CF0"/>
    <w:rsid w:val="003A4348"/>
    <w:rsid w:val="003A5566"/>
    <w:rsid w:val="003C32BC"/>
    <w:rsid w:val="003D1E33"/>
    <w:rsid w:val="003D6EE0"/>
    <w:rsid w:val="003E1CF5"/>
    <w:rsid w:val="003E3E03"/>
    <w:rsid w:val="003F1BBF"/>
    <w:rsid w:val="00405147"/>
    <w:rsid w:val="00410FA0"/>
    <w:rsid w:val="004162B1"/>
    <w:rsid w:val="004165C2"/>
    <w:rsid w:val="00431C2A"/>
    <w:rsid w:val="00433117"/>
    <w:rsid w:val="0043489C"/>
    <w:rsid w:val="004434A5"/>
    <w:rsid w:val="00450A4A"/>
    <w:rsid w:val="004666FB"/>
    <w:rsid w:val="00466D0B"/>
    <w:rsid w:val="00467B7E"/>
    <w:rsid w:val="00470BF8"/>
    <w:rsid w:val="0049419D"/>
    <w:rsid w:val="004B2762"/>
    <w:rsid w:val="004B7EB6"/>
    <w:rsid w:val="004C41DE"/>
    <w:rsid w:val="004C4B62"/>
    <w:rsid w:val="004D6025"/>
    <w:rsid w:val="004D72BC"/>
    <w:rsid w:val="004F6B67"/>
    <w:rsid w:val="00501399"/>
    <w:rsid w:val="00507BC4"/>
    <w:rsid w:val="005128E4"/>
    <w:rsid w:val="005243C2"/>
    <w:rsid w:val="00525560"/>
    <w:rsid w:val="005357A6"/>
    <w:rsid w:val="00544C49"/>
    <w:rsid w:val="00571C7E"/>
    <w:rsid w:val="0057402A"/>
    <w:rsid w:val="00574174"/>
    <w:rsid w:val="005771D0"/>
    <w:rsid w:val="005816E5"/>
    <w:rsid w:val="0059191A"/>
    <w:rsid w:val="005921FF"/>
    <w:rsid w:val="00592718"/>
    <w:rsid w:val="005A6D0E"/>
    <w:rsid w:val="005B222D"/>
    <w:rsid w:val="005B52B0"/>
    <w:rsid w:val="005B6806"/>
    <w:rsid w:val="005C00F9"/>
    <w:rsid w:val="005C4225"/>
    <w:rsid w:val="005D2EF7"/>
    <w:rsid w:val="005F0F33"/>
    <w:rsid w:val="005F3E64"/>
    <w:rsid w:val="00600DEB"/>
    <w:rsid w:val="00603A63"/>
    <w:rsid w:val="00613027"/>
    <w:rsid w:val="00621D49"/>
    <w:rsid w:val="00627C9F"/>
    <w:rsid w:val="006311DA"/>
    <w:rsid w:val="006311E9"/>
    <w:rsid w:val="006318B2"/>
    <w:rsid w:val="00632354"/>
    <w:rsid w:val="00642810"/>
    <w:rsid w:val="00652333"/>
    <w:rsid w:val="00653EA6"/>
    <w:rsid w:val="0068009E"/>
    <w:rsid w:val="006A17D2"/>
    <w:rsid w:val="006A19D5"/>
    <w:rsid w:val="006A73E6"/>
    <w:rsid w:val="006B2D5C"/>
    <w:rsid w:val="006C4EB1"/>
    <w:rsid w:val="006D4707"/>
    <w:rsid w:val="006E0166"/>
    <w:rsid w:val="006E270D"/>
    <w:rsid w:val="006E7B34"/>
    <w:rsid w:val="006F3B5A"/>
    <w:rsid w:val="00701B24"/>
    <w:rsid w:val="00706858"/>
    <w:rsid w:val="00713AED"/>
    <w:rsid w:val="0071495F"/>
    <w:rsid w:val="0073798E"/>
    <w:rsid w:val="00740872"/>
    <w:rsid w:val="00745899"/>
    <w:rsid w:val="00752D34"/>
    <w:rsid w:val="007607C4"/>
    <w:rsid w:val="0076643F"/>
    <w:rsid w:val="00781653"/>
    <w:rsid w:val="007A2082"/>
    <w:rsid w:val="007A2F70"/>
    <w:rsid w:val="007C3334"/>
    <w:rsid w:val="007C52BB"/>
    <w:rsid w:val="007D2B98"/>
    <w:rsid w:val="007F356A"/>
    <w:rsid w:val="007F6DE9"/>
    <w:rsid w:val="007F7980"/>
    <w:rsid w:val="00803F1C"/>
    <w:rsid w:val="0080600E"/>
    <w:rsid w:val="00817612"/>
    <w:rsid w:val="008258D7"/>
    <w:rsid w:val="00837C45"/>
    <w:rsid w:val="00853419"/>
    <w:rsid w:val="008546E5"/>
    <w:rsid w:val="008801F8"/>
    <w:rsid w:val="00897E12"/>
    <w:rsid w:val="008D43BA"/>
    <w:rsid w:val="008E3759"/>
    <w:rsid w:val="008E40F5"/>
    <w:rsid w:val="008E4EEF"/>
    <w:rsid w:val="009041DC"/>
    <w:rsid w:val="009104B4"/>
    <w:rsid w:val="009228DA"/>
    <w:rsid w:val="00925FCD"/>
    <w:rsid w:val="0093441A"/>
    <w:rsid w:val="00936805"/>
    <w:rsid w:val="00954BF7"/>
    <w:rsid w:val="0096706E"/>
    <w:rsid w:val="00981FBA"/>
    <w:rsid w:val="0098783D"/>
    <w:rsid w:val="009B306D"/>
    <w:rsid w:val="009B381B"/>
    <w:rsid w:val="009D59D2"/>
    <w:rsid w:val="009D7611"/>
    <w:rsid w:val="009E53DE"/>
    <w:rsid w:val="009E566A"/>
    <w:rsid w:val="009F469B"/>
    <w:rsid w:val="00A03856"/>
    <w:rsid w:val="00A0523B"/>
    <w:rsid w:val="00A12DBC"/>
    <w:rsid w:val="00A2467F"/>
    <w:rsid w:val="00A41466"/>
    <w:rsid w:val="00A43458"/>
    <w:rsid w:val="00A528D1"/>
    <w:rsid w:val="00A66BE5"/>
    <w:rsid w:val="00AB4FA4"/>
    <w:rsid w:val="00AD37C1"/>
    <w:rsid w:val="00AE2C03"/>
    <w:rsid w:val="00AE66EC"/>
    <w:rsid w:val="00AE6F91"/>
    <w:rsid w:val="00AF5571"/>
    <w:rsid w:val="00B06BB7"/>
    <w:rsid w:val="00B06F3D"/>
    <w:rsid w:val="00B167E9"/>
    <w:rsid w:val="00B179ED"/>
    <w:rsid w:val="00B314DB"/>
    <w:rsid w:val="00B31EBE"/>
    <w:rsid w:val="00B3718B"/>
    <w:rsid w:val="00B44B23"/>
    <w:rsid w:val="00B4632A"/>
    <w:rsid w:val="00B92E49"/>
    <w:rsid w:val="00BA276C"/>
    <w:rsid w:val="00BB306F"/>
    <w:rsid w:val="00BC24FF"/>
    <w:rsid w:val="00BD232B"/>
    <w:rsid w:val="00BD2E42"/>
    <w:rsid w:val="00BD4B89"/>
    <w:rsid w:val="00BE6657"/>
    <w:rsid w:val="00C02721"/>
    <w:rsid w:val="00C130CD"/>
    <w:rsid w:val="00C21762"/>
    <w:rsid w:val="00C24543"/>
    <w:rsid w:val="00C256A2"/>
    <w:rsid w:val="00C3492D"/>
    <w:rsid w:val="00C355B4"/>
    <w:rsid w:val="00C55560"/>
    <w:rsid w:val="00C66B72"/>
    <w:rsid w:val="00C768B4"/>
    <w:rsid w:val="00C77713"/>
    <w:rsid w:val="00C87C57"/>
    <w:rsid w:val="00C9567A"/>
    <w:rsid w:val="00C962B2"/>
    <w:rsid w:val="00CA6577"/>
    <w:rsid w:val="00CB2660"/>
    <w:rsid w:val="00CC5E90"/>
    <w:rsid w:val="00CD046C"/>
    <w:rsid w:val="00CE060E"/>
    <w:rsid w:val="00CE5199"/>
    <w:rsid w:val="00CE66D5"/>
    <w:rsid w:val="00D219EA"/>
    <w:rsid w:val="00D34786"/>
    <w:rsid w:val="00D34F8A"/>
    <w:rsid w:val="00D40A1E"/>
    <w:rsid w:val="00D533C0"/>
    <w:rsid w:val="00D66D3C"/>
    <w:rsid w:val="00D707F4"/>
    <w:rsid w:val="00D712D3"/>
    <w:rsid w:val="00D71422"/>
    <w:rsid w:val="00D7145E"/>
    <w:rsid w:val="00D75084"/>
    <w:rsid w:val="00D7558D"/>
    <w:rsid w:val="00D81D92"/>
    <w:rsid w:val="00D91448"/>
    <w:rsid w:val="00D93446"/>
    <w:rsid w:val="00DA7B5F"/>
    <w:rsid w:val="00DC7B91"/>
    <w:rsid w:val="00DD1BD4"/>
    <w:rsid w:val="00DF073D"/>
    <w:rsid w:val="00DF078B"/>
    <w:rsid w:val="00DF350D"/>
    <w:rsid w:val="00DF3B2B"/>
    <w:rsid w:val="00E227C1"/>
    <w:rsid w:val="00E43157"/>
    <w:rsid w:val="00E47F3D"/>
    <w:rsid w:val="00E533FF"/>
    <w:rsid w:val="00E709B3"/>
    <w:rsid w:val="00E7588C"/>
    <w:rsid w:val="00E75F3A"/>
    <w:rsid w:val="00E76E74"/>
    <w:rsid w:val="00E7797F"/>
    <w:rsid w:val="00E850B6"/>
    <w:rsid w:val="00E8789F"/>
    <w:rsid w:val="00E97B71"/>
    <w:rsid w:val="00EA33C4"/>
    <w:rsid w:val="00EB454D"/>
    <w:rsid w:val="00ED0D1B"/>
    <w:rsid w:val="00ED58CD"/>
    <w:rsid w:val="00ED5FB1"/>
    <w:rsid w:val="00EE3522"/>
    <w:rsid w:val="00EF619B"/>
    <w:rsid w:val="00F00B55"/>
    <w:rsid w:val="00F1380F"/>
    <w:rsid w:val="00F14F0E"/>
    <w:rsid w:val="00F15A3B"/>
    <w:rsid w:val="00F24C29"/>
    <w:rsid w:val="00F253CC"/>
    <w:rsid w:val="00F42B71"/>
    <w:rsid w:val="00F455FB"/>
    <w:rsid w:val="00F56BA5"/>
    <w:rsid w:val="00F621C3"/>
    <w:rsid w:val="00F644E6"/>
    <w:rsid w:val="00F9653B"/>
    <w:rsid w:val="00FB2DCE"/>
    <w:rsid w:val="00FB62CF"/>
    <w:rsid w:val="00FC3EB4"/>
    <w:rsid w:val="00FC6C58"/>
    <w:rsid w:val="00FE039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8DF3-45F1-44DB-B7CC-D997762D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8930</Characters>
  <Application>Microsoft Office Word</Application>
  <DocSecurity>0</DocSecurity>
  <Lines>74</Lines>
  <Paragraphs>20</Paragraphs>
  <ScaleCrop>false</ScaleCrop>
  <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2020-12-18T20:52:00Z</dcterms:created>
  <dcterms:modified xsi:type="dcterms:W3CDTF">2020-12-18T20:52:00Z</dcterms:modified>
</cp:coreProperties>
</file>