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42A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C7885" w14:textId="787DA297" w:rsidR="00BF17FD" w:rsidRPr="004E2649" w:rsidRDefault="00BF17FD" w:rsidP="00BF17F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7618BB">
                              <w:rPr>
                                <w:rFonts w:asciiTheme="majorHAnsi" w:hAnsiTheme="majorHAnsi" w:cs="Arial"/>
                                <w:b/>
                                <w:bCs/>
                                <w:color w:val="0D0D0D" w:themeColor="text1" w:themeTint="F2"/>
                                <w:sz w:val="36"/>
                                <w:szCs w:val="22"/>
                                <w:lang w:val="en"/>
                              </w:rPr>
                              <w:t>233</w:t>
                            </w:r>
                            <w:r>
                              <w:rPr>
                                <w:rFonts w:asciiTheme="majorHAnsi" w:hAnsiTheme="majorHAnsi" w:cs="Arial"/>
                                <w:b/>
                                <w:bCs/>
                                <w:color w:val="0D0D0D" w:themeColor="text1" w:themeTint="F2"/>
                                <w:sz w:val="36"/>
                                <w:szCs w:val="22"/>
                                <w:lang w:val="en"/>
                              </w:rPr>
                              <w:t>/19</w:t>
                            </w:r>
                          </w:p>
                          <w:p w14:paraId="7B283D89" w14:textId="77777777" w:rsidR="00BF17FD" w:rsidRDefault="00BF17FD" w:rsidP="00BF17FD">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1619-09 </w:t>
                            </w:r>
                          </w:p>
                          <w:p w14:paraId="51CDABF3" w14:textId="08907F70" w:rsidR="00BF17FD" w:rsidRPr="0010736F" w:rsidRDefault="00BF17FD" w:rsidP="00BF17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w:t>
                            </w:r>
                            <w:r w:rsidR="004F70B6">
                              <w:rPr>
                                <w:rFonts w:asciiTheme="majorHAnsi" w:hAnsiTheme="majorHAnsi" w:cs="Arial"/>
                                <w:color w:val="0D0D0D" w:themeColor="text1" w:themeTint="F2"/>
                                <w:szCs w:val="22"/>
                                <w:lang w:val="en"/>
                              </w:rPr>
                              <w:t>IN</w:t>
                            </w:r>
                            <w:r>
                              <w:rPr>
                                <w:rFonts w:asciiTheme="majorHAnsi" w:hAnsiTheme="majorHAnsi" w:cs="Arial"/>
                                <w:color w:val="0D0D0D" w:themeColor="text1" w:themeTint="F2"/>
                                <w:szCs w:val="22"/>
                                <w:lang w:val="en"/>
                              </w:rPr>
                              <w:t xml:space="preserve">ADMISSIBILITY </w:t>
                            </w:r>
                          </w:p>
                          <w:p w14:paraId="5A4A7ACB" w14:textId="77777777" w:rsidR="00BF17FD" w:rsidRPr="0010736F" w:rsidRDefault="00BF17FD" w:rsidP="00BF17FD">
                            <w:pPr>
                              <w:spacing w:line="276" w:lineRule="auto"/>
                              <w:rPr>
                                <w:rFonts w:asciiTheme="majorHAnsi" w:hAnsiTheme="majorHAnsi" w:cs="Arial"/>
                                <w:color w:val="0D0D0D" w:themeColor="text1" w:themeTint="F2"/>
                                <w:szCs w:val="22"/>
                              </w:rPr>
                            </w:pPr>
                            <w:bookmarkStart w:id="0" w:name="_ftnref1"/>
                          </w:p>
                          <w:p w14:paraId="76559EB3" w14:textId="77777777" w:rsidR="00BF17FD" w:rsidRPr="0010736F" w:rsidRDefault="00BF17FD" w:rsidP="00BF17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DAVID SEALS</w:t>
                            </w:r>
                          </w:p>
                          <w:bookmarkEnd w:id="0"/>
                          <w:p w14:paraId="4DB63AE1" w14:textId="77777777" w:rsidR="00BF17FD" w:rsidRPr="0010736F" w:rsidRDefault="00BF17FD" w:rsidP="00BF17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GUATEMALA</w:t>
                            </w:r>
                          </w:p>
                          <w:p w14:paraId="62FD9B55" w14:textId="77777777" w:rsidR="00BF17FD" w:rsidRPr="00AE5488" w:rsidRDefault="00BF17FD" w:rsidP="00BF17FD">
                            <w:pPr>
                              <w:rPr>
                                <w:color w:val="0D0D0D" w:themeColor="text1" w:themeTint="F2"/>
                              </w:rPr>
                            </w:pPr>
                          </w:p>
                          <w:p w14:paraId="67476ECA" w14:textId="2CE84F48" w:rsidR="005B52B0" w:rsidRPr="000C4365" w:rsidRDefault="005B52B0" w:rsidP="00261E0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D7C7885" w14:textId="787DA297" w:rsidR="00BF17FD" w:rsidRPr="004E2649" w:rsidRDefault="00BF17FD" w:rsidP="00BF17F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7618BB">
                        <w:rPr>
                          <w:rFonts w:asciiTheme="majorHAnsi" w:hAnsiTheme="majorHAnsi" w:cs="Arial"/>
                          <w:b/>
                          <w:bCs/>
                          <w:color w:val="0D0D0D" w:themeColor="text1" w:themeTint="F2"/>
                          <w:sz w:val="36"/>
                          <w:szCs w:val="22"/>
                          <w:lang w:val="en"/>
                        </w:rPr>
                        <w:t>233</w:t>
                      </w:r>
                      <w:r>
                        <w:rPr>
                          <w:rFonts w:asciiTheme="majorHAnsi" w:hAnsiTheme="majorHAnsi" w:cs="Arial"/>
                          <w:b/>
                          <w:bCs/>
                          <w:color w:val="0D0D0D" w:themeColor="text1" w:themeTint="F2"/>
                          <w:sz w:val="36"/>
                          <w:szCs w:val="22"/>
                          <w:lang w:val="en"/>
                        </w:rPr>
                        <w:t>/19</w:t>
                      </w:r>
                    </w:p>
                    <w:p w14:paraId="7B283D89" w14:textId="77777777" w:rsidR="00BF17FD" w:rsidRDefault="00BF17FD" w:rsidP="00BF17FD">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1619-09 </w:t>
                      </w:r>
                    </w:p>
                    <w:p w14:paraId="51CDABF3" w14:textId="08907F70" w:rsidR="00BF17FD" w:rsidRPr="0010736F" w:rsidRDefault="00BF17FD" w:rsidP="00BF17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w:t>
                      </w:r>
                      <w:r w:rsidR="004F70B6">
                        <w:rPr>
                          <w:rFonts w:asciiTheme="majorHAnsi" w:hAnsiTheme="majorHAnsi" w:cs="Arial"/>
                          <w:color w:val="0D0D0D" w:themeColor="text1" w:themeTint="F2"/>
                          <w:szCs w:val="22"/>
                          <w:lang w:val="en"/>
                        </w:rPr>
                        <w:t>IN</w:t>
                      </w:r>
                      <w:r>
                        <w:rPr>
                          <w:rFonts w:asciiTheme="majorHAnsi" w:hAnsiTheme="majorHAnsi" w:cs="Arial"/>
                          <w:color w:val="0D0D0D" w:themeColor="text1" w:themeTint="F2"/>
                          <w:szCs w:val="22"/>
                          <w:lang w:val="en"/>
                        </w:rPr>
                        <w:t xml:space="preserve">ADMISSIBILITY </w:t>
                      </w:r>
                    </w:p>
                    <w:p w14:paraId="5A4A7ACB" w14:textId="77777777" w:rsidR="00BF17FD" w:rsidRPr="0010736F" w:rsidRDefault="00BF17FD" w:rsidP="00BF17FD">
                      <w:pPr>
                        <w:spacing w:line="276" w:lineRule="auto"/>
                        <w:rPr>
                          <w:rFonts w:asciiTheme="majorHAnsi" w:hAnsiTheme="majorHAnsi" w:cs="Arial"/>
                          <w:color w:val="0D0D0D" w:themeColor="text1" w:themeTint="F2"/>
                          <w:szCs w:val="22"/>
                        </w:rPr>
                      </w:pPr>
                      <w:bookmarkStart w:id="1" w:name="_ftnref1"/>
                    </w:p>
                    <w:p w14:paraId="76559EB3" w14:textId="77777777" w:rsidR="00BF17FD" w:rsidRPr="0010736F" w:rsidRDefault="00BF17FD" w:rsidP="00BF17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DAVID SEALS</w:t>
                      </w:r>
                    </w:p>
                    <w:bookmarkEnd w:id="1"/>
                    <w:p w14:paraId="4DB63AE1" w14:textId="77777777" w:rsidR="00BF17FD" w:rsidRPr="0010736F" w:rsidRDefault="00BF17FD" w:rsidP="00BF17F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GUATEMALA</w:t>
                      </w:r>
                    </w:p>
                    <w:p w14:paraId="62FD9B55" w14:textId="77777777" w:rsidR="00BF17FD" w:rsidRPr="00AE5488" w:rsidRDefault="00BF17FD" w:rsidP="00BF17FD">
                      <w:pPr>
                        <w:rPr>
                          <w:color w:val="0D0D0D" w:themeColor="text1" w:themeTint="F2"/>
                        </w:rPr>
                      </w:pPr>
                    </w:p>
                    <w:p w14:paraId="67476ECA" w14:textId="2CE84F48" w:rsidR="005B52B0" w:rsidRPr="000C4365" w:rsidRDefault="005B52B0" w:rsidP="00261E08">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64706116" w:rsidR="00627C9F" w:rsidRPr="007618BB" w:rsidRDefault="009E566A" w:rsidP="007618BB">
                            <w:pPr>
                              <w:spacing w:line="360" w:lineRule="auto"/>
                              <w:jc w:val="right"/>
                              <w:rPr>
                                <w:rFonts w:asciiTheme="minorHAnsi" w:hAnsiTheme="minorHAnsi"/>
                                <w:color w:val="FFFFFF" w:themeColor="background1"/>
                                <w:sz w:val="22"/>
                                <w:lang w:val="pt-BR"/>
                              </w:rPr>
                            </w:pPr>
                            <w:r w:rsidRPr="007618BB">
                              <w:rPr>
                                <w:rFonts w:asciiTheme="minorHAnsi" w:hAnsiTheme="minorHAnsi"/>
                                <w:color w:val="FFFFFF" w:themeColor="background1"/>
                                <w:sz w:val="22"/>
                                <w:lang w:val="pt-BR"/>
                              </w:rPr>
                              <w:t>OEA/Ser.L/V/II.</w:t>
                            </w:r>
                          </w:p>
                          <w:p w14:paraId="2B86BB36" w14:textId="5DF3938D" w:rsidR="00627C9F" w:rsidRPr="007618BB" w:rsidRDefault="00CA6577" w:rsidP="007618BB">
                            <w:pPr>
                              <w:spacing w:line="360" w:lineRule="auto"/>
                              <w:jc w:val="right"/>
                              <w:rPr>
                                <w:rFonts w:asciiTheme="minorHAnsi" w:hAnsiTheme="minorHAnsi"/>
                                <w:color w:val="FFFFFF" w:themeColor="background1"/>
                                <w:sz w:val="22"/>
                                <w:lang w:val="pt-BR"/>
                              </w:rPr>
                            </w:pPr>
                            <w:r w:rsidRPr="007618BB">
                              <w:rPr>
                                <w:rFonts w:asciiTheme="minorHAnsi" w:hAnsiTheme="minorHAnsi"/>
                                <w:color w:val="FFFFFF" w:themeColor="background1"/>
                                <w:sz w:val="22"/>
                                <w:lang w:val="pt-BR"/>
                              </w:rPr>
                              <w:t xml:space="preserve">Doc. </w:t>
                            </w:r>
                            <w:r w:rsidR="007618BB" w:rsidRPr="007618BB">
                              <w:rPr>
                                <w:rFonts w:asciiTheme="minorHAnsi" w:hAnsiTheme="minorHAnsi"/>
                                <w:color w:val="FFFFFF" w:themeColor="background1"/>
                                <w:sz w:val="22"/>
                                <w:lang w:val="pt-BR"/>
                              </w:rPr>
                              <w:t>260</w:t>
                            </w:r>
                          </w:p>
                          <w:p w14:paraId="6AC8D657" w14:textId="1E666E42" w:rsidR="00627C9F" w:rsidRPr="007618BB" w:rsidRDefault="00022CF5" w:rsidP="007618BB">
                            <w:pPr>
                              <w:spacing w:line="360" w:lineRule="auto"/>
                              <w:jc w:val="right"/>
                              <w:rPr>
                                <w:rFonts w:asciiTheme="minorHAnsi" w:hAnsiTheme="minorHAnsi"/>
                                <w:color w:val="FFFFFF" w:themeColor="background1"/>
                                <w:sz w:val="22"/>
                              </w:rPr>
                            </w:pPr>
                            <w:r w:rsidRPr="007618BB">
                              <w:rPr>
                                <w:rFonts w:asciiTheme="minorHAnsi" w:hAnsiTheme="minorHAnsi"/>
                                <w:color w:val="FFFFFF" w:themeColor="background1"/>
                                <w:sz w:val="22"/>
                                <w:lang w:val="pt-BR"/>
                              </w:rPr>
                              <w:t xml:space="preserve"> </w:t>
                            </w:r>
                            <w:r w:rsidR="007618BB" w:rsidRPr="007618BB">
                              <w:rPr>
                                <w:rFonts w:asciiTheme="minorHAnsi" w:hAnsiTheme="minorHAnsi"/>
                                <w:color w:val="FFFFFF" w:themeColor="background1"/>
                                <w:sz w:val="22"/>
                              </w:rPr>
                              <w:t>31 December</w:t>
                            </w:r>
                            <w:r w:rsidR="000C4365" w:rsidRPr="007618BB">
                              <w:rPr>
                                <w:rFonts w:asciiTheme="minorHAnsi" w:hAnsiTheme="minorHAnsi"/>
                                <w:color w:val="FFFFFF" w:themeColor="background1"/>
                                <w:sz w:val="22"/>
                              </w:rPr>
                              <w:t xml:space="preserve"> </w:t>
                            </w:r>
                            <w:r w:rsidR="007618BB" w:rsidRPr="007618BB">
                              <w:rPr>
                                <w:rFonts w:asciiTheme="minorHAnsi" w:hAnsiTheme="minorHAnsi"/>
                                <w:color w:val="FFFFFF" w:themeColor="background1"/>
                                <w:sz w:val="22"/>
                              </w:rPr>
                              <w:t>2019</w:t>
                            </w:r>
                          </w:p>
                          <w:p w14:paraId="35D3ABA3" w14:textId="4D5A616E" w:rsidR="00627C9F" w:rsidRPr="007618BB" w:rsidRDefault="00627C9F" w:rsidP="007618BB">
                            <w:pPr>
                              <w:spacing w:line="360" w:lineRule="auto"/>
                              <w:jc w:val="right"/>
                              <w:rPr>
                                <w:rFonts w:asciiTheme="minorHAnsi" w:hAnsiTheme="minorHAnsi"/>
                                <w:color w:val="FFFFFF" w:themeColor="background1"/>
                                <w:sz w:val="22"/>
                              </w:rPr>
                            </w:pPr>
                            <w:r w:rsidRPr="007618BB">
                              <w:rPr>
                                <w:rFonts w:asciiTheme="minorHAnsi" w:hAnsiTheme="minorHAnsi"/>
                                <w:color w:val="FFFFFF" w:themeColor="background1"/>
                                <w:sz w:val="22"/>
                              </w:rPr>
                              <w:t>Original:</w:t>
                            </w:r>
                            <w:r w:rsidR="002C1641" w:rsidRPr="007618BB">
                              <w:rPr>
                                <w:rFonts w:asciiTheme="minorHAnsi" w:hAnsiTheme="minorHAnsi"/>
                                <w:color w:val="FFFFFF" w:themeColor="background1"/>
                                <w:sz w:val="22"/>
                              </w:rPr>
                              <w:t xml:space="preserve"> </w:t>
                            </w:r>
                            <w:r w:rsidR="00F42B71" w:rsidRPr="007618B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64706116" w:rsidR="00627C9F" w:rsidRPr="007618BB" w:rsidRDefault="009E566A" w:rsidP="007618BB">
                      <w:pPr>
                        <w:spacing w:line="360" w:lineRule="auto"/>
                        <w:jc w:val="right"/>
                        <w:rPr>
                          <w:rFonts w:asciiTheme="minorHAnsi" w:hAnsiTheme="minorHAnsi"/>
                          <w:color w:val="FFFFFF" w:themeColor="background1"/>
                          <w:sz w:val="22"/>
                          <w:lang w:val="pt-BR"/>
                        </w:rPr>
                      </w:pPr>
                      <w:r w:rsidRPr="007618BB">
                        <w:rPr>
                          <w:rFonts w:asciiTheme="minorHAnsi" w:hAnsiTheme="minorHAnsi"/>
                          <w:color w:val="FFFFFF" w:themeColor="background1"/>
                          <w:sz w:val="22"/>
                          <w:lang w:val="pt-BR"/>
                        </w:rPr>
                        <w:t>OEA/Ser.L/V/II.</w:t>
                      </w:r>
                    </w:p>
                    <w:p w14:paraId="2B86BB36" w14:textId="5DF3938D" w:rsidR="00627C9F" w:rsidRPr="007618BB" w:rsidRDefault="00CA6577" w:rsidP="007618BB">
                      <w:pPr>
                        <w:spacing w:line="360" w:lineRule="auto"/>
                        <w:jc w:val="right"/>
                        <w:rPr>
                          <w:rFonts w:asciiTheme="minorHAnsi" w:hAnsiTheme="minorHAnsi"/>
                          <w:color w:val="FFFFFF" w:themeColor="background1"/>
                          <w:sz w:val="22"/>
                          <w:lang w:val="pt-BR"/>
                        </w:rPr>
                      </w:pPr>
                      <w:r w:rsidRPr="007618BB">
                        <w:rPr>
                          <w:rFonts w:asciiTheme="minorHAnsi" w:hAnsiTheme="minorHAnsi"/>
                          <w:color w:val="FFFFFF" w:themeColor="background1"/>
                          <w:sz w:val="22"/>
                          <w:lang w:val="pt-BR"/>
                        </w:rPr>
                        <w:t xml:space="preserve">Doc. </w:t>
                      </w:r>
                      <w:r w:rsidR="007618BB" w:rsidRPr="007618BB">
                        <w:rPr>
                          <w:rFonts w:asciiTheme="minorHAnsi" w:hAnsiTheme="minorHAnsi"/>
                          <w:color w:val="FFFFFF" w:themeColor="background1"/>
                          <w:sz w:val="22"/>
                          <w:lang w:val="pt-BR"/>
                        </w:rPr>
                        <w:t>260</w:t>
                      </w:r>
                    </w:p>
                    <w:p w14:paraId="6AC8D657" w14:textId="1E666E42" w:rsidR="00627C9F" w:rsidRPr="007618BB" w:rsidRDefault="00022CF5" w:rsidP="007618BB">
                      <w:pPr>
                        <w:spacing w:line="360" w:lineRule="auto"/>
                        <w:jc w:val="right"/>
                        <w:rPr>
                          <w:rFonts w:asciiTheme="minorHAnsi" w:hAnsiTheme="minorHAnsi"/>
                          <w:color w:val="FFFFFF" w:themeColor="background1"/>
                          <w:sz w:val="22"/>
                        </w:rPr>
                      </w:pPr>
                      <w:r w:rsidRPr="007618BB">
                        <w:rPr>
                          <w:rFonts w:asciiTheme="minorHAnsi" w:hAnsiTheme="minorHAnsi"/>
                          <w:color w:val="FFFFFF" w:themeColor="background1"/>
                          <w:sz w:val="22"/>
                          <w:lang w:val="pt-BR"/>
                        </w:rPr>
                        <w:t xml:space="preserve"> </w:t>
                      </w:r>
                      <w:r w:rsidR="007618BB" w:rsidRPr="007618BB">
                        <w:rPr>
                          <w:rFonts w:asciiTheme="minorHAnsi" w:hAnsiTheme="minorHAnsi"/>
                          <w:color w:val="FFFFFF" w:themeColor="background1"/>
                          <w:sz w:val="22"/>
                        </w:rPr>
                        <w:t>31 December</w:t>
                      </w:r>
                      <w:r w:rsidR="000C4365" w:rsidRPr="007618BB">
                        <w:rPr>
                          <w:rFonts w:asciiTheme="minorHAnsi" w:hAnsiTheme="minorHAnsi"/>
                          <w:color w:val="FFFFFF" w:themeColor="background1"/>
                          <w:sz w:val="22"/>
                        </w:rPr>
                        <w:t xml:space="preserve"> </w:t>
                      </w:r>
                      <w:r w:rsidR="007618BB" w:rsidRPr="007618BB">
                        <w:rPr>
                          <w:rFonts w:asciiTheme="minorHAnsi" w:hAnsiTheme="minorHAnsi"/>
                          <w:color w:val="FFFFFF" w:themeColor="background1"/>
                          <w:sz w:val="22"/>
                        </w:rPr>
                        <w:t>2019</w:t>
                      </w:r>
                    </w:p>
                    <w:p w14:paraId="35D3ABA3" w14:textId="4D5A616E" w:rsidR="00627C9F" w:rsidRPr="007618BB" w:rsidRDefault="00627C9F" w:rsidP="007618BB">
                      <w:pPr>
                        <w:spacing w:line="360" w:lineRule="auto"/>
                        <w:jc w:val="right"/>
                        <w:rPr>
                          <w:rFonts w:asciiTheme="minorHAnsi" w:hAnsiTheme="minorHAnsi"/>
                          <w:color w:val="FFFFFF" w:themeColor="background1"/>
                          <w:sz w:val="22"/>
                        </w:rPr>
                      </w:pPr>
                      <w:r w:rsidRPr="007618BB">
                        <w:rPr>
                          <w:rFonts w:asciiTheme="minorHAnsi" w:hAnsiTheme="minorHAnsi"/>
                          <w:color w:val="FFFFFF" w:themeColor="background1"/>
                          <w:sz w:val="22"/>
                        </w:rPr>
                        <w:t>Original:</w:t>
                      </w:r>
                      <w:r w:rsidR="002C1641" w:rsidRPr="007618BB">
                        <w:rPr>
                          <w:rFonts w:asciiTheme="minorHAnsi" w:hAnsiTheme="minorHAnsi"/>
                          <w:color w:val="FFFFFF" w:themeColor="background1"/>
                          <w:sz w:val="22"/>
                        </w:rPr>
                        <w:t xml:space="preserve"> </w:t>
                      </w:r>
                      <w:r w:rsidR="00F42B71" w:rsidRPr="007618B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0BF940C"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7618BB">
                              <w:rPr>
                                <w:rFonts w:asciiTheme="majorHAnsi" w:hAnsiTheme="majorHAnsi"/>
                                <w:color w:val="0D0D0D" w:themeColor="text1" w:themeTint="F2"/>
                                <w:sz w:val="20"/>
                              </w:rPr>
                              <w:t>December 31</w:t>
                            </w:r>
                            <w:r>
                              <w:rPr>
                                <w:rFonts w:asciiTheme="majorHAnsi" w:hAnsiTheme="majorHAnsi"/>
                                <w:color w:val="0D0D0D" w:themeColor="text1" w:themeTint="F2"/>
                                <w:sz w:val="20"/>
                              </w:rPr>
                              <w:t>, 2019</w:t>
                            </w:r>
                            <w:r w:rsidR="007618BB">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0BF940C"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7618BB">
                        <w:rPr>
                          <w:rFonts w:asciiTheme="majorHAnsi" w:hAnsiTheme="majorHAnsi"/>
                          <w:color w:val="0D0D0D" w:themeColor="text1" w:themeTint="F2"/>
                          <w:sz w:val="20"/>
                        </w:rPr>
                        <w:t>December 31</w:t>
                      </w:r>
                      <w:r>
                        <w:rPr>
                          <w:rFonts w:asciiTheme="majorHAnsi" w:hAnsiTheme="majorHAnsi"/>
                          <w:color w:val="0D0D0D" w:themeColor="text1" w:themeTint="F2"/>
                          <w:sz w:val="20"/>
                        </w:rPr>
                        <w:t>, 2019</w:t>
                      </w:r>
                      <w:r w:rsidR="007618BB">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50DE71C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618BB">
                              <w:rPr>
                                <w:rFonts w:asciiTheme="majorHAnsi" w:hAnsiTheme="majorHAnsi"/>
                                <w:color w:val="595959" w:themeColor="text1" w:themeTint="A6"/>
                                <w:sz w:val="18"/>
                              </w:rPr>
                              <w:t>233</w:t>
                            </w:r>
                            <w:r w:rsidR="00022CF5">
                              <w:rPr>
                                <w:rFonts w:asciiTheme="majorHAnsi" w:hAnsiTheme="majorHAnsi"/>
                                <w:color w:val="595959" w:themeColor="text1" w:themeTint="A6"/>
                                <w:sz w:val="18"/>
                              </w:rPr>
                              <w:t>/</w:t>
                            </w:r>
                            <w:r w:rsidR="007618B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618BB">
                              <w:rPr>
                                <w:rFonts w:asciiTheme="majorHAnsi" w:hAnsiTheme="majorHAnsi"/>
                                <w:color w:val="595959" w:themeColor="text1" w:themeTint="A6"/>
                                <w:sz w:val="18"/>
                              </w:rPr>
                              <w:t>1619-09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7618BB">
                              <w:rPr>
                                <w:rFonts w:asciiTheme="majorHAnsi" w:hAnsiTheme="majorHAnsi"/>
                                <w:color w:val="595959" w:themeColor="text1" w:themeTint="A6"/>
                                <w:sz w:val="18"/>
                              </w:rPr>
                              <w:t>Ina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w:t>
                            </w:r>
                            <w:r w:rsidR="007618BB">
                              <w:rPr>
                                <w:rFonts w:asciiTheme="majorHAnsi" w:hAnsiTheme="majorHAnsi"/>
                                <w:color w:val="595959" w:themeColor="text1" w:themeTint="A6"/>
                                <w:sz w:val="18"/>
                              </w:rPr>
                              <w:t xml:space="preserve"> David Seals. Guatemala. December 31,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50DE71C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618BB">
                        <w:rPr>
                          <w:rFonts w:asciiTheme="majorHAnsi" w:hAnsiTheme="majorHAnsi"/>
                          <w:color w:val="595959" w:themeColor="text1" w:themeTint="A6"/>
                          <w:sz w:val="18"/>
                        </w:rPr>
                        <w:t>233</w:t>
                      </w:r>
                      <w:r w:rsidR="00022CF5">
                        <w:rPr>
                          <w:rFonts w:asciiTheme="majorHAnsi" w:hAnsiTheme="majorHAnsi"/>
                          <w:color w:val="595959" w:themeColor="text1" w:themeTint="A6"/>
                          <w:sz w:val="18"/>
                        </w:rPr>
                        <w:t>/</w:t>
                      </w:r>
                      <w:r w:rsidR="007618B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618BB">
                        <w:rPr>
                          <w:rFonts w:asciiTheme="majorHAnsi" w:hAnsiTheme="majorHAnsi"/>
                          <w:color w:val="595959" w:themeColor="text1" w:themeTint="A6"/>
                          <w:sz w:val="18"/>
                        </w:rPr>
                        <w:t>1619-09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7618BB">
                        <w:rPr>
                          <w:rFonts w:asciiTheme="majorHAnsi" w:hAnsiTheme="majorHAnsi"/>
                          <w:color w:val="595959" w:themeColor="text1" w:themeTint="A6"/>
                          <w:sz w:val="18"/>
                        </w:rPr>
                        <w:t>Ina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w:t>
                      </w:r>
                      <w:r w:rsidR="007618BB">
                        <w:rPr>
                          <w:rFonts w:asciiTheme="majorHAnsi" w:hAnsiTheme="majorHAnsi"/>
                          <w:color w:val="595959" w:themeColor="text1" w:themeTint="A6"/>
                          <w:sz w:val="18"/>
                        </w:rPr>
                        <w:t xml:space="preserve"> David Seals. Guatemala. December 31, 2019.</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229C6BAB">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229C6BAB">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DC5D9A" w:rsidRDefault="00F621C3" w:rsidP="00C355B4">
      <w:pPr>
        <w:spacing w:after="120"/>
        <w:ind w:firstLine="720"/>
        <w:jc w:val="both"/>
        <w:rPr>
          <w:rFonts w:ascii="Cambria" w:hAnsi="Cambria"/>
          <w:b/>
          <w:bCs/>
          <w:sz w:val="19"/>
          <w:szCs w:val="19"/>
        </w:rPr>
      </w:pPr>
      <w:r w:rsidRPr="00DC5D9A">
        <w:rPr>
          <w:rFonts w:ascii="Cambria" w:hAnsi="Cambria"/>
          <w:b/>
          <w:bCs/>
          <w:sz w:val="19"/>
          <w:szCs w:val="19"/>
        </w:rPr>
        <w:lastRenderedPageBreak/>
        <w:t>I.</w:t>
      </w:r>
      <w:r w:rsidRPr="00DC5D9A">
        <w:rPr>
          <w:rFonts w:ascii="Cambria" w:hAnsi="Cambria"/>
          <w:b/>
          <w:bCs/>
          <w:sz w:val="19"/>
          <w:szCs w:val="19"/>
        </w:rPr>
        <w:tab/>
      </w:r>
      <w:r w:rsidR="00592718" w:rsidRPr="00DC5D9A">
        <w:rPr>
          <w:rFonts w:ascii="Cambria" w:hAnsi="Cambria"/>
          <w:b/>
          <w:bCs/>
          <w:sz w:val="19"/>
          <w:szCs w:val="19"/>
        </w:rPr>
        <w:t>INFORMATION ABOUT THE PETITION</w:t>
      </w:r>
      <w:r w:rsidRPr="00DC5D9A">
        <w:rPr>
          <w:rFonts w:ascii="Cambria" w:hAnsi="Cambria"/>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BF17FD" w:rsidRPr="00DC5D9A" w14:paraId="0D1CC739" w14:textId="77777777" w:rsidTr="00BF17FD">
        <w:tc>
          <w:tcPr>
            <w:tcW w:w="2790" w:type="dxa"/>
            <w:shd w:val="clear" w:color="auto" w:fill="67AE3C"/>
            <w:vAlign w:val="center"/>
          </w:tcPr>
          <w:p w14:paraId="3914A250"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Petitioner</w:t>
            </w:r>
          </w:p>
        </w:tc>
        <w:tc>
          <w:tcPr>
            <w:tcW w:w="6570" w:type="dxa"/>
            <w:vAlign w:val="center"/>
          </w:tcPr>
          <w:p w14:paraId="39950380" w14:textId="57C1634D" w:rsidR="00BF17FD" w:rsidRPr="00DC5D9A" w:rsidRDefault="00BF17FD" w:rsidP="00BF17FD">
            <w:pPr>
              <w:jc w:val="both"/>
              <w:rPr>
                <w:rFonts w:ascii="Cambria" w:hAnsi="Cambria"/>
                <w:sz w:val="19"/>
                <w:szCs w:val="19"/>
              </w:rPr>
            </w:pPr>
            <w:r w:rsidRPr="00DC5D9A">
              <w:rPr>
                <w:rFonts w:ascii="Cambria" w:hAnsi="Cambria"/>
                <w:sz w:val="19"/>
                <w:szCs w:val="19"/>
                <w:lang w:val="en"/>
              </w:rPr>
              <w:t>David Seals</w:t>
            </w:r>
          </w:p>
        </w:tc>
      </w:tr>
      <w:tr w:rsidR="00BF17FD" w:rsidRPr="00DC5D9A" w14:paraId="4A730984" w14:textId="77777777" w:rsidTr="00BF17FD">
        <w:tc>
          <w:tcPr>
            <w:tcW w:w="2790" w:type="dxa"/>
            <w:shd w:val="clear" w:color="auto" w:fill="67AE3C"/>
            <w:vAlign w:val="center"/>
          </w:tcPr>
          <w:p w14:paraId="241395B3"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Alleged victim</w:t>
            </w:r>
          </w:p>
        </w:tc>
        <w:tc>
          <w:tcPr>
            <w:tcW w:w="6570" w:type="dxa"/>
            <w:vAlign w:val="center"/>
          </w:tcPr>
          <w:p w14:paraId="2D625B6F" w14:textId="310B70D8" w:rsidR="00BF17FD" w:rsidRPr="00DC5D9A" w:rsidRDefault="00BF17FD" w:rsidP="00BF17FD">
            <w:pPr>
              <w:jc w:val="both"/>
              <w:rPr>
                <w:rFonts w:ascii="Cambria" w:hAnsi="Cambria"/>
                <w:bCs/>
                <w:sz w:val="19"/>
                <w:szCs w:val="19"/>
              </w:rPr>
            </w:pPr>
            <w:r w:rsidRPr="00DC5D9A">
              <w:rPr>
                <w:rFonts w:ascii="Cambria" w:hAnsi="Cambria"/>
                <w:sz w:val="19"/>
                <w:szCs w:val="19"/>
                <w:lang w:val="en"/>
              </w:rPr>
              <w:t>David Seals</w:t>
            </w:r>
          </w:p>
        </w:tc>
      </w:tr>
      <w:tr w:rsidR="00BF17FD" w:rsidRPr="00DC5D9A" w14:paraId="03D81EE5" w14:textId="77777777" w:rsidTr="00BF17FD">
        <w:tc>
          <w:tcPr>
            <w:tcW w:w="2790" w:type="dxa"/>
            <w:shd w:val="clear" w:color="auto" w:fill="67AE3C"/>
            <w:vAlign w:val="center"/>
          </w:tcPr>
          <w:p w14:paraId="3A40F361"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Respondent State</w:t>
            </w:r>
          </w:p>
        </w:tc>
        <w:tc>
          <w:tcPr>
            <w:tcW w:w="6570" w:type="dxa"/>
            <w:vAlign w:val="center"/>
          </w:tcPr>
          <w:p w14:paraId="7771B4C2" w14:textId="1EF4C937" w:rsidR="00BF17FD" w:rsidRPr="00DC5D9A" w:rsidRDefault="00BF17FD" w:rsidP="00BF17FD">
            <w:pPr>
              <w:jc w:val="both"/>
              <w:rPr>
                <w:rFonts w:ascii="Cambria" w:hAnsi="Cambria"/>
                <w:bCs/>
                <w:sz w:val="19"/>
                <w:szCs w:val="19"/>
              </w:rPr>
            </w:pPr>
            <w:r w:rsidRPr="00DC5D9A">
              <w:rPr>
                <w:rFonts w:ascii="Cambria" w:hAnsi="Cambria"/>
                <w:sz w:val="19"/>
                <w:szCs w:val="19"/>
                <w:lang w:val="en"/>
              </w:rPr>
              <w:t>Guatemala</w:t>
            </w:r>
          </w:p>
        </w:tc>
      </w:tr>
      <w:tr w:rsidR="00BF17FD" w:rsidRPr="00DC5D9A" w14:paraId="61049B38" w14:textId="77777777" w:rsidTr="00BF17FD">
        <w:tc>
          <w:tcPr>
            <w:tcW w:w="2790" w:type="dxa"/>
            <w:shd w:val="clear" w:color="auto" w:fill="67AE3C"/>
            <w:vAlign w:val="center"/>
          </w:tcPr>
          <w:p w14:paraId="1525F7A2"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Rights invoked</w:t>
            </w:r>
          </w:p>
        </w:tc>
        <w:tc>
          <w:tcPr>
            <w:tcW w:w="6570" w:type="dxa"/>
            <w:vAlign w:val="center"/>
          </w:tcPr>
          <w:p w14:paraId="3C0C9C91" w14:textId="00BE4CAE" w:rsidR="00BF17FD" w:rsidRPr="00DC5D9A" w:rsidRDefault="00BF17FD" w:rsidP="00BF17FD">
            <w:pPr>
              <w:jc w:val="both"/>
              <w:rPr>
                <w:rFonts w:ascii="Cambria" w:hAnsi="Cambria"/>
                <w:sz w:val="19"/>
                <w:szCs w:val="19"/>
              </w:rPr>
            </w:pPr>
            <w:r w:rsidRPr="00DC5D9A">
              <w:rPr>
                <w:rFonts w:ascii="Cambria" w:hAnsi="Cambria"/>
                <w:sz w:val="19"/>
                <w:szCs w:val="19"/>
                <w:lang w:val="en"/>
              </w:rPr>
              <w:t>Article 22 (movement and residence) of the American Convention on Human Rights</w:t>
            </w:r>
            <w:r w:rsidRPr="00DC5D9A">
              <w:rPr>
                <w:rStyle w:val="FootnoteReference"/>
                <w:rFonts w:ascii="Cambria" w:hAnsi="Cambria"/>
                <w:sz w:val="19"/>
                <w:szCs w:val="19"/>
                <w:lang w:val="en"/>
              </w:rPr>
              <w:footnoteReference w:id="2"/>
            </w:r>
          </w:p>
        </w:tc>
      </w:tr>
    </w:tbl>
    <w:p w14:paraId="08C39C2C" w14:textId="77777777" w:rsidR="00F621C3" w:rsidRPr="00DC5D9A" w:rsidRDefault="00F621C3" w:rsidP="00C355B4">
      <w:pPr>
        <w:spacing w:before="120" w:after="120"/>
        <w:ind w:firstLine="720"/>
        <w:jc w:val="both"/>
        <w:rPr>
          <w:rFonts w:ascii="Cambria" w:hAnsi="Cambria"/>
          <w:b/>
          <w:bCs/>
          <w:sz w:val="19"/>
          <w:szCs w:val="19"/>
        </w:rPr>
      </w:pPr>
      <w:r w:rsidRPr="00DC5D9A">
        <w:rPr>
          <w:rFonts w:ascii="Cambria" w:hAnsi="Cambria"/>
          <w:b/>
          <w:bCs/>
          <w:sz w:val="19"/>
          <w:szCs w:val="19"/>
        </w:rPr>
        <w:t>II.</w:t>
      </w:r>
      <w:r w:rsidRPr="00DC5D9A">
        <w:rPr>
          <w:rFonts w:ascii="Cambria" w:hAnsi="Cambria"/>
          <w:b/>
          <w:bCs/>
          <w:sz w:val="19"/>
          <w:szCs w:val="19"/>
        </w:rPr>
        <w:tab/>
        <w:t>PROCE</w:t>
      </w:r>
      <w:r w:rsidR="00321AFD" w:rsidRPr="00DC5D9A">
        <w:rPr>
          <w:rFonts w:ascii="Cambria" w:hAnsi="Cambria"/>
          <w:b/>
          <w:bCs/>
          <w:sz w:val="19"/>
          <w:szCs w:val="19"/>
        </w:rPr>
        <w:t>EDINGS</w:t>
      </w:r>
      <w:r w:rsidRPr="00DC5D9A">
        <w:rPr>
          <w:rFonts w:ascii="Cambria" w:hAnsi="Cambria"/>
          <w:b/>
          <w:bCs/>
          <w:sz w:val="19"/>
          <w:szCs w:val="19"/>
        </w:rPr>
        <w:t xml:space="preserve"> BEFORE THE IACHR</w:t>
      </w:r>
      <w:r w:rsidR="00653EA6" w:rsidRPr="00DC5D9A">
        <w:rPr>
          <w:rStyle w:val="FootnoteReference"/>
          <w:rFonts w:ascii="Cambria" w:hAnsi="Cambria"/>
          <w:b/>
          <w:sz w:val="19"/>
          <w:szCs w:val="19"/>
        </w:rPr>
        <w:footnoteReference w:id="3"/>
      </w:r>
    </w:p>
    <w:tbl>
      <w:tblPr>
        <w:tblStyle w:val="TableGrid"/>
        <w:tblW w:w="9360" w:type="dxa"/>
        <w:tblInd w:w="108" w:type="dxa"/>
        <w:tblLook w:val="04A0" w:firstRow="1" w:lastRow="0" w:firstColumn="1" w:lastColumn="0" w:noHBand="0" w:noVBand="1"/>
      </w:tblPr>
      <w:tblGrid>
        <w:gridCol w:w="2790"/>
        <w:gridCol w:w="6570"/>
      </w:tblGrid>
      <w:tr w:rsidR="00BF17FD" w:rsidRPr="00DC5D9A" w14:paraId="6DA75E12" w14:textId="77777777" w:rsidTr="00BF17FD">
        <w:tc>
          <w:tcPr>
            <w:tcW w:w="2790" w:type="dxa"/>
            <w:shd w:val="clear" w:color="auto" w:fill="67AE3C"/>
            <w:vAlign w:val="center"/>
          </w:tcPr>
          <w:p w14:paraId="534AFBE1" w14:textId="70D52731"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Filing of the petition</w:t>
            </w:r>
          </w:p>
        </w:tc>
        <w:tc>
          <w:tcPr>
            <w:tcW w:w="6570" w:type="dxa"/>
            <w:vAlign w:val="center"/>
          </w:tcPr>
          <w:p w14:paraId="23E016A1" w14:textId="3399AEB1" w:rsidR="00BF17FD" w:rsidRPr="00DC5D9A" w:rsidRDefault="00BF17FD" w:rsidP="00BF17FD">
            <w:pPr>
              <w:jc w:val="both"/>
              <w:rPr>
                <w:rFonts w:ascii="Cambria" w:hAnsi="Cambria"/>
                <w:bCs/>
                <w:sz w:val="19"/>
                <w:szCs w:val="19"/>
              </w:rPr>
            </w:pPr>
            <w:r w:rsidRPr="00DC5D9A">
              <w:rPr>
                <w:rFonts w:ascii="Cambria" w:hAnsi="Cambria"/>
                <w:sz w:val="19"/>
                <w:szCs w:val="19"/>
                <w:lang w:val="en"/>
              </w:rPr>
              <w:t>December 11, 2009</w:t>
            </w:r>
          </w:p>
        </w:tc>
      </w:tr>
      <w:tr w:rsidR="00BF17FD" w:rsidRPr="00DC5D9A" w14:paraId="5F460099" w14:textId="77777777" w:rsidTr="00BF17FD">
        <w:tc>
          <w:tcPr>
            <w:tcW w:w="2790" w:type="dxa"/>
            <w:shd w:val="clear" w:color="auto" w:fill="67AE3C"/>
            <w:vAlign w:val="center"/>
          </w:tcPr>
          <w:p w14:paraId="48D0BCDE" w14:textId="77777777" w:rsidR="00BF17FD" w:rsidRPr="00DC5D9A" w:rsidRDefault="00BF17FD" w:rsidP="00BF17FD">
            <w:pPr>
              <w:jc w:val="center"/>
              <w:rPr>
                <w:rFonts w:ascii="Cambria" w:hAnsi="Cambria"/>
                <w:color w:val="FFFFFF" w:themeColor="background1"/>
                <w:sz w:val="19"/>
                <w:szCs w:val="19"/>
              </w:rPr>
            </w:pPr>
            <w:r w:rsidRPr="00DC5D9A">
              <w:rPr>
                <w:rFonts w:ascii="Cambria" w:hAnsi="Cambria"/>
                <w:color w:val="FFFFFF" w:themeColor="background1"/>
                <w:sz w:val="19"/>
                <w:szCs w:val="19"/>
              </w:rPr>
              <w:t>Additional information received during initial review</w:t>
            </w:r>
          </w:p>
        </w:tc>
        <w:tc>
          <w:tcPr>
            <w:tcW w:w="6570" w:type="dxa"/>
            <w:vAlign w:val="center"/>
          </w:tcPr>
          <w:p w14:paraId="77389E30" w14:textId="29CF904C" w:rsidR="00BF17FD" w:rsidRPr="00DC5D9A" w:rsidRDefault="00BF17FD" w:rsidP="00BF17FD">
            <w:pPr>
              <w:jc w:val="both"/>
              <w:rPr>
                <w:rFonts w:ascii="Cambria" w:hAnsi="Cambria"/>
                <w:bCs/>
                <w:sz w:val="19"/>
                <w:szCs w:val="19"/>
              </w:rPr>
            </w:pPr>
            <w:r w:rsidRPr="00DC5D9A">
              <w:rPr>
                <w:rFonts w:ascii="Cambria" w:hAnsi="Cambria"/>
                <w:sz w:val="19"/>
                <w:szCs w:val="19"/>
                <w:lang w:val="en"/>
              </w:rPr>
              <w:t>December 29, 2009; March 24, 2011; May 19 and June 8, 2012; June 30 and December 23, 2014</w:t>
            </w:r>
          </w:p>
        </w:tc>
      </w:tr>
      <w:tr w:rsidR="00BF17FD" w:rsidRPr="00DC5D9A" w14:paraId="070BC314" w14:textId="77777777" w:rsidTr="00BF17FD">
        <w:tc>
          <w:tcPr>
            <w:tcW w:w="2790" w:type="dxa"/>
            <w:shd w:val="clear" w:color="auto" w:fill="67AE3C"/>
            <w:vAlign w:val="center"/>
          </w:tcPr>
          <w:p w14:paraId="1B91C5C6"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color w:val="FFFFFF" w:themeColor="background1"/>
                <w:sz w:val="19"/>
                <w:szCs w:val="19"/>
              </w:rPr>
              <w:t>Notification of the petition</w:t>
            </w:r>
          </w:p>
        </w:tc>
        <w:tc>
          <w:tcPr>
            <w:tcW w:w="6570" w:type="dxa"/>
            <w:vAlign w:val="center"/>
          </w:tcPr>
          <w:p w14:paraId="3A570646" w14:textId="1ADF7ED7" w:rsidR="00BF17FD" w:rsidRPr="00DC5D9A" w:rsidRDefault="00BF17FD" w:rsidP="00BF17FD">
            <w:pPr>
              <w:jc w:val="both"/>
              <w:rPr>
                <w:rFonts w:ascii="Cambria" w:hAnsi="Cambria"/>
                <w:bCs/>
                <w:sz w:val="19"/>
                <w:szCs w:val="19"/>
              </w:rPr>
            </w:pPr>
            <w:r w:rsidRPr="00DC5D9A">
              <w:rPr>
                <w:rFonts w:ascii="Cambria" w:hAnsi="Cambria"/>
                <w:sz w:val="19"/>
                <w:szCs w:val="19"/>
                <w:lang w:val="en"/>
              </w:rPr>
              <w:t>April 10, 2017</w:t>
            </w:r>
          </w:p>
        </w:tc>
      </w:tr>
      <w:tr w:rsidR="00BF17FD" w:rsidRPr="00DC5D9A" w14:paraId="3063240C" w14:textId="77777777" w:rsidTr="00BF17FD">
        <w:trPr>
          <w:trHeight w:val="264"/>
        </w:trPr>
        <w:tc>
          <w:tcPr>
            <w:tcW w:w="2790" w:type="dxa"/>
            <w:shd w:val="clear" w:color="auto" w:fill="67AE3C"/>
            <w:vAlign w:val="center"/>
          </w:tcPr>
          <w:p w14:paraId="69479C3F"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color w:val="FFFFFF" w:themeColor="background1"/>
                <w:sz w:val="19"/>
                <w:szCs w:val="19"/>
              </w:rPr>
              <w:t>State’s first response</w:t>
            </w:r>
          </w:p>
        </w:tc>
        <w:tc>
          <w:tcPr>
            <w:tcW w:w="6570" w:type="dxa"/>
            <w:vAlign w:val="center"/>
          </w:tcPr>
          <w:p w14:paraId="71E1525D" w14:textId="0B11BFAC" w:rsidR="00BF17FD" w:rsidRPr="00DC5D9A" w:rsidRDefault="00BF17FD" w:rsidP="00BF17FD">
            <w:pPr>
              <w:jc w:val="both"/>
              <w:rPr>
                <w:rFonts w:ascii="Cambria" w:hAnsi="Cambria"/>
                <w:bCs/>
                <w:sz w:val="19"/>
                <w:szCs w:val="19"/>
              </w:rPr>
            </w:pPr>
            <w:r w:rsidRPr="00DC5D9A">
              <w:rPr>
                <w:rFonts w:ascii="Cambria" w:hAnsi="Cambria"/>
                <w:sz w:val="19"/>
                <w:szCs w:val="19"/>
                <w:lang w:val="en"/>
              </w:rPr>
              <w:t>July 5, 2017</w:t>
            </w:r>
          </w:p>
        </w:tc>
      </w:tr>
      <w:tr w:rsidR="00BF17FD" w:rsidRPr="00DC5D9A" w14:paraId="158C8FCC" w14:textId="77777777" w:rsidTr="00BF17FD">
        <w:tc>
          <w:tcPr>
            <w:tcW w:w="2790" w:type="dxa"/>
            <w:shd w:val="clear" w:color="auto" w:fill="67AE3C"/>
            <w:vAlign w:val="center"/>
          </w:tcPr>
          <w:p w14:paraId="666ABE64"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Additional observations from the petitioner</w:t>
            </w:r>
          </w:p>
        </w:tc>
        <w:tc>
          <w:tcPr>
            <w:tcW w:w="6570" w:type="dxa"/>
            <w:vAlign w:val="center"/>
          </w:tcPr>
          <w:p w14:paraId="642299A7" w14:textId="261C6602" w:rsidR="00BF17FD" w:rsidRPr="00DC5D9A" w:rsidRDefault="00BF17FD" w:rsidP="00BF17FD">
            <w:pPr>
              <w:jc w:val="both"/>
              <w:rPr>
                <w:rFonts w:ascii="Cambria" w:hAnsi="Cambria"/>
                <w:bCs/>
                <w:sz w:val="19"/>
                <w:szCs w:val="19"/>
              </w:rPr>
            </w:pPr>
            <w:r w:rsidRPr="00DC5D9A">
              <w:rPr>
                <w:rFonts w:ascii="Cambria" w:hAnsi="Cambria"/>
                <w:sz w:val="19"/>
                <w:szCs w:val="19"/>
                <w:lang w:val="en"/>
              </w:rPr>
              <w:t>October 17, 2017</w:t>
            </w:r>
            <w:r w:rsidR="009338D6">
              <w:rPr>
                <w:rFonts w:ascii="Cambria" w:hAnsi="Cambria"/>
                <w:sz w:val="19"/>
                <w:szCs w:val="19"/>
                <w:lang w:val="en"/>
              </w:rPr>
              <w:t>; July 10, 2019</w:t>
            </w:r>
          </w:p>
        </w:tc>
      </w:tr>
      <w:tr w:rsidR="00BF17FD" w:rsidRPr="00DC5D9A" w14:paraId="66F06CFA" w14:textId="77777777" w:rsidTr="00BF17FD">
        <w:tc>
          <w:tcPr>
            <w:tcW w:w="2790" w:type="dxa"/>
            <w:shd w:val="clear" w:color="auto" w:fill="67AE3C"/>
            <w:vAlign w:val="center"/>
          </w:tcPr>
          <w:p w14:paraId="4C7541F3"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Additional observations from the State</w:t>
            </w:r>
          </w:p>
        </w:tc>
        <w:tc>
          <w:tcPr>
            <w:tcW w:w="6570" w:type="dxa"/>
            <w:vAlign w:val="center"/>
          </w:tcPr>
          <w:p w14:paraId="6CA89B33" w14:textId="79B4BF4E" w:rsidR="00BF17FD" w:rsidRPr="00DC5D9A" w:rsidRDefault="00BF17FD" w:rsidP="00BF17FD">
            <w:pPr>
              <w:jc w:val="both"/>
              <w:rPr>
                <w:rFonts w:ascii="Cambria" w:hAnsi="Cambria"/>
                <w:bCs/>
                <w:sz w:val="19"/>
                <w:szCs w:val="19"/>
              </w:rPr>
            </w:pPr>
            <w:r w:rsidRPr="00DC5D9A">
              <w:rPr>
                <w:rFonts w:ascii="Cambria" w:hAnsi="Cambria"/>
                <w:sz w:val="19"/>
                <w:szCs w:val="19"/>
                <w:lang w:val="en"/>
              </w:rPr>
              <w:t>April 15, 2019</w:t>
            </w:r>
          </w:p>
        </w:tc>
      </w:tr>
    </w:tbl>
    <w:p w14:paraId="3091AFE0" w14:textId="77777777" w:rsidR="00F621C3" w:rsidRPr="00DC5D9A" w:rsidRDefault="00F621C3" w:rsidP="00C355B4">
      <w:pPr>
        <w:spacing w:before="120" w:after="120"/>
        <w:ind w:firstLine="720"/>
        <w:jc w:val="both"/>
        <w:rPr>
          <w:rFonts w:ascii="Cambria" w:hAnsi="Cambria"/>
          <w:b/>
          <w:bCs/>
          <w:sz w:val="19"/>
          <w:szCs w:val="19"/>
        </w:rPr>
      </w:pPr>
      <w:r w:rsidRPr="00DC5D9A">
        <w:rPr>
          <w:rFonts w:ascii="Cambria" w:hAnsi="Cambria"/>
          <w:b/>
          <w:bCs/>
          <w:sz w:val="19"/>
          <w:szCs w:val="19"/>
        </w:rPr>
        <w:t xml:space="preserve">III. </w:t>
      </w:r>
      <w:r w:rsidRPr="00DC5D9A">
        <w:rPr>
          <w:rFonts w:ascii="Cambria" w:hAnsi="Cambria"/>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DC5D9A" w14:paraId="684F4233" w14:textId="77777777" w:rsidTr="00BF17FD">
        <w:trPr>
          <w:cantSplit/>
        </w:trPr>
        <w:tc>
          <w:tcPr>
            <w:tcW w:w="2763" w:type="dxa"/>
            <w:shd w:val="clear" w:color="auto" w:fill="67AE3C"/>
            <w:vAlign w:val="center"/>
          </w:tcPr>
          <w:p w14:paraId="60150448" w14:textId="35ED2A77" w:rsidR="00261E08" w:rsidRPr="00DC5D9A" w:rsidRDefault="00261E08" w:rsidP="009163FC">
            <w:pPr>
              <w:jc w:val="center"/>
              <w:rPr>
                <w:rFonts w:ascii="Cambria" w:hAnsi="Cambria"/>
                <w:bCs/>
                <w:i/>
                <w:color w:val="FFFFFF" w:themeColor="background1"/>
                <w:sz w:val="19"/>
                <w:szCs w:val="19"/>
              </w:rPr>
            </w:pPr>
            <w:r w:rsidRPr="00DC5D9A">
              <w:rPr>
                <w:rFonts w:ascii="Cambria" w:hAnsi="Cambria"/>
                <w:bCs/>
                <w:i/>
                <w:color w:val="FFFFFF" w:themeColor="background1"/>
                <w:sz w:val="19"/>
                <w:szCs w:val="19"/>
              </w:rPr>
              <w:t>Ratione personae</w:t>
            </w:r>
          </w:p>
        </w:tc>
        <w:tc>
          <w:tcPr>
            <w:tcW w:w="6622" w:type="dxa"/>
            <w:vAlign w:val="center"/>
          </w:tcPr>
          <w:p w14:paraId="21522B2E" w14:textId="7D59BD82" w:rsidR="00261E08" w:rsidRPr="00DC5D9A" w:rsidRDefault="00BF17FD" w:rsidP="009163FC">
            <w:pPr>
              <w:rPr>
                <w:rFonts w:ascii="Cambria" w:hAnsi="Cambria"/>
                <w:bCs/>
                <w:sz w:val="19"/>
                <w:szCs w:val="19"/>
              </w:rPr>
            </w:pPr>
            <w:r w:rsidRPr="00DC5D9A">
              <w:rPr>
                <w:rFonts w:ascii="Cambria" w:hAnsi="Cambria"/>
                <w:bCs/>
                <w:sz w:val="19"/>
                <w:szCs w:val="19"/>
              </w:rPr>
              <w:t>Yes</w:t>
            </w:r>
          </w:p>
        </w:tc>
      </w:tr>
      <w:tr w:rsidR="00261E08" w:rsidRPr="00DC5D9A" w14:paraId="6438DD58" w14:textId="77777777" w:rsidTr="00BF17FD">
        <w:trPr>
          <w:cantSplit/>
        </w:trPr>
        <w:tc>
          <w:tcPr>
            <w:tcW w:w="2763" w:type="dxa"/>
            <w:shd w:val="clear" w:color="auto" w:fill="67AE3C"/>
            <w:vAlign w:val="center"/>
          </w:tcPr>
          <w:p w14:paraId="43AB8B19" w14:textId="6682D917" w:rsidR="00261E08" w:rsidRPr="00DC5D9A" w:rsidRDefault="00261E08" w:rsidP="00C355B4">
            <w:pPr>
              <w:jc w:val="center"/>
              <w:rPr>
                <w:rFonts w:ascii="Cambria" w:hAnsi="Cambria"/>
                <w:bCs/>
                <w:color w:val="FFFFFF" w:themeColor="background1"/>
                <w:sz w:val="19"/>
                <w:szCs w:val="19"/>
              </w:rPr>
            </w:pPr>
            <w:r w:rsidRPr="00DC5D9A">
              <w:rPr>
                <w:rFonts w:ascii="Cambria" w:hAnsi="Cambria"/>
                <w:bCs/>
                <w:i/>
                <w:color w:val="FFFFFF" w:themeColor="background1"/>
                <w:sz w:val="19"/>
                <w:szCs w:val="19"/>
              </w:rPr>
              <w:t>Ratione loci</w:t>
            </w:r>
          </w:p>
        </w:tc>
        <w:tc>
          <w:tcPr>
            <w:tcW w:w="6622" w:type="dxa"/>
            <w:vAlign w:val="center"/>
          </w:tcPr>
          <w:p w14:paraId="27041F7E" w14:textId="7AC95ABA" w:rsidR="00261E08" w:rsidRPr="00DC5D9A" w:rsidRDefault="00BF17FD" w:rsidP="009163FC">
            <w:pPr>
              <w:rPr>
                <w:rFonts w:ascii="Cambria" w:hAnsi="Cambria"/>
                <w:bCs/>
                <w:sz w:val="19"/>
                <w:szCs w:val="19"/>
              </w:rPr>
            </w:pPr>
            <w:r w:rsidRPr="00DC5D9A">
              <w:rPr>
                <w:rFonts w:ascii="Cambria" w:hAnsi="Cambria"/>
                <w:bCs/>
                <w:sz w:val="19"/>
                <w:szCs w:val="19"/>
              </w:rPr>
              <w:t>Yes</w:t>
            </w:r>
          </w:p>
        </w:tc>
      </w:tr>
      <w:tr w:rsidR="00261E08" w:rsidRPr="00DC5D9A" w14:paraId="5140C2B6" w14:textId="77777777" w:rsidTr="00BF17FD">
        <w:trPr>
          <w:cantSplit/>
        </w:trPr>
        <w:tc>
          <w:tcPr>
            <w:tcW w:w="2763" w:type="dxa"/>
            <w:shd w:val="clear" w:color="auto" w:fill="67AE3C"/>
            <w:vAlign w:val="center"/>
          </w:tcPr>
          <w:p w14:paraId="74905820" w14:textId="44CF3A98" w:rsidR="00261E08" w:rsidRPr="00DC5D9A" w:rsidRDefault="00261E08" w:rsidP="009163FC">
            <w:pPr>
              <w:jc w:val="center"/>
              <w:rPr>
                <w:rFonts w:ascii="Cambria" w:hAnsi="Cambria"/>
                <w:bCs/>
                <w:color w:val="FFFFFF" w:themeColor="background1"/>
                <w:sz w:val="19"/>
                <w:szCs w:val="19"/>
              </w:rPr>
            </w:pPr>
            <w:r w:rsidRPr="00DC5D9A">
              <w:rPr>
                <w:rFonts w:ascii="Cambria" w:hAnsi="Cambria"/>
                <w:bCs/>
                <w:i/>
                <w:color w:val="FFFFFF" w:themeColor="background1"/>
                <w:sz w:val="19"/>
                <w:szCs w:val="19"/>
              </w:rPr>
              <w:t>Ratione temporis</w:t>
            </w:r>
          </w:p>
        </w:tc>
        <w:tc>
          <w:tcPr>
            <w:tcW w:w="6622" w:type="dxa"/>
            <w:vAlign w:val="center"/>
          </w:tcPr>
          <w:p w14:paraId="6091B7B0" w14:textId="58348843" w:rsidR="00261E08" w:rsidRPr="00DC5D9A" w:rsidRDefault="00BF17FD" w:rsidP="009163FC">
            <w:pPr>
              <w:rPr>
                <w:rFonts w:ascii="Cambria" w:hAnsi="Cambria"/>
                <w:bCs/>
                <w:sz w:val="19"/>
                <w:szCs w:val="19"/>
              </w:rPr>
            </w:pPr>
            <w:r w:rsidRPr="00DC5D9A">
              <w:rPr>
                <w:rFonts w:ascii="Cambria" w:hAnsi="Cambria"/>
                <w:bCs/>
                <w:sz w:val="19"/>
                <w:szCs w:val="19"/>
              </w:rPr>
              <w:t>Yes</w:t>
            </w:r>
          </w:p>
        </w:tc>
      </w:tr>
      <w:tr w:rsidR="00261E08" w:rsidRPr="00DC5D9A" w14:paraId="33238134" w14:textId="77777777" w:rsidTr="00BF17FD">
        <w:trPr>
          <w:cantSplit/>
        </w:trPr>
        <w:tc>
          <w:tcPr>
            <w:tcW w:w="2763" w:type="dxa"/>
            <w:shd w:val="clear" w:color="auto" w:fill="67AE3C"/>
            <w:vAlign w:val="center"/>
          </w:tcPr>
          <w:p w14:paraId="3C7AAFE9" w14:textId="5D07C0FE" w:rsidR="00261E08" w:rsidRPr="00DC5D9A" w:rsidRDefault="00261E08" w:rsidP="009163FC">
            <w:pPr>
              <w:jc w:val="center"/>
              <w:rPr>
                <w:rFonts w:ascii="Cambria" w:hAnsi="Cambria"/>
                <w:bCs/>
                <w:color w:val="FFFFFF" w:themeColor="background1"/>
                <w:sz w:val="19"/>
                <w:szCs w:val="19"/>
              </w:rPr>
            </w:pPr>
            <w:r w:rsidRPr="00DC5D9A">
              <w:rPr>
                <w:rFonts w:ascii="Cambria" w:hAnsi="Cambria"/>
                <w:bCs/>
                <w:i/>
                <w:color w:val="FFFFFF" w:themeColor="background1"/>
                <w:sz w:val="19"/>
                <w:szCs w:val="19"/>
              </w:rPr>
              <w:t>Ratione materiae</w:t>
            </w:r>
          </w:p>
        </w:tc>
        <w:tc>
          <w:tcPr>
            <w:tcW w:w="6622" w:type="dxa"/>
            <w:vAlign w:val="center"/>
          </w:tcPr>
          <w:p w14:paraId="49BB57C8" w14:textId="201140A2" w:rsidR="00261E08" w:rsidRPr="00DC5D9A" w:rsidRDefault="00BF17FD" w:rsidP="009163FC">
            <w:pPr>
              <w:jc w:val="both"/>
              <w:rPr>
                <w:rFonts w:ascii="Cambria" w:hAnsi="Cambria"/>
                <w:bCs/>
                <w:sz w:val="19"/>
                <w:szCs w:val="19"/>
              </w:rPr>
            </w:pPr>
            <w:r w:rsidRPr="00DC5D9A">
              <w:rPr>
                <w:rFonts w:ascii="Cambria" w:hAnsi="Cambria"/>
                <w:sz w:val="19"/>
                <w:szCs w:val="19"/>
                <w:lang w:val="en"/>
              </w:rPr>
              <w:t>Yes, American Convention (deposit of ratification instrument on May 25, 1978)</w:t>
            </w:r>
          </w:p>
        </w:tc>
      </w:tr>
    </w:tbl>
    <w:p w14:paraId="742070CB" w14:textId="77777777" w:rsidR="00F621C3" w:rsidRPr="00DC5D9A" w:rsidRDefault="00F621C3" w:rsidP="00C355B4">
      <w:pPr>
        <w:spacing w:before="120" w:after="120"/>
        <w:ind w:firstLine="720"/>
        <w:jc w:val="both"/>
        <w:rPr>
          <w:rFonts w:ascii="Cambria" w:hAnsi="Cambria"/>
          <w:b/>
          <w:bCs/>
          <w:sz w:val="19"/>
          <w:szCs w:val="19"/>
        </w:rPr>
      </w:pPr>
      <w:r w:rsidRPr="00DC5D9A">
        <w:rPr>
          <w:rFonts w:ascii="Cambria" w:hAnsi="Cambria"/>
          <w:b/>
          <w:bCs/>
          <w:sz w:val="19"/>
          <w:szCs w:val="19"/>
        </w:rPr>
        <w:t xml:space="preserve">IV. </w:t>
      </w:r>
      <w:r w:rsidRPr="00DC5D9A">
        <w:rPr>
          <w:rFonts w:ascii="Cambria" w:hAnsi="Cambria"/>
          <w:b/>
          <w:bCs/>
          <w:sz w:val="19"/>
          <w:szCs w:val="19"/>
        </w:rPr>
        <w:tab/>
        <w:t xml:space="preserve">DUPLICATION OF PROCEDURES AND INTERNATIONAL </w:t>
      </w:r>
      <w:r w:rsidRPr="00DC5D9A">
        <w:rPr>
          <w:rFonts w:ascii="Cambria" w:hAnsi="Cambria"/>
          <w:b/>
          <w:bCs/>
          <w:i/>
          <w:sz w:val="19"/>
          <w:szCs w:val="19"/>
        </w:rPr>
        <w:t>RES JUDICATA</w:t>
      </w:r>
      <w:r w:rsidRPr="00DC5D9A">
        <w:rPr>
          <w:rFonts w:ascii="Cambria" w:hAnsi="Cambria"/>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BF17FD" w:rsidRPr="00DC5D9A" w14:paraId="47EC0E6D" w14:textId="77777777" w:rsidTr="00BF17FD">
        <w:trPr>
          <w:cantSplit/>
        </w:trPr>
        <w:tc>
          <w:tcPr>
            <w:tcW w:w="2767" w:type="dxa"/>
            <w:shd w:val="clear" w:color="auto" w:fill="67AE3C"/>
            <w:vAlign w:val="center"/>
          </w:tcPr>
          <w:p w14:paraId="1B9411D6"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 xml:space="preserve">Duplication of procedures and international </w:t>
            </w:r>
            <w:r w:rsidRPr="00DC5D9A">
              <w:rPr>
                <w:rFonts w:ascii="Cambria" w:hAnsi="Cambria"/>
                <w:bCs/>
                <w:i/>
                <w:color w:val="FFFFFF" w:themeColor="background1"/>
                <w:sz w:val="19"/>
                <w:szCs w:val="19"/>
              </w:rPr>
              <w:t>res judicata</w:t>
            </w:r>
          </w:p>
        </w:tc>
        <w:tc>
          <w:tcPr>
            <w:tcW w:w="6618" w:type="dxa"/>
            <w:vAlign w:val="center"/>
          </w:tcPr>
          <w:p w14:paraId="5B37F5E9" w14:textId="5B11B247" w:rsidR="00BF17FD" w:rsidRPr="00DC5D9A" w:rsidRDefault="00BF17FD" w:rsidP="00BF17FD">
            <w:pPr>
              <w:jc w:val="both"/>
              <w:rPr>
                <w:rFonts w:ascii="Cambria" w:hAnsi="Cambria"/>
                <w:bCs/>
                <w:sz w:val="19"/>
                <w:szCs w:val="19"/>
              </w:rPr>
            </w:pPr>
            <w:r w:rsidRPr="00DC5D9A">
              <w:rPr>
                <w:rFonts w:ascii="Cambria" w:hAnsi="Cambria"/>
                <w:sz w:val="19"/>
                <w:szCs w:val="19"/>
                <w:lang w:val="en"/>
              </w:rPr>
              <w:t>No</w:t>
            </w:r>
          </w:p>
        </w:tc>
      </w:tr>
      <w:tr w:rsidR="00BF17FD" w:rsidRPr="00DC5D9A" w14:paraId="2E3D009A" w14:textId="77777777" w:rsidTr="00BF17FD">
        <w:trPr>
          <w:cantSplit/>
        </w:trPr>
        <w:tc>
          <w:tcPr>
            <w:tcW w:w="2767" w:type="dxa"/>
            <w:shd w:val="clear" w:color="auto" w:fill="67AE3C"/>
            <w:vAlign w:val="center"/>
          </w:tcPr>
          <w:p w14:paraId="45F253F9" w14:textId="77777777" w:rsidR="00BF17FD" w:rsidRPr="00DC5D9A" w:rsidRDefault="00BF17FD" w:rsidP="00BF17FD">
            <w:pPr>
              <w:jc w:val="center"/>
              <w:rPr>
                <w:rFonts w:ascii="Cambria" w:hAnsi="Cambria"/>
                <w:bCs/>
                <w:i/>
                <w:color w:val="FFFFFF" w:themeColor="background1"/>
                <w:sz w:val="19"/>
                <w:szCs w:val="19"/>
              </w:rPr>
            </w:pPr>
            <w:r w:rsidRPr="00DC5D9A">
              <w:rPr>
                <w:rFonts w:ascii="Cambria" w:hAnsi="Cambria"/>
                <w:bCs/>
                <w:color w:val="FFFFFF" w:themeColor="background1"/>
                <w:sz w:val="19"/>
                <w:szCs w:val="19"/>
              </w:rPr>
              <w:t>Rights declared admissible</w:t>
            </w:r>
          </w:p>
        </w:tc>
        <w:tc>
          <w:tcPr>
            <w:tcW w:w="6618" w:type="dxa"/>
            <w:vAlign w:val="center"/>
          </w:tcPr>
          <w:p w14:paraId="4F47965A" w14:textId="5A5C167E" w:rsidR="00BF17FD" w:rsidRPr="00DC5D9A" w:rsidRDefault="004F70B6" w:rsidP="00BF17FD">
            <w:pPr>
              <w:jc w:val="both"/>
              <w:rPr>
                <w:rFonts w:ascii="Cambria" w:hAnsi="Cambria"/>
                <w:bCs/>
                <w:sz w:val="19"/>
                <w:szCs w:val="19"/>
              </w:rPr>
            </w:pPr>
            <w:r>
              <w:rPr>
                <w:rFonts w:ascii="Cambria" w:hAnsi="Cambria"/>
                <w:sz w:val="19"/>
                <w:szCs w:val="19"/>
                <w:lang w:val="en"/>
              </w:rPr>
              <w:t>None</w:t>
            </w:r>
          </w:p>
        </w:tc>
      </w:tr>
      <w:tr w:rsidR="00BF17FD" w:rsidRPr="00DC5D9A" w14:paraId="77899B94" w14:textId="77777777" w:rsidTr="00BF17FD">
        <w:trPr>
          <w:cantSplit/>
        </w:trPr>
        <w:tc>
          <w:tcPr>
            <w:tcW w:w="2767" w:type="dxa"/>
            <w:shd w:val="clear" w:color="auto" w:fill="67AE3C"/>
            <w:vAlign w:val="center"/>
          </w:tcPr>
          <w:p w14:paraId="754CDE32"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 xml:space="preserve">Exhaustion or exception to the exhaustion of remedies </w:t>
            </w:r>
          </w:p>
        </w:tc>
        <w:tc>
          <w:tcPr>
            <w:tcW w:w="6618" w:type="dxa"/>
            <w:vAlign w:val="center"/>
          </w:tcPr>
          <w:p w14:paraId="60FBCB56" w14:textId="531C2EE3" w:rsidR="00BF17FD" w:rsidRPr="00DC5D9A" w:rsidRDefault="00BF17FD" w:rsidP="00BF17FD">
            <w:pPr>
              <w:rPr>
                <w:rFonts w:ascii="Cambria" w:hAnsi="Cambria"/>
                <w:bCs/>
                <w:sz w:val="19"/>
                <w:szCs w:val="19"/>
              </w:rPr>
            </w:pPr>
            <w:r w:rsidRPr="00DC5D9A">
              <w:rPr>
                <w:rFonts w:ascii="Cambria" w:hAnsi="Cambria"/>
                <w:sz w:val="19"/>
                <w:szCs w:val="19"/>
                <w:lang w:val="en"/>
              </w:rPr>
              <w:t>Yes, exceptions in Article 46.2, paragraphs b and c, of the Convention apply</w:t>
            </w:r>
          </w:p>
        </w:tc>
      </w:tr>
      <w:tr w:rsidR="00BF17FD" w:rsidRPr="00DC5D9A" w14:paraId="4F59B7C5" w14:textId="77777777" w:rsidTr="00BF17FD">
        <w:trPr>
          <w:cantSplit/>
        </w:trPr>
        <w:tc>
          <w:tcPr>
            <w:tcW w:w="2767" w:type="dxa"/>
            <w:shd w:val="clear" w:color="auto" w:fill="67AE3C"/>
            <w:vAlign w:val="center"/>
          </w:tcPr>
          <w:p w14:paraId="75227E17" w14:textId="77777777" w:rsidR="00BF17FD" w:rsidRPr="00DC5D9A" w:rsidRDefault="00BF17FD" w:rsidP="00BF17FD">
            <w:pPr>
              <w:jc w:val="center"/>
              <w:rPr>
                <w:rFonts w:ascii="Cambria" w:hAnsi="Cambria"/>
                <w:bCs/>
                <w:color w:val="FFFFFF" w:themeColor="background1"/>
                <w:sz w:val="19"/>
                <w:szCs w:val="19"/>
              </w:rPr>
            </w:pPr>
            <w:r w:rsidRPr="00DC5D9A">
              <w:rPr>
                <w:rFonts w:ascii="Cambria" w:hAnsi="Cambria"/>
                <w:bCs/>
                <w:color w:val="FFFFFF" w:themeColor="background1"/>
                <w:sz w:val="19"/>
                <w:szCs w:val="19"/>
              </w:rPr>
              <w:t>Timeliness of the petition</w:t>
            </w:r>
          </w:p>
        </w:tc>
        <w:tc>
          <w:tcPr>
            <w:tcW w:w="6618" w:type="dxa"/>
            <w:vAlign w:val="center"/>
          </w:tcPr>
          <w:p w14:paraId="44BE46AA" w14:textId="7B3F9E91" w:rsidR="00BF17FD" w:rsidRPr="00DC5D9A" w:rsidRDefault="00BF17FD" w:rsidP="00BF17FD">
            <w:pPr>
              <w:rPr>
                <w:rFonts w:ascii="Cambria" w:hAnsi="Cambria"/>
                <w:bCs/>
                <w:sz w:val="19"/>
                <w:szCs w:val="19"/>
              </w:rPr>
            </w:pPr>
            <w:r w:rsidRPr="00DC5D9A">
              <w:rPr>
                <w:rFonts w:ascii="Cambria" w:hAnsi="Cambria"/>
                <w:sz w:val="19"/>
                <w:szCs w:val="19"/>
                <w:lang w:val="en"/>
              </w:rPr>
              <w:t>Yes, in the terms of Section VI</w:t>
            </w:r>
          </w:p>
        </w:tc>
      </w:tr>
    </w:tbl>
    <w:p w14:paraId="3FEBD323" w14:textId="6C19C762" w:rsidR="00F621C3" w:rsidRPr="00DC5D9A" w:rsidRDefault="00F621C3" w:rsidP="00C355B4">
      <w:pPr>
        <w:spacing w:before="120" w:after="120"/>
        <w:ind w:firstLine="720"/>
        <w:jc w:val="both"/>
        <w:rPr>
          <w:rFonts w:ascii="Cambria" w:hAnsi="Cambria"/>
          <w:b/>
          <w:sz w:val="20"/>
          <w:szCs w:val="20"/>
        </w:rPr>
      </w:pPr>
      <w:r w:rsidRPr="00DC5D9A">
        <w:rPr>
          <w:rFonts w:ascii="Cambria" w:hAnsi="Cambria"/>
          <w:b/>
          <w:sz w:val="20"/>
          <w:szCs w:val="20"/>
        </w:rPr>
        <w:t xml:space="preserve">V. </w:t>
      </w:r>
      <w:r w:rsidRPr="00DC5D9A">
        <w:rPr>
          <w:rFonts w:ascii="Cambria" w:hAnsi="Cambria"/>
          <w:b/>
          <w:sz w:val="20"/>
          <w:szCs w:val="20"/>
        </w:rPr>
        <w:tab/>
      </w:r>
      <w:r w:rsidR="003D6EE0" w:rsidRPr="00DC5D9A">
        <w:rPr>
          <w:rFonts w:ascii="Cambria" w:hAnsi="Cambria"/>
          <w:b/>
          <w:sz w:val="20"/>
          <w:szCs w:val="20"/>
        </w:rPr>
        <w:t xml:space="preserve">SUMMARY OF </w:t>
      </w:r>
      <w:r w:rsidR="00706858" w:rsidRPr="00DC5D9A">
        <w:rPr>
          <w:rFonts w:ascii="Cambria" w:hAnsi="Cambria"/>
          <w:b/>
          <w:sz w:val="20"/>
          <w:szCs w:val="20"/>
        </w:rPr>
        <w:t xml:space="preserve">ALLEGED </w:t>
      </w:r>
      <w:r w:rsidRPr="00DC5D9A">
        <w:rPr>
          <w:rFonts w:ascii="Cambria" w:hAnsi="Cambria"/>
          <w:b/>
          <w:sz w:val="20"/>
          <w:szCs w:val="20"/>
        </w:rPr>
        <w:t xml:space="preserve">FACTS </w:t>
      </w:r>
    </w:p>
    <w:p w14:paraId="7AD48CCB" w14:textId="0617E1FC" w:rsidR="00BF17FD" w:rsidRPr="00DC5D9A" w:rsidRDefault="00BF17FD"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C5D9A">
        <w:rPr>
          <w:rFonts w:ascii="Cambria" w:hAnsi="Cambria"/>
          <w:sz w:val="20"/>
          <w:szCs w:val="20"/>
          <w:lang w:val="en"/>
        </w:rPr>
        <w:t>The petitioner, an American national, applied for asylum in Guatemala in 2004.</w:t>
      </w:r>
      <w:r w:rsidRPr="00DC5D9A">
        <w:rPr>
          <w:rStyle w:val="FootnoteReference"/>
          <w:rFonts w:ascii="Cambria" w:hAnsi="Cambria"/>
          <w:sz w:val="20"/>
          <w:szCs w:val="20"/>
          <w:lang w:val="en"/>
        </w:rPr>
        <w:footnoteReference w:id="4"/>
      </w:r>
      <w:r w:rsidRPr="00DC5D9A">
        <w:rPr>
          <w:rFonts w:ascii="Cambria" w:hAnsi="Cambria"/>
          <w:sz w:val="20"/>
          <w:szCs w:val="20"/>
          <w:lang w:val="en"/>
        </w:rPr>
        <w:t xml:space="preserve"> He alleges irregularities, negligence on the part of the authorities, and delay in the processing of his application. In this regard, he claims that the authorities did not provide him with any assistance, in that the proceedings were held in a language that he did not understand, he had no free legal</w:t>
      </w:r>
      <w:r w:rsidR="00885CC6">
        <w:rPr>
          <w:rFonts w:ascii="Cambria" w:hAnsi="Cambria"/>
          <w:sz w:val="20"/>
          <w:szCs w:val="20"/>
          <w:lang w:val="en"/>
        </w:rPr>
        <w:t xml:space="preserve"> assistance</w:t>
      </w:r>
      <w:r w:rsidRPr="00DC5D9A">
        <w:rPr>
          <w:rFonts w:ascii="Cambria" w:hAnsi="Cambria"/>
          <w:sz w:val="20"/>
          <w:szCs w:val="20"/>
          <w:lang w:val="en"/>
        </w:rPr>
        <w:t xml:space="preserve"> </w:t>
      </w:r>
      <w:r w:rsidR="00885CC6">
        <w:rPr>
          <w:rFonts w:ascii="Cambria" w:hAnsi="Cambria"/>
          <w:sz w:val="20"/>
          <w:szCs w:val="20"/>
          <w:lang w:val="en"/>
        </w:rPr>
        <w:t>n</w:t>
      </w:r>
      <w:r w:rsidRPr="00DC5D9A">
        <w:rPr>
          <w:rFonts w:ascii="Cambria" w:hAnsi="Cambria"/>
          <w:sz w:val="20"/>
          <w:szCs w:val="20"/>
          <w:lang w:val="en"/>
        </w:rPr>
        <w:t xml:space="preserve">or interpretation services, the documents he submitted in support of his application were not translated; and that he could not afford a private attorney. He indicates that in May 2005 the National Commission for Refugees (hereinafter “CNR”) dismissed his application without having considered his testimony or the documents he submitted. He asserts that considering the Guatemalan laws and the resolution by the CNR, in May 2015 he lodged an appeal with the CNR against that decision. He explains that the CNR admitted the remedy and referred the proceedings to Guatemala President’s Office for a final resolution. In September 2006, the President’s Office dismissed the appeal, alleging lack of competence to rule on this, and returned the proceedings. </w:t>
      </w:r>
    </w:p>
    <w:p w14:paraId="472A4AB8" w14:textId="6035FE62" w:rsidR="00BF17FD" w:rsidRPr="00DC5D9A" w:rsidRDefault="00BF17FD"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C5D9A">
        <w:rPr>
          <w:rFonts w:ascii="Cambria" w:hAnsi="Cambria"/>
          <w:sz w:val="20"/>
          <w:szCs w:val="20"/>
          <w:lang w:val="en"/>
        </w:rPr>
        <w:t xml:space="preserve">According to the petitioner, he has been in administrative limbo since then, as he has lived in a state of uncertainty for more than a decade. He explains that he has had to take several buses for a three hour’s trip to and from the city of Guatemala, every 10 days, to come to the Guatemalan Directorate General of Migration (“DGM”) offices to apply for a Temporary Residence Permit. He asserts that throughout these years, the State of Guatemala has deprived him of a driver’s license, a bank account, a smartphone, or an identity </w:t>
      </w:r>
      <w:r w:rsidRPr="00DC5D9A">
        <w:rPr>
          <w:rFonts w:ascii="Cambria" w:hAnsi="Cambria"/>
          <w:sz w:val="20"/>
          <w:szCs w:val="20"/>
          <w:lang w:val="en"/>
        </w:rPr>
        <w:lastRenderedPageBreak/>
        <w:t>card, rendering him unable to fulfill some formalities. He explains that all he has is his expired American driver’s license. He alleges that, contrary to the State’s recommendation, he cannot apply for a valid identity card at an American consulate because he is seeking asylum in Guatemala because American authorities are after him. He moreover claims that in some occasions he has had to live as an illegal migrant given that the DGM had not granted him the temporary permit on time.</w:t>
      </w:r>
    </w:p>
    <w:p w14:paraId="3C81622A" w14:textId="7580BEE4" w:rsidR="00BF17FD" w:rsidRPr="00DC5D9A" w:rsidRDefault="00BF17FD"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C5D9A">
        <w:rPr>
          <w:rFonts w:ascii="Cambria" w:hAnsi="Cambria"/>
          <w:sz w:val="20"/>
          <w:szCs w:val="20"/>
          <w:lang w:val="en"/>
        </w:rPr>
        <w:t>He indicates that in 2012</w:t>
      </w:r>
      <w:r w:rsidR="00817315" w:rsidRPr="00DC5D9A">
        <w:rPr>
          <w:rFonts w:ascii="Cambria" w:hAnsi="Cambria"/>
          <w:sz w:val="20"/>
          <w:szCs w:val="20"/>
          <w:lang w:val="en"/>
        </w:rPr>
        <w:t>,</w:t>
      </w:r>
      <w:r w:rsidRPr="00DC5D9A">
        <w:rPr>
          <w:rFonts w:ascii="Cambria" w:hAnsi="Cambria"/>
          <w:sz w:val="20"/>
          <w:szCs w:val="20"/>
          <w:lang w:val="en"/>
        </w:rPr>
        <w:t xml:space="preserve"> a tumor developed on his skull and, having no health insurance, he went to a public hospital for treatment. He submits that his treatment involved a surgery for which two blood donors were required. A foreigner, he did not have anyone close to him that could help him; thus, he was not treated. He explains that although several times he went to the blood bank and even offered to donate his </w:t>
      </w:r>
      <w:r w:rsidR="003700DD" w:rsidRPr="00DC5D9A">
        <w:rPr>
          <w:rFonts w:ascii="Cambria" w:hAnsi="Cambria"/>
          <w:sz w:val="20"/>
          <w:szCs w:val="20"/>
          <w:lang w:val="en"/>
        </w:rPr>
        <w:t>blood;</w:t>
      </w:r>
      <w:r w:rsidRPr="00DC5D9A">
        <w:rPr>
          <w:rFonts w:ascii="Cambria" w:hAnsi="Cambria"/>
          <w:sz w:val="20"/>
          <w:szCs w:val="20"/>
          <w:lang w:val="en"/>
        </w:rPr>
        <w:t xml:space="preserve"> he was unable to undergo the procedure. He asserts that he stopped seeking help for his treatment because he preferred to focus on obtaining a final and favorable decision on his asylum application.</w:t>
      </w:r>
      <w:r w:rsidR="009338D6" w:rsidRPr="009338D6">
        <w:rPr>
          <w:rFonts w:ascii="Cambria" w:hAnsi="Cambria"/>
          <w:sz w:val="20"/>
          <w:szCs w:val="20"/>
          <w:lang w:val="en"/>
        </w:rPr>
        <w:t xml:space="preserve"> </w:t>
      </w:r>
      <w:r w:rsidR="009338D6">
        <w:rPr>
          <w:rFonts w:ascii="Cambria" w:hAnsi="Cambria"/>
          <w:sz w:val="20"/>
          <w:szCs w:val="20"/>
          <w:lang w:val="en"/>
        </w:rPr>
        <w:t>In addition, the petitioner reports that his provisional migratory status was extended on April 12, 2019 for a period of thirty days.</w:t>
      </w:r>
    </w:p>
    <w:p w14:paraId="4A9FBF9F" w14:textId="2E069EA8" w:rsidR="00BF17FD" w:rsidRPr="009338D6" w:rsidRDefault="00BF17FD"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C5D9A">
        <w:rPr>
          <w:rFonts w:ascii="Cambria" w:hAnsi="Cambria"/>
          <w:sz w:val="20"/>
          <w:szCs w:val="20"/>
          <w:lang w:val="en"/>
        </w:rPr>
        <w:t xml:space="preserve">The State claims that the alleged victim has sought asylum in Guatemala as a refugee due to family issues in his home country after divorcing his wife. It adds that the State of Missouri had ordered him to make monthly payments of USD 700 to keep his right to visit his son under penalty of jail time if he failed to fulfill this obligation. The State indicates that as he refused to pay child support, he has been imprisoned twice. The first time for eight months and the second time for four months. It indicates that in 2004 he applied for asylum in Guatemala and that the CNR denied him refugee status because he did not meet the requirements set out in the applicable legislation. It claims that Guatemala President’s Office rejected his appeal on considering that it was not competent to rule on it. It explains that the proceedings were, therefore, returned to the CNR, whose resolution on the denial of refugee status remains in force. The State moreover claims that temporary permits valid for 10 days are free of charge for the petitioner. It </w:t>
      </w:r>
      <w:r w:rsidR="003700DD" w:rsidRPr="00DC5D9A">
        <w:rPr>
          <w:rFonts w:ascii="Cambria" w:hAnsi="Cambria"/>
          <w:sz w:val="20"/>
          <w:szCs w:val="20"/>
          <w:lang w:val="en"/>
        </w:rPr>
        <w:t>also</w:t>
      </w:r>
      <w:r w:rsidRPr="00DC5D9A">
        <w:rPr>
          <w:rFonts w:ascii="Cambria" w:hAnsi="Cambria"/>
          <w:sz w:val="20"/>
          <w:szCs w:val="20"/>
          <w:lang w:val="en"/>
        </w:rPr>
        <w:t xml:space="preserve"> claims that the authorities have already told the petitioner to apply for a valid identity card at the embassy or a consulate of his country so that he can fulfill the necessary steps in Guatemala because his driver’s license has expired.</w:t>
      </w:r>
      <w:r w:rsidR="009338D6">
        <w:rPr>
          <w:rFonts w:ascii="Cambria" w:hAnsi="Cambria"/>
          <w:sz w:val="20"/>
          <w:szCs w:val="20"/>
          <w:lang w:val="en"/>
        </w:rPr>
        <w:t xml:space="preserve"> </w:t>
      </w:r>
    </w:p>
    <w:p w14:paraId="6D8712D9" w14:textId="4DE4B9D5" w:rsidR="00BF17FD" w:rsidRPr="00DC5D9A" w:rsidRDefault="00BF17FD" w:rsidP="00BF17FD">
      <w:pPr>
        <w:pStyle w:val="ListParagraph"/>
        <w:spacing w:before="120" w:after="120"/>
        <w:jc w:val="both"/>
        <w:rPr>
          <w:b/>
          <w:bCs/>
          <w:sz w:val="20"/>
          <w:szCs w:val="20"/>
        </w:rPr>
      </w:pPr>
      <w:r w:rsidRPr="00DC5D9A">
        <w:rPr>
          <w:b/>
          <w:bCs/>
          <w:sz w:val="20"/>
          <w:szCs w:val="20"/>
          <w:lang w:val="en"/>
        </w:rPr>
        <w:t xml:space="preserve">VI. </w:t>
      </w:r>
      <w:r w:rsidRPr="00DC5D9A">
        <w:rPr>
          <w:b/>
          <w:bCs/>
          <w:sz w:val="20"/>
          <w:szCs w:val="20"/>
          <w:lang w:val="en"/>
        </w:rPr>
        <w:tab/>
        <w:t>EXHAUSTION OF DOMESTIC REMEDIES AND TIMELINESS OF THE PETITION</w:t>
      </w:r>
    </w:p>
    <w:p w14:paraId="71EAF1BC" w14:textId="77777777" w:rsidR="00BF17FD" w:rsidRPr="00DC5D9A" w:rsidRDefault="00BF17FD"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C5D9A">
        <w:rPr>
          <w:rFonts w:ascii="Cambria" w:hAnsi="Cambria"/>
          <w:sz w:val="20"/>
          <w:szCs w:val="20"/>
          <w:lang w:val="en"/>
        </w:rPr>
        <w:t xml:space="preserve">The petitioner alleges his inability to exhaust domestic remedies because of the following reasons: </w:t>
      </w:r>
      <w:proofErr w:type="spellStart"/>
      <w:r w:rsidRPr="00DC5D9A">
        <w:rPr>
          <w:rFonts w:ascii="Cambria" w:hAnsi="Cambria"/>
          <w:sz w:val="20"/>
          <w:szCs w:val="20"/>
          <w:lang w:val="en"/>
        </w:rPr>
        <w:t>i</w:t>
      </w:r>
      <w:proofErr w:type="spellEnd"/>
      <w:r w:rsidRPr="00DC5D9A">
        <w:rPr>
          <w:rFonts w:ascii="Cambria" w:hAnsi="Cambria"/>
          <w:sz w:val="20"/>
          <w:szCs w:val="20"/>
          <w:lang w:val="en"/>
        </w:rPr>
        <w:t>) the President’s Office declined to rule on a remedy under its competence of jurisdiction, leaving his case in administrative limbo since then; ii) the proceedings were riddled with irregularities as he did not have an attorney or interpreter; iii) there has been a delay in the authorities’ issuing of a final resolution on his application; and iv) because of Guatemala President’s Office denial to decide on his appeal, he filed remedies with several authorities such as the President of the Congress, the Human Rights Ombudsman’s Office, and the Supreme Court; yet no one has settled the issue. The State contends that after exhausting the administrative jurisdiction by means of the appeal, the petitioner should have resorted to the contentious-administrative jurisdiction or submitted an action for the protection of fundamental rights (</w:t>
      </w:r>
      <w:proofErr w:type="spellStart"/>
      <w:r w:rsidRPr="00DC5D9A">
        <w:rPr>
          <w:rFonts w:ascii="Cambria" w:hAnsi="Cambria"/>
          <w:sz w:val="20"/>
          <w:szCs w:val="20"/>
          <w:lang w:val="en"/>
        </w:rPr>
        <w:t>amparo</w:t>
      </w:r>
      <w:proofErr w:type="spellEnd"/>
      <w:r w:rsidRPr="00DC5D9A">
        <w:rPr>
          <w:rFonts w:ascii="Cambria" w:hAnsi="Cambria"/>
          <w:sz w:val="20"/>
          <w:szCs w:val="20"/>
          <w:lang w:val="en"/>
        </w:rPr>
        <w:t xml:space="preserve">), which is now impossible because of the statute of limitations. </w:t>
      </w:r>
    </w:p>
    <w:p w14:paraId="5D48B082" w14:textId="1F1965BE" w:rsidR="00BF17FD" w:rsidRPr="00DC5D9A" w:rsidRDefault="00BF17FD"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C5D9A">
        <w:rPr>
          <w:rFonts w:ascii="Cambria" w:hAnsi="Cambria"/>
          <w:sz w:val="20"/>
          <w:szCs w:val="20"/>
          <w:lang w:val="en"/>
        </w:rPr>
        <w:t xml:space="preserve">The Commission notes that under the notification of the CNR asylum denial the petitioner had “five days, following the date of this notification to appeal before the National Commission for Refugees.” The IACHR also notes that based on data submitted by the parties, the Rules for Protecting and Deciding on Refugee Status in Guatemalan Territory, in Governmental Agreement No. 383 of September 14, 2001, indicate in article 33 that “within five days as of the date subsequent to the notification, applicants may file an appeal with the [CNR] to have it refer the file, along with a detailed report, to Guatemala President’s Office, which shall pass a final decision by the President’s Office Secretariat-General. This decision will exhaust the administrative venue.” In view of this, and considering that both parties agree that the petitioner filed an appeal with the CNR and that this was sent to the President’s Office, the IACHR believes that the petitioner submitted the adequate remedy and that the authority competent to decide on it refused to do so and returned the proceedings to the CNR. Consequently, a final resolution on his case has been pending since then and it appears that it is impossible to file other legal remedies because the deadlines are due. As a </w:t>
      </w:r>
      <w:r w:rsidR="00D43330" w:rsidRPr="00DC5D9A">
        <w:rPr>
          <w:rFonts w:ascii="Cambria" w:hAnsi="Cambria"/>
          <w:sz w:val="20"/>
          <w:szCs w:val="20"/>
          <w:lang w:val="en"/>
        </w:rPr>
        <w:t>result and</w:t>
      </w:r>
      <w:r w:rsidRPr="00DC5D9A">
        <w:rPr>
          <w:rFonts w:ascii="Cambria" w:hAnsi="Cambria"/>
          <w:sz w:val="20"/>
          <w:szCs w:val="20"/>
          <w:lang w:val="en"/>
        </w:rPr>
        <w:t xml:space="preserve"> considering that the proceedings were held in a language that the petitioner did not master then and that he had no defense counsel or interpreter, the IACHR believes that the petitioner has been deprived of exhausting domestic remedies. Therefore, exceptions in Article 46.2, paragraphs b and c, of the American Convention apply to this matter. </w:t>
      </w:r>
      <w:r w:rsidR="00E01E75" w:rsidRPr="00DC5D9A">
        <w:rPr>
          <w:rFonts w:ascii="Cambria" w:hAnsi="Cambria"/>
          <w:sz w:val="20"/>
          <w:szCs w:val="20"/>
          <w:lang w:val="en"/>
        </w:rPr>
        <w:t>The exceptions apply</w:t>
      </w:r>
      <w:r w:rsidRPr="00DC5D9A">
        <w:rPr>
          <w:rFonts w:ascii="Cambria" w:hAnsi="Cambria"/>
          <w:sz w:val="20"/>
          <w:szCs w:val="20"/>
          <w:lang w:val="en"/>
        </w:rPr>
        <w:t xml:space="preserve"> because the petition indicates </w:t>
      </w:r>
      <w:r w:rsidRPr="00DC5D9A">
        <w:rPr>
          <w:rFonts w:ascii="Cambria" w:hAnsi="Cambria"/>
          <w:i/>
          <w:iCs/>
          <w:sz w:val="20"/>
          <w:szCs w:val="20"/>
          <w:lang w:val="en"/>
        </w:rPr>
        <w:t>prima facie</w:t>
      </w:r>
      <w:r w:rsidR="00C60F95" w:rsidRPr="00DC5D9A">
        <w:rPr>
          <w:rFonts w:ascii="Cambria" w:hAnsi="Cambria"/>
          <w:i/>
          <w:iCs/>
          <w:sz w:val="20"/>
          <w:szCs w:val="20"/>
          <w:lang w:val="en"/>
        </w:rPr>
        <w:t xml:space="preserve"> </w:t>
      </w:r>
      <w:r w:rsidRPr="00DC5D9A">
        <w:rPr>
          <w:rFonts w:ascii="Cambria" w:hAnsi="Cambria"/>
          <w:sz w:val="20"/>
          <w:szCs w:val="20"/>
          <w:lang w:val="en"/>
        </w:rPr>
        <w:t xml:space="preserve">as follows: </w:t>
      </w:r>
      <w:proofErr w:type="spellStart"/>
      <w:r w:rsidRPr="00DC5D9A">
        <w:rPr>
          <w:rFonts w:ascii="Cambria" w:hAnsi="Cambria"/>
          <w:sz w:val="20"/>
          <w:szCs w:val="20"/>
          <w:lang w:val="en"/>
        </w:rPr>
        <w:t>i</w:t>
      </w:r>
      <w:proofErr w:type="spellEnd"/>
      <w:r w:rsidRPr="00DC5D9A">
        <w:rPr>
          <w:rFonts w:ascii="Cambria" w:hAnsi="Cambria"/>
          <w:sz w:val="20"/>
          <w:szCs w:val="20"/>
          <w:lang w:val="en"/>
        </w:rPr>
        <w:t xml:space="preserve">) the </w:t>
      </w:r>
      <w:r w:rsidRPr="00DC5D9A">
        <w:rPr>
          <w:rFonts w:ascii="Cambria" w:hAnsi="Cambria"/>
          <w:sz w:val="20"/>
          <w:szCs w:val="20"/>
          <w:lang w:val="en"/>
        </w:rPr>
        <w:lastRenderedPageBreak/>
        <w:t xml:space="preserve">petitioner was allegedly unable to exhaust remedies given the competent authority’s refusal to hear his appeal and ii) a final resolution on his asylum request filed in 2004 has been pending for over 15 years. </w:t>
      </w:r>
    </w:p>
    <w:p w14:paraId="48A844C4" w14:textId="05FABD14" w:rsidR="00BF17FD" w:rsidRPr="00DC5D9A" w:rsidRDefault="00BF17FD"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C5D9A">
        <w:rPr>
          <w:rFonts w:ascii="Cambria" w:hAnsi="Cambria"/>
          <w:sz w:val="20"/>
          <w:szCs w:val="20"/>
          <w:lang w:val="en"/>
        </w:rPr>
        <w:t xml:space="preserve">In addition, given the dismissal of the appeal in 2006, the petitioner has resorted to several authorities since then, including the Supreme Court in 2009. A month after the Supreme Court passed its decision, he filed a petition to the IACHR. Therefore, the Commission considers that the petition was filed </w:t>
      </w:r>
      <w:r w:rsidR="00D72FB5" w:rsidRPr="00DC5D9A">
        <w:rPr>
          <w:rFonts w:ascii="Cambria" w:hAnsi="Cambria"/>
          <w:sz w:val="20"/>
          <w:szCs w:val="20"/>
          <w:lang w:val="en"/>
        </w:rPr>
        <w:t>on time</w:t>
      </w:r>
      <w:r w:rsidRPr="00DC5D9A">
        <w:rPr>
          <w:rFonts w:ascii="Cambria" w:hAnsi="Cambria"/>
          <w:sz w:val="20"/>
          <w:szCs w:val="20"/>
          <w:lang w:val="en"/>
        </w:rPr>
        <w:t xml:space="preserve"> and meets the requirement in Article 32.2 of the IACHR Rules of Procedure. </w:t>
      </w:r>
    </w:p>
    <w:p w14:paraId="7A62EF5D" w14:textId="77777777" w:rsidR="00BF17FD" w:rsidRPr="00DC5D9A" w:rsidRDefault="00BF17FD" w:rsidP="00BF17FD">
      <w:pPr>
        <w:pStyle w:val="ListParagraph"/>
        <w:tabs>
          <w:tab w:val="left" w:pos="720"/>
          <w:tab w:val="left" w:pos="1440"/>
          <w:tab w:val="left" w:pos="2160"/>
          <w:tab w:val="left" w:pos="2880"/>
          <w:tab w:val="left" w:pos="4198"/>
        </w:tabs>
        <w:spacing w:before="120" w:after="120"/>
        <w:jc w:val="both"/>
        <w:rPr>
          <w:b/>
          <w:bCs/>
          <w:sz w:val="20"/>
          <w:szCs w:val="20"/>
        </w:rPr>
      </w:pPr>
      <w:r w:rsidRPr="00DC5D9A">
        <w:rPr>
          <w:b/>
          <w:bCs/>
          <w:sz w:val="20"/>
          <w:szCs w:val="20"/>
          <w:lang w:val="en"/>
        </w:rPr>
        <w:t xml:space="preserve">VII. </w:t>
      </w:r>
      <w:r w:rsidRPr="00DC5D9A">
        <w:rPr>
          <w:b/>
          <w:bCs/>
          <w:sz w:val="20"/>
          <w:szCs w:val="20"/>
          <w:lang w:val="en"/>
        </w:rPr>
        <w:tab/>
        <w:t>COLORABLE CLAIM</w:t>
      </w:r>
      <w:r w:rsidRPr="00DC5D9A">
        <w:rPr>
          <w:sz w:val="20"/>
          <w:szCs w:val="20"/>
          <w:lang w:val="en"/>
        </w:rPr>
        <w:tab/>
      </w:r>
    </w:p>
    <w:p w14:paraId="4085ACA9" w14:textId="4FF86A81" w:rsidR="00BF17FD" w:rsidRPr="004F70B6" w:rsidRDefault="00BF17FD"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C5D9A">
        <w:rPr>
          <w:rFonts w:ascii="Cambria" w:hAnsi="Cambria"/>
          <w:sz w:val="20"/>
          <w:szCs w:val="20"/>
          <w:lang w:val="en"/>
        </w:rPr>
        <w:t xml:space="preserve">The alleged victim claims that the State is responsible for the violation of his human rights in that it did not provide him with any assistance in the asylum proceedings and has kept his case in administrative limbo since 2006. He claims that this situation has prevented him from fulfilling other rights in Guatemala. In turn, the State affirms that the alleged facts do not establish human rights violations because </w:t>
      </w:r>
      <w:proofErr w:type="spellStart"/>
      <w:r w:rsidRPr="00DC5D9A">
        <w:rPr>
          <w:rFonts w:ascii="Cambria" w:hAnsi="Cambria"/>
          <w:sz w:val="20"/>
          <w:szCs w:val="20"/>
          <w:lang w:val="en"/>
        </w:rPr>
        <w:t>i</w:t>
      </w:r>
      <w:proofErr w:type="spellEnd"/>
      <w:r w:rsidRPr="00DC5D9A">
        <w:rPr>
          <w:rFonts w:ascii="Cambria" w:hAnsi="Cambria"/>
          <w:sz w:val="20"/>
          <w:szCs w:val="20"/>
          <w:lang w:val="en"/>
        </w:rPr>
        <w:t xml:space="preserve">) the asylum denial is in accordance with the national legislation and ii) the fact that the alleged victim has no identity documents results from his own failure to file for his passport at the embassy of his country. </w:t>
      </w:r>
    </w:p>
    <w:p w14:paraId="081AB6ED" w14:textId="6B34542A" w:rsidR="004F70B6" w:rsidRPr="004F70B6" w:rsidRDefault="004F70B6" w:rsidP="00BF17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BA4717">
        <w:rPr>
          <w:rFonts w:ascii="Cambria" w:hAnsi="Cambria" w:cs="Calibri"/>
          <w:sz w:val="20"/>
          <w:szCs w:val="20"/>
        </w:rPr>
        <w:t xml:space="preserve">For purposes of admissibility, the Commission must decide whether the facts alleged could characterize a violation of rights, according to the provisions of Article 47(b) of the American Convention, or whether </w:t>
      </w:r>
      <w:r w:rsidRPr="004F70B6">
        <w:rPr>
          <w:rFonts w:ascii="Cambria" w:hAnsi="Cambria" w:cs="Calibri"/>
          <w:sz w:val="20"/>
          <w:szCs w:val="20"/>
        </w:rPr>
        <w:t xml:space="preserve">the petition is “manifestly groundless” or “obviously out of order,” pursuant to subparagraph c of that article. The criterion for evaluating these requirements is different from that used to pronounce on the merits of the petition. The Commission must conduct a </w:t>
      </w:r>
      <w:r w:rsidRPr="004F70B6">
        <w:rPr>
          <w:rFonts w:ascii="Cambria" w:hAnsi="Cambria" w:cs="Calibri"/>
          <w:i/>
          <w:sz w:val="20"/>
          <w:szCs w:val="20"/>
        </w:rPr>
        <w:t>prima facie</w:t>
      </w:r>
      <w:r w:rsidRPr="004F70B6">
        <w:rPr>
          <w:rFonts w:ascii="Cambria" w:hAnsi="Cambria" w:cs="Calibri"/>
          <w:sz w:val="20"/>
          <w:szCs w:val="20"/>
        </w:rPr>
        <w:t xml:space="preserve"> evaluation to determine whether the petition establishes the legal grounds for a possible or potential violation of a right enshrined by the Convention, but not to establish the actual existence of a violation of rights. This determination constitutes a preliminary analysis that does not imply a prejudgment of the merits of the matter.</w:t>
      </w:r>
      <w:r w:rsidRPr="004F70B6">
        <w:rPr>
          <w:rStyle w:val="FootnoteReference"/>
          <w:rFonts w:ascii="Cambria" w:hAnsi="Cambria" w:cs="Calibri"/>
          <w:sz w:val="20"/>
          <w:szCs w:val="20"/>
        </w:rPr>
        <w:footnoteReference w:id="5"/>
      </w:r>
    </w:p>
    <w:p w14:paraId="4A109529" w14:textId="4C45D113" w:rsidR="004F70B6" w:rsidRPr="009338D6" w:rsidRDefault="004F70B6" w:rsidP="004F70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9338D6">
        <w:rPr>
          <w:rFonts w:asciiTheme="majorHAnsi" w:hAnsiTheme="majorHAnsi"/>
          <w:sz w:val="20"/>
          <w:szCs w:val="20"/>
        </w:rPr>
        <w:t xml:space="preserve">In the case at bar, </w:t>
      </w:r>
      <w:r w:rsidRPr="009338D6">
        <w:rPr>
          <w:rFonts w:asciiTheme="majorHAnsi" w:eastAsia="Times New Roman" w:hAnsiTheme="majorHAnsi" w:cs="Courier New"/>
          <w:sz w:val="20"/>
          <w:szCs w:val="20"/>
          <w:bdr w:val="none" w:sz="0" w:space="0" w:color="auto"/>
          <w:lang w:val="en" w:eastAsia="pt-BR"/>
        </w:rPr>
        <w:t xml:space="preserve">the Commission observes that, according to information provided by the State, </w:t>
      </w:r>
      <w:r w:rsidR="009338D6" w:rsidRPr="009338D6">
        <w:rPr>
          <w:rFonts w:asciiTheme="majorHAnsi" w:eastAsia="Times New Roman" w:hAnsiTheme="majorHAnsi" w:cs="Courier New"/>
          <w:color w:val="222222"/>
          <w:sz w:val="20"/>
          <w:szCs w:val="20"/>
          <w:bdr w:val="none" w:sz="0" w:space="0" w:color="auto"/>
          <w:lang w:val="en" w:eastAsia="pt-BR"/>
        </w:rPr>
        <w:t>the rejection of the request for refuge presented by the alleged victim was based on the fact that Mr. Seals would not have fulfilled the requirements established in the norm, since his departure from the United States was due to the lack of payment of family assistance. Likewise, it takes into account that the alleged victim would preliminarily have conditions to circulate and reside in Guatemala, and that he could resort to requests for Temporary Permanence Permits in the country, at no cost. For that reason, the IACHR considers that there are no elements that, prima facie, allow to conclude facts that characterize any violation of the right to movement and residence contained in Article 22 of the American Convention</w:t>
      </w:r>
      <w:r w:rsidR="009338D6" w:rsidRPr="009338D6">
        <w:rPr>
          <w:rFonts w:asciiTheme="majorHAnsi" w:eastAsia="Times New Roman" w:hAnsiTheme="majorHAnsi" w:cs="Courier New"/>
          <w:sz w:val="20"/>
          <w:szCs w:val="20"/>
          <w:bdr w:val="none" w:sz="0" w:space="0" w:color="auto"/>
          <w:lang w:val="en" w:eastAsia="pt-BR"/>
        </w:rPr>
        <w:t>.</w:t>
      </w:r>
    </w:p>
    <w:p w14:paraId="4D9E0AF9" w14:textId="4F593F22" w:rsidR="00BF17FD" w:rsidRPr="00DC5D9A" w:rsidRDefault="00BF17FD" w:rsidP="00BF17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bCs/>
          <w:sz w:val="20"/>
          <w:szCs w:val="20"/>
        </w:rPr>
      </w:pPr>
      <w:bookmarkStart w:id="2" w:name="_GoBack"/>
      <w:bookmarkEnd w:id="2"/>
      <w:r w:rsidRPr="00DC5D9A">
        <w:rPr>
          <w:rFonts w:ascii="Cambria" w:hAnsi="Cambria"/>
          <w:b/>
          <w:bCs/>
          <w:sz w:val="20"/>
          <w:szCs w:val="20"/>
          <w:lang w:val="en"/>
        </w:rPr>
        <w:t xml:space="preserve">VIII. </w:t>
      </w:r>
      <w:r w:rsidRPr="00DC5D9A">
        <w:rPr>
          <w:rFonts w:ascii="Cambria" w:hAnsi="Cambria"/>
          <w:b/>
          <w:bCs/>
          <w:sz w:val="20"/>
          <w:szCs w:val="20"/>
          <w:lang w:val="en"/>
        </w:rPr>
        <w:tab/>
        <w:t>DECISION</w:t>
      </w:r>
    </w:p>
    <w:p w14:paraId="600D3FAB" w14:textId="319A7804" w:rsidR="004F70B6" w:rsidRPr="00F005C7" w:rsidRDefault="004F70B6" w:rsidP="004F70B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005C7">
        <w:rPr>
          <w:rFonts w:ascii="Cambria" w:hAnsi="Cambria"/>
          <w:sz w:val="20"/>
          <w:szCs w:val="20"/>
        </w:rPr>
        <w:t>To find the instant petition inadmissible in relation to A</w:t>
      </w:r>
      <w:r>
        <w:rPr>
          <w:rFonts w:ascii="Cambria" w:hAnsi="Cambria"/>
          <w:bCs/>
          <w:sz w:val="20"/>
          <w:szCs w:val="20"/>
        </w:rPr>
        <w:t>rticle</w:t>
      </w:r>
      <w:r w:rsidRPr="00F22AC3">
        <w:rPr>
          <w:rFonts w:ascii="Cambria" w:hAnsi="Cambria"/>
          <w:bCs/>
          <w:sz w:val="20"/>
          <w:szCs w:val="20"/>
        </w:rPr>
        <w:t xml:space="preserve"> </w:t>
      </w:r>
      <w:r>
        <w:rPr>
          <w:rFonts w:ascii="Cambria" w:hAnsi="Cambria"/>
          <w:bCs/>
          <w:sz w:val="20"/>
          <w:szCs w:val="20"/>
        </w:rPr>
        <w:t>22</w:t>
      </w:r>
      <w:r w:rsidRPr="00F005C7">
        <w:rPr>
          <w:rFonts w:ascii="Cambria" w:hAnsi="Cambria"/>
          <w:sz w:val="20"/>
          <w:szCs w:val="20"/>
        </w:rPr>
        <w:t xml:space="preserve"> of the American Convention;</w:t>
      </w:r>
    </w:p>
    <w:p w14:paraId="77507861" w14:textId="7E3FBE2D" w:rsidR="004F70B6" w:rsidRPr="00257E06" w:rsidRDefault="004F70B6" w:rsidP="004F70B6">
      <w:pPr>
        <w:numPr>
          <w:ilvl w:val="0"/>
          <w:numId w:val="105"/>
        </w:numPr>
        <w:suppressAutoHyphens/>
        <w:spacing w:after="120"/>
        <w:jc w:val="both"/>
        <w:rPr>
          <w:rFonts w:ascii="Cambria" w:hAnsi="Cambria"/>
          <w:sz w:val="20"/>
          <w:szCs w:val="20"/>
        </w:rPr>
      </w:pPr>
      <w:r w:rsidRPr="00666340">
        <w:rPr>
          <w:rFonts w:ascii="Cambria" w:hAnsi="Cambria"/>
          <w:sz w:val="20"/>
          <w:szCs w:val="20"/>
        </w:rPr>
        <w:t xml:space="preserve">To notify the parties of the decision; to publish this decision </w:t>
      </w:r>
      <w:r w:rsidRPr="00666340">
        <w:rPr>
          <w:rFonts w:ascii="Cambria" w:eastAsia="Times New Roman" w:hAnsi="Cambria"/>
          <w:sz w:val="20"/>
          <w:szCs w:val="20"/>
        </w:rPr>
        <w:t>and to include it in its Annual Report to the General Assembly of the Organization of American States.</w:t>
      </w:r>
    </w:p>
    <w:p w14:paraId="6BB1248E" w14:textId="77777777" w:rsidR="007618BB" w:rsidRPr="007618BB" w:rsidRDefault="007618BB" w:rsidP="007618BB">
      <w:pPr>
        <w:suppressAutoHyphens/>
        <w:ind w:firstLine="720"/>
        <w:jc w:val="both"/>
        <w:rPr>
          <w:rFonts w:asciiTheme="majorHAnsi" w:hAnsiTheme="majorHAnsi"/>
          <w:spacing w:val="-2"/>
          <w:sz w:val="20"/>
        </w:rPr>
      </w:pPr>
      <w:r w:rsidRPr="007618BB">
        <w:rPr>
          <w:rFonts w:asciiTheme="majorHAnsi" w:hAnsiTheme="majorHAnsi"/>
          <w:spacing w:val="-2"/>
          <w:sz w:val="20"/>
        </w:rPr>
        <w:t>Approved by the Inter-American Commission on Human Rights on the 24</w:t>
      </w:r>
      <w:r w:rsidRPr="007618BB">
        <w:rPr>
          <w:rFonts w:asciiTheme="majorHAnsi" w:hAnsiTheme="majorHAnsi"/>
          <w:spacing w:val="-2"/>
          <w:sz w:val="20"/>
          <w:vertAlign w:val="superscript"/>
        </w:rPr>
        <w:t>th</w:t>
      </w:r>
      <w:r w:rsidRPr="007618BB">
        <w:rPr>
          <w:rFonts w:asciiTheme="majorHAnsi" w:hAnsiTheme="majorHAnsi"/>
          <w:spacing w:val="-2"/>
          <w:sz w:val="20"/>
        </w:rPr>
        <w:t xml:space="preserve"> day of the month of October, 2019. (Signed):  </w:t>
      </w:r>
      <w:r w:rsidRPr="007618BB">
        <w:rPr>
          <w:rFonts w:asciiTheme="majorHAnsi" w:hAnsiTheme="majorHAnsi" w:cs="Arial"/>
          <w:noProof/>
          <w:spacing w:val="-2"/>
          <w:sz w:val="20"/>
        </w:rPr>
        <w:t xml:space="preserve">Esmeralda E. Arosemena Bernal de Troitiño, </w:t>
      </w:r>
      <w:r w:rsidRPr="007618BB">
        <w:rPr>
          <w:rFonts w:asciiTheme="majorHAnsi" w:hAnsiTheme="majorHAnsi"/>
          <w:sz w:val="20"/>
        </w:rPr>
        <w:t xml:space="preserve">President; </w:t>
      </w:r>
      <w:r w:rsidRPr="007618BB">
        <w:rPr>
          <w:rFonts w:asciiTheme="majorHAnsi" w:hAnsiTheme="majorHAnsi" w:cs="Arial"/>
          <w:noProof/>
          <w:spacing w:val="-2"/>
          <w:sz w:val="20"/>
        </w:rPr>
        <w:t xml:space="preserve">Joel Hernández, </w:t>
      </w:r>
      <w:r w:rsidRPr="007618BB">
        <w:rPr>
          <w:rFonts w:asciiTheme="majorHAnsi" w:hAnsiTheme="majorHAnsi"/>
          <w:spacing w:val="-2"/>
          <w:sz w:val="20"/>
        </w:rPr>
        <w:t>First Vice President;</w:t>
      </w:r>
      <w:r w:rsidRPr="007618BB">
        <w:rPr>
          <w:rFonts w:asciiTheme="majorHAnsi" w:hAnsiTheme="majorHAnsi" w:cs="Arial"/>
          <w:noProof/>
          <w:spacing w:val="-2"/>
          <w:sz w:val="20"/>
        </w:rPr>
        <w:t xml:space="preserve"> Antonia Urrejola, Second Vice President; Margarette May Macaulay, Francisco José Eguiguren, Luis Ernesto Vargas Silva, and Flávia Piovesan, </w:t>
      </w:r>
      <w:r w:rsidRPr="007618BB">
        <w:rPr>
          <w:rFonts w:asciiTheme="majorHAnsi" w:hAnsiTheme="majorHAnsi"/>
          <w:spacing w:val="-2"/>
          <w:sz w:val="20"/>
        </w:rPr>
        <w:t>Commissioners.</w:t>
      </w:r>
    </w:p>
    <w:sectPr w:rsidR="007618BB" w:rsidRPr="007618B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0EB9" w14:textId="77777777" w:rsidR="007F194A" w:rsidRDefault="007F194A" w:rsidP="00036A8A">
      <w:r>
        <w:separator/>
      </w:r>
    </w:p>
  </w:endnote>
  <w:endnote w:type="continuationSeparator" w:id="0">
    <w:p w14:paraId="58BBD69E" w14:textId="77777777" w:rsidR="007F194A" w:rsidRDefault="007F194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119B" w14:textId="77777777" w:rsidR="00CE0EBA" w:rsidRDefault="00CE0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2AC99C9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E0EBA">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9B2BC" w14:textId="77777777" w:rsidR="007F194A" w:rsidRPr="00036A8A" w:rsidRDefault="007F194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8308308" w14:textId="77777777" w:rsidR="007F194A" w:rsidRPr="00036A8A" w:rsidRDefault="007F194A" w:rsidP="00036A8A">
      <w:pPr>
        <w:rPr>
          <w:rFonts w:asciiTheme="majorHAnsi" w:hAnsiTheme="majorHAnsi"/>
          <w:sz w:val="16"/>
          <w:szCs w:val="16"/>
        </w:rPr>
      </w:pPr>
      <w:r w:rsidRPr="00036A8A">
        <w:rPr>
          <w:rFonts w:asciiTheme="majorHAnsi" w:hAnsiTheme="majorHAnsi"/>
          <w:sz w:val="16"/>
          <w:szCs w:val="16"/>
        </w:rPr>
        <w:separator/>
      </w:r>
    </w:p>
    <w:p w14:paraId="081F948A" w14:textId="77777777" w:rsidR="007F194A" w:rsidRPr="00036A8A" w:rsidRDefault="007F194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73B290A" w14:textId="77777777" w:rsidR="007F194A" w:rsidRPr="0093441A" w:rsidRDefault="007F194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F906370" w14:textId="77777777" w:rsidR="00BF17FD" w:rsidRPr="00DD061E" w:rsidRDefault="00BF17FD" w:rsidP="00BF17FD">
      <w:pPr>
        <w:pStyle w:val="FootnoteText"/>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Hereinafter “Convention” or “American Convention.”</w:t>
      </w:r>
    </w:p>
  </w:footnote>
  <w:footnote w:id="3">
    <w:p w14:paraId="55774E34" w14:textId="77777777" w:rsidR="00653EA6" w:rsidRPr="009D59D2" w:rsidRDefault="00653EA6" w:rsidP="009D59D2">
      <w:pPr>
        <w:pStyle w:val="FootnoteText"/>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observations </w:t>
      </w:r>
      <w:r w:rsidR="00321AFD" w:rsidRPr="009D59D2">
        <w:rPr>
          <w:rFonts w:ascii="Cambria" w:hAnsi="Cambria"/>
          <w:sz w:val="16"/>
          <w:szCs w:val="16"/>
        </w:rPr>
        <w:t>submitted</w:t>
      </w:r>
      <w:r w:rsidRPr="009D59D2">
        <w:rPr>
          <w:rFonts w:ascii="Cambria" w:hAnsi="Cambria"/>
          <w:sz w:val="16"/>
          <w:szCs w:val="16"/>
        </w:rPr>
        <w:t xml:space="preserve"> by each party were duly transmitted to the opposing party.</w:t>
      </w:r>
    </w:p>
  </w:footnote>
  <w:footnote w:id="4">
    <w:p w14:paraId="58F03A7A" w14:textId="77777777" w:rsidR="00BF17FD" w:rsidRPr="00720A09" w:rsidRDefault="00BF17FD" w:rsidP="00BF17FD">
      <w:pPr>
        <w:pStyle w:val="FootnoteText"/>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For he considers himself a victim of racial discrimination in his home country.</w:t>
      </w:r>
    </w:p>
  </w:footnote>
  <w:footnote w:id="5">
    <w:p w14:paraId="19C24A43" w14:textId="77777777" w:rsidR="004F70B6" w:rsidRPr="001004D9" w:rsidRDefault="004F70B6" w:rsidP="009338D6">
      <w:pPr>
        <w:pStyle w:val="FootnoteText"/>
        <w:jc w:val="both"/>
        <w:rPr>
          <w:rFonts w:ascii="Cambria" w:hAnsi="Cambria"/>
          <w:sz w:val="16"/>
          <w:szCs w:val="16"/>
        </w:rPr>
      </w:pPr>
      <w:r w:rsidRPr="001004D9">
        <w:rPr>
          <w:rStyle w:val="FootnoteReference"/>
          <w:rFonts w:ascii="Cambria" w:hAnsi="Cambria" w:cs="Calibri"/>
          <w:sz w:val="16"/>
          <w:szCs w:val="16"/>
        </w:rPr>
        <w:footnoteRef/>
      </w:r>
      <w:r w:rsidRPr="001004D9">
        <w:rPr>
          <w:rFonts w:ascii="Cambria" w:hAnsi="Cambria"/>
          <w:sz w:val="16"/>
          <w:szCs w:val="16"/>
        </w:rPr>
        <w:t xml:space="preserve"> IACHR, Report No. 69/08, Petition 681-00. Admissibility. </w:t>
      </w:r>
      <w:r w:rsidRPr="006B299F">
        <w:rPr>
          <w:rFonts w:ascii="Cambria" w:hAnsi="Cambria"/>
          <w:sz w:val="16"/>
          <w:szCs w:val="16"/>
          <w:lang w:val="es-ES"/>
        </w:rPr>
        <w:t xml:space="preserve">Guillermo Patricio Lynn. Argentina. October 16, 2008, para. </w:t>
      </w:r>
      <w:r w:rsidRPr="001004D9">
        <w:rPr>
          <w:rFonts w:ascii="Cambria" w:hAnsi="Cambria"/>
          <w:sz w:val="16"/>
          <w:szCs w:val="16"/>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7F194A"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A40B" w14:textId="77777777" w:rsidR="00CE0EBA" w:rsidRDefault="00CE0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E86E5654"/>
    <w:lvl w:ilvl="0" w:tplc="5CB4DF8C">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A575F"/>
    <w:rsid w:val="000C4365"/>
    <w:rsid w:val="000D10DB"/>
    <w:rsid w:val="00113A4F"/>
    <w:rsid w:val="00115F41"/>
    <w:rsid w:val="00124116"/>
    <w:rsid w:val="00126E08"/>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6E9D"/>
    <w:rsid w:val="00247403"/>
    <w:rsid w:val="00247542"/>
    <w:rsid w:val="00254568"/>
    <w:rsid w:val="00256A63"/>
    <w:rsid w:val="00257893"/>
    <w:rsid w:val="00261E08"/>
    <w:rsid w:val="00262ADD"/>
    <w:rsid w:val="00263BF5"/>
    <w:rsid w:val="00266092"/>
    <w:rsid w:val="00266B61"/>
    <w:rsid w:val="0026712A"/>
    <w:rsid w:val="002704DB"/>
    <w:rsid w:val="00270BEC"/>
    <w:rsid w:val="002760CE"/>
    <w:rsid w:val="002826D3"/>
    <w:rsid w:val="002B7A85"/>
    <w:rsid w:val="002C1641"/>
    <w:rsid w:val="002D7EA2"/>
    <w:rsid w:val="002E15DF"/>
    <w:rsid w:val="002E187C"/>
    <w:rsid w:val="002E6E57"/>
    <w:rsid w:val="00301075"/>
    <w:rsid w:val="00302733"/>
    <w:rsid w:val="00311A4F"/>
    <w:rsid w:val="00314078"/>
    <w:rsid w:val="00315387"/>
    <w:rsid w:val="00321AFD"/>
    <w:rsid w:val="00322450"/>
    <w:rsid w:val="003246B5"/>
    <w:rsid w:val="0033169F"/>
    <w:rsid w:val="003414AC"/>
    <w:rsid w:val="00356185"/>
    <w:rsid w:val="00360380"/>
    <w:rsid w:val="003700DD"/>
    <w:rsid w:val="003771A3"/>
    <w:rsid w:val="00386CF0"/>
    <w:rsid w:val="003A4348"/>
    <w:rsid w:val="003A5566"/>
    <w:rsid w:val="003C32BC"/>
    <w:rsid w:val="003D1E33"/>
    <w:rsid w:val="003D6EE0"/>
    <w:rsid w:val="003E1CF5"/>
    <w:rsid w:val="003E3E03"/>
    <w:rsid w:val="003F1BBF"/>
    <w:rsid w:val="004162B1"/>
    <w:rsid w:val="004165C2"/>
    <w:rsid w:val="00433117"/>
    <w:rsid w:val="004434A5"/>
    <w:rsid w:val="00450A4A"/>
    <w:rsid w:val="004666FB"/>
    <w:rsid w:val="00466D0B"/>
    <w:rsid w:val="00467B7E"/>
    <w:rsid w:val="0049419D"/>
    <w:rsid w:val="004B2762"/>
    <w:rsid w:val="004B7EB6"/>
    <w:rsid w:val="004C41DE"/>
    <w:rsid w:val="004C4B62"/>
    <w:rsid w:val="004D6025"/>
    <w:rsid w:val="004D72BC"/>
    <w:rsid w:val="004F6B67"/>
    <w:rsid w:val="004F70B6"/>
    <w:rsid w:val="00501399"/>
    <w:rsid w:val="00507BC4"/>
    <w:rsid w:val="005128E4"/>
    <w:rsid w:val="005243C2"/>
    <w:rsid w:val="00525560"/>
    <w:rsid w:val="005357A6"/>
    <w:rsid w:val="00544C49"/>
    <w:rsid w:val="0056301F"/>
    <w:rsid w:val="0057402A"/>
    <w:rsid w:val="00574B8C"/>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27C9F"/>
    <w:rsid w:val="006311DA"/>
    <w:rsid w:val="006311E9"/>
    <w:rsid w:val="006318B2"/>
    <w:rsid w:val="00632354"/>
    <w:rsid w:val="006375BE"/>
    <w:rsid w:val="00642810"/>
    <w:rsid w:val="00652333"/>
    <w:rsid w:val="00653EA6"/>
    <w:rsid w:val="0068009E"/>
    <w:rsid w:val="006A17D2"/>
    <w:rsid w:val="006A73E6"/>
    <w:rsid w:val="006B299F"/>
    <w:rsid w:val="006B2D5C"/>
    <w:rsid w:val="006C4EB1"/>
    <w:rsid w:val="006D4707"/>
    <w:rsid w:val="006E0166"/>
    <w:rsid w:val="006E7B34"/>
    <w:rsid w:val="00701B24"/>
    <w:rsid w:val="00706858"/>
    <w:rsid w:val="00713AED"/>
    <w:rsid w:val="0071495F"/>
    <w:rsid w:val="0073798E"/>
    <w:rsid w:val="00740872"/>
    <w:rsid w:val="00745899"/>
    <w:rsid w:val="00752D34"/>
    <w:rsid w:val="007607C4"/>
    <w:rsid w:val="007618BB"/>
    <w:rsid w:val="0076643F"/>
    <w:rsid w:val="00781653"/>
    <w:rsid w:val="007A2082"/>
    <w:rsid w:val="007A2F70"/>
    <w:rsid w:val="007C0330"/>
    <w:rsid w:val="007C3334"/>
    <w:rsid w:val="007C52BB"/>
    <w:rsid w:val="007D2B98"/>
    <w:rsid w:val="007F194A"/>
    <w:rsid w:val="007F6DE9"/>
    <w:rsid w:val="007F7980"/>
    <w:rsid w:val="00803F1C"/>
    <w:rsid w:val="0080600E"/>
    <w:rsid w:val="00817315"/>
    <w:rsid w:val="00817612"/>
    <w:rsid w:val="008258D7"/>
    <w:rsid w:val="00837C45"/>
    <w:rsid w:val="00853419"/>
    <w:rsid w:val="008546E5"/>
    <w:rsid w:val="008801F8"/>
    <w:rsid w:val="00885CC6"/>
    <w:rsid w:val="00897E12"/>
    <w:rsid w:val="008D43BA"/>
    <w:rsid w:val="008E19D6"/>
    <w:rsid w:val="008E3759"/>
    <w:rsid w:val="008E40F5"/>
    <w:rsid w:val="009041DC"/>
    <w:rsid w:val="009104B4"/>
    <w:rsid w:val="009228DA"/>
    <w:rsid w:val="00925FCD"/>
    <w:rsid w:val="009338D6"/>
    <w:rsid w:val="0093441A"/>
    <w:rsid w:val="00936805"/>
    <w:rsid w:val="00954BF7"/>
    <w:rsid w:val="0096706E"/>
    <w:rsid w:val="00981FBA"/>
    <w:rsid w:val="0098783D"/>
    <w:rsid w:val="009B306D"/>
    <w:rsid w:val="009B381B"/>
    <w:rsid w:val="009D59D2"/>
    <w:rsid w:val="009D7611"/>
    <w:rsid w:val="009E53DE"/>
    <w:rsid w:val="009E566A"/>
    <w:rsid w:val="00A0523B"/>
    <w:rsid w:val="00A12DBC"/>
    <w:rsid w:val="00A2467F"/>
    <w:rsid w:val="00A43458"/>
    <w:rsid w:val="00A528D1"/>
    <w:rsid w:val="00A66BE5"/>
    <w:rsid w:val="00AB4FA4"/>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57288"/>
    <w:rsid w:val="00B92E49"/>
    <w:rsid w:val="00BA276C"/>
    <w:rsid w:val="00BB306F"/>
    <w:rsid w:val="00BD232B"/>
    <w:rsid w:val="00BD2E42"/>
    <w:rsid w:val="00BD4B89"/>
    <w:rsid w:val="00BE6657"/>
    <w:rsid w:val="00BF17FD"/>
    <w:rsid w:val="00C02721"/>
    <w:rsid w:val="00C21762"/>
    <w:rsid w:val="00C24543"/>
    <w:rsid w:val="00C256A2"/>
    <w:rsid w:val="00C3492D"/>
    <w:rsid w:val="00C355B4"/>
    <w:rsid w:val="00C55560"/>
    <w:rsid w:val="00C60F95"/>
    <w:rsid w:val="00C66B72"/>
    <w:rsid w:val="00C77713"/>
    <w:rsid w:val="00C87C57"/>
    <w:rsid w:val="00C9567A"/>
    <w:rsid w:val="00C962B2"/>
    <w:rsid w:val="00CA6577"/>
    <w:rsid w:val="00CB2660"/>
    <w:rsid w:val="00CC5E90"/>
    <w:rsid w:val="00CD046C"/>
    <w:rsid w:val="00CE0EBA"/>
    <w:rsid w:val="00CE5199"/>
    <w:rsid w:val="00CE66D5"/>
    <w:rsid w:val="00D219EA"/>
    <w:rsid w:val="00D34786"/>
    <w:rsid w:val="00D40A1E"/>
    <w:rsid w:val="00D43330"/>
    <w:rsid w:val="00D533C0"/>
    <w:rsid w:val="00D564BF"/>
    <w:rsid w:val="00D707F4"/>
    <w:rsid w:val="00D712D3"/>
    <w:rsid w:val="00D71422"/>
    <w:rsid w:val="00D7145E"/>
    <w:rsid w:val="00D72FB5"/>
    <w:rsid w:val="00D75084"/>
    <w:rsid w:val="00D7558D"/>
    <w:rsid w:val="00D81D92"/>
    <w:rsid w:val="00D93446"/>
    <w:rsid w:val="00DA7B5F"/>
    <w:rsid w:val="00DC5D9A"/>
    <w:rsid w:val="00DC7B91"/>
    <w:rsid w:val="00DF078B"/>
    <w:rsid w:val="00DF350D"/>
    <w:rsid w:val="00E01E75"/>
    <w:rsid w:val="00E1290A"/>
    <w:rsid w:val="00E227C1"/>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HTMLPreformatted">
    <w:name w:val="HTML Preformatted"/>
    <w:basedOn w:val="Normal"/>
    <w:link w:val="HTMLPreformattedChar"/>
    <w:uiPriority w:val="99"/>
    <w:semiHidden/>
    <w:unhideWhenUsed/>
    <w:rsid w:val="004F70B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t-BR" w:eastAsia="pt-BR"/>
    </w:rPr>
  </w:style>
  <w:style w:type="character" w:customStyle="1" w:styleId="HTMLPreformattedChar">
    <w:name w:val="HTML Preformatted Char"/>
    <w:basedOn w:val="DefaultParagraphFont"/>
    <w:link w:val="HTMLPreformatted"/>
    <w:uiPriority w:val="99"/>
    <w:semiHidden/>
    <w:rsid w:val="004F70B6"/>
    <w:rPr>
      <w:rFonts w:ascii="Courier New" w:eastAsia="Times New Roman" w:hAnsi="Courier New" w:cs="Courier New"/>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473327571">
      <w:bodyDiv w:val="1"/>
      <w:marLeft w:val="0"/>
      <w:marRight w:val="0"/>
      <w:marTop w:val="0"/>
      <w:marBottom w:val="0"/>
      <w:divBdr>
        <w:top w:val="none" w:sz="0" w:space="0" w:color="auto"/>
        <w:left w:val="none" w:sz="0" w:space="0" w:color="auto"/>
        <w:bottom w:val="none" w:sz="0" w:space="0" w:color="auto"/>
        <w:right w:val="none" w:sz="0" w:space="0" w:color="auto"/>
      </w:divBdr>
    </w:div>
    <w:div w:id="497572412">
      <w:bodyDiv w:val="1"/>
      <w:marLeft w:val="0"/>
      <w:marRight w:val="0"/>
      <w:marTop w:val="0"/>
      <w:marBottom w:val="0"/>
      <w:divBdr>
        <w:top w:val="none" w:sz="0" w:space="0" w:color="auto"/>
        <w:left w:val="none" w:sz="0" w:space="0" w:color="auto"/>
        <w:bottom w:val="none" w:sz="0" w:space="0" w:color="auto"/>
        <w:right w:val="none" w:sz="0" w:space="0" w:color="auto"/>
      </w:divBdr>
    </w:div>
    <w:div w:id="17597140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D875-8CB2-4698-9FB2-7050C9C6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10092</Characters>
  <Application>Microsoft Office Word</Application>
  <DocSecurity>0</DocSecurity>
  <Lines>224</Lines>
  <Paragraphs>75</Paragraphs>
  <ScaleCrop>false</ScaleCrop>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233/19</dc:title>
  <dc:creator/>
  <cp:lastModifiedBy/>
  <cp:revision>1</cp:revision>
  <dcterms:created xsi:type="dcterms:W3CDTF">2020-05-13T18:05:00Z</dcterms:created>
  <dcterms:modified xsi:type="dcterms:W3CDTF">2020-05-13T18:05:00Z</dcterms:modified>
</cp:coreProperties>
</file>