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C152D" w:rsidRPr="006024BF" w:rsidRDefault="006024BF" w:rsidP="00627C9F">
      <w:pPr>
        <w:pBdr>
          <w:top w:val="none" w:sz="0" w:space="0" w:color="auto"/>
          <w:left w:val="none" w:sz="0" w:space="0" w:color="auto"/>
          <w:bottom w:val="none" w:sz="0" w:space="0" w:color="auto"/>
          <w:right w:val="none" w:sz="0" w:space="0" w:color="auto"/>
          <w:bar w:val="none" w:sz="0" w:color="auto"/>
        </w:pBdr>
        <w:jc w:val="both"/>
        <w:rPr>
          <w:rFonts w:ascii="Cambria" w:hAnsi="Cambria" w:cs="Univers"/>
          <w:b/>
          <w:bCs/>
          <w:sz w:val="22"/>
          <w:szCs w:val="22"/>
        </w:rPr>
      </w:pPr>
      <w:r>
        <w:rPr>
          <w:noProof/>
        </w:rPr>
        <mc:AlternateContent>
          <mc:Choice Requires="wps">
            <w:drawing>
              <wp:anchor distT="0" distB="0" distL="114300" distR="114300" simplePos="0" relativeHeight="251654144" behindDoc="0" locked="0" layoutInCell="1" allowOverlap="1" wp14:anchorId="78CF302B" wp14:editId="50EC0822">
                <wp:simplePos x="0" y="0"/>
                <wp:positionH relativeFrom="column">
                  <wp:posOffset>-415925</wp:posOffset>
                </wp:positionH>
                <wp:positionV relativeFrom="paragraph">
                  <wp:posOffset>-439420</wp:posOffset>
                </wp:positionV>
                <wp:extent cx="1543050" cy="9096375"/>
                <wp:effectExtent l="0" t="0" r="0" b="9525"/>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5450B75" id="Rectangle 1" o:spid="_x0000_s1026" style="position:absolute;margin-left:-32.75pt;margin-top:-34.6pt;width:121.5pt;height:71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" fillcolor="#67ae3c" stroked="f" strokeweight="2pt">
                <v:path arrowok="t"/>
              </v:rect>
            </w:pict>
          </mc:Fallback>
        </mc:AlternateContent>
      </w:r>
      <w:r>
        <w:rPr>
          <w:noProof/>
        </w:rPr>
        <mc:AlternateContent>
          <mc:Choice Requires="wps">
            <w:drawing>
              <wp:anchor distT="0" distB="0" distL="114300" distR="114300" simplePos="0" relativeHeight="251658240" behindDoc="0" locked="0" layoutInCell="1" allowOverlap="1" wp14:anchorId="3F77E2DF" wp14:editId="6E06CCBC">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152D" w:rsidRDefault="00AB6A71" w:rsidP="00AE5488">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14:anchorId="29D60FC4" wp14:editId="14278C80">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6024BF">
                              <w:rPr>
                                <w:lang w:val="en"/>
                              </w:rP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F77E2DF"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" filled="f" stroked="f" strokeweight=".5pt">
                <v:path arrowok="t"/>
                <v:textbox>
                  <w:txbxContent>
                    <w:p w:rsidR="00FC152D" w:rsidRDefault="00AB6A71" w:rsidP="00AE5488">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14:anchorId="29D60FC4" wp14:editId="14278C80">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6024BF">
                        <w:rPr>
                          <w:lang w:val="en"/>
                        </w:rPr>
                        <w:tab/>
                        <w:t xml:space="preserve">                              </w:t>
                      </w:r>
                    </w:p>
                  </w:txbxContent>
                </v:textbox>
              </v:shape>
            </w:pict>
          </mc:Fallback>
        </mc:AlternateContent>
      </w:r>
    </w:p>
    <w:p w:rsidR="00FC152D" w:rsidRPr="006024BF" w:rsidRDefault="00FC152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rPr>
      </w:pPr>
    </w:p>
    <w:p w:rsidR="00FC152D" w:rsidRPr="006024BF" w:rsidRDefault="00FC152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rPr>
      </w:pPr>
    </w:p>
    <w:p w:rsidR="00FC152D" w:rsidRPr="006024BF" w:rsidRDefault="00FC152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rPr>
      </w:pPr>
    </w:p>
    <w:p w:rsidR="00FC152D" w:rsidRPr="006024BF" w:rsidRDefault="00FC152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rPr>
      </w:pPr>
    </w:p>
    <w:p w:rsidR="00FC152D" w:rsidRPr="006024BF" w:rsidRDefault="00FC152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rPr>
      </w:pPr>
    </w:p>
    <w:p w:rsidR="00FC152D" w:rsidRPr="006024BF" w:rsidRDefault="00FC152D"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FC152D" w:rsidRPr="006024BF" w:rsidRDefault="00FC152D"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FC152D" w:rsidRPr="006024BF" w:rsidRDefault="00FC152D"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FC152D" w:rsidRPr="006024BF" w:rsidRDefault="00FC152D"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FC152D" w:rsidRPr="006024BF" w:rsidRDefault="00FC152D"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FC152D" w:rsidRPr="006024BF" w:rsidRDefault="00FC152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FC152D" w:rsidRPr="006024BF" w:rsidRDefault="00FC152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FC152D" w:rsidRPr="006024BF" w:rsidRDefault="006024B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r>
        <w:rPr>
          <w:noProof/>
        </w:rPr>
        <mc:AlternateContent>
          <mc:Choice Requires="wps">
            <w:drawing>
              <wp:anchor distT="0" distB="0" distL="114300" distR="114300" simplePos="0" relativeHeight="251655168" behindDoc="0" locked="0" layoutInCell="1" allowOverlap="1" wp14:anchorId="75476B96" wp14:editId="21E5B9A9">
                <wp:simplePos x="0" y="0"/>
                <wp:positionH relativeFrom="column">
                  <wp:posOffset>1352550</wp:posOffset>
                </wp:positionH>
                <wp:positionV relativeFrom="paragraph">
                  <wp:posOffset>107315</wp:posOffset>
                </wp:positionV>
                <wp:extent cx="4441190" cy="218122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152D" w:rsidRPr="00F90D77" w:rsidRDefault="00FC152D"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rPr>
                            </w:pPr>
                            <w:r>
                              <w:rPr>
                                <w:rFonts w:ascii="Cambria" w:hAnsi="Cambria" w:cs="Arial"/>
                                <w:b/>
                                <w:bCs/>
                                <w:color w:val="0D0D0D"/>
                                <w:sz w:val="36"/>
                                <w:szCs w:val="22"/>
                                <w:lang w:val="en"/>
                              </w:rPr>
                              <w:t xml:space="preserve">REPORT </w:t>
                            </w:r>
                            <w:r>
                              <w:rPr>
                                <w:rFonts w:ascii="Cambria" w:hAnsi="Cambria" w:cs="Arial"/>
                                <w:b/>
                                <w:bCs/>
                                <w:color w:val="0D0D0D"/>
                                <w:sz w:val="36"/>
                                <w:szCs w:val="40"/>
                                <w:lang w:val="en"/>
                              </w:rPr>
                              <w:t>No.</w:t>
                            </w:r>
                            <w:r w:rsidR="00AB6A71">
                              <w:rPr>
                                <w:rFonts w:ascii="Cambria" w:hAnsi="Cambria" w:cs="Arial"/>
                                <w:b/>
                                <w:bCs/>
                                <w:color w:val="0D0D0D"/>
                                <w:sz w:val="36"/>
                                <w:szCs w:val="22"/>
                                <w:lang w:val="en"/>
                              </w:rPr>
                              <w:t xml:space="preserve"> 129</w:t>
                            </w:r>
                            <w:r>
                              <w:rPr>
                                <w:rFonts w:ascii="Cambria" w:hAnsi="Cambria" w:cs="Arial"/>
                                <w:b/>
                                <w:bCs/>
                                <w:color w:val="0D0D0D"/>
                                <w:sz w:val="36"/>
                                <w:szCs w:val="22"/>
                                <w:lang w:val="en"/>
                              </w:rPr>
                              <w:t>/20</w:t>
                            </w:r>
                          </w:p>
                          <w:p w:rsidR="00FC152D" w:rsidRPr="00F90D77" w:rsidRDefault="00FC152D"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rPr>
                            </w:pPr>
                            <w:r>
                              <w:rPr>
                                <w:rFonts w:ascii="Cambria" w:hAnsi="Cambria" w:cs="Arial"/>
                                <w:b/>
                                <w:bCs/>
                                <w:color w:val="0D0D0D"/>
                                <w:sz w:val="36"/>
                                <w:szCs w:val="22"/>
                                <w:lang w:val="en"/>
                              </w:rPr>
                              <w:t xml:space="preserve">PETITION 1714-07 </w:t>
                            </w:r>
                          </w:p>
                          <w:p w:rsidR="00FC152D" w:rsidRPr="00F90D77" w:rsidRDefault="00FC152D"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lang w:val="en"/>
                              </w:rPr>
                              <w:t>ADMISSIBILITY REPORT</w:t>
                            </w:r>
                          </w:p>
                          <w:p w:rsidR="00FC152D" w:rsidRPr="00F90D77" w:rsidRDefault="00FC152D"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bookmarkStart w:id="1" w:name="_ftnref1"/>
                          </w:p>
                          <w:p w:rsidR="00FC152D" w:rsidRPr="00F90D77" w:rsidRDefault="00FC152D"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lang w:val="en"/>
                              </w:rPr>
                              <w:t>NERINA CLAUDIA POJMAEVICH</w:t>
                            </w:r>
                          </w:p>
                          <w:bookmarkEnd w:id="1"/>
                          <w:p w:rsidR="00FC152D" w:rsidRPr="00F90D77" w:rsidRDefault="00FC152D"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lang w:val="en"/>
                              </w:rPr>
                              <w:t>ARGENTINA</w:t>
                            </w:r>
                          </w:p>
                          <w:p w:rsidR="00FC152D" w:rsidRPr="00F90D77" w:rsidRDefault="00FC152D" w:rsidP="007A5817">
                            <w:pPr>
                              <w:pBdr>
                                <w:top w:val="none" w:sz="0" w:space="0" w:color="auto"/>
                                <w:left w:val="none" w:sz="0" w:space="0" w:color="auto"/>
                                <w:bottom w:val="none" w:sz="0" w:space="0" w:color="auto"/>
                                <w:right w:val="none" w:sz="0" w:space="0" w:color="auto"/>
                                <w:bar w:val="none" w:sz="0" w:color="auto"/>
                              </w:pBdr>
                              <w:rPr>
                                <w:color w:val="0D0D0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5476B96" id="Text Box 5" o:spid="_x0000_s1027" type="#_x0000_t202" style="position:absolute;left:0;text-align:left;margin-left:106.5pt;margin-top:8.45pt;width:349.7pt;height:17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" filled="f" stroked="f" strokeweight=".5pt">
                <v:path arrowok="t"/>
                <v:textbox>
                  <w:txbxContent>
                    <w:p w:rsidR="00FC152D" w:rsidRPr="00F90D77" w:rsidRDefault="00FC152D"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rPr>
                      </w:pPr>
                      <w:r>
                        <w:rPr>
                          <w:rFonts w:ascii="Cambria" w:hAnsi="Cambria" w:cs="Arial"/>
                          <w:b/>
                          <w:bCs/>
                          <w:color w:val="0D0D0D"/>
                          <w:sz w:val="36"/>
                          <w:szCs w:val="22"/>
                          <w:lang w:val="en"/>
                        </w:rPr>
                        <w:t xml:space="preserve">REPORT </w:t>
                      </w:r>
                      <w:r>
                        <w:rPr>
                          <w:rFonts w:ascii="Cambria" w:hAnsi="Cambria" w:cs="Arial"/>
                          <w:b/>
                          <w:bCs/>
                          <w:color w:val="0D0D0D"/>
                          <w:sz w:val="36"/>
                          <w:szCs w:val="40"/>
                          <w:lang w:val="en"/>
                        </w:rPr>
                        <w:t>No.</w:t>
                      </w:r>
                      <w:r w:rsidR="00AB6A71">
                        <w:rPr>
                          <w:rFonts w:ascii="Cambria" w:hAnsi="Cambria" w:cs="Arial"/>
                          <w:b/>
                          <w:bCs/>
                          <w:color w:val="0D0D0D"/>
                          <w:sz w:val="36"/>
                          <w:szCs w:val="22"/>
                          <w:lang w:val="en"/>
                        </w:rPr>
                        <w:t xml:space="preserve"> 129</w:t>
                      </w:r>
                      <w:r>
                        <w:rPr>
                          <w:rFonts w:ascii="Cambria" w:hAnsi="Cambria" w:cs="Arial"/>
                          <w:b/>
                          <w:bCs/>
                          <w:color w:val="0D0D0D"/>
                          <w:sz w:val="36"/>
                          <w:szCs w:val="22"/>
                          <w:lang w:val="en"/>
                        </w:rPr>
                        <w:t>/20</w:t>
                      </w:r>
                    </w:p>
                    <w:p w:rsidR="00FC152D" w:rsidRPr="00F90D77" w:rsidRDefault="00FC152D"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rPr>
                      </w:pPr>
                      <w:r>
                        <w:rPr>
                          <w:rFonts w:ascii="Cambria" w:hAnsi="Cambria" w:cs="Arial"/>
                          <w:b/>
                          <w:bCs/>
                          <w:color w:val="0D0D0D"/>
                          <w:sz w:val="36"/>
                          <w:szCs w:val="22"/>
                          <w:lang w:val="en"/>
                        </w:rPr>
                        <w:t xml:space="preserve">PETITION 1714-07 </w:t>
                      </w:r>
                    </w:p>
                    <w:p w:rsidR="00FC152D" w:rsidRPr="00F90D77" w:rsidRDefault="00FC152D"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lang w:val="en"/>
                        </w:rPr>
                        <w:t>ADMISSIBILITY REPORT</w:t>
                      </w:r>
                    </w:p>
                    <w:p w:rsidR="00FC152D" w:rsidRPr="00F90D77" w:rsidRDefault="00FC152D"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bookmarkStart w:id="1" w:name="_ftnref1"/>
                    </w:p>
                    <w:p w:rsidR="00FC152D" w:rsidRPr="00F90D77" w:rsidRDefault="00FC152D"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lang w:val="en"/>
                        </w:rPr>
                        <w:t>NERINA CLAUDIA POJMAEVICH</w:t>
                      </w:r>
                    </w:p>
                    <w:bookmarkEnd w:id="1"/>
                    <w:p w:rsidR="00FC152D" w:rsidRPr="00F90D77" w:rsidRDefault="00FC152D"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lang w:val="en"/>
                        </w:rPr>
                        <w:t>ARGENTINA</w:t>
                      </w:r>
                    </w:p>
                    <w:p w:rsidR="00FC152D" w:rsidRPr="00F90D77" w:rsidRDefault="00FC152D" w:rsidP="007A5817">
                      <w:pPr>
                        <w:pBdr>
                          <w:top w:val="none" w:sz="0" w:space="0" w:color="auto"/>
                          <w:left w:val="none" w:sz="0" w:space="0" w:color="auto"/>
                          <w:bottom w:val="none" w:sz="0" w:space="0" w:color="auto"/>
                          <w:right w:val="none" w:sz="0" w:space="0" w:color="auto"/>
                          <w:bar w:val="none" w:sz="0" w:color="auto"/>
                        </w:pBdr>
                        <w:rPr>
                          <w:color w:val="0D0D0D"/>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4FF74CE2" wp14:editId="59BBED5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152D" w:rsidRPr="007007DF" w:rsidRDefault="00AB6A71"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US"/>
                              </w:rPr>
                            </w:pPr>
                            <w:r w:rsidRPr="007007DF">
                              <w:rPr>
                                <w:rFonts w:ascii="Calibri" w:hAnsi="Calibri"/>
                                <w:color w:val="FFFFFF"/>
                                <w:sz w:val="22"/>
                                <w:lang w:val="es-US"/>
                              </w:rPr>
                              <w:t>OEA/</w:t>
                            </w:r>
                            <w:proofErr w:type="spellStart"/>
                            <w:r w:rsidRPr="007007DF">
                              <w:rPr>
                                <w:rFonts w:ascii="Calibri" w:hAnsi="Calibri"/>
                                <w:color w:val="FFFFFF"/>
                                <w:sz w:val="22"/>
                                <w:lang w:val="es-US"/>
                              </w:rPr>
                              <w:t>Ser.L</w:t>
                            </w:r>
                            <w:proofErr w:type="spellEnd"/>
                            <w:r w:rsidRPr="007007DF">
                              <w:rPr>
                                <w:rFonts w:ascii="Calibri" w:hAnsi="Calibri"/>
                                <w:color w:val="FFFFFF"/>
                                <w:sz w:val="22"/>
                                <w:lang w:val="es-US"/>
                              </w:rPr>
                              <w:t>/V/II.</w:t>
                            </w:r>
                          </w:p>
                          <w:p w:rsidR="00FC152D" w:rsidRDefault="00AB6A71"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rPr>
                            </w:pPr>
                            <w:r w:rsidRPr="00AB6A71">
                              <w:rPr>
                                <w:rFonts w:ascii="Calibri" w:hAnsi="Calibri"/>
                                <w:color w:val="FFFFFF"/>
                                <w:sz w:val="22"/>
                              </w:rPr>
                              <w:t>Doc. 1</w:t>
                            </w:r>
                            <w:r>
                              <w:rPr>
                                <w:rFonts w:ascii="Calibri" w:hAnsi="Calibri"/>
                                <w:color w:val="FFFFFF"/>
                                <w:sz w:val="22"/>
                              </w:rPr>
                              <w:t>39</w:t>
                            </w:r>
                          </w:p>
                          <w:p w:rsidR="00AB6A71" w:rsidRPr="00AB6A71" w:rsidRDefault="00AB6A71"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rPr>
                            </w:pPr>
                            <w:r>
                              <w:rPr>
                                <w:rFonts w:ascii="Calibri" w:hAnsi="Calibri"/>
                                <w:color w:val="FFFFFF"/>
                                <w:sz w:val="22"/>
                              </w:rPr>
                              <w:t>27 April 2020</w:t>
                            </w:r>
                          </w:p>
                          <w:p w:rsidR="00FC152D" w:rsidRPr="00F90D77" w:rsidRDefault="00FC152D"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rPr>
                            </w:pPr>
                            <w:r>
                              <w:rPr>
                                <w:rFonts w:ascii="Calibri" w:hAnsi="Calibri"/>
                                <w:color w:val="FFFFFF"/>
                                <w:sz w:val="22"/>
                                <w:lang w:val="en"/>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FF74CE2" id="Text Box 8" o:spid="_x0000_s1028" type="#_x0000_t202" style="position:absolute;left:0;text-align:left;margin-left:-27pt;margin-top:12.95pt;width:10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" filled="f" stroked="f" strokeweight=".5pt">
                <v:path arrowok="t"/>
                <v:textbox>
                  <w:txbxContent>
                    <w:p w:rsidR="00FC152D" w:rsidRPr="00AB6A71" w:rsidRDefault="00AB6A71"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rPr>
                      </w:pPr>
                      <w:r w:rsidRPr="00AB6A71">
                        <w:rPr>
                          <w:rFonts w:ascii="Calibri" w:hAnsi="Calibri"/>
                          <w:color w:val="FFFFFF"/>
                          <w:sz w:val="22"/>
                        </w:rPr>
                        <w:t>OEA/</w:t>
                      </w:r>
                      <w:proofErr w:type="spellStart"/>
                      <w:r w:rsidRPr="00AB6A71">
                        <w:rPr>
                          <w:rFonts w:ascii="Calibri" w:hAnsi="Calibri"/>
                          <w:color w:val="FFFFFF"/>
                          <w:sz w:val="22"/>
                        </w:rPr>
                        <w:t>Ser.L</w:t>
                      </w:r>
                      <w:proofErr w:type="spellEnd"/>
                      <w:r w:rsidRPr="00AB6A71">
                        <w:rPr>
                          <w:rFonts w:ascii="Calibri" w:hAnsi="Calibri"/>
                          <w:color w:val="FFFFFF"/>
                          <w:sz w:val="22"/>
                        </w:rPr>
                        <w:t>/V/II.</w:t>
                      </w:r>
                    </w:p>
                    <w:p w:rsidR="00FC152D" w:rsidRDefault="00AB6A71"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rPr>
                      </w:pPr>
                      <w:r w:rsidRPr="00AB6A71">
                        <w:rPr>
                          <w:rFonts w:ascii="Calibri" w:hAnsi="Calibri"/>
                          <w:color w:val="FFFFFF"/>
                          <w:sz w:val="22"/>
                        </w:rPr>
                        <w:t>Doc. 1</w:t>
                      </w:r>
                      <w:r>
                        <w:rPr>
                          <w:rFonts w:ascii="Calibri" w:hAnsi="Calibri"/>
                          <w:color w:val="FFFFFF"/>
                          <w:sz w:val="22"/>
                        </w:rPr>
                        <w:t>39</w:t>
                      </w:r>
                    </w:p>
                    <w:p w:rsidR="00AB6A71" w:rsidRPr="00AB6A71" w:rsidRDefault="00AB6A71"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rPr>
                      </w:pPr>
                      <w:r>
                        <w:rPr>
                          <w:rFonts w:ascii="Calibri" w:hAnsi="Calibri"/>
                          <w:color w:val="FFFFFF"/>
                          <w:sz w:val="22"/>
                        </w:rPr>
                        <w:t>27 April 2020</w:t>
                      </w:r>
                    </w:p>
                    <w:p w:rsidR="00FC152D" w:rsidRPr="00F90D77" w:rsidRDefault="00FC152D"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rPr>
                      </w:pPr>
                      <w:r>
                        <w:rPr>
                          <w:rFonts w:ascii="Calibri" w:hAnsi="Calibri"/>
                          <w:color w:val="FFFFFF"/>
                          <w:sz w:val="22"/>
                          <w:lang w:val="en"/>
                        </w:rPr>
                        <w:t>Original: Spanish</w:t>
                      </w:r>
                    </w:p>
                  </w:txbxContent>
                </v:textbox>
              </v:shape>
            </w:pict>
          </mc:Fallback>
        </mc:AlternateContent>
      </w:r>
    </w:p>
    <w:p w:rsidR="00FC152D" w:rsidRPr="006024BF" w:rsidRDefault="00FC152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FC152D" w:rsidRPr="006024BF" w:rsidRDefault="00FC152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FC152D" w:rsidRPr="006024BF" w:rsidRDefault="00FC152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Arial"/>
          <w:sz w:val="22"/>
          <w:szCs w:val="22"/>
        </w:rPr>
      </w:pPr>
    </w:p>
    <w:p w:rsidR="00FC152D" w:rsidRPr="006024BF" w:rsidRDefault="00FC152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FC152D" w:rsidRPr="006024BF" w:rsidRDefault="00FC152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FC152D" w:rsidRPr="006024BF" w:rsidRDefault="00FC152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FC152D" w:rsidRPr="006024BF" w:rsidRDefault="00FC152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FC152D" w:rsidRPr="006024BF" w:rsidRDefault="00FC152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FC152D" w:rsidRPr="006024BF" w:rsidRDefault="00FC152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FC152D" w:rsidRPr="006024BF" w:rsidRDefault="00FC152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FC152D" w:rsidRPr="006024BF" w:rsidRDefault="00FC152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FC152D" w:rsidRPr="006024BF" w:rsidRDefault="00FC152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FC152D" w:rsidRPr="006024BF" w:rsidRDefault="00FC152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FC152D" w:rsidRPr="006024BF" w:rsidRDefault="00FC152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FC152D" w:rsidRPr="006024BF" w:rsidRDefault="00FC152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FC152D" w:rsidRPr="006024BF" w:rsidRDefault="00FC152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FC152D" w:rsidRPr="006024BF" w:rsidRDefault="00FC152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FC152D" w:rsidRPr="006024BF" w:rsidRDefault="00FC152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FC152D" w:rsidRPr="006024BF" w:rsidRDefault="00FC152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FC152D" w:rsidRPr="006024BF" w:rsidRDefault="00FC152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FC152D" w:rsidRPr="006024BF" w:rsidRDefault="00FC152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FC152D" w:rsidRPr="006024BF" w:rsidRDefault="00FC152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FC152D" w:rsidRPr="006024BF" w:rsidRDefault="00FC152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FC152D" w:rsidRPr="006024BF" w:rsidRDefault="00FC152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FC152D" w:rsidRPr="006024BF" w:rsidRDefault="00FC152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FC152D" w:rsidRPr="006024BF" w:rsidRDefault="00FC152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FC152D" w:rsidRPr="006024BF" w:rsidRDefault="00FC152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FC152D" w:rsidRPr="006024BF" w:rsidRDefault="00FC152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FC152D" w:rsidRPr="006024BF" w:rsidRDefault="006024B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r>
        <w:rPr>
          <w:noProof/>
        </w:rPr>
        <mc:AlternateContent>
          <mc:Choice Requires="wps">
            <w:drawing>
              <wp:anchor distT="0" distB="0" distL="114300" distR="114300" simplePos="0" relativeHeight="251656192" behindDoc="0" locked="0" layoutInCell="1" allowOverlap="1" wp14:anchorId="5D4D4973" wp14:editId="2A12848D">
                <wp:simplePos x="0" y="0"/>
                <wp:positionH relativeFrom="column">
                  <wp:posOffset>1341755</wp:posOffset>
                </wp:positionH>
                <wp:positionV relativeFrom="paragraph">
                  <wp:posOffset>22860</wp:posOffset>
                </wp:positionV>
                <wp:extent cx="4933950" cy="6648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152D" w:rsidRPr="00F90D77" w:rsidRDefault="00FC152D" w:rsidP="00DD3D86">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olor w:val="0D0D0D"/>
                                <w:sz w:val="18"/>
                                <w:szCs w:val="22"/>
                              </w:rPr>
                            </w:pPr>
                            <w:r>
                              <w:rPr>
                                <w:rFonts w:ascii="Cambria" w:hAnsi="Cambria"/>
                                <w:color w:val="0D0D0D"/>
                                <w:sz w:val="18"/>
                                <w:szCs w:val="22"/>
                                <w:lang w:val="en"/>
                              </w:rPr>
                              <w:t xml:space="preserve">Electronically approved by the Commission on </w:t>
                            </w:r>
                            <w:r w:rsidR="00AB6A71">
                              <w:rPr>
                                <w:rFonts w:ascii="Cambria" w:hAnsi="Cambria"/>
                                <w:color w:val="0D0D0D"/>
                                <w:sz w:val="18"/>
                                <w:szCs w:val="22"/>
                                <w:lang w:val="en"/>
                              </w:rPr>
                              <w:t>April 27,</w:t>
                            </w:r>
                            <w:r>
                              <w:rPr>
                                <w:rFonts w:ascii="Cambria" w:hAnsi="Cambria"/>
                                <w:color w:val="0D0D0D"/>
                                <w:sz w:val="18"/>
                                <w:szCs w:val="22"/>
                                <w:lang w:val="en"/>
                              </w:rPr>
                              <w:t xml:space="preserve"> 2020</w:t>
                            </w:r>
                            <w:r w:rsidR="007007DF">
                              <w:rPr>
                                <w:rFonts w:ascii="Cambria" w:hAnsi="Cambria"/>
                                <w:color w:val="0D0D0D"/>
                                <w:sz w:val="18"/>
                                <w:szCs w:val="22"/>
                                <w:lang w:val="en"/>
                              </w:rPr>
                              <w:t>.</w:t>
                            </w:r>
                          </w:p>
                          <w:p w:rsidR="00FC152D" w:rsidRPr="00F90D77" w:rsidRDefault="00FC152D"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s="Univers"/>
                                <w:color w:val="0D0D0D"/>
                                <w:sz w:val="20"/>
                                <w:szCs w:val="20"/>
                              </w:rPr>
                            </w:pPr>
                          </w:p>
                          <w:p w:rsidR="00FC152D" w:rsidRPr="00F90D77" w:rsidRDefault="00FC152D" w:rsidP="0059191A">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olor w:val="FFFFFF"/>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D4D4973"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" filled="f" stroked="f" strokeweight=".5pt">
                <v:path arrowok="t"/>
                <v:textbox>
                  <w:txbxContent>
                    <w:p w:rsidR="00FC152D" w:rsidRPr="00F90D77" w:rsidRDefault="00FC152D" w:rsidP="00DD3D86">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olor w:val="0D0D0D"/>
                          <w:sz w:val="18"/>
                          <w:szCs w:val="22"/>
                        </w:rPr>
                      </w:pPr>
                      <w:r>
                        <w:rPr>
                          <w:rFonts w:ascii="Cambria" w:hAnsi="Cambria"/>
                          <w:color w:val="0D0D0D"/>
                          <w:sz w:val="18"/>
                          <w:szCs w:val="22"/>
                          <w:lang w:val="en"/>
                        </w:rPr>
                        <w:t xml:space="preserve">Electronically approved by the Commission on </w:t>
                      </w:r>
                      <w:r w:rsidR="00AB6A71">
                        <w:rPr>
                          <w:rFonts w:ascii="Cambria" w:hAnsi="Cambria"/>
                          <w:color w:val="0D0D0D"/>
                          <w:sz w:val="18"/>
                          <w:szCs w:val="22"/>
                          <w:lang w:val="en"/>
                        </w:rPr>
                        <w:t>April 27,</w:t>
                      </w:r>
                      <w:r>
                        <w:rPr>
                          <w:rFonts w:ascii="Cambria" w:hAnsi="Cambria"/>
                          <w:color w:val="0D0D0D"/>
                          <w:sz w:val="18"/>
                          <w:szCs w:val="22"/>
                          <w:lang w:val="en"/>
                        </w:rPr>
                        <w:t xml:space="preserve"> 2020</w:t>
                      </w:r>
                      <w:r w:rsidR="007007DF">
                        <w:rPr>
                          <w:rFonts w:ascii="Cambria" w:hAnsi="Cambria"/>
                          <w:color w:val="0D0D0D"/>
                          <w:sz w:val="18"/>
                          <w:szCs w:val="22"/>
                          <w:lang w:val="en"/>
                        </w:rPr>
                        <w:t>.</w:t>
                      </w:r>
                    </w:p>
                    <w:p w:rsidR="00FC152D" w:rsidRPr="00F90D77" w:rsidRDefault="00FC152D"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s="Univers"/>
                          <w:color w:val="0D0D0D"/>
                          <w:sz w:val="20"/>
                          <w:szCs w:val="20"/>
                        </w:rPr>
                      </w:pPr>
                    </w:p>
                    <w:p w:rsidR="00FC152D" w:rsidRPr="00F90D77" w:rsidRDefault="00FC152D" w:rsidP="0059191A">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olor w:val="FFFFFF"/>
                          <w:spacing w:val="-2"/>
                          <w:sz w:val="16"/>
                        </w:rPr>
                      </w:pPr>
                    </w:p>
                  </w:txbxContent>
                </v:textbox>
              </v:shape>
            </w:pict>
          </mc:Fallback>
        </mc:AlternateContent>
      </w:r>
    </w:p>
    <w:p w:rsidR="00FC152D" w:rsidRPr="006024BF" w:rsidRDefault="00FC152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FC152D" w:rsidRPr="006024BF" w:rsidRDefault="00FC152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FC152D" w:rsidRPr="006024BF" w:rsidRDefault="00FC152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FC152D" w:rsidRPr="006024BF" w:rsidRDefault="00FC152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FC152D" w:rsidRPr="006024BF" w:rsidRDefault="006024B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r>
        <w:rPr>
          <w:noProof/>
        </w:rPr>
        <mc:AlternateContent>
          <mc:Choice Requires="wps">
            <w:drawing>
              <wp:anchor distT="0" distB="0" distL="114300" distR="114300" simplePos="0" relativeHeight="251659264" behindDoc="0" locked="0" layoutInCell="1" allowOverlap="1" wp14:anchorId="7907A853" wp14:editId="27CAE3E1">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152D" w:rsidRPr="00F90D77" w:rsidRDefault="00FC152D" w:rsidP="00113F7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rPr>
                            </w:pPr>
                            <w:r>
                              <w:rPr>
                                <w:rFonts w:ascii="Cambria" w:hAnsi="Cambria"/>
                                <w:b/>
                                <w:bCs/>
                                <w:color w:val="595959"/>
                                <w:sz w:val="18"/>
                                <w:szCs w:val="18"/>
                                <w:lang w:val="en"/>
                              </w:rPr>
                              <w:t>Cite as:</w:t>
                            </w:r>
                            <w:r>
                              <w:rPr>
                                <w:rFonts w:ascii="Cambria" w:hAnsi="Cambria"/>
                                <w:color w:val="595959"/>
                                <w:sz w:val="18"/>
                                <w:szCs w:val="18"/>
                                <w:lang w:val="en"/>
                              </w:rPr>
                              <w:t xml:space="preserve"> IACHR Report No. </w:t>
                            </w:r>
                            <w:r w:rsidR="00AB6A71">
                              <w:rPr>
                                <w:rFonts w:ascii="Cambria" w:hAnsi="Cambria"/>
                                <w:color w:val="595959"/>
                                <w:sz w:val="18"/>
                                <w:szCs w:val="18"/>
                                <w:lang w:val="en"/>
                              </w:rPr>
                              <w:t>129</w:t>
                            </w:r>
                            <w:r>
                              <w:rPr>
                                <w:rFonts w:ascii="Cambria" w:hAnsi="Cambria"/>
                                <w:color w:val="595959"/>
                                <w:sz w:val="18"/>
                                <w:szCs w:val="18"/>
                                <w:lang w:val="en"/>
                              </w:rPr>
                              <w:t>/</w:t>
                            </w:r>
                            <w:r w:rsidR="00AB6A71">
                              <w:rPr>
                                <w:rFonts w:ascii="Cambria" w:hAnsi="Cambria"/>
                                <w:color w:val="595959"/>
                                <w:sz w:val="18"/>
                                <w:szCs w:val="18"/>
                                <w:lang w:val="en"/>
                              </w:rPr>
                              <w:t>20.</w:t>
                            </w:r>
                            <w:r>
                              <w:rPr>
                                <w:rFonts w:ascii="Cambria" w:hAnsi="Cambria"/>
                                <w:color w:val="595959"/>
                                <w:sz w:val="18"/>
                                <w:szCs w:val="18"/>
                                <w:lang w:val="en"/>
                              </w:rPr>
                              <w:t xml:space="preserve"> Petition </w:t>
                            </w:r>
                            <w:r w:rsidR="00AB6A71">
                              <w:rPr>
                                <w:rFonts w:ascii="Cambria" w:hAnsi="Cambria"/>
                                <w:color w:val="595959"/>
                                <w:sz w:val="18"/>
                                <w:szCs w:val="18"/>
                                <w:lang w:val="en"/>
                              </w:rPr>
                              <w:t>1714</w:t>
                            </w:r>
                            <w:r>
                              <w:rPr>
                                <w:rFonts w:ascii="Cambria" w:hAnsi="Cambria"/>
                                <w:color w:val="595959"/>
                                <w:sz w:val="18"/>
                                <w:szCs w:val="18"/>
                                <w:lang w:val="en"/>
                              </w:rPr>
                              <w:t>-0</w:t>
                            </w:r>
                            <w:r w:rsidR="00AB6A71">
                              <w:rPr>
                                <w:rFonts w:ascii="Cambria" w:hAnsi="Cambria"/>
                                <w:color w:val="595959"/>
                                <w:sz w:val="18"/>
                                <w:szCs w:val="18"/>
                                <w:lang w:val="en"/>
                              </w:rPr>
                              <w:t>7</w:t>
                            </w:r>
                            <w:r>
                              <w:rPr>
                                <w:rFonts w:ascii="Cambria" w:hAnsi="Cambria"/>
                                <w:color w:val="595959"/>
                                <w:sz w:val="18"/>
                                <w:szCs w:val="18"/>
                                <w:lang w:val="en"/>
                              </w:rPr>
                              <w:t xml:space="preserve">. Admissibility. </w:t>
                            </w:r>
                            <w:proofErr w:type="spellStart"/>
                            <w:r>
                              <w:rPr>
                                <w:rFonts w:ascii="Cambria" w:hAnsi="Cambria"/>
                                <w:color w:val="595959"/>
                                <w:sz w:val="18"/>
                                <w:szCs w:val="18"/>
                                <w:lang w:val="en"/>
                              </w:rPr>
                              <w:t>Nerina</w:t>
                            </w:r>
                            <w:proofErr w:type="spellEnd"/>
                            <w:r>
                              <w:rPr>
                                <w:rFonts w:ascii="Cambria" w:hAnsi="Cambria"/>
                                <w:color w:val="595959"/>
                                <w:sz w:val="18"/>
                                <w:szCs w:val="18"/>
                                <w:lang w:val="en"/>
                              </w:rPr>
                              <w:t xml:space="preserve"> Claudia </w:t>
                            </w:r>
                            <w:proofErr w:type="spellStart"/>
                            <w:r>
                              <w:rPr>
                                <w:rFonts w:ascii="Cambria" w:hAnsi="Cambria"/>
                                <w:color w:val="595959"/>
                                <w:sz w:val="18"/>
                                <w:szCs w:val="18"/>
                                <w:lang w:val="en"/>
                              </w:rPr>
                              <w:t>Pojmaevich</w:t>
                            </w:r>
                            <w:proofErr w:type="spellEnd"/>
                            <w:r>
                              <w:rPr>
                                <w:rFonts w:ascii="Cambria" w:hAnsi="Cambria"/>
                                <w:color w:val="595959"/>
                                <w:sz w:val="18"/>
                                <w:szCs w:val="18"/>
                                <w:lang w:val="en"/>
                              </w:rPr>
                              <w:t xml:space="preserve">. Argentina. </w:t>
                            </w:r>
                            <w:r w:rsidR="00AB6A71">
                              <w:rPr>
                                <w:rFonts w:ascii="Cambria" w:hAnsi="Cambria"/>
                                <w:color w:val="595959"/>
                                <w:sz w:val="18"/>
                                <w:szCs w:val="18"/>
                                <w:lang w:val="en"/>
                              </w:rPr>
                              <w:t>April 27, 2020</w:t>
                            </w:r>
                            <w:r>
                              <w:rPr>
                                <w:rFonts w:ascii="Cambria" w:hAnsi="Cambria"/>
                                <w:color w:val="595959"/>
                                <w:sz w:val="18"/>
                                <w:szCs w:val="18"/>
                                <w:lang w:val="e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907A853" id="Text Box 10" o:spid="_x0000_s1030" type="#_x0000_t202" style="position:absolute;left:0;text-align:left;margin-left:105pt;margin-top:.45pt;width:389.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" filled="f" stroked="f" strokeweight=".5pt">
                <v:path arrowok="t"/>
                <v:textbox>
                  <w:txbxContent>
                    <w:p w:rsidR="00FC152D" w:rsidRPr="00F90D77" w:rsidRDefault="00FC152D" w:rsidP="00113F7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rPr>
                      </w:pPr>
                      <w:r>
                        <w:rPr>
                          <w:rFonts w:ascii="Cambria" w:hAnsi="Cambria"/>
                          <w:b/>
                          <w:bCs/>
                          <w:color w:val="595959"/>
                          <w:sz w:val="18"/>
                          <w:szCs w:val="18"/>
                          <w:lang w:val="en"/>
                        </w:rPr>
                        <w:t xml:space="preserve">Cite </w:t>
                      </w:r>
                      <w:proofErr w:type="gramStart"/>
                      <w:r>
                        <w:rPr>
                          <w:rFonts w:ascii="Cambria" w:hAnsi="Cambria"/>
                          <w:b/>
                          <w:bCs/>
                          <w:color w:val="595959"/>
                          <w:sz w:val="18"/>
                          <w:szCs w:val="18"/>
                          <w:lang w:val="en"/>
                        </w:rPr>
                        <w:t>as:</w:t>
                      </w:r>
                      <w:proofErr w:type="gramEnd"/>
                      <w:r>
                        <w:rPr>
                          <w:rFonts w:ascii="Cambria" w:hAnsi="Cambria"/>
                          <w:color w:val="595959"/>
                          <w:sz w:val="18"/>
                          <w:szCs w:val="18"/>
                          <w:lang w:val="en"/>
                        </w:rPr>
                        <w:t xml:space="preserve"> IACHR Report No. </w:t>
                      </w:r>
                      <w:r w:rsidR="00AB6A71">
                        <w:rPr>
                          <w:rFonts w:ascii="Cambria" w:hAnsi="Cambria"/>
                          <w:color w:val="595959"/>
                          <w:sz w:val="18"/>
                          <w:szCs w:val="18"/>
                          <w:lang w:val="en"/>
                        </w:rPr>
                        <w:t>129</w:t>
                      </w:r>
                      <w:r>
                        <w:rPr>
                          <w:rFonts w:ascii="Cambria" w:hAnsi="Cambria"/>
                          <w:color w:val="595959"/>
                          <w:sz w:val="18"/>
                          <w:szCs w:val="18"/>
                          <w:lang w:val="en"/>
                        </w:rPr>
                        <w:t>/</w:t>
                      </w:r>
                      <w:r w:rsidR="00AB6A71">
                        <w:rPr>
                          <w:rFonts w:ascii="Cambria" w:hAnsi="Cambria"/>
                          <w:color w:val="595959"/>
                          <w:sz w:val="18"/>
                          <w:szCs w:val="18"/>
                          <w:lang w:val="en"/>
                        </w:rPr>
                        <w:t>20.</w:t>
                      </w:r>
                      <w:r>
                        <w:rPr>
                          <w:rFonts w:ascii="Cambria" w:hAnsi="Cambria"/>
                          <w:color w:val="595959"/>
                          <w:sz w:val="18"/>
                          <w:szCs w:val="18"/>
                          <w:lang w:val="en"/>
                        </w:rPr>
                        <w:t xml:space="preserve"> Petition </w:t>
                      </w:r>
                      <w:r w:rsidR="00AB6A71">
                        <w:rPr>
                          <w:rFonts w:ascii="Cambria" w:hAnsi="Cambria"/>
                          <w:color w:val="595959"/>
                          <w:sz w:val="18"/>
                          <w:szCs w:val="18"/>
                          <w:lang w:val="en"/>
                        </w:rPr>
                        <w:t>1714</w:t>
                      </w:r>
                      <w:r>
                        <w:rPr>
                          <w:rFonts w:ascii="Cambria" w:hAnsi="Cambria"/>
                          <w:color w:val="595959"/>
                          <w:sz w:val="18"/>
                          <w:szCs w:val="18"/>
                          <w:lang w:val="en"/>
                        </w:rPr>
                        <w:t>-0</w:t>
                      </w:r>
                      <w:r w:rsidR="00AB6A71">
                        <w:rPr>
                          <w:rFonts w:ascii="Cambria" w:hAnsi="Cambria"/>
                          <w:color w:val="595959"/>
                          <w:sz w:val="18"/>
                          <w:szCs w:val="18"/>
                          <w:lang w:val="en"/>
                        </w:rPr>
                        <w:t>7</w:t>
                      </w:r>
                      <w:r>
                        <w:rPr>
                          <w:rFonts w:ascii="Cambria" w:hAnsi="Cambria"/>
                          <w:color w:val="595959"/>
                          <w:sz w:val="18"/>
                          <w:szCs w:val="18"/>
                          <w:lang w:val="en"/>
                        </w:rPr>
                        <w:t xml:space="preserve">. Admissibility. </w:t>
                      </w:r>
                      <w:proofErr w:type="spellStart"/>
                      <w:r>
                        <w:rPr>
                          <w:rFonts w:ascii="Cambria" w:hAnsi="Cambria"/>
                          <w:color w:val="595959"/>
                          <w:sz w:val="18"/>
                          <w:szCs w:val="18"/>
                          <w:lang w:val="en"/>
                        </w:rPr>
                        <w:t>Nerina</w:t>
                      </w:r>
                      <w:proofErr w:type="spellEnd"/>
                      <w:r>
                        <w:rPr>
                          <w:rFonts w:ascii="Cambria" w:hAnsi="Cambria"/>
                          <w:color w:val="595959"/>
                          <w:sz w:val="18"/>
                          <w:szCs w:val="18"/>
                          <w:lang w:val="en"/>
                        </w:rPr>
                        <w:t xml:space="preserve"> Claudia </w:t>
                      </w:r>
                      <w:proofErr w:type="spellStart"/>
                      <w:r>
                        <w:rPr>
                          <w:rFonts w:ascii="Cambria" w:hAnsi="Cambria"/>
                          <w:color w:val="595959"/>
                          <w:sz w:val="18"/>
                          <w:szCs w:val="18"/>
                          <w:lang w:val="en"/>
                        </w:rPr>
                        <w:t>Pojmaevich</w:t>
                      </w:r>
                      <w:proofErr w:type="spellEnd"/>
                      <w:r>
                        <w:rPr>
                          <w:rFonts w:ascii="Cambria" w:hAnsi="Cambria"/>
                          <w:color w:val="595959"/>
                          <w:sz w:val="18"/>
                          <w:szCs w:val="18"/>
                          <w:lang w:val="en"/>
                        </w:rPr>
                        <w:t xml:space="preserve">. Argentina. </w:t>
                      </w:r>
                      <w:r w:rsidR="00AB6A71">
                        <w:rPr>
                          <w:rFonts w:ascii="Cambria" w:hAnsi="Cambria"/>
                          <w:color w:val="595959"/>
                          <w:sz w:val="18"/>
                          <w:szCs w:val="18"/>
                          <w:lang w:val="en"/>
                        </w:rPr>
                        <w:t>April 27, 2020</w:t>
                      </w:r>
                      <w:r>
                        <w:rPr>
                          <w:rFonts w:ascii="Cambria" w:hAnsi="Cambria"/>
                          <w:color w:val="595959"/>
                          <w:sz w:val="18"/>
                          <w:szCs w:val="18"/>
                          <w:lang w:val="en"/>
                        </w:rPr>
                        <w:t>.</w:t>
                      </w:r>
                    </w:p>
                  </w:txbxContent>
                </v:textbox>
              </v:shape>
            </w:pict>
          </mc:Fallback>
        </mc:AlternateContent>
      </w:r>
    </w:p>
    <w:p w:rsidR="00FC152D" w:rsidRPr="006024BF" w:rsidRDefault="00FC152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FC152D" w:rsidRPr="006024BF" w:rsidRDefault="006024BF" w:rsidP="005516A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b/>
          <w:sz w:val="20"/>
        </w:rPr>
      </w:pPr>
      <w:r>
        <w:rPr>
          <w:noProof/>
        </w:rPr>
        <mc:AlternateContent>
          <mc:Choice Requires="wps">
            <w:drawing>
              <wp:anchor distT="0" distB="0" distL="114300" distR="114300" simplePos="0" relativeHeight="251660288" behindDoc="0" locked="0" layoutInCell="1" allowOverlap="1" wp14:anchorId="35D17968" wp14:editId="7D08678A">
                <wp:simplePos x="0" y="0"/>
                <wp:positionH relativeFrom="column">
                  <wp:posOffset>1329690</wp:posOffset>
                </wp:positionH>
                <wp:positionV relativeFrom="paragraph">
                  <wp:posOffset>638810</wp:posOffset>
                </wp:positionV>
                <wp:extent cx="4096385" cy="567055"/>
                <wp:effectExtent l="0" t="0" r="0" b="444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6385" cy="5670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C152D" w:rsidRPr="00F90D77" w:rsidRDefault="007007DF" w:rsidP="00F02AD1">
                            <w:pPr>
                              <w:pBdr>
                                <w:top w:val="none" w:sz="0" w:space="0" w:color="auto"/>
                                <w:left w:val="none" w:sz="0" w:space="0" w:color="auto"/>
                                <w:bottom w:val="none" w:sz="0" w:space="0" w:color="auto"/>
                                <w:right w:val="none" w:sz="0" w:space="0" w:color="auto"/>
                                <w:bar w:val="none" w:sz="0" w:color="auto"/>
                              </w:pBdr>
                              <w:rPr>
                                <w:color w:val="FFFFFF"/>
                              </w:rPr>
                            </w:pPr>
                            <w:r>
                              <w:rPr>
                                <w:noProof/>
                                <w:color w:val="FFFFFF"/>
                              </w:rPr>
                              <w:drawing>
                                <wp:inline distT="0" distB="0" distL="0" distR="0">
                                  <wp:extent cx="1862455" cy="475615"/>
                                  <wp:effectExtent l="0" t="0" r="444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EA-ENG-Main-01.png"/>
                                          <pic:cNvPicPr/>
                                        </pic:nvPicPr>
                                        <pic:blipFill>
                                          <a:blip r:embed="rId9">
                                            <a:extLst>
                                              <a:ext uri="{28A0092B-C50C-407E-A947-70E740481C1C}">
                                                <a14:useLocalDpi xmlns:a14="http://schemas.microsoft.com/office/drawing/2010/main" val="0"/>
                                              </a:ext>
                                            </a:extLst>
                                          </a:blip>
                                          <a:stretch>
                                            <a:fillRect/>
                                          </a:stretch>
                                        </pic:blipFill>
                                        <pic:spPr>
                                          <a:xfrm>
                                            <a:off x="0" y="0"/>
                                            <a:ext cx="1862455" cy="47561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17968" id="Text Box 9" o:spid="_x0000_s1031" type="#_x0000_t202" style="position:absolute;left:0;text-align:left;margin-left:104.7pt;margin-top:50.3pt;width:322.55pt;height:4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ZqHhQIAABY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" stroked="f" strokeweight=".5pt">
                <v:textbox>
                  <w:txbxContent>
                    <w:p w:rsidR="00FC152D" w:rsidRPr="00F90D77" w:rsidRDefault="007007DF" w:rsidP="00F02AD1">
                      <w:pPr>
                        <w:pBdr>
                          <w:top w:val="none" w:sz="0" w:space="0" w:color="auto"/>
                          <w:left w:val="none" w:sz="0" w:space="0" w:color="auto"/>
                          <w:bottom w:val="none" w:sz="0" w:space="0" w:color="auto"/>
                          <w:right w:val="none" w:sz="0" w:space="0" w:color="auto"/>
                          <w:bar w:val="none" w:sz="0" w:color="auto"/>
                        </w:pBdr>
                        <w:rPr>
                          <w:color w:val="FFFFFF"/>
                        </w:rPr>
                      </w:pPr>
                      <w:r>
                        <w:rPr>
                          <w:noProof/>
                          <w:color w:val="FFFFFF"/>
                        </w:rPr>
                        <w:drawing>
                          <wp:inline distT="0" distB="0" distL="0" distR="0">
                            <wp:extent cx="1862455" cy="475615"/>
                            <wp:effectExtent l="0" t="0" r="444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EA-ENG-Main-01.png"/>
                                    <pic:cNvPicPr/>
                                  </pic:nvPicPr>
                                  <pic:blipFill>
                                    <a:blip r:embed="rId9">
                                      <a:extLst>
                                        <a:ext uri="{28A0092B-C50C-407E-A947-70E740481C1C}">
                                          <a14:useLocalDpi xmlns:a14="http://schemas.microsoft.com/office/drawing/2010/main" val="0"/>
                                        </a:ext>
                                      </a:extLst>
                                    </a:blip>
                                    <a:stretch>
                                      <a:fillRect/>
                                    </a:stretch>
                                  </pic:blipFill>
                                  <pic:spPr>
                                    <a:xfrm>
                                      <a:off x="0" y="0"/>
                                      <a:ext cx="1862455" cy="47561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02B4AFF" wp14:editId="6A998C33">
                <wp:simplePos x="0" y="0"/>
                <wp:positionH relativeFrom="column">
                  <wp:posOffset>-272415</wp:posOffset>
                </wp:positionH>
                <wp:positionV relativeFrom="paragraph">
                  <wp:posOffset>915035</wp:posOffset>
                </wp:positionV>
                <wp:extent cx="1181100" cy="3327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152D" w:rsidRPr="00F90D77" w:rsidRDefault="00FC152D" w:rsidP="00D306D1">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Pr>
                                <w:rFonts w:ascii="Calibri" w:hAnsi="Calibri"/>
                                <w:b/>
                                <w:bCs/>
                                <w:color w:val="FFFFFF"/>
                                <w:lang w:val="en"/>
                              </w:rPr>
                              <w:t>www.</w:t>
                            </w:r>
                            <w:r w:rsidR="00AB6A71">
                              <w:rPr>
                                <w:rFonts w:ascii="Calibri" w:hAnsi="Calibri"/>
                                <w:b/>
                                <w:bCs/>
                                <w:color w:val="FFFFFF"/>
                                <w:lang w:val="en"/>
                              </w:rPr>
                              <w:t>iachr</w:t>
                            </w:r>
                            <w:r>
                              <w:rPr>
                                <w:rFonts w:ascii="Calibri" w:hAnsi="Calibri"/>
                                <w:b/>
                                <w:bCs/>
                                <w:color w:val="FFFFFF"/>
                                <w:lang w:val="en"/>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02B4AFF" id="Text Box 4" o:spid="_x0000_s1032" type="#_x0000_t202" style="position:absolute;left:0;text-align:left;margin-left:-21.45pt;margin-top:72.0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dDjA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" filled="f" stroked="f" strokeweight=".5pt">
                <v:path arrowok="t"/>
                <v:textbox>
                  <w:txbxContent>
                    <w:p w:rsidR="00FC152D" w:rsidRPr="00F90D77" w:rsidRDefault="00FC152D" w:rsidP="00D306D1">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Pr>
                          <w:rFonts w:ascii="Calibri" w:hAnsi="Calibri"/>
                          <w:b/>
                          <w:bCs/>
                          <w:color w:val="FFFFFF"/>
                          <w:lang w:val="en"/>
                        </w:rPr>
                        <w:t>www.</w:t>
                      </w:r>
                      <w:r w:rsidR="00AB6A71">
                        <w:rPr>
                          <w:rFonts w:ascii="Calibri" w:hAnsi="Calibri"/>
                          <w:b/>
                          <w:bCs/>
                          <w:color w:val="FFFFFF"/>
                          <w:lang w:val="en"/>
                        </w:rPr>
                        <w:t>iachr</w:t>
                      </w:r>
                      <w:r>
                        <w:rPr>
                          <w:rFonts w:ascii="Calibri" w:hAnsi="Calibri"/>
                          <w:b/>
                          <w:bCs/>
                          <w:color w:val="FFFFFF"/>
                          <w:lang w:val="en"/>
                        </w:rPr>
                        <w:t>.org</w:t>
                      </w:r>
                    </w:p>
                  </w:txbxContent>
                </v:textbox>
              </v:shape>
            </w:pict>
          </mc:Fallback>
        </mc:AlternateContent>
      </w:r>
    </w:p>
    <w:p w:rsidR="00FC152D" w:rsidRPr="006024BF" w:rsidRDefault="00FC152D" w:rsidP="005516A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b/>
          <w:sz w:val="20"/>
        </w:rPr>
        <w:sectPr w:rsidR="00FC152D" w:rsidRPr="006024B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rtlGutter/>
          <w:docGrid w:linePitch="326"/>
        </w:sectPr>
      </w:pPr>
      <w:r>
        <w:rPr>
          <w:b/>
          <w:bCs/>
          <w:lang w:val="en"/>
        </w:rPr>
        <w:tab/>
      </w:r>
    </w:p>
    <w:p w:rsidR="00FC152D" w:rsidRPr="006024BF" w:rsidRDefault="00FC152D" w:rsidP="000C7DAC">
      <w:pPr>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b/>
          <w:bCs/>
          <w:sz w:val="19"/>
          <w:szCs w:val="19"/>
        </w:rPr>
      </w:pPr>
      <w:r>
        <w:rPr>
          <w:rFonts w:ascii="Cambria" w:hAnsi="Cambria"/>
          <w:b/>
          <w:bCs/>
          <w:sz w:val="19"/>
          <w:szCs w:val="19"/>
          <w:lang w:val="en"/>
        </w:rPr>
        <w:lastRenderedPageBreak/>
        <w:t>I.</w:t>
      </w:r>
      <w:r>
        <w:rPr>
          <w:rFonts w:ascii="Cambria" w:hAnsi="Cambria"/>
          <w:b/>
          <w:bCs/>
          <w:sz w:val="19"/>
          <w:szCs w:val="19"/>
          <w:lang w:val="en"/>
        </w:rPr>
        <w:tab/>
        <w:t xml:space="preserve">INFORMATION ABOUT THE PETITION </w:t>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600"/>
        <w:gridCol w:w="5760"/>
      </w:tblGrid>
      <w:tr w:rsidR="00FC152D" w:rsidRPr="007007DF" w:rsidTr="00FC2F21">
        <w:tc>
          <w:tcPr>
            <w:tcW w:w="3600" w:type="dxa"/>
            <w:tcBorders>
              <w:top w:val="single" w:sz="4" w:space="0" w:color="auto"/>
            </w:tcBorders>
            <w:shd w:val="clear" w:color="auto" w:fill="67AE3C"/>
            <w:vAlign w:val="center"/>
          </w:tcPr>
          <w:p w:rsidR="00FC152D" w:rsidRPr="006024BF" w:rsidRDefault="00FC152D" w:rsidP="00F90D77">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19"/>
                <w:szCs w:val="19"/>
              </w:rPr>
            </w:pPr>
            <w:r>
              <w:rPr>
                <w:rFonts w:ascii="Cambria" w:hAnsi="Cambria"/>
                <w:b/>
                <w:bCs/>
                <w:color w:val="FFFFFF"/>
                <w:sz w:val="19"/>
                <w:szCs w:val="19"/>
                <w:lang w:val="en"/>
              </w:rPr>
              <w:t>Petitioner:</w:t>
            </w:r>
          </w:p>
        </w:tc>
        <w:tc>
          <w:tcPr>
            <w:tcW w:w="5760" w:type="dxa"/>
            <w:tcBorders>
              <w:top w:val="single" w:sz="4" w:space="0" w:color="auto"/>
            </w:tcBorders>
            <w:vAlign w:val="center"/>
          </w:tcPr>
          <w:p w:rsidR="00FC152D" w:rsidRPr="0073573B" w:rsidRDefault="00FC152D" w:rsidP="00F90D77">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PA"/>
              </w:rPr>
            </w:pPr>
            <w:r w:rsidRPr="0073573B">
              <w:rPr>
                <w:rFonts w:ascii="Cambria" w:hAnsi="Cambria"/>
                <w:sz w:val="19"/>
                <w:szCs w:val="19"/>
                <w:lang w:val="es-PA"/>
              </w:rPr>
              <w:t xml:space="preserve">Josefina </w:t>
            </w:r>
            <w:proofErr w:type="spellStart"/>
            <w:r w:rsidRPr="0073573B">
              <w:rPr>
                <w:rFonts w:ascii="Cambria" w:hAnsi="Cambria"/>
                <w:sz w:val="19"/>
                <w:szCs w:val="19"/>
                <w:lang w:val="es-PA"/>
              </w:rPr>
              <w:t>Margaroli</w:t>
            </w:r>
            <w:proofErr w:type="spellEnd"/>
            <w:r w:rsidRPr="0073573B">
              <w:rPr>
                <w:rFonts w:ascii="Cambria" w:hAnsi="Cambria"/>
                <w:sz w:val="19"/>
                <w:szCs w:val="19"/>
                <w:lang w:val="es-PA"/>
              </w:rPr>
              <w:t xml:space="preserve"> and Sergio Luis Maculan  </w:t>
            </w:r>
          </w:p>
        </w:tc>
      </w:tr>
      <w:tr w:rsidR="00FC152D" w:rsidRPr="006024BF" w:rsidTr="00FC2F21">
        <w:tc>
          <w:tcPr>
            <w:tcW w:w="3600" w:type="dxa"/>
            <w:shd w:val="clear" w:color="auto" w:fill="67AE3C"/>
            <w:vAlign w:val="center"/>
          </w:tcPr>
          <w:p w:rsidR="00FC152D" w:rsidRPr="006024BF" w:rsidRDefault="00FC152D" w:rsidP="00F90D77">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19"/>
                <w:szCs w:val="19"/>
              </w:rPr>
            </w:pPr>
            <w:r>
              <w:rPr>
                <w:rFonts w:ascii="Cambria" w:hAnsi="Cambria"/>
                <w:b/>
                <w:bCs/>
                <w:color w:val="FFFFFF"/>
                <w:sz w:val="19"/>
                <w:szCs w:val="19"/>
                <w:lang w:val="en"/>
              </w:rPr>
              <w:t>Alleged victim:</w:t>
            </w:r>
          </w:p>
        </w:tc>
        <w:tc>
          <w:tcPr>
            <w:tcW w:w="5760" w:type="dxa"/>
            <w:vAlign w:val="center"/>
          </w:tcPr>
          <w:p w:rsidR="00FC152D" w:rsidRPr="006024BF" w:rsidRDefault="00FC152D" w:rsidP="00F90D77">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rPr>
            </w:pPr>
            <w:proofErr w:type="spellStart"/>
            <w:r>
              <w:rPr>
                <w:rFonts w:ascii="Cambria" w:hAnsi="Cambria"/>
                <w:sz w:val="19"/>
                <w:szCs w:val="19"/>
                <w:lang w:val="en"/>
              </w:rPr>
              <w:t>Nerina</w:t>
            </w:r>
            <w:proofErr w:type="spellEnd"/>
            <w:r>
              <w:rPr>
                <w:rFonts w:ascii="Cambria" w:hAnsi="Cambria"/>
                <w:sz w:val="19"/>
                <w:szCs w:val="19"/>
                <w:lang w:val="en"/>
              </w:rPr>
              <w:t xml:space="preserve"> Claudia </w:t>
            </w:r>
            <w:proofErr w:type="spellStart"/>
            <w:r>
              <w:rPr>
                <w:rFonts w:ascii="Cambria" w:hAnsi="Cambria"/>
                <w:sz w:val="19"/>
                <w:szCs w:val="19"/>
                <w:lang w:val="en"/>
              </w:rPr>
              <w:t>Pojmaevich</w:t>
            </w:r>
            <w:proofErr w:type="spellEnd"/>
          </w:p>
        </w:tc>
      </w:tr>
      <w:tr w:rsidR="00FC152D" w:rsidRPr="006024BF" w:rsidTr="00FC2F21">
        <w:tc>
          <w:tcPr>
            <w:tcW w:w="3600" w:type="dxa"/>
            <w:shd w:val="clear" w:color="auto" w:fill="67AE3C"/>
            <w:vAlign w:val="center"/>
          </w:tcPr>
          <w:p w:rsidR="00FC152D" w:rsidRPr="006024BF" w:rsidRDefault="00FC152D" w:rsidP="00F90D77">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19"/>
                <w:szCs w:val="19"/>
              </w:rPr>
            </w:pPr>
            <w:r>
              <w:rPr>
                <w:rFonts w:ascii="Cambria" w:hAnsi="Cambria"/>
                <w:b/>
                <w:bCs/>
                <w:color w:val="FFFFFF"/>
                <w:sz w:val="19"/>
                <w:szCs w:val="19"/>
                <w:lang w:val="en"/>
              </w:rPr>
              <w:t>Respondent State:</w:t>
            </w:r>
          </w:p>
        </w:tc>
        <w:tc>
          <w:tcPr>
            <w:tcW w:w="5760" w:type="dxa"/>
            <w:vAlign w:val="center"/>
          </w:tcPr>
          <w:p w:rsidR="00FC152D" w:rsidRPr="006024BF" w:rsidRDefault="00FC152D" w:rsidP="00F90D77">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rPr>
            </w:pPr>
            <w:r>
              <w:rPr>
                <w:rFonts w:ascii="Cambria" w:hAnsi="Cambria"/>
                <w:sz w:val="19"/>
                <w:szCs w:val="19"/>
                <w:lang w:val="en"/>
              </w:rPr>
              <w:t>Argentina</w:t>
            </w:r>
          </w:p>
        </w:tc>
      </w:tr>
      <w:tr w:rsidR="00FC152D" w:rsidRPr="001C41C4" w:rsidTr="00FC2F21">
        <w:tc>
          <w:tcPr>
            <w:tcW w:w="3600" w:type="dxa"/>
            <w:tcBorders>
              <w:bottom w:val="single" w:sz="4" w:space="0" w:color="auto"/>
            </w:tcBorders>
            <w:shd w:val="clear" w:color="auto" w:fill="67AE3C"/>
            <w:vAlign w:val="center"/>
          </w:tcPr>
          <w:p w:rsidR="00FC152D" w:rsidRPr="006024BF" w:rsidRDefault="00FC152D" w:rsidP="00F90D77">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19"/>
                <w:szCs w:val="19"/>
              </w:rPr>
            </w:pPr>
            <w:r>
              <w:rPr>
                <w:rFonts w:ascii="Cambria" w:hAnsi="Cambria"/>
                <w:b/>
                <w:bCs/>
                <w:color w:val="FFFFFF"/>
                <w:sz w:val="19"/>
                <w:szCs w:val="19"/>
                <w:lang w:val="en"/>
              </w:rPr>
              <w:t>Rights invoked:</w:t>
            </w:r>
          </w:p>
        </w:tc>
        <w:tc>
          <w:tcPr>
            <w:tcW w:w="5760" w:type="dxa"/>
            <w:tcBorders>
              <w:bottom w:val="single" w:sz="4" w:space="0" w:color="auto"/>
            </w:tcBorders>
            <w:vAlign w:val="center"/>
          </w:tcPr>
          <w:p w:rsidR="00FC152D" w:rsidRPr="006024BF" w:rsidRDefault="00FC152D" w:rsidP="00F90D77">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rPr>
            </w:pPr>
            <w:r>
              <w:rPr>
                <w:rFonts w:ascii="Cambria" w:hAnsi="Cambria"/>
                <w:sz w:val="19"/>
                <w:szCs w:val="19"/>
                <w:lang w:val="en"/>
              </w:rPr>
              <w:t>Article 5 (humane treatment), 8 (fair trial), 10 (compensation), 11 (honor and dignity), 21 (private property), and 25 (judicial protection) of the American Convention on Human Rights,</w:t>
            </w:r>
            <w:r>
              <w:rPr>
                <w:rStyle w:val="FootnoteReference"/>
                <w:rFonts w:ascii="Cambria" w:hAnsi="Cambria"/>
                <w:sz w:val="19"/>
                <w:szCs w:val="19"/>
                <w:lang w:val="en"/>
              </w:rPr>
              <w:footnoteReference w:id="2"/>
            </w:r>
            <w:r>
              <w:rPr>
                <w:rFonts w:ascii="Cambria" w:hAnsi="Cambria"/>
                <w:sz w:val="19"/>
                <w:szCs w:val="19"/>
                <w:lang w:val="en"/>
              </w:rPr>
              <w:t xml:space="preserve"> in conjunction with its articles 1 (duty to respect rights) and 2 (duty to adopt domestic legal effects); article 2 (forms of violence against women), 3 (life free from violence), 4 (rights of women), 7 (duty of States), and 8 (duty to adopt domestic legal effects) of the Inter-American Convention on the Prevention, Punishment, and Eradication of Violence against Women;</w:t>
            </w:r>
            <w:r>
              <w:rPr>
                <w:rStyle w:val="FootnoteReference"/>
                <w:rFonts w:ascii="Cambria" w:hAnsi="Cambria"/>
                <w:sz w:val="19"/>
                <w:szCs w:val="19"/>
                <w:lang w:val="en"/>
              </w:rPr>
              <w:footnoteReference w:id="3"/>
            </w:r>
            <w:r>
              <w:rPr>
                <w:rFonts w:ascii="Cambria" w:hAnsi="Cambria"/>
                <w:sz w:val="19"/>
                <w:szCs w:val="19"/>
                <w:lang w:val="en"/>
              </w:rPr>
              <w:t xml:space="preserve"> articles I (life, liberty, security, and the security of person), II (equality before the law), V (honor, reputation, and private and family life), XIV (work and fair remuneration), XVII (recognition of juridical personality and civil rights), XVIII (justice), XXIII (property), and XXIV (petition) of the American Declaration of the Rights and Duties of Man;</w:t>
            </w:r>
            <w:r>
              <w:rPr>
                <w:rStyle w:val="FootnoteReference"/>
                <w:rFonts w:ascii="Cambria" w:hAnsi="Cambria"/>
                <w:sz w:val="19"/>
                <w:szCs w:val="19"/>
                <w:lang w:val="en"/>
              </w:rPr>
              <w:footnoteReference w:id="4"/>
            </w:r>
            <w:r>
              <w:rPr>
                <w:rFonts w:ascii="Cambria" w:hAnsi="Cambria"/>
                <w:sz w:val="19"/>
                <w:szCs w:val="19"/>
                <w:lang w:val="en"/>
              </w:rPr>
              <w:t xml:space="preserve"> and other international instruments</w:t>
            </w:r>
            <w:r>
              <w:rPr>
                <w:rStyle w:val="FootnoteReference"/>
                <w:rFonts w:ascii="Cambria" w:hAnsi="Cambria"/>
                <w:sz w:val="19"/>
                <w:szCs w:val="19"/>
                <w:lang w:val="en"/>
              </w:rPr>
              <w:footnoteReference w:id="5"/>
            </w:r>
            <w:r>
              <w:rPr>
                <w:rFonts w:ascii="Cambria" w:hAnsi="Cambria"/>
                <w:sz w:val="19"/>
                <w:szCs w:val="19"/>
                <w:lang w:val="en"/>
              </w:rPr>
              <w:t xml:space="preserve"> </w:t>
            </w:r>
          </w:p>
        </w:tc>
      </w:tr>
    </w:tbl>
    <w:p w:rsidR="00FC152D" w:rsidRPr="006024BF" w:rsidRDefault="00FC152D" w:rsidP="00BD3652">
      <w:pPr>
        <w:pBdr>
          <w:top w:val="none" w:sz="0" w:space="0" w:color="auto"/>
          <w:left w:val="none" w:sz="0" w:space="0" w:color="auto"/>
          <w:bottom w:val="none" w:sz="0" w:space="0" w:color="auto"/>
          <w:right w:val="none" w:sz="0" w:space="0" w:color="auto"/>
          <w:bar w:val="none" w:sz="0" w:color="auto"/>
        </w:pBdr>
        <w:spacing w:before="120" w:after="120"/>
        <w:ind w:firstLine="720"/>
        <w:jc w:val="both"/>
        <w:rPr>
          <w:rFonts w:ascii="Cambria" w:hAnsi="Cambria"/>
          <w:b/>
          <w:bCs/>
          <w:sz w:val="19"/>
          <w:szCs w:val="19"/>
        </w:rPr>
      </w:pPr>
      <w:r>
        <w:rPr>
          <w:rFonts w:ascii="Cambria" w:hAnsi="Cambria"/>
          <w:b/>
          <w:bCs/>
          <w:sz w:val="19"/>
          <w:szCs w:val="19"/>
          <w:lang w:val="en"/>
        </w:rPr>
        <w:t>II.</w:t>
      </w:r>
      <w:r>
        <w:rPr>
          <w:rFonts w:ascii="Cambria" w:hAnsi="Cambria"/>
          <w:b/>
          <w:bCs/>
          <w:sz w:val="19"/>
          <w:szCs w:val="19"/>
          <w:lang w:val="en"/>
        </w:rPr>
        <w:tab/>
        <w:t>PROCEEDINGS BEFORE THE IACHR</w:t>
      </w:r>
      <w:r>
        <w:rPr>
          <w:rStyle w:val="FootnoteReference"/>
          <w:rFonts w:ascii="Cambria" w:hAnsi="Cambria"/>
          <w:b/>
          <w:bCs/>
          <w:sz w:val="19"/>
          <w:szCs w:val="19"/>
          <w:lang w:val="en"/>
        </w:rPr>
        <w:footnoteReference w:id="6"/>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600"/>
        <w:gridCol w:w="5760"/>
      </w:tblGrid>
      <w:tr w:rsidR="00FC152D" w:rsidRPr="006024BF" w:rsidTr="00FC2F21">
        <w:tc>
          <w:tcPr>
            <w:tcW w:w="3600" w:type="dxa"/>
            <w:tcBorders>
              <w:top w:val="single" w:sz="4" w:space="0" w:color="auto"/>
            </w:tcBorders>
            <w:shd w:val="clear" w:color="auto" w:fill="67AE3C"/>
            <w:vAlign w:val="center"/>
          </w:tcPr>
          <w:p w:rsidR="00FC152D" w:rsidRPr="006024BF" w:rsidRDefault="00FC152D" w:rsidP="00F90D77">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19"/>
                <w:szCs w:val="19"/>
              </w:rPr>
            </w:pPr>
            <w:r>
              <w:rPr>
                <w:rFonts w:ascii="Cambria" w:hAnsi="Cambria"/>
                <w:b/>
                <w:bCs/>
                <w:color w:val="FFFFFF"/>
                <w:sz w:val="19"/>
                <w:szCs w:val="19"/>
                <w:lang w:val="en"/>
              </w:rPr>
              <w:t>Filing of the petition:</w:t>
            </w:r>
          </w:p>
        </w:tc>
        <w:tc>
          <w:tcPr>
            <w:tcW w:w="5760" w:type="dxa"/>
            <w:tcBorders>
              <w:top w:val="single" w:sz="4" w:space="0" w:color="auto"/>
            </w:tcBorders>
            <w:vAlign w:val="center"/>
          </w:tcPr>
          <w:p w:rsidR="00FC152D" w:rsidRPr="006024BF" w:rsidRDefault="00FC152D" w:rsidP="00F90D77">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rPr>
            </w:pPr>
            <w:r>
              <w:rPr>
                <w:rFonts w:ascii="Cambria" w:hAnsi="Cambria"/>
                <w:sz w:val="19"/>
                <w:szCs w:val="19"/>
                <w:lang w:val="en"/>
              </w:rPr>
              <w:t>August 27, 2007.</w:t>
            </w:r>
          </w:p>
        </w:tc>
      </w:tr>
      <w:tr w:rsidR="00FC152D" w:rsidRPr="001C41C4" w:rsidTr="00FC2F21">
        <w:tc>
          <w:tcPr>
            <w:tcW w:w="3600" w:type="dxa"/>
            <w:shd w:val="clear" w:color="auto" w:fill="67AE3C"/>
            <w:vAlign w:val="center"/>
          </w:tcPr>
          <w:p w:rsidR="00FC152D" w:rsidRPr="006024BF" w:rsidRDefault="00FC152D" w:rsidP="00F90D77">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19"/>
                <w:szCs w:val="19"/>
              </w:rPr>
            </w:pPr>
            <w:r>
              <w:rPr>
                <w:rFonts w:ascii="Cambria" w:hAnsi="Cambria"/>
                <w:b/>
                <w:bCs/>
                <w:color w:val="FFFFFF"/>
                <w:sz w:val="19"/>
                <w:szCs w:val="19"/>
                <w:lang w:val="en"/>
              </w:rPr>
              <w:t>Additional information received at the phase of initial review:</w:t>
            </w:r>
          </w:p>
        </w:tc>
        <w:tc>
          <w:tcPr>
            <w:tcW w:w="5760" w:type="dxa"/>
            <w:vAlign w:val="center"/>
          </w:tcPr>
          <w:p w:rsidR="00FC152D" w:rsidRPr="006024BF" w:rsidRDefault="00FC152D" w:rsidP="00F90D77">
            <w:pPr>
              <w:pBdr>
                <w:top w:val="none" w:sz="0" w:space="0" w:color="auto"/>
                <w:left w:val="none" w:sz="0" w:space="0" w:color="auto"/>
                <w:bottom w:val="none" w:sz="0" w:space="0" w:color="auto"/>
                <w:right w:val="none" w:sz="0" w:space="0" w:color="auto"/>
                <w:bar w:val="none" w:sz="0" w:color="auto"/>
              </w:pBdr>
              <w:jc w:val="both"/>
              <w:rPr>
                <w:rFonts w:ascii="Cambria" w:hAnsi="Cambria"/>
                <w:bCs/>
                <w:color w:val="FF0000"/>
                <w:sz w:val="19"/>
                <w:szCs w:val="19"/>
              </w:rPr>
            </w:pPr>
            <w:r>
              <w:rPr>
                <w:rFonts w:ascii="Cambria" w:hAnsi="Cambria"/>
                <w:sz w:val="19"/>
                <w:szCs w:val="19"/>
                <w:lang w:val="en"/>
              </w:rPr>
              <w:t>March 10, June 2, and December 19, 2008; May 13, 2013; January 6, 2014; February 19, 2016</w:t>
            </w:r>
          </w:p>
        </w:tc>
      </w:tr>
      <w:tr w:rsidR="00FC152D" w:rsidRPr="006024BF" w:rsidTr="00FC2F21">
        <w:tc>
          <w:tcPr>
            <w:tcW w:w="3600" w:type="dxa"/>
            <w:shd w:val="clear" w:color="auto" w:fill="67AE3C"/>
            <w:vAlign w:val="center"/>
          </w:tcPr>
          <w:p w:rsidR="00FC152D" w:rsidRPr="006024BF" w:rsidRDefault="00FC152D" w:rsidP="00F90D77">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19"/>
                <w:szCs w:val="19"/>
              </w:rPr>
            </w:pPr>
            <w:r>
              <w:rPr>
                <w:rFonts w:ascii="Cambria" w:hAnsi="Cambria"/>
                <w:b/>
                <w:bCs/>
                <w:color w:val="FFFFFF"/>
                <w:sz w:val="19"/>
                <w:szCs w:val="19"/>
                <w:lang w:val="en"/>
              </w:rPr>
              <w:t>Notification of the petition to the State:</w:t>
            </w:r>
          </w:p>
        </w:tc>
        <w:tc>
          <w:tcPr>
            <w:tcW w:w="5760" w:type="dxa"/>
            <w:vAlign w:val="center"/>
          </w:tcPr>
          <w:p w:rsidR="00FC152D" w:rsidRPr="006024BF" w:rsidRDefault="00FC152D" w:rsidP="00F90D77">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rPr>
            </w:pPr>
            <w:r>
              <w:rPr>
                <w:rFonts w:ascii="Cambria" w:hAnsi="Cambria"/>
                <w:sz w:val="19"/>
                <w:szCs w:val="19"/>
                <w:lang w:val="en"/>
              </w:rPr>
              <w:t>June 14, 2016</w:t>
            </w:r>
          </w:p>
        </w:tc>
      </w:tr>
      <w:tr w:rsidR="00FC152D" w:rsidRPr="006024BF" w:rsidTr="00FC2F21">
        <w:tc>
          <w:tcPr>
            <w:tcW w:w="3600" w:type="dxa"/>
            <w:shd w:val="clear" w:color="auto" w:fill="67AE3C"/>
            <w:vAlign w:val="center"/>
          </w:tcPr>
          <w:p w:rsidR="00FC152D" w:rsidRPr="006024BF" w:rsidRDefault="00FC152D" w:rsidP="00F90D77">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19"/>
                <w:szCs w:val="19"/>
              </w:rPr>
            </w:pPr>
            <w:r>
              <w:rPr>
                <w:rFonts w:ascii="Cambria" w:hAnsi="Cambria"/>
                <w:b/>
                <w:bCs/>
                <w:color w:val="FFFFFF"/>
                <w:sz w:val="19"/>
                <w:szCs w:val="19"/>
                <w:lang w:val="en"/>
              </w:rPr>
              <w:t>State’s first response:</w:t>
            </w:r>
          </w:p>
        </w:tc>
        <w:tc>
          <w:tcPr>
            <w:tcW w:w="5760" w:type="dxa"/>
            <w:vAlign w:val="center"/>
          </w:tcPr>
          <w:p w:rsidR="00FC152D" w:rsidRPr="006024BF" w:rsidRDefault="00FC152D" w:rsidP="00F90D77">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rPr>
            </w:pPr>
            <w:r>
              <w:rPr>
                <w:rFonts w:ascii="Cambria" w:hAnsi="Cambria"/>
                <w:sz w:val="19"/>
                <w:szCs w:val="19"/>
                <w:lang w:val="en"/>
              </w:rPr>
              <w:t>July 31, 2017</w:t>
            </w:r>
          </w:p>
        </w:tc>
      </w:tr>
      <w:tr w:rsidR="00FC152D" w:rsidRPr="001C41C4" w:rsidTr="00FC2F21">
        <w:tc>
          <w:tcPr>
            <w:tcW w:w="3600" w:type="dxa"/>
            <w:shd w:val="clear" w:color="auto" w:fill="67AE3C"/>
            <w:vAlign w:val="center"/>
          </w:tcPr>
          <w:p w:rsidR="00FC152D" w:rsidRPr="006024BF" w:rsidRDefault="00FC152D" w:rsidP="00F90D77">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19"/>
                <w:szCs w:val="19"/>
              </w:rPr>
            </w:pPr>
            <w:r>
              <w:rPr>
                <w:rFonts w:ascii="Cambria" w:hAnsi="Cambria"/>
                <w:b/>
                <w:bCs/>
                <w:color w:val="FFFFFF"/>
                <w:sz w:val="19"/>
                <w:szCs w:val="19"/>
                <w:lang w:val="en"/>
              </w:rPr>
              <w:t>Additional observations from the petitioner:</w:t>
            </w:r>
          </w:p>
        </w:tc>
        <w:tc>
          <w:tcPr>
            <w:tcW w:w="5760" w:type="dxa"/>
            <w:vAlign w:val="center"/>
          </w:tcPr>
          <w:p w:rsidR="00FC152D" w:rsidRPr="006024BF" w:rsidRDefault="00FC152D" w:rsidP="00F90D77">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rPr>
            </w:pPr>
            <w:r>
              <w:rPr>
                <w:rFonts w:ascii="Cambria" w:hAnsi="Cambria"/>
                <w:sz w:val="19"/>
                <w:szCs w:val="19"/>
                <w:lang w:val="en"/>
              </w:rPr>
              <w:t>October 10, 2017; June 14, 2018; and December 20, 2018</w:t>
            </w:r>
          </w:p>
        </w:tc>
      </w:tr>
      <w:tr w:rsidR="00FC152D" w:rsidRPr="006024BF" w:rsidTr="00FC2F21">
        <w:tc>
          <w:tcPr>
            <w:tcW w:w="3600" w:type="dxa"/>
            <w:tcBorders>
              <w:bottom w:val="single" w:sz="4" w:space="0" w:color="auto"/>
            </w:tcBorders>
            <w:shd w:val="clear" w:color="auto" w:fill="67AE3C"/>
            <w:vAlign w:val="center"/>
          </w:tcPr>
          <w:p w:rsidR="00FC152D" w:rsidRPr="006024BF" w:rsidRDefault="00FC152D" w:rsidP="00F90D77">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19"/>
                <w:szCs w:val="19"/>
              </w:rPr>
            </w:pPr>
            <w:r>
              <w:rPr>
                <w:rFonts w:ascii="Cambria" w:hAnsi="Cambria"/>
                <w:b/>
                <w:bCs/>
                <w:color w:val="FFFFFF"/>
                <w:sz w:val="19"/>
                <w:szCs w:val="19"/>
                <w:lang w:val="en"/>
              </w:rPr>
              <w:t>Additional observations from the State:</w:t>
            </w:r>
          </w:p>
        </w:tc>
        <w:tc>
          <w:tcPr>
            <w:tcW w:w="5760" w:type="dxa"/>
            <w:tcBorders>
              <w:bottom w:val="single" w:sz="4" w:space="0" w:color="auto"/>
            </w:tcBorders>
            <w:vAlign w:val="center"/>
          </w:tcPr>
          <w:p w:rsidR="00FC152D" w:rsidRPr="006024BF" w:rsidRDefault="00FC152D" w:rsidP="00F90D77">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rPr>
            </w:pPr>
            <w:r>
              <w:rPr>
                <w:rFonts w:ascii="Cambria" w:hAnsi="Cambria"/>
                <w:sz w:val="19"/>
                <w:szCs w:val="19"/>
                <w:lang w:val="en"/>
              </w:rPr>
              <w:t>January 22, 2019.</w:t>
            </w:r>
          </w:p>
        </w:tc>
      </w:tr>
    </w:tbl>
    <w:p w:rsidR="00FC152D" w:rsidRPr="006024BF" w:rsidRDefault="00FC152D" w:rsidP="00BD3652">
      <w:pPr>
        <w:pBdr>
          <w:top w:val="none" w:sz="0" w:space="0" w:color="auto"/>
          <w:left w:val="none" w:sz="0" w:space="0" w:color="auto"/>
          <w:bottom w:val="none" w:sz="0" w:space="0" w:color="auto"/>
          <w:right w:val="none" w:sz="0" w:space="0" w:color="auto"/>
          <w:bar w:val="none" w:sz="0" w:color="auto"/>
        </w:pBdr>
        <w:spacing w:before="120" w:after="120"/>
        <w:ind w:firstLine="720"/>
        <w:jc w:val="both"/>
        <w:rPr>
          <w:rFonts w:ascii="Cambria" w:hAnsi="Cambria"/>
          <w:b/>
          <w:bCs/>
          <w:sz w:val="19"/>
          <w:szCs w:val="19"/>
        </w:rPr>
      </w:pPr>
      <w:r>
        <w:rPr>
          <w:rFonts w:ascii="Cambria" w:hAnsi="Cambria"/>
          <w:b/>
          <w:bCs/>
          <w:sz w:val="19"/>
          <w:szCs w:val="19"/>
          <w:lang w:val="en"/>
        </w:rPr>
        <w:t xml:space="preserve">III. </w:t>
      </w:r>
      <w:r>
        <w:rPr>
          <w:rFonts w:ascii="Cambria" w:hAnsi="Cambria"/>
          <w:sz w:val="19"/>
          <w:szCs w:val="19"/>
          <w:lang w:val="en"/>
        </w:rPr>
        <w:tab/>
      </w:r>
      <w:r>
        <w:rPr>
          <w:rFonts w:ascii="Cambria" w:hAnsi="Cambria"/>
          <w:b/>
          <w:bCs/>
          <w:sz w:val="19"/>
          <w:szCs w:val="19"/>
          <w:lang w:val="en"/>
        </w:rPr>
        <w:t xml:space="preserve">COMPETENCE </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560"/>
        <w:gridCol w:w="5682"/>
      </w:tblGrid>
      <w:tr w:rsidR="00FC152D" w:rsidRPr="006024BF" w:rsidTr="00FC2F21">
        <w:trPr>
          <w:cantSplit/>
        </w:trPr>
        <w:tc>
          <w:tcPr>
            <w:tcW w:w="3600" w:type="dxa"/>
            <w:tcBorders>
              <w:top w:val="single" w:sz="4" w:space="0" w:color="auto"/>
            </w:tcBorders>
            <w:shd w:val="clear" w:color="auto" w:fill="67AE3C"/>
            <w:vAlign w:val="center"/>
          </w:tcPr>
          <w:p w:rsidR="00FC152D" w:rsidRPr="006024BF" w:rsidRDefault="00FC152D" w:rsidP="00F90D77">
            <w:pPr>
              <w:pBdr>
                <w:top w:val="none" w:sz="0" w:space="0" w:color="auto"/>
                <w:left w:val="none" w:sz="0" w:space="0" w:color="auto"/>
                <w:bottom w:val="none" w:sz="0" w:space="0" w:color="auto"/>
                <w:right w:val="none" w:sz="0" w:space="0" w:color="auto"/>
                <w:bar w:val="none" w:sz="0" w:color="auto"/>
              </w:pBdr>
              <w:jc w:val="center"/>
              <w:rPr>
                <w:rFonts w:ascii="Cambria" w:hAnsi="Cambria"/>
                <w:b/>
                <w:bCs/>
                <w:i/>
                <w:color w:val="FFFFFF"/>
                <w:sz w:val="19"/>
                <w:szCs w:val="19"/>
              </w:rPr>
            </w:pPr>
            <w:r>
              <w:rPr>
                <w:rFonts w:ascii="Cambria" w:hAnsi="Cambria"/>
                <w:b/>
                <w:bCs/>
                <w:color w:val="FFFFFF"/>
                <w:sz w:val="19"/>
                <w:szCs w:val="19"/>
                <w:lang w:val="en"/>
              </w:rPr>
              <w:t xml:space="preserve">Competence </w:t>
            </w:r>
            <w:proofErr w:type="spellStart"/>
            <w:r>
              <w:rPr>
                <w:rFonts w:ascii="Cambria" w:hAnsi="Cambria"/>
                <w:b/>
                <w:bCs/>
                <w:i/>
                <w:iCs/>
                <w:color w:val="FFFFFF"/>
                <w:sz w:val="19"/>
                <w:szCs w:val="19"/>
                <w:lang w:val="en"/>
              </w:rPr>
              <w:t>ratione</w:t>
            </w:r>
            <w:proofErr w:type="spellEnd"/>
            <w:r>
              <w:rPr>
                <w:rFonts w:ascii="Cambria" w:hAnsi="Cambria"/>
                <w:b/>
                <w:bCs/>
                <w:i/>
                <w:iCs/>
                <w:color w:val="FFFFFF"/>
                <w:sz w:val="19"/>
                <w:szCs w:val="19"/>
                <w:lang w:val="en"/>
              </w:rPr>
              <w:t xml:space="preserve"> personae</w:t>
            </w:r>
            <w:r>
              <w:rPr>
                <w:rFonts w:ascii="Cambria" w:hAnsi="Cambria"/>
                <w:b/>
                <w:bCs/>
                <w:color w:val="FFFFFF"/>
                <w:sz w:val="19"/>
                <w:szCs w:val="19"/>
                <w:lang w:val="en"/>
              </w:rPr>
              <w:t>:</w:t>
            </w:r>
          </w:p>
        </w:tc>
        <w:tc>
          <w:tcPr>
            <w:tcW w:w="5760" w:type="dxa"/>
            <w:tcBorders>
              <w:top w:val="single" w:sz="4" w:space="0" w:color="auto"/>
            </w:tcBorders>
            <w:vAlign w:val="center"/>
          </w:tcPr>
          <w:p w:rsidR="00FC152D" w:rsidRPr="006024BF" w:rsidRDefault="00FC152D" w:rsidP="00023CAB">
            <w:pPr>
              <w:pBdr>
                <w:top w:val="none" w:sz="0" w:space="0" w:color="auto"/>
                <w:left w:val="none" w:sz="0" w:space="0" w:color="auto"/>
                <w:bottom w:val="none" w:sz="0" w:space="0" w:color="auto"/>
                <w:right w:val="none" w:sz="0" w:space="0" w:color="auto"/>
                <w:bar w:val="none" w:sz="0" w:color="auto"/>
              </w:pBdr>
              <w:rPr>
                <w:rFonts w:ascii="Cambria" w:hAnsi="Cambria"/>
                <w:bCs/>
                <w:sz w:val="19"/>
                <w:szCs w:val="19"/>
              </w:rPr>
            </w:pPr>
            <w:r>
              <w:rPr>
                <w:rFonts w:ascii="Cambria" w:hAnsi="Cambria"/>
                <w:sz w:val="19"/>
                <w:szCs w:val="19"/>
                <w:lang w:val="en"/>
              </w:rPr>
              <w:t>Yes</w:t>
            </w:r>
          </w:p>
        </w:tc>
      </w:tr>
      <w:tr w:rsidR="00FC152D" w:rsidRPr="006024BF" w:rsidTr="00FC2F21">
        <w:trPr>
          <w:cantSplit/>
        </w:trPr>
        <w:tc>
          <w:tcPr>
            <w:tcW w:w="3600" w:type="dxa"/>
            <w:shd w:val="clear" w:color="auto" w:fill="67AE3C"/>
            <w:vAlign w:val="center"/>
          </w:tcPr>
          <w:p w:rsidR="00FC152D" w:rsidRPr="006024BF" w:rsidRDefault="00FC152D" w:rsidP="00F90D77">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19"/>
                <w:szCs w:val="19"/>
              </w:rPr>
            </w:pPr>
            <w:r>
              <w:rPr>
                <w:rFonts w:ascii="Cambria" w:hAnsi="Cambria"/>
                <w:b/>
                <w:bCs/>
                <w:color w:val="FFFFFF"/>
                <w:sz w:val="19"/>
                <w:szCs w:val="19"/>
                <w:lang w:val="en"/>
              </w:rPr>
              <w:t xml:space="preserve">Competence </w:t>
            </w:r>
            <w:proofErr w:type="spellStart"/>
            <w:r>
              <w:rPr>
                <w:rFonts w:ascii="Cambria" w:hAnsi="Cambria"/>
                <w:b/>
                <w:bCs/>
                <w:i/>
                <w:iCs/>
                <w:color w:val="FFFFFF"/>
                <w:sz w:val="19"/>
                <w:szCs w:val="19"/>
                <w:lang w:val="en"/>
              </w:rPr>
              <w:t>ratione</w:t>
            </w:r>
            <w:proofErr w:type="spellEnd"/>
            <w:r>
              <w:rPr>
                <w:rFonts w:ascii="Cambria" w:hAnsi="Cambria"/>
                <w:b/>
                <w:bCs/>
                <w:i/>
                <w:iCs/>
                <w:color w:val="FFFFFF"/>
                <w:sz w:val="19"/>
                <w:szCs w:val="19"/>
                <w:lang w:val="en"/>
              </w:rPr>
              <w:t xml:space="preserve"> loci</w:t>
            </w:r>
            <w:r>
              <w:rPr>
                <w:rFonts w:ascii="Cambria" w:hAnsi="Cambria"/>
                <w:b/>
                <w:bCs/>
                <w:color w:val="FFFFFF"/>
                <w:sz w:val="19"/>
                <w:szCs w:val="19"/>
                <w:lang w:val="en"/>
              </w:rPr>
              <w:t>:</w:t>
            </w:r>
          </w:p>
        </w:tc>
        <w:tc>
          <w:tcPr>
            <w:tcW w:w="5760" w:type="dxa"/>
            <w:vAlign w:val="center"/>
          </w:tcPr>
          <w:p w:rsidR="00FC152D" w:rsidRPr="006024BF" w:rsidRDefault="00FC152D" w:rsidP="00023CAB">
            <w:pPr>
              <w:pBdr>
                <w:top w:val="none" w:sz="0" w:space="0" w:color="auto"/>
                <w:left w:val="none" w:sz="0" w:space="0" w:color="auto"/>
                <w:bottom w:val="none" w:sz="0" w:space="0" w:color="auto"/>
                <w:right w:val="none" w:sz="0" w:space="0" w:color="auto"/>
                <w:bar w:val="none" w:sz="0" w:color="auto"/>
              </w:pBdr>
              <w:rPr>
                <w:rFonts w:ascii="Cambria" w:hAnsi="Cambria"/>
                <w:bCs/>
                <w:sz w:val="19"/>
                <w:szCs w:val="19"/>
              </w:rPr>
            </w:pPr>
            <w:r>
              <w:rPr>
                <w:rFonts w:ascii="Cambria" w:hAnsi="Cambria"/>
                <w:sz w:val="19"/>
                <w:szCs w:val="19"/>
                <w:lang w:val="en"/>
              </w:rPr>
              <w:t>Yes</w:t>
            </w:r>
          </w:p>
        </w:tc>
      </w:tr>
      <w:tr w:rsidR="00FC152D" w:rsidRPr="006024BF" w:rsidTr="00FC2F21">
        <w:trPr>
          <w:cantSplit/>
        </w:trPr>
        <w:tc>
          <w:tcPr>
            <w:tcW w:w="3600" w:type="dxa"/>
            <w:shd w:val="clear" w:color="auto" w:fill="67AE3C"/>
            <w:vAlign w:val="center"/>
          </w:tcPr>
          <w:p w:rsidR="00FC152D" w:rsidRPr="006024BF" w:rsidRDefault="00FC152D" w:rsidP="00F90D77">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19"/>
                <w:szCs w:val="19"/>
              </w:rPr>
            </w:pPr>
            <w:r>
              <w:rPr>
                <w:rFonts w:ascii="Cambria" w:hAnsi="Cambria"/>
                <w:b/>
                <w:bCs/>
                <w:color w:val="FFFFFF"/>
                <w:sz w:val="19"/>
                <w:szCs w:val="19"/>
                <w:lang w:val="en"/>
              </w:rPr>
              <w:t xml:space="preserve">Competence </w:t>
            </w:r>
            <w:proofErr w:type="spellStart"/>
            <w:r>
              <w:rPr>
                <w:rFonts w:ascii="Cambria" w:hAnsi="Cambria"/>
                <w:b/>
                <w:bCs/>
                <w:i/>
                <w:iCs/>
                <w:color w:val="FFFFFF"/>
                <w:sz w:val="19"/>
                <w:szCs w:val="19"/>
                <w:lang w:val="en"/>
              </w:rPr>
              <w:t>ratione</w:t>
            </w:r>
            <w:proofErr w:type="spellEnd"/>
            <w:r>
              <w:rPr>
                <w:rFonts w:ascii="Cambria" w:hAnsi="Cambria"/>
                <w:b/>
                <w:bCs/>
                <w:i/>
                <w:iCs/>
                <w:color w:val="FFFFFF"/>
                <w:sz w:val="19"/>
                <w:szCs w:val="19"/>
                <w:lang w:val="en"/>
              </w:rPr>
              <w:t xml:space="preserve"> </w:t>
            </w:r>
            <w:proofErr w:type="spellStart"/>
            <w:r>
              <w:rPr>
                <w:rFonts w:ascii="Cambria" w:hAnsi="Cambria"/>
                <w:b/>
                <w:bCs/>
                <w:i/>
                <w:iCs/>
                <w:color w:val="FFFFFF"/>
                <w:sz w:val="19"/>
                <w:szCs w:val="19"/>
                <w:lang w:val="en"/>
              </w:rPr>
              <w:t>temporis</w:t>
            </w:r>
            <w:proofErr w:type="spellEnd"/>
            <w:r>
              <w:rPr>
                <w:rFonts w:ascii="Cambria" w:hAnsi="Cambria"/>
                <w:b/>
                <w:bCs/>
                <w:color w:val="FFFFFF"/>
                <w:sz w:val="19"/>
                <w:szCs w:val="19"/>
                <w:lang w:val="en"/>
              </w:rPr>
              <w:t>:</w:t>
            </w:r>
          </w:p>
        </w:tc>
        <w:tc>
          <w:tcPr>
            <w:tcW w:w="5760" w:type="dxa"/>
            <w:vAlign w:val="center"/>
          </w:tcPr>
          <w:p w:rsidR="00FC152D" w:rsidRPr="006024BF" w:rsidRDefault="00FC152D" w:rsidP="00023CAB">
            <w:pPr>
              <w:pBdr>
                <w:top w:val="none" w:sz="0" w:space="0" w:color="auto"/>
                <w:left w:val="none" w:sz="0" w:space="0" w:color="auto"/>
                <w:bottom w:val="none" w:sz="0" w:space="0" w:color="auto"/>
                <w:right w:val="none" w:sz="0" w:space="0" w:color="auto"/>
                <w:bar w:val="none" w:sz="0" w:color="auto"/>
              </w:pBdr>
              <w:rPr>
                <w:rFonts w:ascii="Cambria" w:hAnsi="Cambria"/>
                <w:bCs/>
                <w:sz w:val="19"/>
                <w:szCs w:val="19"/>
              </w:rPr>
            </w:pPr>
            <w:r>
              <w:rPr>
                <w:rFonts w:ascii="Cambria" w:hAnsi="Cambria"/>
                <w:sz w:val="19"/>
                <w:szCs w:val="19"/>
                <w:lang w:val="en"/>
              </w:rPr>
              <w:t>Yes</w:t>
            </w:r>
          </w:p>
        </w:tc>
      </w:tr>
      <w:tr w:rsidR="00FC152D" w:rsidRPr="001C41C4" w:rsidTr="00FC2F21">
        <w:trPr>
          <w:cantSplit/>
        </w:trPr>
        <w:tc>
          <w:tcPr>
            <w:tcW w:w="3600" w:type="dxa"/>
            <w:tcBorders>
              <w:bottom w:val="single" w:sz="4" w:space="0" w:color="auto"/>
            </w:tcBorders>
            <w:shd w:val="clear" w:color="auto" w:fill="67AE3C"/>
            <w:vAlign w:val="center"/>
          </w:tcPr>
          <w:p w:rsidR="00FC152D" w:rsidRPr="006024BF" w:rsidRDefault="00FC152D" w:rsidP="00F90D77">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19"/>
                <w:szCs w:val="19"/>
              </w:rPr>
            </w:pPr>
            <w:r>
              <w:rPr>
                <w:rFonts w:ascii="Cambria" w:hAnsi="Cambria"/>
                <w:b/>
                <w:bCs/>
                <w:color w:val="FFFFFF"/>
                <w:sz w:val="19"/>
                <w:szCs w:val="19"/>
                <w:lang w:val="en"/>
              </w:rPr>
              <w:t xml:space="preserve">Competence </w:t>
            </w:r>
            <w:proofErr w:type="spellStart"/>
            <w:r>
              <w:rPr>
                <w:rFonts w:ascii="Cambria" w:hAnsi="Cambria"/>
                <w:b/>
                <w:bCs/>
                <w:i/>
                <w:iCs/>
                <w:color w:val="FFFFFF"/>
                <w:sz w:val="19"/>
                <w:szCs w:val="19"/>
                <w:lang w:val="en"/>
              </w:rPr>
              <w:t>ratione</w:t>
            </w:r>
            <w:proofErr w:type="spellEnd"/>
            <w:r>
              <w:rPr>
                <w:rFonts w:ascii="Cambria" w:hAnsi="Cambria"/>
                <w:b/>
                <w:bCs/>
                <w:i/>
                <w:iCs/>
                <w:color w:val="FFFFFF"/>
                <w:sz w:val="19"/>
                <w:szCs w:val="19"/>
                <w:lang w:val="en"/>
              </w:rPr>
              <w:t xml:space="preserve"> </w:t>
            </w:r>
            <w:proofErr w:type="spellStart"/>
            <w:r>
              <w:rPr>
                <w:rFonts w:ascii="Cambria" w:hAnsi="Cambria"/>
                <w:b/>
                <w:bCs/>
                <w:i/>
                <w:iCs/>
                <w:color w:val="FFFFFF"/>
                <w:sz w:val="19"/>
                <w:szCs w:val="19"/>
                <w:lang w:val="en"/>
              </w:rPr>
              <w:t>materiae</w:t>
            </w:r>
            <w:proofErr w:type="spellEnd"/>
            <w:r>
              <w:rPr>
                <w:rFonts w:ascii="Cambria" w:hAnsi="Cambria"/>
                <w:b/>
                <w:bCs/>
                <w:color w:val="FFFFFF"/>
                <w:sz w:val="19"/>
                <w:szCs w:val="19"/>
                <w:lang w:val="en"/>
              </w:rPr>
              <w:t>:</w:t>
            </w:r>
          </w:p>
        </w:tc>
        <w:tc>
          <w:tcPr>
            <w:tcW w:w="5760" w:type="dxa"/>
            <w:tcBorders>
              <w:bottom w:val="single" w:sz="4" w:space="0" w:color="auto"/>
            </w:tcBorders>
            <w:vAlign w:val="center"/>
          </w:tcPr>
          <w:p w:rsidR="00FC152D" w:rsidRPr="006024BF" w:rsidRDefault="00FC152D" w:rsidP="00F90D77">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rPr>
            </w:pPr>
            <w:r>
              <w:rPr>
                <w:rFonts w:ascii="Cambria" w:hAnsi="Cambria"/>
                <w:sz w:val="19"/>
                <w:szCs w:val="19"/>
                <w:lang w:val="en"/>
              </w:rPr>
              <w:t xml:space="preserve">Yes, American Convention (ratification instrument deposited on September 5, 1984); and </w:t>
            </w:r>
            <w:r w:rsidRPr="0073573B">
              <w:rPr>
                <w:rFonts w:ascii="Cambria" w:hAnsi="Cambria"/>
                <w:sz w:val="19"/>
                <w:szCs w:val="19"/>
                <w:lang w:val="en"/>
              </w:rPr>
              <w:t xml:space="preserve">Convention of </w:t>
            </w:r>
            <w:proofErr w:type="spellStart"/>
            <w:r w:rsidRPr="0073573B">
              <w:rPr>
                <w:rFonts w:ascii="Cambria" w:hAnsi="Cambria"/>
                <w:sz w:val="19"/>
                <w:szCs w:val="19"/>
                <w:lang w:val="en"/>
              </w:rPr>
              <w:t>Belém</w:t>
            </w:r>
            <w:proofErr w:type="spellEnd"/>
            <w:r w:rsidRPr="0073573B">
              <w:rPr>
                <w:rFonts w:ascii="Cambria" w:hAnsi="Cambria"/>
                <w:sz w:val="19"/>
                <w:szCs w:val="19"/>
                <w:lang w:val="en"/>
              </w:rPr>
              <w:t xml:space="preserve"> do </w:t>
            </w:r>
            <w:proofErr w:type="spellStart"/>
            <w:r w:rsidRPr="0073573B">
              <w:rPr>
                <w:rFonts w:ascii="Cambria" w:hAnsi="Cambria"/>
                <w:sz w:val="19"/>
                <w:szCs w:val="19"/>
                <w:lang w:val="en"/>
              </w:rPr>
              <w:t>Pará</w:t>
            </w:r>
            <w:proofErr w:type="spellEnd"/>
            <w:r w:rsidRPr="0073573B">
              <w:rPr>
                <w:rFonts w:ascii="Cambria" w:hAnsi="Cambria"/>
                <w:sz w:val="19"/>
                <w:szCs w:val="19"/>
                <w:lang w:val="en"/>
              </w:rPr>
              <w:t xml:space="preserve"> (ratification instrument deposited on July 5, 1996)</w:t>
            </w:r>
          </w:p>
        </w:tc>
      </w:tr>
    </w:tbl>
    <w:p w:rsidR="00FC152D" w:rsidRPr="006024BF" w:rsidRDefault="00FC152D" w:rsidP="00BD3652">
      <w:pPr>
        <w:pBdr>
          <w:top w:val="none" w:sz="0" w:space="0" w:color="auto"/>
          <w:left w:val="none" w:sz="0" w:space="0" w:color="auto"/>
          <w:bottom w:val="none" w:sz="0" w:space="0" w:color="auto"/>
          <w:right w:val="none" w:sz="0" w:space="0" w:color="auto"/>
          <w:bar w:val="none" w:sz="0" w:color="auto"/>
        </w:pBdr>
        <w:spacing w:before="120" w:after="120"/>
        <w:ind w:firstLine="720"/>
        <w:jc w:val="both"/>
        <w:rPr>
          <w:rFonts w:ascii="Cambria" w:hAnsi="Cambria"/>
          <w:b/>
          <w:bCs/>
          <w:sz w:val="19"/>
          <w:szCs w:val="19"/>
        </w:rPr>
      </w:pPr>
      <w:r>
        <w:rPr>
          <w:rFonts w:ascii="Cambria" w:hAnsi="Cambria"/>
          <w:b/>
          <w:bCs/>
          <w:sz w:val="19"/>
          <w:szCs w:val="19"/>
          <w:lang w:val="en"/>
        </w:rPr>
        <w:t xml:space="preserve">IV. </w:t>
      </w:r>
      <w:r>
        <w:rPr>
          <w:rFonts w:ascii="Cambria" w:hAnsi="Cambria"/>
          <w:sz w:val="19"/>
          <w:szCs w:val="19"/>
          <w:lang w:val="en"/>
        </w:rPr>
        <w:tab/>
      </w:r>
      <w:r>
        <w:rPr>
          <w:rFonts w:ascii="Cambria" w:hAnsi="Cambria"/>
          <w:b/>
          <w:bCs/>
          <w:sz w:val="19"/>
          <w:szCs w:val="19"/>
          <w:lang w:val="en"/>
        </w:rPr>
        <w:t>DUPLICATION</w:t>
      </w:r>
      <w:r>
        <w:rPr>
          <w:rFonts w:ascii="Cambria" w:hAnsi="Cambria"/>
          <w:b/>
          <w:bCs/>
          <w:color w:val="FFFFFF"/>
          <w:sz w:val="19"/>
          <w:szCs w:val="19"/>
          <w:lang w:val="en"/>
        </w:rPr>
        <w:t xml:space="preserve"> </w:t>
      </w:r>
      <w:r>
        <w:rPr>
          <w:rFonts w:ascii="Cambria" w:hAnsi="Cambria"/>
          <w:b/>
          <w:bCs/>
          <w:sz w:val="19"/>
          <w:szCs w:val="19"/>
          <w:lang w:val="en"/>
        </w:rPr>
        <w:t xml:space="preserve">OF PROCEDURES AND INTERNATIONAL </w:t>
      </w:r>
      <w:r>
        <w:rPr>
          <w:rFonts w:ascii="Cambria" w:hAnsi="Cambria"/>
          <w:b/>
          <w:bCs/>
          <w:i/>
          <w:iCs/>
          <w:sz w:val="19"/>
          <w:szCs w:val="19"/>
          <w:lang w:val="en"/>
        </w:rPr>
        <w:t>RES JUDICATA</w:t>
      </w:r>
      <w:r>
        <w:rPr>
          <w:rFonts w:ascii="Cambria" w:hAnsi="Cambria"/>
          <w:b/>
          <w:bCs/>
          <w:sz w:val="19"/>
          <w:szCs w:val="19"/>
          <w:lang w:val="en"/>
        </w:rPr>
        <w:t>, COLORABLE CLAIM, EXHAUSTION OF DOMESTIC REMEDIES, AND TIMELINESS OF THE PETITION</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561"/>
        <w:gridCol w:w="5681"/>
      </w:tblGrid>
      <w:tr w:rsidR="00FC152D" w:rsidRPr="006024BF" w:rsidTr="00FC2F21">
        <w:trPr>
          <w:cantSplit/>
        </w:trPr>
        <w:tc>
          <w:tcPr>
            <w:tcW w:w="3600" w:type="dxa"/>
            <w:tcBorders>
              <w:top w:val="single" w:sz="4" w:space="0" w:color="auto"/>
            </w:tcBorders>
            <w:shd w:val="clear" w:color="auto" w:fill="67AE3C"/>
            <w:vAlign w:val="center"/>
          </w:tcPr>
          <w:p w:rsidR="00FC152D" w:rsidRPr="006024BF" w:rsidRDefault="00FC152D" w:rsidP="00F90D77">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19"/>
                <w:szCs w:val="19"/>
              </w:rPr>
            </w:pPr>
            <w:r>
              <w:rPr>
                <w:rFonts w:ascii="Cambria" w:hAnsi="Cambria"/>
                <w:b/>
                <w:bCs/>
                <w:color w:val="FFFFFF"/>
                <w:sz w:val="19"/>
                <w:szCs w:val="19"/>
                <w:lang w:val="en"/>
              </w:rPr>
              <w:t xml:space="preserve">Duplication of procedures and international </w:t>
            </w:r>
            <w:r>
              <w:rPr>
                <w:rFonts w:ascii="Cambria" w:hAnsi="Cambria"/>
                <w:b/>
                <w:bCs/>
                <w:i/>
                <w:iCs/>
                <w:color w:val="FFFFFF"/>
                <w:sz w:val="19"/>
                <w:szCs w:val="19"/>
                <w:lang w:val="en"/>
              </w:rPr>
              <w:t>res judicata</w:t>
            </w:r>
            <w:r>
              <w:rPr>
                <w:rFonts w:ascii="Cambria" w:hAnsi="Cambria"/>
                <w:b/>
                <w:bCs/>
                <w:color w:val="FFFFFF"/>
                <w:sz w:val="19"/>
                <w:szCs w:val="19"/>
                <w:lang w:val="en"/>
              </w:rPr>
              <w:t>:</w:t>
            </w:r>
          </w:p>
        </w:tc>
        <w:tc>
          <w:tcPr>
            <w:tcW w:w="5760" w:type="dxa"/>
            <w:tcBorders>
              <w:top w:val="single" w:sz="4" w:space="0" w:color="auto"/>
            </w:tcBorders>
            <w:vAlign w:val="center"/>
          </w:tcPr>
          <w:p w:rsidR="00FC152D" w:rsidRPr="006024BF" w:rsidRDefault="00FC152D" w:rsidP="00F90D77">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rPr>
            </w:pPr>
            <w:r>
              <w:rPr>
                <w:rFonts w:ascii="Cambria" w:hAnsi="Cambria"/>
                <w:sz w:val="19"/>
                <w:szCs w:val="19"/>
                <w:lang w:val="en"/>
              </w:rPr>
              <w:t>No</w:t>
            </w:r>
          </w:p>
        </w:tc>
      </w:tr>
      <w:tr w:rsidR="00FC152D" w:rsidRPr="001C41C4" w:rsidTr="00FC2F21">
        <w:trPr>
          <w:cantSplit/>
        </w:trPr>
        <w:tc>
          <w:tcPr>
            <w:tcW w:w="3600" w:type="dxa"/>
            <w:tcBorders>
              <w:top w:val="single" w:sz="4" w:space="0" w:color="auto"/>
            </w:tcBorders>
            <w:shd w:val="clear" w:color="auto" w:fill="67AE3C"/>
            <w:vAlign w:val="center"/>
          </w:tcPr>
          <w:p w:rsidR="00FC152D" w:rsidRPr="006024BF" w:rsidRDefault="00FC152D" w:rsidP="00F90D77">
            <w:pPr>
              <w:pBdr>
                <w:top w:val="none" w:sz="0" w:space="0" w:color="auto"/>
                <w:left w:val="none" w:sz="0" w:space="0" w:color="auto"/>
                <w:bottom w:val="none" w:sz="0" w:space="0" w:color="auto"/>
                <w:right w:val="none" w:sz="0" w:space="0" w:color="auto"/>
                <w:bar w:val="none" w:sz="0" w:color="auto"/>
              </w:pBdr>
              <w:jc w:val="center"/>
              <w:rPr>
                <w:rFonts w:ascii="Cambria" w:hAnsi="Cambria"/>
                <w:b/>
                <w:bCs/>
                <w:i/>
                <w:color w:val="FFFFFF"/>
                <w:sz w:val="19"/>
                <w:szCs w:val="19"/>
              </w:rPr>
            </w:pPr>
            <w:r>
              <w:rPr>
                <w:rFonts w:ascii="Cambria" w:hAnsi="Cambria"/>
                <w:b/>
                <w:bCs/>
                <w:color w:val="FFFFFF"/>
                <w:sz w:val="19"/>
                <w:szCs w:val="19"/>
                <w:lang w:val="en"/>
              </w:rPr>
              <w:t>Rights declared admissible:</w:t>
            </w:r>
          </w:p>
        </w:tc>
        <w:tc>
          <w:tcPr>
            <w:tcW w:w="5760" w:type="dxa"/>
            <w:vAlign w:val="center"/>
          </w:tcPr>
          <w:p w:rsidR="00FC152D" w:rsidRPr="006024BF" w:rsidRDefault="00FC152D" w:rsidP="00F90D77">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rPr>
            </w:pPr>
            <w:r>
              <w:rPr>
                <w:rFonts w:ascii="Cambria" w:hAnsi="Cambria"/>
                <w:sz w:val="19"/>
                <w:szCs w:val="19"/>
                <w:lang w:val="en"/>
              </w:rPr>
              <w:t xml:space="preserve">Article 8 (fair trial), 21 (private property), and 25 (judicial protection) of the American Convention, in conjunction with its articles 1(1) (duty to respect rights), 2 (duty to adopt domestic legal effects), 5 (humane treatment), and 11 (honor and dignity); and Article 7 of the Convention of </w:t>
            </w:r>
            <w:proofErr w:type="spellStart"/>
            <w:r>
              <w:rPr>
                <w:rFonts w:ascii="Cambria" w:hAnsi="Cambria"/>
                <w:sz w:val="19"/>
                <w:szCs w:val="19"/>
                <w:lang w:val="en"/>
              </w:rPr>
              <w:t>Belém</w:t>
            </w:r>
            <w:proofErr w:type="spellEnd"/>
            <w:r>
              <w:rPr>
                <w:rFonts w:ascii="Cambria" w:hAnsi="Cambria"/>
                <w:sz w:val="19"/>
                <w:szCs w:val="19"/>
                <w:lang w:val="en"/>
              </w:rPr>
              <w:t xml:space="preserve"> do </w:t>
            </w:r>
            <w:proofErr w:type="spellStart"/>
            <w:r>
              <w:rPr>
                <w:rFonts w:ascii="Cambria" w:hAnsi="Cambria"/>
                <w:sz w:val="19"/>
                <w:szCs w:val="19"/>
                <w:lang w:val="en"/>
              </w:rPr>
              <w:t>Pará</w:t>
            </w:r>
            <w:proofErr w:type="spellEnd"/>
            <w:r>
              <w:rPr>
                <w:rFonts w:ascii="Cambria" w:hAnsi="Cambria"/>
                <w:sz w:val="19"/>
                <w:szCs w:val="19"/>
                <w:lang w:val="en"/>
              </w:rPr>
              <w:t>.</w:t>
            </w:r>
          </w:p>
        </w:tc>
      </w:tr>
      <w:tr w:rsidR="00FC152D" w:rsidRPr="001C41C4" w:rsidTr="00FC2F21">
        <w:trPr>
          <w:cantSplit/>
        </w:trPr>
        <w:tc>
          <w:tcPr>
            <w:tcW w:w="3600" w:type="dxa"/>
            <w:shd w:val="clear" w:color="auto" w:fill="67AE3C"/>
            <w:vAlign w:val="center"/>
          </w:tcPr>
          <w:p w:rsidR="00FC152D" w:rsidRPr="006024BF" w:rsidRDefault="00FC152D" w:rsidP="00F90D77">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19"/>
                <w:szCs w:val="19"/>
              </w:rPr>
            </w:pPr>
            <w:r>
              <w:rPr>
                <w:rFonts w:ascii="Cambria" w:hAnsi="Cambria"/>
                <w:b/>
                <w:bCs/>
                <w:color w:val="FFFFFF"/>
                <w:sz w:val="19"/>
                <w:szCs w:val="19"/>
                <w:lang w:val="en"/>
              </w:rPr>
              <w:lastRenderedPageBreak/>
              <w:t>Exhaustion of domestic remedies or applicability of an exception to the rule:</w:t>
            </w:r>
          </w:p>
        </w:tc>
        <w:tc>
          <w:tcPr>
            <w:tcW w:w="5760" w:type="dxa"/>
            <w:vAlign w:val="center"/>
          </w:tcPr>
          <w:p w:rsidR="00FC152D" w:rsidRPr="006024BF" w:rsidRDefault="00FC152D" w:rsidP="005F76DF">
            <w:pPr>
              <w:pBdr>
                <w:top w:val="none" w:sz="0" w:space="0" w:color="auto"/>
                <w:left w:val="none" w:sz="0" w:space="0" w:color="auto"/>
                <w:bottom w:val="none" w:sz="0" w:space="0" w:color="auto"/>
                <w:right w:val="none" w:sz="0" w:space="0" w:color="auto"/>
                <w:bar w:val="none" w:sz="0" w:color="auto"/>
              </w:pBdr>
              <w:rPr>
                <w:rFonts w:ascii="Cambria" w:hAnsi="Cambria"/>
                <w:bCs/>
                <w:sz w:val="19"/>
                <w:szCs w:val="19"/>
              </w:rPr>
            </w:pPr>
            <w:r>
              <w:rPr>
                <w:rFonts w:ascii="Cambria" w:hAnsi="Cambria"/>
                <w:sz w:val="19"/>
                <w:szCs w:val="19"/>
                <w:lang w:val="en"/>
              </w:rPr>
              <w:t>Yes, pursuant to the terms of Section VI</w:t>
            </w:r>
          </w:p>
        </w:tc>
      </w:tr>
      <w:tr w:rsidR="00FC152D" w:rsidRPr="001C41C4" w:rsidTr="00FC2F21">
        <w:trPr>
          <w:cantSplit/>
        </w:trPr>
        <w:tc>
          <w:tcPr>
            <w:tcW w:w="3600" w:type="dxa"/>
            <w:tcBorders>
              <w:bottom w:val="single" w:sz="4" w:space="0" w:color="auto"/>
            </w:tcBorders>
            <w:shd w:val="clear" w:color="auto" w:fill="67AE3C"/>
            <w:vAlign w:val="center"/>
          </w:tcPr>
          <w:p w:rsidR="00FC152D" w:rsidRPr="006024BF" w:rsidRDefault="00FC152D" w:rsidP="00F90D77">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19"/>
                <w:szCs w:val="19"/>
              </w:rPr>
            </w:pPr>
            <w:r>
              <w:rPr>
                <w:rFonts w:ascii="Cambria" w:hAnsi="Cambria"/>
                <w:b/>
                <w:bCs/>
                <w:color w:val="FFFFFF"/>
                <w:sz w:val="19"/>
                <w:szCs w:val="19"/>
                <w:lang w:val="en"/>
              </w:rPr>
              <w:t>Timeliness of the petition:</w:t>
            </w:r>
          </w:p>
        </w:tc>
        <w:tc>
          <w:tcPr>
            <w:tcW w:w="5760" w:type="dxa"/>
            <w:tcBorders>
              <w:bottom w:val="single" w:sz="4" w:space="0" w:color="auto"/>
            </w:tcBorders>
            <w:vAlign w:val="center"/>
          </w:tcPr>
          <w:p w:rsidR="00FC152D" w:rsidRPr="006024BF" w:rsidRDefault="00FC152D" w:rsidP="005F76DF">
            <w:pPr>
              <w:pBdr>
                <w:top w:val="none" w:sz="0" w:space="0" w:color="auto"/>
                <w:left w:val="none" w:sz="0" w:space="0" w:color="auto"/>
                <w:bottom w:val="none" w:sz="0" w:space="0" w:color="auto"/>
                <w:right w:val="none" w:sz="0" w:space="0" w:color="auto"/>
                <w:bar w:val="none" w:sz="0" w:color="auto"/>
              </w:pBdr>
              <w:rPr>
                <w:rFonts w:ascii="Cambria" w:hAnsi="Cambria"/>
                <w:bCs/>
                <w:sz w:val="19"/>
                <w:szCs w:val="19"/>
              </w:rPr>
            </w:pPr>
            <w:r>
              <w:rPr>
                <w:rFonts w:ascii="Cambria" w:hAnsi="Cambria"/>
                <w:sz w:val="19"/>
                <w:szCs w:val="19"/>
                <w:lang w:val="en"/>
              </w:rPr>
              <w:t>Yes, pursuant to the terms of Section VI</w:t>
            </w:r>
          </w:p>
        </w:tc>
      </w:tr>
    </w:tbl>
    <w:p w:rsidR="00FC152D" w:rsidRPr="006024BF" w:rsidRDefault="00FC152D" w:rsidP="005A55D9">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sz w:val="20"/>
          <w:szCs w:val="20"/>
        </w:rPr>
      </w:pPr>
      <w:r>
        <w:rPr>
          <w:rFonts w:ascii="Cambria" w:hAnsi="Cambria"/>
          <w:b/>
          <w:bCs/>
          <w:sz w:val="20"/>
          <w:szCs w:val="20"/>
          <w:lang w:val="en"/>
        </w:rPr>
        <w:t xml:space="preserve">V. </w:t>
      </w:r>
      <w:r>
        <w:rPr>
          <w:rFonts w:ascii="Cambria" w:hAnsi="Cambria"/>
          <w:b/>
          <w:bCs/>
          <w:sz w:val="20"/>
          <w:szCs w:val="20"/>
          <w:lang w:val="en"/>
        </w:rPr>
        <w:tab/>
        <w:t>ALLEGED FACTS</w:t>
      </w:r>
    </w:p>
    <w:p w:rsidR="00FC152D" w:rsidRPr="006024BF" w:rsidRDefault="00FC152D" w:rsidP="00DC71F7">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 xml:space="preserve">Josefina </w:t>
      </w:r>
      <w:proofErr w:type="spellStart"/>
      <w:r>
        <w:rPr>
          <w:rFonts w:ascii="Cambria" w:hAnsi="Cambria"/>
          <w:sz w:val="20"/>
          <w:szCs w:val="20"/>
          <w:lang w:val="en"/>
        </w:rPr>
        <w:t>Margaroli</w:t>
      </w:r>
      <w:proofErr w:type="spellEnd"/>
      <w:r>
        <w:rPr>
          <w:rFonts w:ascii="Cambria" w:hAnsi="Cambria"/>
          <w:sz w:val="20"/>
          <w:szCs w:val="20"/>
          <w:lang w:val="en"/>
        </w:rPr>
        <w:t xml:space="preserve"> and Sergio Luis </w:t>
      </w:r>
      <w:proofErr w:type="spellStart"/>
      <w:r>
        <w:rPr>
          <w:rFonts w:ascii="Cambria" w:hAnsi="Cambria"/>
          <w:sz w:val="20"/>
          <w:szCs w:val="20"/>
          <w:lang w:val="en"/>
        </w:rPr>
        <w:t>Maculan</w:t>
      </w:r>
      <w:proofErr w:type="spellEnd"/>
      <w:r>
        <w:rPr>
          <w:rFonts w:ascii="Cambria" w:hAnsi="Cambria"/>
          <w:sz w:val="20"/>
          <w:szCs w:val="20"/>
          <w:lang w:val="en"/>
        </w:rPr>
        <w:t xml:space="preserve"> (hereinafter "the petitioners") allege violations of the human rights of </w:t>
      </w:r>
      <w:proofErr w:type="spellStart"/>
      <w:r>
        <w:rPr>
          <w:rFonts w:ascii="Cambria" w:hAnsi="Cambria"/>
          <w:sz w:val="20"/>
          <w:szCs w:val="20"/>
          <w:lang w:val="en"/>
        </w:rPr>
        <w:t>Nerina</w:t>
      </w:r>
      <w:proofErr w:type="spellEnd"/>
      <w:r>
        <w:rPr>
          <w:rFonts w:ascii="Cambria" w:hAnsi="Cambria"/>
          <w:sz w:val="20"/>
          <w:szCs w:val="20"/>
          <w:lang w:val="en"/>
        </w:rPr>
        <w:t xml:space="preserve"> Claudia </w:t>
      </w:r>
      <w:proofErr w:type="spellStart"/>
      <w:r>
        <w:rPr>
          <w:rFonts w:ascii="Cambria" w:hAnsi="Cambria"/>
          <w:sz w:val="20"/>
          <w:szCs w:val="20"/>
          <w:lang w:val="en"/>
        </w:rPr>
        <w:t>Pojmaevich</w:t>
      </w:r>
      <w:proofErr w:type="spellEnd"/>
      <w:r>
        <w:rPr>
          <w:rFonts w:ascii="Cambria" w:hAnsi="Cambria"/>
          <w:sz w:val="20"/>
          <w:szCs w:val="20"/>
          <w:lang w:val="en"/>
        </w:rPr>
        <w:t xml:space="preserve"> (hereinafter "the alleged victim"), claiming that she was unjustly dismissed and the victim of sexual abuse and harassment, as well as labor, moral, and psychological harassment at her workplace, the Argentina office of the United Nations Children's Fund (hereinafter "UNICEF Argentina"). They allege that even though she obtained judicial rulings granting her compensation for the harm she suffered, they have not been made effective because of the immunity from execution that the State has granted to UNICEF, resulting in a denial of justice that has prolonged the alleged victim’s suffering. They also allege that the State did not provide effective protection from harassment to individuals working in the private sector, and that it does not offer adequate opportunities for private parties to take part in defending their rights during administrative processes to address illegal behavior by public officials. </w:t>
      </w:r>
    </w:p>
    <w:p w:rsidR="00FC152D" w:rsidRPr="006024BF" w:rsidRDefault="00FC152D" w:rsidP="000E0098">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 xml:space="preserve">The petitioner indicates that on October 20, 2005, a labor suit was filed before the National Labor Trial Court on behalf of the alleged victim against UNICEF Argentina and the company TERCERIZACIÓN RH S.A., seeking recognition that she had been the victim of harassment and abuse in her working environment and the granting of compensation for, </w:t>
      </w:r>
      <w:r>
        <w:rPr>
          <w:rFonts w:ascii="Cambria" w:hAnsi="Cambria"/>
          <w:i/>
          <w:iCs/>
          <w:sz w:val="20"/>
          <w:szCs w:val="20"/>
          <w:lang w:val="en"/>
        </w:rPr>
        <w:t>inter alia</w:t>
      </w:r>
      <w:r>
        <w:rPr>
          <w:rFonts w:ascii="Cambria" w:hAnsi="Cambria"/>
          <w:sz w:val="20"/>
          <w:szCs w:val="20"/>
          <w:lang w:val="en"/>
        </w:rPr>
        <w:t xml:space="preserve">, her unjustified dismissal. In April 2011, the court issued a judgment convicting both codefendants. The judgment recognized that the dismissal had been unjustified and ordered compensation for it. However, it did not make any determinations regarding the alleged sexual abuse and sexual, workplace, moral, and psychological harassment in her working environment, concluding that these issues were the subject of a civil action that was in process before National Civil Trial Court No. 75. The alleged victim appealed the judgment. Her appeal was rejected, with the court finding that in her suit, the alleged victim had not requested compensation for the harassment and abuse and had indicated that she would seek damages civilly for the harm suffered from the harassment. This decision was appealed through an extraordinary federal remedy and, following its rejection, through a motion for reconsideration of dismissal of appeal. Finally, on November 6, 2012, the Supreme Court of Justice of the Nation denied the motion for reconsideration of dismissal of appeal, exhausting the labor courts. </w:t>
      </w:r>
    </w:p>
    <w:p w:rsidR="00FC152D" w:rsidRPr="006024BF" w:rsidRDefault="00FC152D" w:rsidP="000E0098">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 xml:space="preserve">According to the petitioners, the alleged victim requested that a UNICEF Argentina account be </w:t>
      </w:r>
      <w:r w:rsidR="0073573B">
        <w:rPr>
          <w:rFonts w:ascii="Cambria" w:hAnsi="Cambria"/>
          <w:sz w:val="20"/>
          <w:szCs w:val="20"/>
          <w:lang w:val="en"/>
        </w:rPr>
        <w:t>seized</w:t>
      </w:r>
      <w:r>
        <w:rPr>
          <w:rFonts w:ascii="Cambria" w:hAnsi="Cambria"/>
          <w:sz w:val="20"/>
          <w:szCs w:val="20"/>
          <w:lang w:val="en"/>
        </w:rPr>
        <w:t xml:space="preserve"> in order to ensure compliance with the judgment handed down against the organization; however, on March 11, 2013, the labor court denied this measure, finding that the organization was protected by immunity from execution. In response, and in view of the insolvency of the codefendant private company, the petitioner states that the alleged victim has not been able to collect on the compensation awarded for the unjustified dismissal and argued that the State must be held responsible for paying it because it had granted immunity to UNICEF.</w:t>
      </w:r>
    </w:p>
    <w:p w:rsidR="00FC152D" w:rsidRPr="006024BF" w:rsidRDefault="00FC152D" w:rsidP="00903F87">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 xml:space="preserve">The petitioner also states that, in the framework of the labor proceeding, the trial court judge illegally extended the deadline for response and did not hold UNICEF in contempt, as required by law. The alleged victim therefore filed suit against her before the Council of the </w:t>
      </w:r>
      <w:proofErr w:type="spellStart"/>
      <w:r>
        <w:rPr>
          <w:rFonts w:ascii="Cambria" w:hAnsi="Cambria"/>
          <w:sz w:val="20"/>
          <w:szCs w:val="20"/>
          <w:lang w:val="en"/>
        </w:rPr>
        <w:t>Magistrature</w:t>
      </w:r>
      <w:proofErr w:type="spellEnd"/>
      <w:r>
        <w:rPr>
          <w:rFonts w:ascii="Cambria" w:hAnsi="Cambria"/>
          <w:sz w:val="20"/>
          <w:szCs w:val="20"/>
          <w:lang w:val="en"/>
        </w:rPr>
        <w:t xml:space="preserve"> (hereinafter the “CNM”) and the Office of the Public Prosecutor. The petitioner argues that the administrative process carried out did not provide due process guarantees. It indicates that the alleged victim and her representatives were prevented by law from being a party to that process and were not able to access the case file. The petitioners also add that they were not able to appeal the CNM decision dismissing the suit and closing the file on the process, as the law only allows for review of CNM decisions that apply a disciplinary sanction. They argue that the State violates due process and equal protection by failing to provide for a remedy for the complainant in the event of acq</w:t>
      </w:r>
      <w:r w:rsidR="0073573B">
        <w:rPr>
          <w:rFonts w:ascii="Cambria" w:hAnsi="Cambria"/>
          <w:sz w:val="20"/>
          <w:szCs w:val="20"/>
          <w:lang w:val="en"/>
        </w:rPr>
        <w:t>uittal, whereas those who receive penalties</w:t>
      </w:r>
      <w:r>
        <w:rPr>
          <w:rFonts w:ascii="Cambria" w:hAnsi="Cambria"/>
          <w:sz w:val="20"/>
          <w:szCs w:val="20"/>
          <w:lang w:val="en"/>
        </w:rPr>
        <w:t xml:space="preserve"> are offered the chance to appeal. </w:t>
      </w:r>
    </w:p>
    <w:p w:rsidR="00FC152D" w:rsidRPr="006024BF" w:rsidRDefault="00FC152D" w:rsidP="00C648AD">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 xml:space="preserve">They also report that a criminal process was launched against the judge for breach of legal duty, in which the alleged victim and her representatives were prevented from taking part as complainants. In response to the filing of an appeal for reversal, in December 2006, the trial court dismissed it and allowed the </w:t>
      </w:r>
      <w:r>
        <w:rPr>
          <w:rFonts w:ascii="Cambria" w:hAnsi="Cambria"/>
          <w:sz w:val="20"/>
          <w:szCs w:val="20"/>
          <w:lang w:val="en"/>
        </w:rPr>
        <w:lastRenderedPageBreak/>
        <w:t xml:space="preserve">alleged victim to act as complainant. The alleged victim appealed the ruling to dismiss, but it was upheld by a higher court in May 2007. A cassation appeal was filed in response, which was denied in November 2007. A motion for reconsideration of dismissal of appeal was filed in response, which was rejected in November 2007. </w:t>
      </w:r>
    </w:p>
    <w:p w:rsidR="00FC152D" w:rsidRPr="006024BF" w:rsidRDefault="00FC152D" w:rsidP="00B634D6">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The petitioners also filed a suit for damages against UNICEF and the officials that had harassed her, the company TERCERIZACIÓN RH S.A., and the National State seeking compensation for the sexual harassment and abuse and the workplace moral and psychological harassment suffered by the alleged victim. They state that on September 16, 2014, the trial court found that the harm resulting from the sexual harassment had been substantiated and ordered UNICEF to provide compensation to the alleged victim for pecuniary, nonpecuniary, and psychological damages. The alleged victim appealed this decision, arguing that the National State should have also been required to pay compensation, as it had granted immunity to UNICEF</w:t>
      </w:r>
      <w:r w:rsidR="001224D4">
        <w:rPr>
          <w:rFonts w:ascii="Cambria" w:hAnsi="Cambria"/>
          <w:sz w:val="20"/>
          <w:szCs w:val="20"/>
          <w:lang w:val="en"/>
        </w:rPr>
        <w:t>,</w:t>
      </w:r>
      <w:r>
        <w:rPr>
          <w:rFonts w:ascii="Cambria" w:hAnsi="Cambria"/>
          <w:sz w:val="20"/>
          <w:szCs w:val="20"/>
          <w:lang w:val="en"/>
        </w:rPr>
        <w:t xml:space="preserve"> and</w:t>
      </w:r>
      <w:r w:rsidR="001224D4">
        <w:rPr>
          <w:rFonts w:ascii="Cambria" w:hAnsi="Cambria"/>
          <w:sz w:val="20"/>
          <w:szCs w:val="20"/>
          <w:lang w:val="en"/>
        </w:rPr>
        <w:t xml:space="preserve"> indicates that this remedy has</w:t>
      </w:r>
      <w:r>
        <w:rPr>
          <w:rFonts w:ascii="Cambria" w:hAnsi="Cambria"/>
          <w:sz w:val="20"/>
          <w:szCs w:val="20"/>
          <w:lang w:val="en"/>
        </w:rPr>
        <w:t xml:space="preserve"> not yet been reviewed by </w:t>
      </w:r>
      <w:r w:rsidR="001224D4">
        <w:rPr>
          <w:rFonts w:ascii="Cambria" w:hAnsi="Cambria"/>
          <w:sz w:val="20"/>
          <w:szCs w:val="20"/>
          <w:lang w:val="en"/>
        </w:rPr>
        <w:t>the</w:t>
      </w:r>
      <w:r>
        <w:rPr>
          <w:rFonts w:ascii="Cambria" w:hAnsi="Cambria"/>
          <w:sz w:val="20"/>
          <w:szCs w:val="20"/>
          <w:lang w:val="en"/>
        </w:rPr>
        <w:t xml:space="preserve"> appeals court. </w:t>
      </w:r>
    </w:p>
    <w:p w:rsidR="00FC152D" w:rsidRPr="006024BF" w:rsidRDefault="00FC152D" w:rsidP="00512BB2">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According to the petitioners, the fact that it was impossible to punish the sexual harassment and abuse and the moral and psychological harassment suffered by the alleged victim, as well as well as impossible to collect the compensation that had been awarded, violates her human rights. They also state that the sexual abuse and harassment has had an impact on her integrity of person and her honor and dignity, and that the fact that it was impossible to execute the judgments handed down in her favor perpetuates the harm. They also allege that Argentine legislation is discriminatory because the type of workplace harassment known as “mobbing” has only been codified for public employees and only in certain jurisdictions. This leaves individuals like the alleged victim who work in the private sector unprotected. They allege that the failure to codify “mobbing” forces those working in the private sector to report this practice under categories that are inadequate, such as workplace defamation—which is difficult to prove—or, in the case of the alleged victim, through lawsuits for damages in civil court.</w:t>
      </w:r>
    </w:p>
    <w:p w:rsidR="00FC152D" w:rsidRPr="006024BF" w:rsidRDefault="00FC152D" w:rsidP="00D07FEA">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For its part, the State argues that the petition should be declared inadmissible for failure to exhaust internal remedies or incomplete exhaustion of remedies, as well as a lack of a colorable claim to violations of the alleged victim’s human rights. It indicates that in the labor courts, the petitioners failed to comply with the procedural requirement of independently providing grounds for the motion for reconsideration of dismissal of appeal filed before the Supreme Court of Justice of the Nation, thus preventing the State from properly addressing the harms alleged internationally. In addition, it underscores that the lawsuit for damages filed in civil court is still in process.</w:t>
      </w:r>
    </w:p>
    <w:p w:rsidR="00FC152D" w:rsidRPr="006024BF" w:rsidRDefault="00FC152D" w:rsidP="00DB4BD9">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As regards the lack of a colorable claim, it states that the failure of the labor proceeding to recognize sexual abuse and harassment and workplace, moral, and psychological harassment does not constitute a violation of the alleged victim’s rights, as compensation had not been requested for these alleged facts in that process. It also adds that the failure of the law providing protection from mobbing to extend that protection to workers outside the public sector was not evidence of a violation of the alleged victim’s rights, as in this case, it had not prevented these issues from being addressed in civil court. The State also notes that the civil courts have not determined whether UNICEF Argentina has diplomatic immunity.</w:t>
      </w:r>
    </w:p>
    <w:p w:rsidR="00FC152D" w:rsidRPr="006024BF" w:rsidRDefault="00FC152D" w:rsidP="00D07FEA">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The State argues that the alleged victim has been able to exercise her rights in multiple judicial and administrative instances, and the fact that she has received unfavorable responses is not in itself a violation of human rights. It states that during the processing of the various legal cases, the rights to due process and a fair trial—including the real possibility of accessing all the appeals mechanisms provided for by law—have been respected in every court involved. It concludes that the alleged victim has turned to the IACHR as a fourth instance because she disagreed with the decisions of judicial authorities. It argues that additionally, processing of this petition by the IACHR was untimely, as notification of it was issued eight years after it was received.</w:t>
      </w:r>
    </w:p>
    <w:p w:rsidR="00FC152D" w:rsidRPr="006024BF" w:rsidRDefault="00FC152D" w:rsidP="003239B8">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sz w:val="20"/>
          <w:szCs w:val="20"/>
        </w:rPr>
      </w:pPr>
      <w:r>
        <w:rPr>
          <w:rFonts w:ascii="Cambria" w:hAnsi="Cambria"/>
          <w:b/>
          <w:bCs/>
          <w:color w:val="000000"/>
          <w:sz w:val="20"/>
          <w:szCs w:val="20"/>
          <w:u w:color="000000"/>
          <w:lang w:val="en"/>
        </w:rPr>
        <w:t>VI.</w:t>
      </w:r>
      <w:r>
        <w:rPr>
          <w:rFonts w:ascii="Cambria" w:hAnsi="Cambria"/>
          <w:b/>
          <w:bCs/>
          <w:color w:val="000000"/>
          <w:sz w:val="20"/>
          <w:szCs w:val="20"/>
          <w:u w:color="000000"/>
          <w:lang w:val="en"/>
        </w:rPr>
        <w:tab/>
      </w:r>
      <w:r>
        <w:rPr>
          <w:rFonts w:ascii="Cambria" w:hAnsi="Cambria"/>
          <w:b/>
          <w:bCs/>
          <w:sz w:val="20"/>
          <w:szCs w:val="20"/>
          <w:lang w:val="en"/>
        </w:rPr>
        <w:t>ANALYSIS OF EXHAUSTION OF DOMESTIC REMEDIES AND TIMELINESS OF THE PETITION</w:t>
      </w:r>
      <w:r>
        <w:rPr>
          <w:rFonts w:ascii="Cambria" w:hAnsi="Cambria"/>
          <w:b/>
          <w:bCs/>
          <w:color w:val="000000"/>
          <w:sz w:val="20"/>
          <w:szCs w:val="20"/>
          <w:u w:color="000000"/>
          <w:lang w:val="en"/>
        </w:rPr>
        <w:t xml:space="preserve"> </w:t>
      </w:r>
    </w:p>
    <w:p w:rsidR="00FC152D" w:rsidRPr="006024BF" w:rsidRDefault="00FC152D" w:rsidP="00350DCF">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 xml:space="preserve">As regards the labor proceeding, as indicated by the State, the motion for reconsideration of dismissal of appeal filed before the Supreme Court of Justice of the Nation was dismissed for failing to comply with the procedural requirement of independently providing grounds However, the IACHR recalls that the </w:t>
      </w:r>
      <w:r>
        <w:rPr>
          <w:rFonts w:ascii="Cambria" w:hAnsi="Cambria"/>
          <w:sz w:val="20"/>
          <w:szCs w:val="20"/>
          <w:lang w:val="en"/>
        </w:rPr>
        <w:lastRenderedPageBreak/>
        <w:t>motion for reconsideration of dismissal of appeal is limited and the scope of its merits narrow,</w:t>
      </w:r>
      <w:r>
        <w:rPr>
          <w:rStyle w:val="FootnoteReference"/>
          <w:rFonts w:ascii="Cambria" w:hAnsi="Cambria"/>
          <w:sz w:val="20"/>
          <w:szCs w:val="20"/>
          <w:lang w:val="en"/>
        </w:rPr>
        <w:footnoteReference w:id="7"/>
      </w:r>
      <w:r>
        <w:rPr>
          <w:rFonts w:ascii="Cambria" w:hAnsi="Cambria"/>
          <w:sz w:val="20"/>
          <w:szCs w:val="20"/>
          <w:lang w:val="en"/>
        </w:rPr>
        <w:t xml:space="preserve"> and the requirement to exhaust domestic remedies has the purpose of allowing the domestic authorities to take cognizance of the alleged violation of a protected right and, if appropriate, resolve the situation before it is taken up by an international body.</w:t>
      </w:r>
      <w:r>
        <w:rPr>
          <w:rFonts w:ascii="Cambria" w:hAnsi="Cambria"/>
          <w:sz w:val="20"/>
          <w:szCs w:val="20"/>
          <w:vertAlign w:val="superscript"/>
          <w:lang w:val="en"/>
        </w:rPr>
        <w:footnoteReference w:id="8"/>
      </w:r>
      <w:r>
        <w:rPr>
          <w:rFonts w:ascii="Cambria" w:hAnsi="Cambria"/>
          <w:sz w:val="20"/>
          <w:szCs w:val="20"/>
          <w:lang w:val="en"/>
        </w:rPr>
        <w:t xml:space="preserve"> In this regard, the IACHR observes that in the appeal, the extraordinary federal remedy, and the motion for reconsideration of dismissal of appeal, the alleged victim indicated that the failure to recognize the sexual harassment and abuse and the labor and moral harassment in the workplace, as well as the impossibility of executing a judgment because of UNICEF's diplomatic immunity and the insolvency of the codefendant, generated State responsibility for the violation of her human rights. Also, following the judgment of the Supreme Court of Justice of the Nation, the alleged victim requested that a UNICEF account be </w:t>
      </w:r>
      <w:r w:rsidR="001224D4">
        <w:rPr>
          <w:rFonts w:ascii="Cambria" w:hAnsi="Cambria"/>
          <w:sz w:val="20"/>
          <w:szCs w:val="20"/>
          <w:lang w:val="en"/>
        </w:rPr>
        <w:t>seized</w:t>
      </w:r>
      <w:r>
        <w:rPr>
          <w:rFonts w:ascii="Cambria" w:hAnsi="Cambria"/>
          <w:sz w:val="20"/>
          <w:szCs w:val="20"/>
          <w:lang w:val="en"/>
        </w:rPr>
        <w:t>, a request that was denied on March 11, 2013, on the grounds that UNICEF was protected by immunity from execution. Therefore, the IACHR finds that the alleged victim has brought the situation and the alleged violation of her human rights to the awareness of State authorities on multiple occasions and, given that the decision handed down in the labor process could not be executed, the IACHR finds that the exception set forth in Article 46(2</w:t>
      </w:r>
      <w:proofErr w:type="gramStart"/>
      <w:r>
        <w:rPr>
          <w:rFonts w:ascii="Cambria" w:hAnsi="Cambria"/>
          <w:sz w:val="20"/>
          <w:szCs w:val="20"/>
          <w:lang w:val="en"/>
        </w:rPr>
        <w:t>)(</w:t>
      </w:r>
      <w:proofErr w:type="gramEnd"/>
      <w:r>
        <w:rPr>
          <w:rFonts w:ascii="Cambria" w:hAnsi="Cambria"/>
          <w:sz w:val="20"/>
          <w:szCs w:val="20"/>
          <w:lang w:val="en"/>
        </w:rPr>
        <w:t>c) of the American Convention applies on this point.</w:t>
      </w:r>
      <w:r>
        <w:rPr>
          <w:rFonts w:ascii="Cambria" w:hAnsi="Cambria"/>
          <w:color w:val="FF0000"/>
          <w:sz w:val="20"/>
          <w:szCs w:val="20"/>
          <w:lang w:val="en"/>
        </w:rPr>
        <w:t xml:space="preserve"> </w:t>
      </w:r>
      <w:r>
        <w:rPr>
          <w:rFonts w:ascii="Cambria" w:hAnsi="Cambria"/>
          <w:sz w:val="20"/>
          <w:szCs w:val="20"/>
          <w:lang w:val="en"/>
        </w:rPr>
        <w:t xml:space="preserve">In this regard, and as argued by the petitioner, the Commission also observes that the legal obstacles claimed to exist to the alleged victim's ability to secure compensation from UNICEF Argentina are conditions set by the State itself. Likewise, in view of the fact that the labor process was started in 2005, with this matter being submitted before the IACHR in 2008 and the situation persisting to the present day, the Commission finds that this aspect of the petition also complies with the requirement of Article 32(2) of the Rules of Procedure of the IACHR. </w:t>
      </w:r>
    </w:p>
    <w:p w:rsidR="00FC152D" w:rsidRPr="006024BF" w:rsidRDefault="00FC152D" w:rsidP="00350DCF">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Additionally, as regards the lawsuit for damages, the IACHR observes that it was filed in 2006, and that according to the information provided by both parties, it has not yet concluded, with analysis of an appeal filed in 2014 remaining pending. In view of this, the IACHR finds that the exception set forth in Article 46(2</w:t>
      </w:r>
      <w:proofErr w:type="gramStart"/>
      <w:r>
        <w:rPr>
          <w:rFonts w:ascii="Cambria" w:hAnsi="Cambria"/>
          <w:sz w:val="20"/>
          <w:szCs w:val="20"/>
          <w:lang w:val="en"/>
        </w:rPr>
        <w:t>)(</w:t>
      </w:r>
      <w:proofErr w:type="gramEnd"/>
      <w:r>
        <w:rPr>
          <w:rFonts w:ascii="Cambria" w:hAnsi="Cambria"/>
          <w:sz w:val="20"/>
          <w:szCs w:val="20"/>
          <w:lang w:val="en"/>
        </w:rPr>
        <w:t xml:space="preserve">c) of the Convention applies to this case; and that the petition also complies with the requirements set forth in Article 32(2) of the Rules of Procedure of the IACHR applicable to this point. </w:t>
      </w:r>
    </w:p>
    <w:p w:rsidR="00FC152D" w:rsidRPr="006024BF" w:rsidRDefault="00FC152D" w:rsidP="00D07FEA">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The Commission takes note of the State’s claim as to what it describes or classifies as untimeliness in the forwarding of the petition, but recalls that neither the American Convention nor the Rules of Procedure of the Commission establish a deadline for forwarding a petition to a State after it is received, and that the deadlines established in the Rules of Procedure and in the Convention for other stages of the process are not applicable by analogy.</w:t>
      </w:r>
      <w:r>
        <w:rPr>
          <w:rStyle w:val="FootnoteReference"/>
          <w:rFonts w:ascii="Cambria" w:hAnsi="Cambria"/>
          <w:sz w:val="20"/>
          <w:szCs w:val="20"/>
          <w:lang w:val="en"/>
        </w:rPr>
        <w:footnoteReference w:id="9"/>
      </w:r>
    </w:p>
    <w:p w:rsidR="00FC152D" w:rsidRPr="006024BF" w:rsidRDefault="00FC152D" w:rsidP="003239B8">
      <w:pPr>
        <w:pStyle w:val="ListParagraph"/>
        <w:pBdr>
          <w:top w:val="none" w:sz="0" w:space="0" w:color="auto"/>
          <w:left w:val="none" w:sz="0" w:space="0" w:color="auto"/>
          <w:bottom w:val="none" w:sz="0" w:space="0" w:color="auto"/>
          <w:right w:val="none" w:sz="0" w:space="0" w:color="auto"/>
          <w:bar w:val="none" w:sz="0" w:color="auto"/>
        </w:pBdr>
        <w:spacing w:before="240" w:after="240"/>
        <w:jc w:val="both"/>
        <w:rPr>
          <w:b/>
          <w:sz w:val="20"/>
          <w:szCs w:val="20"/>
        </w:rPr>
      </w:pPr>
      <w:r>
        <w:rPr>
          <w:b/>
          <w:bCs/>
          <w:sz w:val="20"/>
          <w:szCs w:val="20"/>
          <w:lang w:val="en"/>
        </w:rPr>
        <w:t>VII.</w:t>
      </w:r>
      <w:r>
        <w:rPr>
          <w:b/>
          <w:bCs/>
          <w:sz w:val="20"/>
          <w:szCs w:val="20"/>
          <w:lang w:val="en"/>
        </w:rPr>
        <w:tab/>
        <w:t>ANALYSIS OF COLORABLE CLAIM</w:t>
      </w:r>
    </w:p>
    <w:p w:rsidR="00FC152D" w:rsidRPr="006024BF" w:rsidRDefault="00FC152D" w:rsidP="00A11E44">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The Commission observes that this petition includes allegations to the effect that the State has not provided effective mechanisms that would enable the alleged victim to secure punishment and reparation for the harm caused by the harassment and abuse of which she was the victim.</w:t>
      </w:r>
    </w:p>
    <w:p w:rsidR="00FC152D" w:rsidRPr="006024BF" w:rsidRDefault="00FC152D" w:rsidP="002D28FF">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 xml:space="preserve">In view of these considerations, and upon examination of the elements of fact and law set forth by the parties, the Commission concludes that the petitioners’ allegations are not manifestly groundless and must be examined on their merits, as should the facts alleged be found to be true, they could represent violations of </w:t>
      </w:r>
      <w:r>
        <w:rPr>
          <w:rFonts w:ascii="Cambria" w:hAnsi="Cambria"/>
          <w:sz w:val="19"/>
          <w:szCs w:val="19"/>
          <w:lang w:val="en"/>
        </w:rPr>
        <w:t xml:space="preserve">articles 8 (fair trial), 21 (private property), and 25 (judicial protection) of the American Convention in conjunction with its articles 1(1) (duty to respect rights), 2 (duty to adopt domestic legal effects), 5 (humane treatment), and 11 (honor and dignity); as well as Article 7 of the Convention of </w:t>
      </w:r>
      <w:proofErr w:type="spellStart"/>
      <w:r>
        <w:rPr>
          <w:rFonts w:ascii="Cambria" w:hAnsi="Cambria"/>
          <w:sz w:val="19"/>
          <w:szCs w:val="19"/>
          <w:lang w:val="en"/>
        </w:rPr>
        <w:t>Belém</w:t>
      </w:r>
      <w:proofErr w:type="spellEnd"/>
      <w:r>
        <w:rPr>
          <w:rFonts w:ascii="Cambria" w:hAnsi="Cambria"/>
          <w:sz w:val="19"/>
          <w:szCs w:val="19"/>
          <w:lang w:val="en"/>
        </w:rPr>
        <w:t xml:space="preserve"> do </w:t>
      </w:r>
      <w:proofErr w:type="spellStart"/>
      <w:r>
        <w:rPr>
          <w:rFonts w:ascii="Cambria" w:hAnsi="Cambria"/>
          <w:sz w:val="19"/>
          <w:szCs w:val="19"/>
          <w:lang w:val="en"/>
        </w:rPr>
        <w:t>Pará</w:t>
      </w:r>
      <w:proofErr w:type="spellEnd"/>
      <w:r>
        <w:rPr>
          <w:rFonts w:ascii="Cambria" w:hAnsi="Cambria"/>
          <w:sz w:val="19"/>
          <w:szCs w:val="19"/>
          <w:lang w:val="en"/>
        </w:rPr>
        <w:t>.</w:t>
      </w:r>
    </w:p>
    <w:p w:rsidR="00FC152D" w:rsidRPr="006024BF" w:rsidRDefault="00FC152D" w:rsidP="002D28FF">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 xml:space="preserve">As regards the alleged violations of Article 10 (compensation) of the American Convention, the Commission concludes that the petitioner has not provided evidence or support allowing for the </w:t>
      </w:r>
      <w:r>
        <w:rPr>
          <w:rFonts w:ascii="Cambria" w:hAnsi="Cambria"/>
          <w:i/>
          <w:iCs/>
          <w:sz w:val="20"/>
          <w:szCs w:val="20"/>
          <w:lang w:val="en"/>
        </w:rPr>
        <w:t xml:space="preserve">prima facie </w:t>
      </w:r>
      <w:r>
        <w:rPr>
          <w:rFonts w:ascii="Cambria" w:hAnsi="Cambria"/>
          <w:sz w:val="20"/>
          <w:szCs w:val="20"/>
          <w:lang w:val="en"/>
        </w:rPr>
        <w:t>conclusion that they were possibly violated.</w:t>
      </w:r>
    </w:p>
    <w:p w:rsidR="00FC152D" w:rsidRPr="006024BF" w:rsidRDefault="00FC152D" w:rsidP="001D71E1">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rPr>
      </w:pPr>
      <w:r>
        <w:rPr>
          <w:rFonts w:ascii="Cambria" w:hAnsi="Cambria"/>
          <w:sz w:val="20"/>
          <w:szCs w:val="20"/>
          <w:lang w:val="en"/>
        </w:rPr>
        <w:lastRenderedPageBreak/>
        <w:t xml:space="preserve">As regards the alleged violations of article 2, 3, 4, and 8 of the Convention of </w:t>
      </w:r>
      <w:proofErr w:type="spellStart"/>
      <w:r>
        <w:rPr>
          <w:rFonts w:ascii="Cambria" w:hAnsi="Cambria"/>
          <w:sz w:val="20"/>
          <w:szCs w:val="20"/>
          <w:lang w:val="en"/>
        </w:rPr>
        <w:t>Belém</w:t>
      </w:r>
      <w:proofErr w:type="spellEnd"/>
      <w:r>
        <w:rPr>
          <w:rFonts w:ascii="Cambria" w:hAnsi="Cambria"/>
          <w:sz w:val="20"/>
          <w:szCs w:val="20"/>
          <w:lang w:val="en"/>
        </w:rPr>
        <w:t xml:space="preserve"> do </w:t>
      </w:r>
      <w:proofErr w:type="spellStart"/>
      <w:r>
        <w:rPr>
          <w:rFonts w:ascii="Cambria" w:hAnsi="Cambria"/>
          <w:sz w:val="20"/>
          <w:szCs w:val="20"/>
          <w:lang w:val="en"/>
        </w:rPr>
        <w:t>Pará</w:t>
      </w:r>
      <w:proofErr w:type="spellEnd"/>
      <w:r>
        <w:rPr>
          <w:rFonts w:ascii="Cambria" w:hAnsi="Cambria"/>
          <w:sz w:val="20"/>
          <w:szCs w:val="20"/>
          <w:lang w:val="en"/>
        </w:rPr>
        <w:t xml:space="preserve">, the IACHR notes that, in accordance with Article 12 of that treaty, the Commission’s </w:t>
      </w:r>
      <w:proofErr w:type="spellStart"/>
      <w:r>
        <w:rPr>
          <w:rFonts w:ascii="Cambria" w:hAnsi="Cambria"/>
          <w:i/>
          <w:iCs/>
          <w:sz w:val="20"/>
          <w:szCs w:val="20"/>
          <w:lang w:val="en"/>
        </w:rPr>
        <w:t>ratione</w:t>
      </w:r>
      <w:proofErr w:type="spellEnd"/>
      <w:r>
        <w:rPr>
          <w:rFonts w:ascii="Cambria" w:hAnsi="Cambria"/>
          <w:i/>
          <w:iCs/>
          <w:sz w:val="20"/>
          <w:szCs w:val="20"/>
          <w:lang w:val="en"/>
        </w:rPr>
        <w:t xml:space="preserve"> </w:t>
      </w:r>
      <w:proofErr w:type="spellStart"/>
      <w:r>
        <w:rPr>
          <w:rFonts w:ascii="Cambria" w:hAnsi="Cambria"/>
          <w:i/>
          <w:iCs/>
          <w:sz w:val="20"/>
          <w:szCs w:val="20"/>
          <w:lang w:val="en"/>
        </w:rPr>
        <w:t>materiae</w:t>
      </w:r>
      <w:proofErr w:type="spellEnd"/>
      <w:r>
        <w:rPr>
          <w:rFonts w:ascii="Cambria" w:hAnsi="Cambria"/>
          <w:sz w:val="20"/>
          <w:szCs w:val="20"/>
          <w:lang w:val="en"/>
        </w:rPr>
        <w:t xml:space="preserve"> competence to find violations of it in the context of an individual case is limited to its Article 7. The IACHR also notes that it lacks </w:t>
      </w:r>
      <w:proofErr w:type="spellStart"/>
      <w:r>
        <w:rPr>
          <w:rFonts w:ascii="Cambria" w:hAnsi="Cambria"/>
          <w:i/>
          <w:iCs/>
          <w:sz w:val="20"/>
          <w:szCs w:val="20"/>
          <w:lang w:val="en"/>
        </w:rPr>
        <w:t>ratione</w:t>
      </w:r>
      <w:proofErr w:type="spellEnd"/>
      <w:r>
        <w:rPr>
          <w:rFonts w:ascii="Cambria" w:hAnsi="Cambria"/>
          <w:i/>
          <w:iCs/>
          <w:sz w:val="20"/>
          <w:szCs w:val="20"/>
          <w:lang w:val="en"/>
        </w:rPr>
        <w:t xml:space="preserve"> </w:t>
      </w:r>
      <w:proofErr w:type="spellStart"/>
      <w:r>
        <w:rPr>
          <w:rFonts w:ascii="Cambria" w:hAnsi="Cambria"/>
          <w:i/>
          <w:iCs/>
          <w:sz w:val="20"/>
          <w:szCs w:val="20"/>
          <w:lang w:val="en"/>
        </w:rPr>
        <w:t>materiae</w:t>
      </w:r>
      <w:proofErr w:type="spellEnd"/>
      <w:r>
        <w:rPr>
          <w:rFonts w:ascii="Cambria" w:hAnsi="Cambria"/>
          <w:sz w:val="20"/>
          <w:szCs w:val="20"/>
          <w:lang w:val="en"/>
        </w:rPr>
        <w:t xml:space="preserve"> competence to address the alleged violations of the Universal Declaration of Human Rights and the Convention against Torture and Other Cruel, Inhuman, or Degrading Treatment.  However, pursuant to Article 29 of the American Convention, the Commission may address and take into account the aforementioned treaties and articles during the merits stage as part of its exercise of interpreting the provisions of the American Convention and other applicable instruments. </w:t>
      </w:r>
    </w:p>
    <w:p w:rsidR="00FC152D" w:rsidRPr="006024BF" w:rsidRDefault="00FC152D" w:rsidP="001D71E1">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 xml:space="preserve"> Regarding the alleged violations of the rights protected by the American Declaration, the Inter-American Commission has previously established that once the American Convention enters into force for a State, it is the Convention, not the Declaration, that becomes the primary source of a right applicable by the Commission, as long as the petition refers to the alleged violation of rights that are identical in both instruments and does not involve a situation of an ongoing violation. </w:t>
      </w:r>
    </w:p>
    <w:p w:rsidR="00FC152D" w:rsidRPr="006024BF" w:rsidRDefault="00FC152D" w:rsidP="003239B8">
      <w:pPr>
        <w:pStyle w:val="ListParagraph"/>
        <w:pBdr>
          <w:top w:val="none" w:sz="0" w:space="0" w:color="auto"/>
          <w:left w:val="none" w:sz="0" w:space="0" w:color="auto"/>
          <w:bottom w:val="none" w:sz="0" w:space="0" w:color="auto"/>
          <w:right w:val="none" w:sz="0" w:space="0" w:color="auto"/>
          <w:bar w:val="none" w:sz="0" w:color="auto"/>
        </w:pBdr>
        <w:spacing w:before="240" w:after="240"/>
        <w:jc w:val="both"/>
        <w:rPr>
          <w:b/>
          <w:bCs/>
          <w:sz w:val="20"/>
          <w:szCs w:val="20"/>
        </w:rPr>
      </w:pPr>
      <w:r>
        <w:rPr>
          <w:b/>
          <w:bCs/>
          <w:sz w:val="20"/>
          <w:szCs w:val="20"/>
          <w:lang w:val="en"/>
        </w:rPr>
        <w:t xml:space="preserve">VIII. </w:t>
      </w:r>
      <w:r>
        <w:rPr>
          <w:sz w:val="20"/>
          <w:szCs w:val="20"/>
          <w:lang w:val="en"/>
        </w:rPr>
        <w:tab/>
      </w:r>
      <w:r>
        <w:rPr>
          <w:b/>
          <w:bCs/>
          <w:sz w:val="20"/>
          <w:szCs w:val="20"/>
          <w:lang w:val="en"/>
        </w:rPr>
        <w:t>DECISION</w:t>
      </w:r>
    </w:p>
    <w:p w:rsidR="00FC152D" w:rsidRPr="006024BF" w:rsidRDefault="00FC152D" w:rsidP="00E92E2C">
      <w:pPr>
        <w:numPr>
          <w:ilvl w:val="0"/>
          <w:numId w:val="109"/>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color w:val="FF0000"/>
          <w:sz w:val="20"/>
          <w:szCs w:val="20"/>
        </w:rPr>
      </w:pPr>
      <w:r>
        <w:rPr>
          <w:rFonts w:ascii="Cambria" w:hAnsi="Cambria"/>
          <w:sz w:val="20"/>
          <w:szCs w:val="20"/>
          <w:lang w:val="en"/>
        </w:rPr>
        <w:t xml:space="preserve">To find the instant petition admissible in relation to articles 8, 21, and 25 of the American Convention, in relation to articles 1(1), 2, 5, and 11 of the American Convention; and in relation to Article 7 of the Convention of </w:t>
      </w:r>
      <w:proofErr w:type="spellStart"/>
      <w:r>
        <w:rPr>
          <w:rFonts w:ascii="Cambria" w:hAnsi="Cambria"/>
          <w:sz w:val="20"/>
          <w:szCs w:val="20"/>
          <w:lang w:val="en"/>
        </w:rPr>
        <w:t>Belém</w:t>
      </w:r>
      <w:proofErr w:type="spellEnd"/>
      <w:r>
        <w:rPr>
          <w:rFonts w:ascii="Cambria" w:hAnsi="Cambria"/>
          <w:sz w:val="20"/>
          <w:szCs w:val="20"/>
          <w:lang w:val="en"/>
        </w:rPr>
        <w:t xml:space="preserve"> do </w:t>
      </w:r>
      <w:proofErr w:type="spellStart"/>
      <w:r>
        <w:rPr>
          <w:rFonts w:ascii="Cambria" w:hAnsi="Cambria"/>
          <w:sz w:val="20"/>
          <w:szCs w:val="20"/>
          <w:lang w:val="en"/>
        </w:rPr>
        <w:t>Pará</w:t>
      </w:r>
      <w:proofErr w:type="spellEnd"/>
      <w:r>
        <w:rPr>
          <w:rFonts w:ascii="Cambria" w:hAnsi="Cambria"/>
          <w:sz w:val="20"/>
          <w:szCs w:val="20"/>
          <w:lang w:val="en"/>
        </w:rPr>
        <w:t>;</w:t>
      </w:r>
    </w:p>
    <w:p w:rsidR="00FC152D" w:rsidRPr="006024BF" w:rsidRDefault="00FC152D" w:rsidP="00803487">
      <w:pPr>
        <w:numPr>
          <w:ilvl w:val="0"/>
          <w:numId w:val="109"/>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 xml:space="preserve">To find the instant petition inadmissible in relation to Article 10 of the American Convention; </w:t>
      </w:r>
    </w:p>
    <w:p w:rsidR="00AB6A71" w:rsidRPr="00AB6A71" w:rsidRDefault="00FC152D" w:rsidP="000F23C1">
      <w:pPr>
        <w:numPr>
          <w:ilvl w:val="0"/>
          <w:numId w:val="109"/>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pacing w:val="-2"/>
          <w:sz w:val="20"/>
        </w:rPr>
      </w:pPr>
      <w:r w:rsidRPr="00AB6A71">
        <w:rPr>
          <w:rFonts w:ascii="Cambria" w:hAnsi="Cambria"/>
          <w:sz w:val="20"/>
          <w:szCs w:val="20"/>
          <w:lang w:val="en"/>
        </w:rPr>
        <w:t>To notify the parties of this decision; continue with analysis of the merits of the matter; and publish this decision and include it in its Annual Report to the General Assembly of the Organization of American States.</w:t>
      </w:r>
    </w:p>
    <w:p w:rsidR="00AB6A71" w:rsidRPr="00AB6A71" w:rsidRDefault="00AB6A71" w:rsidP="00AB6A71">
      <w:p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pacing w:val="-2"/>
          <w:sz w:val="20"/>
        </w:rPr>
      </w:pPr>
      <w:r>
        <w:rPr>
          <w:rFonts w:ascii="Cambria" w:hAnsi="Cambria"/>
          <w:sz w:val="20"/>
          <w:szCs w:val="20"/>
        </w:rPr>
        <w:tab/>
      </w:r>
      <w:r w:rsidRPr="00AB6A71">
        <w:rPr>
          <w:rFonts w:ascii="Cambria" w:hAnsi="Cambria"/>
          <w:spacing w:val="-2"/>
          <w:sz w:val="20"/>
        </w:rPr>
        <w:t xml:space="preserve">Approved by the Inter-American Commission on Human Rights on the </w:t>
      </w:r>
      <w:r>
        <w:rPr>
          <w:rFonts w:ascii="Cambria" w:hAnsi="Cambria"/>
          <w:spacing w:val="-2"/>
          <w:sz w:val="20"/>
        </w:rPr>
        <w:t>27</w:t>
      </w:r>
      <w:r w:rsidRPr="00AB6A71">
        <w:rPr>
          <w:rFonts w:ascii="Cambria" w:hAnsi="Cambria"/>
          <w:spacing w:val="-2"/>
          <w:sz w:val="20"/>
          <w:vertAlign w:val="superscript"/>
        </w:rPr>
        <w:t>th</w:t>
      </w:r>
      <w:r>
        <w:rPr>
          <w:rFonts w:ascii="Cambria" w:hAnsi="Cambria"/>
          <w:spacing w:val="-2"/>
          <w:sz w:val="20"/>
        </w:rPr>
        <w:t xml:space="preserve"> </w:t>
      </w:r>
      <w:r w:rsidRPr="00AB6A71">
        <w:rPr>
          <w:rFonts w:ascii="Cambria" w:hAnsi="Cambria"/>
          <w:spacing w:val="-2"/>
          <w:sz w:val="20"/>
        </w:rPr>
        <w:t xml:space="preserve">day of the month of </w:t>
      </w:r>
      <w:r>
        <w:rPr>
          <w:rFonts w:ascii="Cambria" w:hAnsi="Cambria"/>
          <w:spacing w:val="-2"/>
          <w:sz w:val="20"/>
        </w:rPr>
        <w:t>April</w:t>
      </w:r>
      <w:r w:rsidRPr="00AB6A71">
        <w:rPr>
          <w:rFonts w:ascii="Cambria" w:hAnsi="Cambria"/>
          <w:spacing w:val="-2"/>
          <w:sz w:val="20"/>
        </w:rPr>
        <w:t xml:space="preserve">, 2020. (Signed):  </w:t>
      </w:r>
      <w:r w:rsidRPr="00AB6A71">
        <w:rPr>
          <w:rFonts w:asciiTheme="majorHAnsi" w:hAnsiTheme="majorHAnsi" w:cs="Arial"/>
          <w:noProof/>
          <w:spacing w:val="-2"/>
          <w:sz w:val="20"/>
          <w:szCs w:val="20"/>
        </w:rPr>
        <w:t xml:space="preserve">Joel Hernández, President; Antonia Urrejola, First Vice President; Flávia Piovesan, Second Vice President; Margarette May Macaulay, Esmeralda E. Arosemena Bernal de Troitiño, Julissa Mantilla Falcón, and Stuardo Ralón Orellana, </w:t>
      </w:r>
      <w:r w:rsidRPr="00AB6A71">
        <w:rPr>
          <w:rFonts w:ascii="Cambria" w:hAnsi="Cambria"/>
          <w:spacing w:val="-2"/>
          <w:sz w:val="20"/>
        </w:rPr>
        <w:t>Commissioners.</w:t>
      </w:r>
    </w:p>
    <w:p w:rsidR="00AB6A71" w:rsidRPr="006024BF" w:rsidRDefault="00AB6A71" w:rsidP="00AB6A71">
      <w:pPr>
        <w:pBdr>
          <w:top w:val="none" w:sz="0" w:space="0" w:color="auto"/>
          <w:left w:val="none" w:sz="0" w:space="0" w:color="auto"/>
          <w:bottom w:val="none" w:sz="0" w:space="0" w:color="auto"/>
          <w:right w:val="none" w:sz="0" w:space="0" w:color="auto"/>
          <w:bar w:val="none" w:sz="0" w:color="auto"/>
        </w:pBdr>
        <w:suppressAutoHyphens/>
        <w:spacing w:after="240"/>
        <w:ind w:left="720"/>
        <w:jc w:val="both"/>
        <w:rPr>
          <w:rFonts w:ascii="Cambria" w:hAnsi="Cambria"/>
          <w:color w:val="FF0000"/>
          <w:sz w:val="20"/>
          <w:szCs w:val="20"/>
        </w:rPr>
      </w:pPr>
    </w:p>
    <w:p w:rsidR="00FC152D" w:rsidRPr="000C7DAC" w:rsidRDefault="00FC152D" w:rsidP="0047093E">
      <w:pPr>
        <w:pBdr>
          <w:top w:val="none" w:sz="0" w:space="0" w:color="auto"/>
          <w:left w:val="none" w:sz="0" w:space="0" w:color="auto"/>
          <w:bottom w:val="none" w:sz="0" w:space="0" w:color="auto"/>
          <w:right w:val="none" w:sz="0" w:space="0" w:color="auto"/>
          <w:bar w:val="none" w:sz="0" w:color="auto"/>
        </w:pBdr>
        <w:rPr>
          <w:rFonts w:ascii="Cambria" w:hAnsi="Cambria" w:cs="Calibri"/>
          <w:sz w:val="20"/>
          <w:szCs w:val="20"/>
        </w:rPr>
      </w:pPr>
    </w:p>
    <w:p w:rsidR="00FC152D" w:rsidRPr="000C7DAC" w:rsidRDefault="00FC152D" w:rsidP="00974491">
      <w:pPr>
        <w:pBdr>
          <w:top w:val="none" w:sz="0" w:space="0" w:color="auto"/>
          <w:left w:val="none" w:sz="0" w:space="0" w:color="auto"/>
          <w:bottom w:val="none" w:sz="0" w:space="0" w:color="auto"/>
          <w:right w:val="none" w:sz="0" w:space="0" w:color="auto"/>
          <w:bar w:val="none" w:sz="0" w:color="auto"/>
        </w:pBdr>
        <w:rPr>
          <w:rFonts w:ascii="Cambria" w:hAnsi="Cambria" w:cs="Calibri"/>
          <w:sz w:val="20"/>
          <w:szCs w:val="20"/>
        </w:rPr>
      </w:pPr>
    </w:p>
    <w:sectPr w:rsidR="00FC152D" w:rsidRPr="000C7DAC" w:rsidSect="00934A2C">
      <w:type w:val="oddPage"/>
      <w:pgSz w:w="12240" w:h="15840"/>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CA4" w:rsidRDefault="00A57CA4">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A57CA4" w:rsidRDefault="00A57CA4">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16F" w:rsidRDefault="000751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52D" w:rsidRPr="00934A2C" w:rsidRDefault="00FC152D">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r>
      <w:rPr>
        <w:sz w:val="16"/>
        <w:szCs w:val="22"/>
        <w:lang w:val="en"/>
      </w:rPr>
      <w:fldChar w:fldCharType="begin"/>
    </w:r>
    <w:r>
      <w:rPr>
        <w:sz w:val="16"/>
        <w:szCs w:val="22"/>
        <w:lang w:val="en"/>
      </w:rPr>
      <w:instrText xml:space="preserve"> PAGE   \* MERGEFORMAT </w:instrText>
    </w:r>
    <w:r>
      <w:rPr>
        <w:sz w:val="16"/>
        <w:szCs w:val="22"/>
        <w:lang w:val="en"/>
      </w:rPr>
      <w:fldChar w:fldCharType="separate"/>
    </w:r>
    <w:r w:rsidR="0007516F">
      <w:rPr>
        <w:noProof/>
        <w:sz w:val="16"/>
        <w:szCs w:val="22"/>
        <w:lang w:val="en"/>
      </w:rPr>
      <w:t>1</w:t>
    </w:r>
    <w:r>
      <w:rPr>
        <w:sz w:val="16"/>
        <w:szCs w:val="22"/>
        <w:lang w:val="en"/>
      </w:rPr>
      <w:fldChar w:fldCharType="end"/>
    </w:r>
  </w:p>
  <w:p w:rsidR="00FC152D" w:rsidRDefault="00FC152D">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52D" w:rsidRPr="00934A2C" w:rsidRDefault="00FC152D">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p>
  <w:p w:rsidR="00FC152D" w:rsidRDefault="00FC152D">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CA4" w:rsidRPr="000F35ED" w:rsidRDefault="00A57CA4">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Pr>
          <w:rFonts w:ascii="Cambria" w:hAnsi="Cambria"/>
          <w:sz w:val="16"/>
          <w:szCs w:val="16"/>
        </w:rPr>
        <w:separator/>
      </w:r>
    </w:p>
  </w:footnote>
  <w:footnote w:type="continuationSeparator" w:id="0">
    <w:p w:rsidR="00A57CA4" w:rsidRPr="000F35ED" w:rsidRDefault="00A57CA4" w:rsidP="000F35ED">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Pr>
          <w:rFonts w:ascii="Cambria" w:hAnsi="Cambria"/>
          <w:sz w:val="16"/>
          <w:szCs w:val="16"/>
        </w:rPr>
        <w:separator/>
      </w:r>
    </w:p>
    <w:p w:rsidR="00A57CA4" w:rsidRPr="000F35ED" w:rsidRDefault="00A57CA4" w:rsidP="000F35ED">
      <w:pPr>
        <w:pStyle w:val="Footer"/>
        <w:pBdr>
          <w:top w:val="none" w:sz="0" w:space="0" w:color="auto"/>
          <w:left w:val="none" w:sz="0" w:space="0" w:color="auto"/>
          <w:bottom w:val="none" w:sz="0" w:space="0" w:color="auto"/>
          <w:right w:val="none" w:sz="0" w:space="0" w:color="auto"/>
          <w:bar w:val="none" w:sz="0" w:color="auto"/>
        </w:pBdr>
        <w:rPr>
          <w:sz w:val="16"/>
          <w:szCs w:val="16"/>
        </w:rPr>
      </w:pPr>
      <w:r>
        <w:rPr>
          <w:sz w:val="16"/>
          <w:szCs w:val="16"/>
        </w:rPr>
        <w:t xml:space="preserve">[… </w:t>
      </w:r>
      <w:proofErr w:type="spellStart"/>
      <w:proofErr w:type="gramStart"/>
      <w:r>
        <w:rPr>
          <w:sz w:val="16"/>
          <w:szCs w:val="16"/>
        </w:rPr>
        <w:t>continuación</w:t>
      </w:r>
      <w:proofErr w:type="spellEnd"/>
      <w:proofErr w:type="gramEnd"/>
      <w:r>
        <w:rPr>
          <w:sz w:val="16"/>
          <w:szCs w:val="16"/>
        </w:rPr>
        <w:t>]</w:t>
      </w:r>
    </w:p>
  </w:footnote>
  <w:footnote w:type="continuationNotice" w:id="1">
    <w:p w:rsidR="00A57CA4" w:rsidRPr="000F35ED" w:rsidRDefault="00A57CA4" w:rsidP="000F35ED">
      <w:pPr>
        <w:pBdr>
          <w:top w:val="none" w:sz="0" w:space="0" w:color="auto"/>
          <w:left w:val="none" w:sz="0" w:space="0" w:color="auto"/>
          <w:bottom w:val="none" w:sz="0" w:space="0" w:color="auto"/>
          <w:right w:val="none" w:sz="0" w:space="0" w:color="auto"/>
          <w:bar w:val="none" w:sz="0" w:color="auto"/>
        </w:pBdr>
        <w:jc w:val="right"/>
        <w:rPr>
          <w:rFonts w:ascii="Cambria" w:hAnsi="Cambria"/>
          <w:sz w:val="16"/>
          <w:szCs w:val="16"/>
        </w:rPr>
      </w:pPr>
      <w:r>
        <w:rPr>
          <w:rFonts w:ascii="Cambria" w:hAnsi="Cambria"/>
          <w:sz w:val="16"/>
          <w:szCs w:val="16"/>
        </w:rPr>
        <w:t>[</w:t>
      </w:r>
      <w:proofErr w:type="spellStart"/>
      <w:proofErr w:type="gramStart"/>
      <w:r>
        <w:rPr>
          <w:rFonts w:ascii="Cambria" w:hAnsi="Cambria"/>
          <w:sz w:val="16"/>
          <w:szCs w:val="16"/>
        </w:rPr>
        <w:t>continúa</w:t>
      </w:r>
      <w:proofErr w:type="spellEnd"/>
      <w:proofErr w:type="gramEnd"/>
      <w:r>
        <w:rPr>
          <w:rFonts w:ascii="Cambria" w:hAnsi="Cambria"/>
          <w:sz w:val="16"/>
          <w:szCs w:val="16"/>
        </w:rPr>
        <w:t>…]</w:t>
      </w:r>
    </w:p>
  </w:footnote>
  <w:footnote w:id="2">
    <w:p w:rsidR="00FC152D" w:rsidRPr="006024BF" w:rsidRDefault="00FC152D" w:rsidP="00DB6C73">
      <w:pPr>
        <w:pStyle w:val="FootnoteText"/>
        <w:pBdr>
          <w:top w:val="none" w:sz="0" w:space="0" w:color="auto"/>
          <w:left w:val="none" w:sz="0" w:space="0" w:color="auto"/>
          <w:bottom w:val="none" w:sz="0" w:space="0" w:color="auto"/>
          <w:right w:val="none" w:sz="0" w:space="0" w:color="auto"/>
          <w:bar w:val="none" w:sz="0" w:color="auto"/>
        </w:pBdr>
        <w:ind w:firstLine="720"/>
        <w:jc w:val="both"/>
      </w:pPr>
      <w:r>
        <w:rPr>
          <w:rStyle w:val="FootnoteReference"/>
          <w:rFonts w:ascii="Cambria" w:hAnsi="Cambria"/>
          <w:sz w:val="16"/>
          <w:szCs w:val="16"/>
          <w:lang w:val="en"/>
        </w:rPr>
        <w:footnoteRef/>
      </w:r>
      <w:r>
        <w:rPr>
          <w:rFonts w:ascii="Cambria" w:hAnsi="Cambria"/>
          <w:sz w:val="16"/>
          <w:szCs w:val="16"/>
          <w:lang w:val="en"/>
        </w:rPr>
        <w:t xml:space="preserve"> Hereinafter "the American Convention" or "the Convention."</w:t>
      </w:r>
    </w:p>
  </w:footnote>
  <w:footnote w:id="3">
    <w:p w:rsidR="00FC152D" w:rsidRPr="006024BF" w:rsidRDefault="00FC152D" w:rsidP="004B08E1">
      <w:pPr>
        <w:pStyle w:val="FootnoteText"/>
        <w:pBdr>
          <w:top w:val="none" w:sz="0" w:space="0" w:color="auto"/>
          <w:left w:val="none" w:sz="0" w:space="0" w:color="auto"/>
          <w:bottom w:val="none" w:sz="0" w:space="0" w:color="auto"/>
          <w:right w:val="none" w:sz="0" w:space="0" w:color="auto"/>
          <w:bar w:val="none" w:sz="0" w:color="auto"/>
        </w:pBdr>
        <w:ind w:firstLine="720"/>
        <w:jc w:val="both"/>
      </w:pPr>
      <w:r>
        <w:rPr>
          <w:rStyle w:val="FootnoteReference"/>
          <w:rFonts w:ascii="Cambria" w:hAnsi="Cambria"/>
          <w:sz w:val="16"/>
          <w:szCs w:val="16"/>
          <w:lang w:val="en"/>
        </w:rPr>
        <w:footnoteRef/>
      </w:r>
      <w:r>
        <w:rPr>
          <w:rFonts w:ascii="Cambria" w:hAnsi="Cambria"/>
          <w:sz w:val="16"/>
          <w:szCs w:val="16"/>
          <w:lang w:val="en"/>
        </w:rPr>
        <w:t xml:space="preserve"> Hereinafter the “Convention of </w:t>
      </w:r>
      <w:proofErr w:type="spellStart"/>
      <w:r>
        <w:rPr>
          <w:rFonts w:ascii="Cambria" w:hAnsi="Cambria"/>
          <w:sz w:val="16"/>
          <w:szCs w:val="16"/>
          <w:lang w:val="en"/>
        </w:rPr>
        <w:t>Belém</w:t>
      </w:r>
      <w:proofErr w:type="spellEnd"/>
      <w:r>
        <w:rPr>
          <w:rFonts w:ascii="Cambria" w:hAnsi="Cambria"/>
          <w:sz w:val="16"/>
          <w:szCs w:val="16"/>
          <w:lang w:val="en"/>
        </w:rPr>
        <w:t xml:space="preserve"> do </w:t>
      </w:r>
      <w:proofErr w:type="spellStart"/>
      <w:r>
        <w:rPr>
          <w:rFonts w:ascii="Cambria" w:hAnsi="Cambria"/>
          <w:sz w:val="16"/>
          <w:szCs w:val="16"/>
          <w:lang w:val="en"/>
        </w:rPr>
        <w:t>Pará</w:t>
      </w:r>
      <w:proofErr w:type="spellEnd"/>
      <w:r>
        <w:rPr>
          <w:rFonts w:ascii="Cambria" w:hAnsi="Cambria"/>
          <w:sz w:val="16"/>
          <w:szCs w:val="16"/>
          <w:lang w:val="en"/>
        </w:rPr>
        <w:t>.”</w:t>
      </w:r>
    </w:p>
  </w:footnote>
  <w:footnote w:id="4">
    <w:p w:rsidR="00FC152D" w:rsidRPr="006024BF" w:rsidRDefault="00FC152D" w:rsidP="004B08E1">
      <w:pPr>
        <w:pStyle w:val="FootnoteText"/>
        <w:pBdr>
          <w:top w:val="none" w:sz="0" w:space="0" w:color="auto"/>
          <w:left w:val="none" w:sz="0" w:space="0" w:color="auto"/>
          <w:bottom w:val="none" w:sz="0" w:space="0" w:color="auto"/>
          <w:right w:val="none" w:sz="0" w:space="0" w:color="auto"/>
          <w:bar w:val="none" w:sz="0" w:color="auto"/>
        </w:pBdr>
        <w:ind w:firstLine="720"/>
        <w:jc w:val="both"/>
      </w:pPr>
      <w:r>
        <w:rPr>
          <w:rStyle w:val="FootnoteReference"/>
          <w:rFonts w:ascii="Cambria" w:hAnsi="Cambria"/>
          <w:sz w:val="16"/>
          <w:szCs w:val="16"/>
          <w:lang w:val="en"/>
        </w:rPr>
        <w:footnoteRef/>
      </w:r>
      <w:r>
        <w:rPr>
          <w:rFonts w:ascii="Cambria" w:hAnsi="Cambria"/>
          <w:sz w:val="16"/>
          <w:szCs w:val="16"/>
          <w:lang w:val="en"/>
        </w:rPr>
        <w:t xml:space="preserve"> Hereinafter "the American Declaration" or "the Declaration."</w:t>
      </w:r>
    </w:p>
  </w:footnote>
  <w:footnote w:id="5">
    <w:p w:rsidR="00FC152D" w:rsidRPr="006024BF" w:rsidRDefault="00FC152D" w:rsidP="004B08E1">
      <w:pPr>
        <w:pStyle w:val="FootnoteText"/>
        <w:pBdr>
          <w:top w:val="none" w:sz="0" w:space="0" w:color="auto"/>
          <w:left w:val="none" w:sz="0" w:space="0" w:color="auto"/>
          <w:bottom w:val="none" w:sz="0" w:space="0" w:color="auto"/>
          <w:right w:val="none" w:sz="0" w:space="0" w:color="auto"/>
          <w:bar w:val="none" w:sz="0" w:color="auto"/>
        </w:pBdr>
        <w:ind w:firstLine="720"/>
        <w:jc w:val="both"/>
      </w:pPr>
      <w:r>
        <w:rPr>
          <w:rStyle w:val="FootnoteReference"/>
          <w:rFonts w:ascii="Cambria" w:hAnsi="Cambria"/>
          <w:sz w:val="16"/>
          <w:szCs w:val="16"/>
          <w:lang w:val="en"/>
        </w:rPr>
        <w:footnoteRef/>
      </w:r>
      <w:r>
        <w:rPr>
          <w:rFonts w:ascii="Cambria" w:hAnsi="Cambria"/>
          <w:sz w:val="16"/>
          <w:szCs w:val="16"/>
          <w:lang w:val="en"/>
        </w:rPr>
        <w:t xml:space="preserve"> Articles 1 and 14 of the Convention against Torture and Other Cruel, Inhuman, or Degrading Punishment or Treatment; articles 1, 2, 3, 5, 7, and 17 of the Universal Declaration of Human Rights.</w:t>
      </w:r>
    </w:p>
  </w:footnote>
  <w:footnote w:id="6">
    <w:p w:rsidR="00FC152D" w:rsidRPr="006024BF" w:rsidRDefault="00FC152D" w:rsidP="004B08E1">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Pr>
          <w:rStyle w:val="FootnoteReference"/>
          <w:rFonts w:ascii="Cambria" w:hAnsi="Cambria"/>
          <w:color w:val="auto"/>
          <w:sz w:val="16"/>
          <w:szCs w:val="16"/>
          <w:lang w:val="en"/>
        </w:rPr>
        <w:footnoteRef/>
      </w:r>
      <w:r>
        <w:rPr>
          <w:rFonts w:ascii="Cambria" w:hAnsi="Cambria"/>
          <w:color w:val="auto"/>
          <w:sz w:val="16"/>
          <w:szCs w:val="16"/>
          <w:lang w:val="en"/>
        </w:rPr>
        <w:t xml:space="preserve"> The observations presented by each party were duly transmitted to the opposing party.</w:t>
      </w:r>
    </w:p>
  </w:footnote>
  <w:footnote w:id="7">
    <w:p w:rsidR="00FC152D" w:rsidRPr="007007DF" w:rsidRDefault="00FC152D" w:rsidP="004B08E1">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US"/>
        </w:rPr>
      </w:pPr>
      <w:r>
        <w:rPr>
          <w:rStyle w:val="FootnoteReference"/>
          <w:rFonts w:ascii="Cambria" w:hAnsi="Cambria"/>
          <w:sz w:val="16"/>
          <w:szCs w:val="16"/>
          <w:lang w:val="en"/>
        </w:rPr>
        <w:footnoteRef/>
      </w:r>
      <w:r>
        <w:rPr>
          <w:rFonts w:ascii="Cambria" w:hAnsi="Cambria"/>
          <w:sz w:val="16"/>
          <w:szCs w:val="16"/>
          <w:lang w:val="en"/>
        </w:rPr>
        <w:t xml:space="preserve"> IACHR Report No. IACHR, Report No. 69/08, Petition 681-00. </w:t>
      </w:r>
      <w:proofErr w:type="spellStart"/>
      <w:r w:rsidRPr="007007DF">
        <w:rPr>
          <w:rFonts w:ascii="Cambria" w:hAnsi="Cambria"/>
          <w:sz w:val="16"/>
          <w:szCs w:val="16"/>
          <w:lang w:val="es-US"/>
        </w:rPr>
        <w:t>Admissibility</w:t>
      </w:r>
      <w:proofErr w:type="spellEnd"/>
      <w:r w:rsidRPr="007007DF">
        <w:rPr>
          <w:rFonts w:ascii="Cambria" w:hAnsi="Cambria"/>
          <w:sz w:val="16"/>
          <w:szCs w:val="16"/>
          <w:lang w:val="es-US"/>
        </w:rPr>
        <w:t xml:space="preserve">. Guillermo Patricio Lynn. Argentina. </w:t>
      </w:r>
      <w:proofErr w:type="spellStart"/>
      <w:r w:rsidRPr="007007DF">
        <w:rPr>
          <w:rFonts w:ascii="Cambria" w:hAnsi="Cambria"/>
          <w:sz w:val="16"/>
          <w:szCs w:val="16"/>
          <w:lang w:val="es-US"/>
        </w:rPr>
        <w:t>October</w:t>
      </w:r>
      <w:proofErr w:type="spellEnd"/>
      <w:r w:rsidRPr="007007DF">
        <w:rPr>
          <w:rFonts w:ascii="Cambria" w:hAnsi="Cambria"/>
          <w:sz w:val="16"/>
          <w:szCs w:val="16"/>
          <w:lang w:val="es-US"/>
        </w:rPr>
        <w:t xml:space="preserve"> 16, 2008, para. 43.</w:t>
      </w:r>
    </w:p>
  </w:footnote>
  <w:footnote w:id="8">
    <w:p w:rsidR="00FC152D" w:rsidRPr="006024BF" w:rsidRDefault="00FC152D" w:rsidP="004B08E1">
      <w:pPr>
        <w:pStyle w:val="FootnoteText"/>
        <w:pBdr>
          <w:top w:val="none" w:sz="0" w:space="0" w:color="auto"/>
          <w:left w:val="none" w:sz="0" w:space="0" w:color="auto"/>
          <w:bottom w:val="none" w:sz="0" w:space="0" w:color="auto"/>
          <w:right w:val="none" w:sz="0" w:space="0" w:color="auto"/>
          <w:bar w:val="none" w:sz="0" w:color="auto"/>
        </w:pBdr>
        <w:ind w:firstLine="720"/>
        <w:jc w:val="both"/>
      </w:pPr>
      <w:r>
        <w:rPr>
          <w:rStyle w:val="FootnoteReference"/>
          <w:rFonts w:ascii="Cambria" w:hAnsi="Cambria"/>
          <w:sz w:val="16"/>
          <w:szCs w:val="16"/>
          <w:lang w:val="en"/>
        </w:rPr>
        <w:footnoteRef/>
      </w:r>
      <w:r w:rsidRPr="007007DF">
        <w:rPr>
          <w:rFonts w:ascii="Cambria" w:hAnsi="Cambria"/>
          <w:sz w:val="16"/>
          <w:szCs w:val="16"/>
          <w:lang w:val="es-US"/>
        </w:rPr>
        <w:t xml:space="preserve"> IACHR </w:t>
      </w:r>
      <w:proofErr w:type="spellStart"/>
      <w:r w:rsidRPr="007007DF">
        <w:rPr>
          <w:rFonts w:ascii="Cambria" w:hAnsi="Cambria"/>
          <w:sz w:val="16"/>
          <w:szCs w:val="16"/>
          <w:lang w:val="es-US"/>
        </w:rPr>
        <w:t>Report</w:t>
      </w:r>
      <w:proofErr w:type="spellEnd"/>
      <w:r w:rsidRPr="007007DF">
        <w:rPr>
          <w:rFonts w:ascii="Cambria" w:hAnsi="Cambria"/>
          <w:sz w:val="16"/>
          <w:szCs w:val="16"/>
          <w:lang w:val="es-US"/>
        </w:rPr>
        <w:t xml:space="preserve"> No. 82/17. </w:t>
      </w:r>
      <w:proofErr w:type="spellStart"/>
      <w:r w:rsidRPr="007007DF">
        <w:rPr>
          <w:rFonts w:ascii="Cambria" w:hAnsi="Cambria"/>
          <w:sz w:val="16"/>
          <w:szCs w:val="16"/>
          <w:lang w:val="es-US"/>
        </w:rPr>
        <w:t>Petition</w:t>
      </w:r>
      <w:proofErr w:type="spellEnd"/>
      <w:r w:rsidRPr="007007DF">
        <w:rPr>
          <w:rFonts w:ascii="Cambria" w:hAnsi="Cambria"/>
          <w:sz w:val="16"/>
          <w:szCs w:val="16"/>
          <w:lang w:val="es-US"/>
        </w:rPr>
        <w:t xml:space="preserve"> 1067-07. </w:t>
      </w:r>
      <w:proofErr w:type="spellStart"/>
      <w:r w:rsidRPr="007007DF">
        <w:rPr>
          <w:rFonts w:ascii="Cambria" w:hAnsi="Cambria"/>
          <w:sz w:val="16"/>
          <w:szCs w:val="16"/>
          <w:lang w:val="es-US"/>
        </w:rPr>
        <w:t>Admissibility</w:t>
      </w:r>
      <w:proofErr w:type="spellEnd"/>
      <w:r w:rsidRPr="007007DF">
        <w:rPr>
          <w:rFonts w:ascii="Cambria" w:hAnsi="Cambria"/>
          <w:sz w:val="16"/>
          <w:szCs w:val="16"/>
          <w:lang w:val="es-US"/>
        </w:rPr>
        <w:t xml:space="preserve">. Rosa Ángela Martino and María Cristina González. Argentina. </w:t>
      </w:r>
      <w:r>
        <w:rPr>
          <w:rFonts w:ascii="Cambria" w:hAnsi="Cambria"/>
          <w:sz w:val="16"/>
          <w:szCs w:val="16"/>
          <w:lang w:val="en"/>
        </w:rPr>
        <w:t>July 7, 2017, para. 12.</w:t>
      </w:r>
    </w:p>
  </w:footnote>
  <w:footnote w:id="9">
    <w:p w:rsidR="00FC152D" w:rsidRDefault="00FC152D" w:rsidP="00D07FEA">
      <w:pPr>
        <w:pStyle w:val="FootnoteText"/>
        <w:pBdr>
          <w:top w:val="none" w:sz="0" w:space="0" w:color="auto"/>
          <w:left w:val="none" w:sz="0" w:space="0" w:color="auto"/>
          <w:bottom w:val="none" w:sz="0" w:space="0" w:color="auto"/>
          <w:right w:val="none" w:sz="0" w:space="0" w:color="auto"/>
          <w:bar w:val="none" w:sz="0" w:color="auto"/>
        </w:pBdr>
        <w:ind w:firstLine="720"/>
      </w:pPr>
      <w:r>
        <w:rPr>
          <w:rStyle w:val="FootnoteReference"/>
          <w:rFonts w:ascii="Cambria" w:hAnsi="Cambria"/>
          <w:sz w:val="16"/>
          <w:szCs w:val="16"/>
          <w:lang w:val="en"/>
        </w:rPr>
        <w:footnoteRef/>
      </w:r>
      <w:r>
        <w:rPr>
          <w:rFonts w:ascii="Cambria" w:hAnsi="Cambria"/>
          <w:sz w:val="16"/>
          <w:szCs w:val="16"/>
          <w:lang w:val="en"/>
        </w:rPr>
        <w:t xml:space="preserve"> IACHR Report No. 34/18. Admissibility. Guillermo Juan </w:t>
      </w:r>
      <w:proofErr w:type="spellStart"/>
      <w:r>
        <w:rPr>
          <w:rFonts w:ascii="Cambria" w:hAnsi="Cambria"/>
          <w:sz w:val="16"/>
          <w:szCs w:val="16"/>
          <w:lang w:val="en"/>
        </w:rPr>
        <w:t>Tiscornia</w:t>
      </w:r>
      <w:proofErr w:type="spellEnd"/>
      <w:r>
        <w:rPr>
          <w:rFonts w:ascii="Cambria" w:hAnsi="Cambria"/>
          <w:sz w:val="16"/>
          <w:szCs w:val="16"/>
          <w:lang w:val="en"/>
        </w:rPr>
        <w:t xml:space="preserve"> and Family. Argentina. May 4, 2018, para. 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52D" w:rsidRDefault="00FC152D" w:rsidP="00023CAB">
    <w:pPr>
      <w:pStyle w:val="Header"/>
      <w:framePr w:wrap="around" w:vAnchor="text" w:hAnchor="margin" w:xAlign="center" w:y="1"/>
      <w:rPr>
        <w:rStyle w:val="PageNumber"/>
        <w:rFonts w:cs="Univers"/>
      </w:rPr>
    </w:pPr>
    <w:r>
      <w:rPr>
        <w:rStyle w:val="PageNumber"/>
        <w:rFonts w:cs="Univers"/>
        <w:lang w:val="en"/>
      </w:rPr>
      <w:fldChar w:fldCharType="begin"/>
    </w:r>
    <w:r>
      <w:rPr>
        <w:rStyle w:val="PageNumber"/>
        <w:rFonts w:cs="Univers"/>
        <w:lang w:val="en"/>
      </w:rPr>
      <w:instrText xml:space="preserve">PAGE  </w:instrText>
    </w:r>
    <w:r>
      <w:rPr>
        <w:rStyle w:val="PageNumber"/>
        <w:rFonts w:cs="Univers"/>
        <w:lang w:val="en"/>
      </w:rPr>
      <w:fldChar w:fldCharType="end"/>
    </w:r>
  </w:p>
  <w:p w:rsidR="00FC152D" w:rsidRDefault="00FC15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52D" w:rsidRDefault="006024BF" w:rsidP="00A50FCF">
    <w:pPr>
      <w:pStyle w:val="Header"/>
      <w:tabs>
        <w:tab w:val="clear" w:pos="4320"/>
        <w:tab w:val="clear" w:pos="8640"/>
      </w:tabs>
      <w:jc w:val="center"/>
      <w:rPr>
        <w:sz w:val="22"/>
        <w:szCs w:val="22"/>
      </w:rPr>
    </w:pPr>
    <w:r>
      <w:rPr>
        <w:noProof/>
        <w:sz w:val="22"/>
        <w:szCs w:val="22"/>
      </w:rPr>
      <w:drawing>
        <wp:inline distT="0" distB="0" distL="0" distR="0" wp14:anchorId="5C57F356" wp14:editId="2C7B449F">
          <wp:extent cx="1952625" cy="104775"/>
          <wp:effectExtent l="0" t="0" r="0" b="0"/>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104775"/>
                  </a:xfrm>
                  <a:prstGeom prst="rect">
                    <a:avLst/>
                  </a:prstGeom>
                  <a:noFill/>
                  <a:ln>
                    <a:noFill/>
                  </a:ln>
                </pic:spPr>
              </pic:pic>
            </a:graphicData>
          </a:graphic>
        </wp:inline>
      </w:drawing>
    </w:r>
  </w:p>
  <w:p w:rsidR="00FC152D" w:rsidRPr="00EC7D62" w:rsidRDefault="00A57CA4" w:rsidP="00A50FCF">
    <w:pPr>
      <w:pStyle w:val="Header"/>
      <w:tabs>
        <w:tab w:val="clear" w:pos="4320"/>
        <w:tab w:val="clear" w:pos="8640"/>
      </w:tabs>
      <w:jc w:val="center"/>
      <w:rPr>
        <w:sz w:val="22"/>
        <w:szCs w:val="22"/>
      </w:rPr>
    </w:pPr>
    <w:r>
      <w:rPr>
        <w:sz w:val="22"/>
        <w:szCs w:val="22"/>
        <w:lang w:val="en"/>
      </w:rPr>
      <w:pict w14:anchorId="351F0EDF">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16F" w:rsidRDefault="000751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Calibri" w:eastAsia="Times New Roman" w:hAnsi="Calibri" w:cs="Calibri" w:hint="default"/>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firstLine="72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2BA2819"/>
    <w:multiLevelType w:val="multilevel"/>
    <w:tmpl w:val="DE3EA646"/>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decimal"/>
      <w:lvlText w:val="%1.%2."/>
      <w:lvlJc w:val="left"/>
      <w:pPr>
        <w:tabs>
          <w:tab w:val="num" w:pos="690"/>
        </w:tabs>
        <w:ind w:left="690" w:hanging="330"/>
      </w:pPr>
      <w:rPr>
        <w:rFonts w:ascii="Calibri" w:eastAsia="Times New Roman" w:hAnsi="Calibri" w:cs="Calibri"/>
        <w:b/>
        <w:bCs/>
        <w:color w:val="000000"/>
        <w:position w:val="0"/>
        <w:sz w:val="22"/>
        <w:szCs w:val="22"/>
        <w:u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color="000000"/>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2" w15:restartNumberingAfterBreak="0">
    <w:nsid w:val="31CB6708"/>
    <w:multiLevelType w:val="multilevel"/>
    <w:tmpl w:val="B6544A0C"/>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Times New Roman" w:cs="Calibri"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cs="Times New Roman" w:hint="default"/>
      </w:rPr>
    </w:lvl>
    <w:lvl w:ilvl="1" w:tplc="83BC6644">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3" w15:restartNumberingAfterBreak="0">
    <w:nsid w:val="42DF19D7"/>
    <w:multiLevelType w:val="multilevel"/>
    <w:tmpl w:val="E7265BB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bullet"/>
      <w:lvlText w:val="•"/>
      <w:lvlJc w:val="left"/>
      <w:pPr>
        <w:tabs>
          <w:tab w:val="num" w:pos="1740"/>
        </w:tabs>
        <w:ind w:left="1740" w:hanging="660"/>
      </w:pPr>
      <w:rPr>
        <w:rFonts w:ascii="Calibri" w:eastAsia="Times New Roman" w:hAnsi="Calibri"/>
        <w:color w:val="000000"/>
        <w:position w:val="0"/>
        <w:sz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8" w15:restartNumberingAfterBreak="0">
    <w:nsid w:val="492723E7"/>
    <w:multiLevelType w:val="multilevel"/>
    <w:tmpl w:val="0CF8CC3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Calibri" w:eastAsia="Times New Roman" w:hAnsi="Calibri" w:cs="Trebuchet MS" w:hint="default"/>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770"/>
        </w:tabs>
        <w:ind w:left="177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495"/>
        </w:tabs>
        <w:ind w:left="249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3210"/>
        </w:tabs>
        <w:ind w:left="321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930"/>
        </w:tabs>
        <w:ind w:left="393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655"/>
        </w:tabs>
        <w:ind w:left="465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370"/>
        </w:tabs>
        <w:ind w:left="537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6090"/>
        </w:tabs>
        <w:ind w:left="609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815"/>
        </w:tabs>
        <w:ind w:left="6815" w:hanging="271"/>
      </w:pPr>
      <w:rPr>
        <w:rFonts w:ascii="Calibri" w:eastAsia="Times New Roman" w:hAnsi="Calibri" w:cs="Calibri"/>
        <w:b/>
        <w:bCs/>
        <w:color w:val="000000"/>
        <w:position w:val="0"/>
        <w:sz w:val="22"/>
        <w:szCs w:val="22"/>
        <w:u w:val="single" w:color="000000"/>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4"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firstLine="720"/>
      </w:pPr>
      <w:rPr>
        <w:rFonts w:cs="Times New Roman" w:hint="default"/>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48"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firstLine="720"/>
      </w:pPr>
      <w:rPr>
        <w:rFonts w:cs="Times New Roman" w:hint="default"/>
      </w:rPr>
    </w:lvl>
    <w:lvl w:ilvl="1" w:tplc="F2CAD2CA">
      <w:start w:val="34"/>
      <w:numFmt w:val="decimal"/>
      <w:lvlText w:val="%2."/>
      <w:lvlJc w:val="left"/>
      <w:pPr>
        <w:tabs>
          <w:tab w:val="num" w:pos="2520"/>
        </w:tabs>
        <w:ind w:left="2520" w:hanging="144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Times New Roman" w:hAnsi="Calibri" w:cs="Calibri"/>
        <w:b/>
        <w:bCs/>
        <w:color w:val="000000"/>
        <w:position w:val="0"/>
        <w:sz w:val="22"/>
        <w:szCs w:val="22"/>
        <w:u w:val="single" w:color="000000"/>
      </w:rPr>
    </w:lvl>
    <w:lvl w:ilvl="1">
      <w:start w:val="2"/>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Times New Roman" w:cs="Calibri" w:hint="default"/>
      </w:rPr>
    </w:lvl>
    <w:lvl w:ilvl="1">
      <w:start w:val="2"/>
      <w:numFmt w:val="decimal"/>
      <w:lvlText w:val="%1.%2"/>
      <w:lvlJc w:val="left"/>
      <w:pPr>
        <w:ind w:left="1068" w:hanging="360"/>
      </w:pPr>
      <w:rPr>
        <w:rFonts w:eastAsia="Times New Roman" w:cs="Calibri" w:hint="default"/>
      </w:rPr>
    </w:lvl>
    <w:lvl w:ilvl="2">
      <w:start w:val="1"/>
      <w:numFmt w:val="decimal"/>
      <w:lvlText w:val="%1.%2.%3"/>
      <w:lvlJc w:val="left"/>
      <w:pPr>
        <w:ind w:left="2136" w:hanging="720"/>
      </w:pPr>
      <w:rPr>
        <w:rFonts w:eastAsia="Times New Roman" w:cs="Calibri" w:hint="default"/>
      </w:rPr>
    </w:lvl>
    <w:lvl w:ilvl="3">
      <w:start w:val="1"/>
      <w:numFmt w:val="decimal"/>
      <w:lvlText w:val="%1.%2.%3.%4"/>
      <w:lvlJc w:val="left"/>
      <w:pPr>
        <w:ind w:left="2844" w:hanging="720"/>
      </w:pPr>
      <w:rPr>
        <w:rFonts w:eastAsia="Times New Roman" w:cs="Calibri" w:hint="default"/>
      </w:rPr>
    </w:lvl>
    <w:lvl w:ilvl="4">
      <w:start w:val="1"/>
      <w:numFmt w:val="decimal"/>
      <w:lvlText w:val="%1.%2.%3.%4.%5"/>
      <w:lvlJc w:val="left"/>
      <w:pPr>
        <w:ind w:left="3912" w:hanging="1080"/>
      </w:pPr>
      <w:rPr>
        <w:rFonts w:eastAsia="Times New Roman" w:cs="Calibri" w:hint="default"/>
      </w:rPr>
    </w:lvl>
    <w:lvl w:ilvl="5">
      <w:start w:val="1"/>
      <w:numFmt w:val="decimal"/>
      <w:lvlText w:val="%1.%2.%3.%4.%5.%6"/>
      <w:lvlJc w:val="left"/>
      <w:pPr>
        <w:ind w:left="4620" w:hanging="1080"/>
      </w:pPr>
      <w:rPr>
        <w:rFonts w:eastAsia="Times New Roman" w:cs="Calibri" w:hint="default"/>
      </w:rPr>
    </w:lvl>
    <w:lvl w:ilvl="6">
      <w:start w:val="1"/>
      <w:numFmt w:val="decimal"/>
      <w:lvlText w:val="%1.%2.%3.%4.%5.%6.%7"/>
      <w:lvlJc w:val="left"/>
      <w:pPr>
        <w:ind w:left="5688" w:hanging="1440"/>
      </w:pPr>
      <w:rPr>
        <w:rFonts w:eastAsia="Times New Roman" w:cs="Calibri" w:hint="default"/>
      </w:rPr>
    </w:lvl>
    <w:lvl w:ilvl="7">
      <w:start w:val="1"/>
      <w:numFmt w:val="decimal"/>
      <w:lvlText w:val="%1.%2.%3.%4.%5.%6.%7.%8"/>
      <w:lvlJc w:val="left"/>
      <w:pPr>
        <w:ind w:left="6396" w:hanging="1440"/>
      </w:pPr>
      <w:rPr>
        <w:rFonts w:eastAsia="Times New Roman" w:cs="Calibri" w:hint="default"/>
      </w:rPr>
    </w:lvl>
    <w:lvl w:ilvl="8">
      <w:start w:val="1"/>
      <w:numFmt w:val="decimal"/>
      <w:lvlText w:val="%1.%2.%3.%4.%5.%6.%7.%8.%9"/>
      <w:lvlJc w:val="left"/>
      <w:pPr>
        <w:ind w:left="7464" w:hanging="1800"/>
      </w:pPr>
      <w:rPr>
        <w:rFonts w:eastAsia="Times New Roman"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cs="Times New Roman" w:hint="default"/>
        <w:b w:val="0"/>
        <w:color w:val="auto"/>
        <w:sz w:val="20"/>
        <w:szCs w:val="20"/>
      </w:rPr>
    </w:lvl>
    <w:lvl w:ilvl="1" w:tplc="04090019">
      <w:start w:val="1"/>
      <w:numFmt w:val="lowerLetter"/>
      <w:lvlText w:val="%2."/>
      <w:lvlJc w:val="left"/>
      <w:pPr>
        <w:tabs>
          <w:tab w:val="num" w:pos="5040"/>
        </w:tabs>
        <w:ind w:left="5040" w:hanging="360"/>
      </w:pPr>
      <w:rPr>
        <w:rFonts w:cs="Times New Roman"/>
      </w:rPr>
    </w:lvl>
    <w:lvl w:ilvl="2" w:tplc="0409001B" w:tentative="1">
      <w:start w:val="1"/>
      <w:numFmt w:val="lowerRoman"/>
      <w:lvlText w:val="%3."/>
      <w:lvlJc w:val="right"/>
      <w:pPr>
        <w:tabs>
          <w:tab w:val="num" w:pos="5760"/>
        </w:tabs>
        <w:ind w:left="5760" w:hanging="180"/>
      </w:pPr>
      <w:rPr>
        <w:rFonts w:cs="Times New Roman"/>
      </w:rPr>
    </w:lvl>
    <w:lvl w:ilvl="3" w:tplc="0409000F" w:tentative="1">
      <w:start w:val="1"/>
      <w:numFmt w:val="decimal"/>
      <w:lvlText w:val="%4."/>
      <w:lvlJc w:val="left"/>
      <w:pPr>
        <w:tabs>
          <w:tab w:val="num" w:pos="6480"/>
        </w:tabs>
        <w:ind w:left="6480" w:hanging="360"/>
      </w:pPr>
      <w:rPr>
        <w:rFonts w:cs="Times New Roman"/>
      </w:rPr>
    </w:lvl>
    <w:lvl w:ilvl="4" w:tplc="04090019" w:tentative="1">
      <w:start w:val="1"/>
      <w:numFmt w:val="lowerLetter"/>
      <w:lvlText w:val="%5."/>
      <w:lvlJc w:val="left"/>
      <w:pPr>
        <w:tabs>
          <w:tab w:val="num" w:pos="7200"/>
        </w:tabs>
        <w:ind w:left="7200" w:hanging="360"/>
      </w:pPr>
      <w:rPr>
        <w:rFonts w:cs="Times New Roman"/>
      </w:rPr>
    </w:lvl>
    <w:lvl w:ilvl="5" w:tplc="0409001B" w:tentative="1">
      <w:start w:val="1"/>
      <w:numFmt w:val="lowerRoman"/>
      <w:lvlText w:val="%6."/>
      <w:lvlJc w:val="right"/>
      <w:pPr>
        <w:tabs>
          <w:tab w:val="num" w:pos="7920"/>
        </w:tabs>
        <w:ind w:left="7920" w:hanging="180"/>
      </w:pPr>
      <w:rPr>
        <w:rFonts w:cs="Times New Roman"/>
      </w:rPr>
    </w:lvl>
    <w:lvl w:ilvl="6" w:tplc="0409000F" w:tentative="1">
      <w:start w:val="1"/>
      <w:numFmt w:val="decimal"/>
      <w:lvlText w:val="%7."/>
      <w:lvlJc w:val="left"/>
      <w:pPr>
        <w:tabs>
          <w:tab w:val="num" w:pos="8640"/>
        </w:tabs>
        <w:ind w:left="8640" w:hanging="360"/>
      </w:pPr>
      <w:rPr>
        <w:rFonts w:cs="Times New Roman"/>
      </w:rPr>
    </w:lvl>
    <w:lvl w:ilvl="7" w:tplc="04090019" w:tentative="1">
      <w:start w:val="1"/>
      <w:numFmt w:val="lowerLetter"/>
      <w:lvlText w:val="%8."/>
      <w:lvlJc w:val="left"/>
      <w:pPr>
        <w:tabs>
          <w:tab w:val="num" w:pos="9360"/>
        </w:tabs>
        <w:ind w:left="9360" w:hanging="360"/>
      </w:pPr>
      <w:rPr>
        <w:rFonts w:cs="Times New Roman"/>
      </w:rPr>
    </w:lvl>
    <w:lvl w:ilvl="8" w:tplc="0409001B" w:tentative="1">
      <w:start w:val="1"/>
      <w:numFmt w:val="lowerRoman"/>
      <w:lvlText w:val="%9."/>
      <w:lvlJc w:val="right"/>
      <w:pPr>
        <w:tabs>
          <w:tab w:val="num" w:pos="10080"/>
        </w:tabs>
        <w:ind w:left="10080" w:hanging="180"/>
      </w:pPr>
      <w:rPr>
        <w:rFonts w:cs="Times New Roman"/>
      </w:r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15:restartNumberingAfterBreak="0">
    <w:nsid w:val="745A711E"/>
    <w:multiLevelType w:val="multilevel"/>
    <w:tmpl w:val="ED88159C"/>
    <w:styleLink w:val="List41"/>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Calibri" w:eastAsia="Times New Roman" w:hAnsi="Calibri" w:cs="Calibri" w:hint="default"/>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9" w15:restartNumberingAfterBreak="0">
    <w:nsid w:val="78C26FCF"/>
    <w:multiLevelType w:val="multilevel"/>
    <w:tmpl w:val="2FCAD168"/>
    <w:styleLink w:val="List31"/>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imes New Roman" w:hAnsi="Trebuchet MS"/>
        <w:b/>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b/>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b/>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b/>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b/>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b/>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b/>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b/>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b/>
        <w:color w:val="000000"/>
        <w:position w:val="0"/>
        <w:sz w:val="22"/>
        <w:u w:color="000000"/>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num w:numId="1">
    <w:abstractNumId w:val="30"/>
    <w:lvlOverride w:ilvl="0">
      <w:lvl w:ilvl="0">
        <w:start w:val="1"/>
        <w:numFmt w:val="upperRoman"/>
        <w:lvlText w:val="%1."/>
        <w:lvlJc w:val="left"/>
        <w:pPr>
          <w:tabs>
            <w:tab w:val="num" w:pos="1080"/>
          </w:tabs>
          <w:ind w:left="1080" w:hanging="720"/>
        </w:pPr>
        <w:rPr>
          <w:rFonts w:ascii="Calibri" w:eastAsia="Times New Roman" w:hAnsi="Calibri" w:cs="Calibri" w:hint="default"/>
          <w:b/>
          <w:bCs/>
          <w:color w:val="000000"/>
          <w:position w:val="0"/>
          <w:sz w:val="22"/>
          <w:szCs w:val="22"/>
          <w:u w:color="000000"/>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Calibri" w:eastAsia="Times New Roman" w:hAnsi="Calibri" w:cs="Calibri" w:hint="default"/>
          <w:b/>
          <w:bCs/>
          <w:color w:val="000000"/>
          <w:position w:val="0"/>
          <w:sz w:val="22"/>
          <w:szCs w:val="22"/>
          <w:u w:color="000000"/>
        </w:rPr>
      </w:lvl>
    </w:lvlOverride>
  </w:num>
  <w:num w:numId="4">
    <w:abstractNumId w:val="22"/>
    <w:lvlOverride w:ilvl="0">
      <w:lvl w:ilvl="0">
        <w:start w:val="1"/>
        <w:numFmt w:val="decimal"/>
        <w:lvlText w:val="%1."/>
        <w:lvlJc w:val="left"/>
        <w:pPr>
          <w:tabs>
            <w:tab w:val="num" w:pos="720"/>
          </w:tabs>
          <w:ind w:left="720" w:hanging="360"/>
        </w:pPr>
        <w:rPr>
          <w:rFonts w:ascii="Calibri" w:eastAsia="Times New Roman" w:hAnsi="Calibri" w:cs="Calibri" w:hint="default"/>
          <w:b/>
          <w:bCs/>
          <w:color w:val="000000"/>
          <w:position w:val="0"/>
          <w:sz w:val="22"/>
          <w:szCs w:val="22"/>
          <w:u w:color="000000"/>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Calibri" w:eastAsia="Times New Roman" w:hAnsi="Calibri" w:cs="Trebuchet MS" w:hint="default"/>
          <w:b/>
          <w:bCs/>
          <w:i w:val="0"/>
          <w:color w:val="000000"/>
          <w:position w:val="0"/>
          <w:sz w:val="22"/>
          <w:szCs w:val="22"/>
          <w:u w:color="000000"/>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Calibri" w:eastAsia="Times New Roman" w:hAnsi="Calibri" w:cs="Calibri" w:hint="default"/>
          <w:b/>
          <w:bCs/>
          <w:color w:val="000000"/>
          <w:position w:val="0"/>
          <w:sz w:val="22"/>
          <w:szCs w:val="22"/>
          <w:u w:color="000000"/>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14">
    <w:abstractNumId w:val="10"/>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15">
    <w:abstractNumId w:val="9"/>
    <w:lvlOverride w:ilvl="0">
      <w:lvl w:ilvl="0">
        <w:start w:val="2"/>
        <w:numFmt w:val="decimal"/>
        <w:lvlText w:val="%1."/>
        <w:lvlJc w:val="left"/>
        <w:pPr>
          <w:tabs>
            <w:tab w:val="num" w:pos="720"/>
          </w:tabs>
          <w:ind w:left="720" w:hanging="360"/>
        </w:pPr>
        <w:rPr>
          <w:rFonts w:ascii="Calibri" w:eastAsia="Times New Roman" w:hAnsi="Calibri" w:cs="Calibri" w:hint="default"/>
          <w:b/>
          <w:bCs/>
          <w:color w:val="000000"/>
          <w:position w:val="0"/>
          <w:sz w:val="22"/>
          <w:szCs w:val="22"/>
          <w:u w:color="000000"/>
        </w:rPr>
      </w:lvl>
    </w:lvlOverride>
  </w:num>
  <w:num w:numId="16">
    <w:abstractNumId w:val="20"/>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17">
    <w:abstractNumId w:val="24"/>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18">
    <w:abstractNumId w:val="12"/>
    <w:lvlOverride w:ilvl="0">
      <w:lvl w:ilvl="0">
        <w:start w:val="2"/>
        <w:numFmt w:val="upperLetter"/>
        <w:lvlText w:val="%1."/>
        <w:lvlJc w:val="left"/>
        <w:pPr>
          <w:tabs>
            <w:tab w:val="num" w:pos="720"/>
          </w:tabs>
          <w:ind w:left="720" w:hanging="360"/>
        </w:pPr>
        <w:rPr>
          <w:rFonts w:ascii="Calibri" w:eastAsia="Times New Roman" w:hAnsi="Calibri" w:cs="Calibri" w:hint="default"/>
          <w:b/>
          <w:bCs/>
          <w:color w:val="000000"/>
          <w:position w:val="0"/>
          <w:sz w:val="22"/>
          <w:szCs w:val="22"/>
          <w:u w:color="000000"/>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start w:val="1"/>
        <w:numFmt w:val="decimal"/>
        <w:lvlText w:val="%4."/>
        <w:lvlJc w:val="left"/>
        <w:pPr>
          <w:tabs>
            <w:tab w:val="num" w:pos="2850"/>
          </w:tabs>
          <w:ind w:left="2850" w:hanging="330"/>
        </w:pPr>
        <w:rPr>
          <w:rFonts w:ascii="Calibri" w:eastAsia="Times New Roman" w:hAnsi="Calibri" w:cs="Calibri"/>
          <w:b w:val="0"/>
          <w:bCs/>
          <w:color w:val="000000"/>
          <w:position w:val="0"/>
          <w:sz w:val="22"/>
          <w:szCs w:val="22"/>
          <w:u w:color="000000"/>
        </w:rPr>
      </w:lvl>
    </w:lvlOverride>
  </w:num>
  <w:num w:numId="19">
    <w:abstractNumId w:val="55"/>
    <w:lvlOverride w:ilvl="0">
      <w:lvl w:ilvl="0">
        <w:start w:val="2"/>
        <w:numFmt w:val="decimal"/>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20">
    <w:abstractNumId w:val="8"/>
  </w:num>
  <w:num w:numId="21">
    <w:abstractNumId w:val="38"/>
    <w:lvlOverride w:ilvl="0">
      <w:lvl w:ilvl="0">
        <w:start w:val="1"/>
        <w:numFmt w:val="lowerLetter"/>
        <w:lvlText w:val="%1."/>
        <w:lvlJc w:val="left"/>
        <w:pPr>
          <w:ind w:left="720" w:hanging="360"/>
        </w:pPr>
        <w:rPr>
          <w:rFonts w:cs="Times New Roman"/>
        </w:rPr>
      </w:lvl>
    </w:lvlOverride>
    <w:lvlOverride w:ilvl="1">
      <w:lvl w:ilvl="1" w:tentative="1">
        <w:start w:val="1"/>
        <w:numFmt w:val="lowerLetter"/>
        <w:lvlText w:val="%2."/>
        <w:lvlJc w:val="left"/>
        <w:pPr>
          <w:ind w:left="1440" w:hanging="360"/>
        </w:pPr>
        <w:rPr>
          <w:rFonts w:cs="Times New Roman"/>
        </w:rPr>
      </w:lvl>
    </w:lvlOverride>
    <w:lvlOverride w:ilvl="2">
      <w:lvl w:ilvl="2" w:tentative="1">
        <w:start w:val="1"/>
        <w:numFmt w:val="lowerRoman"/>
        <w:lvlText w:val="%3."/>
        <w:lvlJc w:val="right"/>
        <w:pPr>
          <w:ind w:left="2160" w:hanging="180"/>
        </w:pPr>
        <w:rPr>
          <w:rFonts w:cs="Times New Roman"/>
        </w:rPr>
      </w:lvl>
    </w:lvlOverride>
    <w:lvlOverride w:ilvl="3">
      <w:lvl w:ilvl="3" w:tentative="1">
        <w:start w:val="1"/>
        <w:numFmt w:val="decimal"/>
        <w:lvlText w:val="%4."/>
        <w:lvlJc w:val="left"/>
        <w:pPr>
          <w:ind w:left="2880" w:hanging="360"/>
        </w:pPr>
        <w:rPr>
          <w:rFonts w:cs="Times New Roman"/>
        </w:rPr>
      </w:lvl>
    </w:lvlOverride>
    <w:lvlOverride w:ilvl="4">
      <w:lvl w:ilvl="4" w:tentative="1">
        <w:start w:val="1"/>
        <w:numFmt w:val="lowerLetter"/>
        <w:lvlText w:val="%5."/>
        <w:lvlJc w:val="left"/>
        <w:pPr>
          <w:ind w:left="3600" w:hanging="360"/>
        </w:pPr>
        <w:rPr>
          <w:rFonts w:cs="Times New Roman"/>
        </w:rPr>
      </w:lvl>
    </w:lvlOverride>
    <w:lvlOverride w:ilvl="5">
      <w:lvl w:ilvl="5" w:tentative="1">
        <w:start w:val="1"/>
        <w:numFmt w:val="lowerRoman"/>
        <w:lvlText w:val="%6."/>
        <w:lvlJc w:val="right"/>
        <w:pPr>
          <w:ind w:left="4320" w:hanging="180"/>
        </w:pPr>
        <w:rPr>
          <w:rFonts w:cs="Times New Roman"/>
        </w:rPr>
      </w:lvl>
    </w:lvlOverride>
    <w:lvlOverride w:ilvl="6">
      <w:lvl w:ilvl="6" w:tentative="1">
        <w:start w:val="1"/>
        <w:numFmt w:val="decimal"/>
        <w:lvlText w:val="%7."/>
        <w:lvlJc w:val="left"/>
        <w:pPr>
          <w:ind w:left="5040" w:hanging="360"/>
        </w:pPr>
        <w:rPr>
          <w:rFonts w:cs="Times New Roman"/>
        </w:rPr>
      </w:lvl>
    </w:lvlOverride>
    <w:lvlOverride w:ilvl="7">
      <w:lvl w:ilvl="7" w:tentative="1">
        <w:start w:val="1"/>
        <w:numFmt w:val="lowerLetter"/>
        <w:lvlText w:val="%8."/>
        <w:lvlJc w:val="left"/>
        <w:pPr>
          <w:ind w:left="5760" w:hanging="360"/>
        </w:pPr>
        <w:rPr>
          <w:rFonts w:cs="Times New Roman"/>
        </w:rPr>
      </w:lvl>
    </w:lvlOverride>
    <w:lvlOverride w:ilvl="8">
      <w:lvl w:ilvl="8" w:tentative="1">
        <w:start w:val="1"/>
        <w:numFmt w:val="lowerRoman"/>
        <w:lvlText w:val="%9."/>
        <w:lvlJc w:val="right"/>
        <w:pPr>
          <w:ind w:left="6480" w:hanging="180"/>
        </w:pPr>
        <w:rPr>
          <w:rFonts w:cs="Times New Roman"/>
        </w:rPr>
      </w:lvl>
    </w:lvlOverride>
  </w:num>
  <w:num w:numId="22">
    <w:abstractNumId w:val="25"/>
    <w:lvlOverride w:ilvl="0">
      <w:lvl w:ilvl="0">
        <w:start w:val="1"/>
        <w:numFmt w:val="decimal"/>
        <w:lvlText w:val="%1."/>
        <w:lvlJc w:val="left"/>
        <w:pPr>
          <w:ind w:left="1440" w:hanging="360"/>
        </w:pPr>
        <w:rPr>
          <w:rFonts w:cs="Times New Roman" w:hint="default"/>
          <w:color w:val="auto"/>
        </w:rPr>
      </w:lvl>
    </w:lvlOverride>
    <w:lvlOverride w:ilvl="1">
      <w:lvl w:ilvl="1">
        <w:start w:val="1"/>
        <w:numFmt w:val="lowerLetter"/>
        <w:lvlText w:val="%2."/>
        <w:lvlJc w:val="left"/>
        <w:pPr>
          <w:ind w:left="2160" w:hanging="360"/>
        </w:pPr>
        <w:rPr>
          <w:rFonts w:cs="Times New Roman"/>
        </w:rPr>
      </w:lvl>
    </w:lvlOverride>
    <w:lvlOverride w:ilvl="2">
      <w:lvl w:ilvl="2" w:tentative="1">
        <w:start w:val="1"/>
        <w:numFmt w:val="lowerRoman"/>
        <w:lvlText w:val="%3."/>
        <w:lvlJc w:val="right"/>
        <w:pPr>
          <w:ind w:left="2880" w:hanging="180"/>
        </w:pPr>
        <w:rPr>
          <w:rFonts w:cs="Times New Roman"/>
        </w:rPr>
      </w:lvl>
    </w:lvlOverride>
    <w:lvlOverride w:ilvl="3">
      <w:lvl w:ilvl="3" w:tentative="1">
        <w:start w:val="1"/>
        <w:numFmt w:val="decimal"/>
        <w:lvlText w:val="%4."/>
        <w:lvlJc w:val="left"/>
        <w:pPr>
          <w:ind w:left="3600" w:hanging="360"/>
        </w:pPr>
        <w:rPr>
          <w:rFonts w:cs="Times New Roman"/>
        </w:rPr>
      </w:lvl>
    </w:lvlOverride>
    <w:lvlOverride w:ilvl="4">
      <w:lvl w:ilvl="4" w:tentative="1">
        <w:start w:val="1"/>
        <w:numFmt w:val="lowerLetter"/>
        <w:lvlText w:val="%5."/>
        <w:lvlJc w:val="left"/>
        <w:pPr>
          <w:ind w:left="4320" w:hanging="360"/>
        </w:pPr>
        <w:rPr>
          <w:rFonts w:cs="Times New Roman"/>
        </w:rPr>
      </w:lvl>
    </w:lvlOverride>
    <w:lvlOverride w:ilvl="5">
      <w:lvl w:ilvl="5" w:tentative="1">
        <w:start w:val="1"/>
        <w:numFmt w:val="lowerRoman"/>
        <w:lvlText w:val="%6."/>
        <w:lvlJc w:val="right"/>
        <w:pPr>
          <w:ind w:left="5040" w:hanging="180"/>
        </w:pPr>
        <w:rPr>
          <w:rFonts w:cs="Times New Roman"/>
        </w:rPr>
      </w:lvl>
    </w:lvlOverride>
    <w:lvlOverride w:ilvl="6">
      <w:lvl w:ilvl="6" w:tentative="1">
        <w:start w:val="1"/>
        <w:numFmt w:val="decimal"/>
        <w:lvlText w:val="%7."/>
        <w:lvlJc w:val="left"/>
        <w:pPr>
          <w:ind w:left="5760" w:hanging="360"/>
        </w:pPr>
        <w:rPr>
          <w:rFonts w:cs="Times New Roman"/>
        </w:rPr>
      </w:lvl>
    </w:lvlOverride>
    <w:lvlOverride w:ilvl="7">
      <w:lvl w:ilvl="7" w:tentative="1">
        <w:start w:val="1"/>
        <w:numFmt w:val="lowerLetter"/>
        <w:lvlText w:val="%8."/>
        <w:lvlJc w:val="left"/>
        <w:pPr>
          <w:ind w:left="6480" w:hanging="360"/>
        </w:pPr>
        <w:rPr>
          <w:rFonts w:cs="Times New Roman"/>
        </w:rPr>
      </w:lvl>
    </w:lvlOverride>
    <w:lvlOverride w:ilvl="8">
      <w:lvl w:ilvl="8" w:tentative="1">
        <w:start w:val="1"/>
        <w:numFmt w:val="lowerRoman"/>
        <w:lvlText w:val="%9."/>
        <w:lvlJc w:val="right"/>
        <w:pPr>
          <w:ind w:left="7200" w:hanging="180"/>
        </w:pPr>
        <w:rPr>
          <w:rFonts w:cs="Times New Roman"/>
        </w:rPr>
      </w:lvl>
    </w:lvlOverride>
  </w:num>
  <w:num w:numId="23">
    <w:abstractNumId w:val="11"/>
    <w:lvlOverride w:ilvl="0">
      <w:lvl w:ilvl="0">
        <w:start w:val="6"/>
        <w:numFmt w:val="decimal"/>
        <w:lvlText w:val="%1."/>
        <w:lvlJc w:val="left"/>
        <w:pPr>
          <w:tabs>
            <w:tab w:val="num" w:pos="360"/>
          </w:tabs>
          <w:ind w:left="360" w:hanging="360"/>
        </w:pPr>
        <w:rPr>
          <w:rFonts w:ascii="Calibri" w:eastAsia="Times New Roman" w:hAnsi="Calibri" w:cs="Calibri" w:hint="default"/>
          <w:color w:val="000000"/>
          <w:position w:val="0"/>
          <w:sz w:val="22"/>
          <w:szCs w:val="22"/>
          <w:u w:color="000000"/>
        </w:rPr>
      </w:lvl>
    </w:lvlOverride>
  </w:num>
  <w:num w:numId="24">
    <w:abstractNumId w:val="47"/>
    <w:lvlOverride w:ilvl="0">
      <w:lvl w:ilvl="0">
        <w:start w:val="1"/>
        <w:numFmt w:val="decimal"/>
        <w:lvlText w:val="%1."/>
        <w:lvlJc w:val="left"/>
        <w:pPr>
          <w:tabs>
            <w:tab w:val="num" w:pos="720"/>
          </w:tabs>
          <w:ind w:left="720" w:hanging="360"/>
        </w:pPr>
        <w:rPr>
          <w:rFonts w:ascii="Calibri" w:eastAsia="Times New Roman" w:hAnsi="Calibri" w:cs="Calibri" w:hint="default"/>
          <w:b/>
          <w:bCs/>
          <w:color w:val="000000"/>
          <w:position w:val="0"/>
          <w:sz w:val="22"/>
          <w:szCs w:val="22"/>
          <w:u w:val="none"/>
        </w:rPr>
      </w:lvl>
    </w:lvlOverride>
  </w:num>
  <w:num w:numId="25">
    <w:abstractNumId w:val="2"/>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26">
    <w:abstractNumId w:val="64"/>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27">
    <w:abstractNumId w:val="49"/>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28">
    <w:abstractNumId w:val="28"/>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29">
    <w:abstractNumId w:val="34"/>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0">
    <w:abstractNumId w:val="32"/>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1">
    <w:abstractNumId w:val="59"/>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2">
    <w:abstractNumId w:val="63"/>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3">
    <w:abstractNumId w:val="21"/>
    <w:lvlOverride w:ilvl="0">
      <w:lvl w:ilvl="0">
        <w:start w:val="1"/>
        <w:numFmt w:val="lowerLetter"/>
        <w:lvlText w:val="%1."/>
        <w:lvlJc w:val="left"/>
        <w:pPr>
          <w:ind w:left="720" w:hanging="360"/>
        </w:pPr>
        <w:rPr>
          <w:rFonts w:cs="Times New Roman"/>
        </w:rPr>
      </w:lvl>
    </w:lvlOverride>
    <w:lvlOverride w:ilvl="1">
      <w:lvl w:ilvl="1" w:tentative="1">
        <w:start w:val="1"/>
        <w:numFmt w:val="lowerLetter"/>
        <w:lvlText w:val="%2."/>
        <w:lvlJc w:val="left"/>
        <w:pPr>
          <w:ind w:left="1440" w:hanging="360"/>
        </w:pPr>
        <w:rPr>
          <w:rFonts w:cs="Times New Roman"/>
        </w:rPr>
      </w:lvl>
    </w:lvlOverride>
    <w:lvlOverride w:ilvl="2">
      <w:lvl w:ilvl="2" w:tentative="1">
        <w:start w:val="1"/>
        <w:numFmt w:val="lowerRoman"/>
        <w:lvlText w:val="%3."/>
        <w:lvlJc w:val="right"/>
        <w:pPr>
          <w:ind w:left="2160" w:hanging="180"/>
        </w:pPr>
        <w:rPr>
          <w:rFonts w:cs="Times New Roman"/>
        </w:rPr>
      </w:lvl>
    </w:lvlOverride>
    <w:lvlOverride w:ilvl="3">
      <w:lvl w:ilvl="3" w:tentative="1">
        <w:start w:val="1"/>
        <w:numFmt w:val="decimal"/>
        <w:lvlText w:val="%4."/>
        <w:lvlJc w:val="left"/>
        <w:pPr>
          <w:ind w:left="2880" w:hanging="360"/>
        </w:pPr>
        <w:rPr>
          <w:rFonts w:cs="Times New Roman"/>
        </w:rPr>
      </w:lvl>
    </w:lvlOverride>
    <w:lvlOverride w:ilvl="4">
      <w:lvl w:ilvl="4" w:tentative="1">
        <w:start w:val="1"/>
        <w:numFmt w:val="lowerLetter"/>
        <w:lvlText w:val="%5."/>
        <w:lvlJc w:val="left"/>
        <w:pPr>
          <w:ind w:left="3600" w:hanging="360"/>
        </w:pPr>
        <w:rPr>
          <w:rFonts w:cs="Times New Roman"/>
        </w:rPr>
      </w:lvl>
    </w:lvlOverride>
    <w:lvlOverride w:ilvl="5">
      <w:lvl w:ilvl="5" w:tentative="1">
        <w:start w:val="1"/>
        <w:numFmt w:val="lowerRoman"/>
        <w:lvlText w:val="%6."/>
        <w:lvlJc w:val="right"/>
        <w:pPr>
          <w:ind w:left="4320" w:hanging="180"/>
        </w:pPr>
        <w:rPr>
          <w:rFonts w:cs="Times New Roman"/>
        </w:rPr>
      </w:lvl>
    </w:lvlOverride>
    <w:lvlOverride w:ilvl="6">
      <w:lvl w:ilvl="6" w:tentative="1">
        <w:start w:val="1"/>
        <w:numFmt w:val="decimal"/>
        <w:lvlText w:val="%7."/>
        <w:lvlJc w:val="left"/>
        <w:pPr>
          <w:ind w:left="5040" w:hanging="360"/>
        </w:pPr>
        <w:rPr>
          <w:rFonts w:cs="Times New Roman"/>
        </w:rPr>
      </w:lvl>
    </w:lvlOverride>
    <w:lvlOverride w:ilvl="7">
      <w:lvl w:ilvl="7" w:tentative="1">
        <w:start w:val="1"/>
        <w:numFmt w:val="lowerLetter"/>
        <w:lvlText w:val="%8."/>
        <w:lvlJc w:val="left"/>
        <w:pPr>
          <w:ind w:left="5760" w:hanging="360"/>
        </w:pPr>
        <w:rPr>
          <w:rFonts w:cs="Times New Roman"/>
        </w:rPr>
      </w:lvl>
    </w:lvlOverride>
    <w:lvlOverride w:ilvl="8">
      <w:lvl w:ilvl="8" w:tentative="1">
        <w:start w:val="1"/>
        <w:numFmt w:val="lowerRoman"/>
        <w:lvlText w:val="%9."/>
        <w:lvlJc w:val="right"/>
        <w:pPr>
          <w:ind w:left="6480" w:hanging="180"/>
        </w:pPr>
        <w:rPr>
          <w:rFonts w:cs="Times New Roman"/>
        </w:rPr>
      </w:lvl>
    </w:lvlOverride>
  </w:num>
  <w:num w:numId="34">
    <w:abstractNumId w:val="40"/>
    <w:lvlOverride w:ilvl="0">
      <w:lvl w:ilvl="0">
        <w:start w:val="1"/>
        <w:numFmt w:val="decimal"/>
        <w:lvlText w:val="%1."/>
        <w:lvlJc w:val="left"/>
        <w:pPr>
          <w:tabs>
            <w:tab w:val="num" w:pos="720"/>
          </w:tabs>
          <w:ind w:left="720" w:hanging="360"/>
        </w:pPr>
        <w:rPr>
          <w:rFonts w:ascii="Calibri" w:eastAsia="Times New Roman" w:hAnsi="Calibri" w:cs="Calibri" w:hint="default"/>
          <w:b/>
          <w:bCs/>
          <w:color w:val="000000"/>
          <w:position w:val="0"/>
          <w:sz w:val="22"/>
          <w:szCs w:val="22"/>
          <w:u w:val="none"/>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7">
    <w:abstractNumId w:val="62"/>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8">
    <w:abstractNumId w:val="35"/>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9">
    <w:abstractNumId w:val="61"/>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0">
    <w:abstractNumId w:val="15"/>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1">
    <w:abstractNumId w:val="57"/>
    <w:lvlOverride w:ilvl="0">
      <w:lvl w:ilvl="0">
        <w:start w:val="1"/>
        <w:numFmt w:val="lowerLetter"/>
        <w:lvlText w:val="%1."/>
        <w:lvlJc w:val="left"/>
        <w:pPr>
          <w:ind w:left="720" w:hanging="360"/>
        </w:pPr>
        <w:rPr>
          <w:rFonts w:cs="Times New Roman"/>
        </w:rPr>
      </w:lvl>
    </w:lvlOverride>
    <w:lvlOverride w:ilvl="1">
      <w:lvl w:ilvl="1" w:tentative="1">
        <w:start w:val="1"/>
        <w:numFmt w:val="lowerLetter"/>
        <w:lvlText w:val="%2."/>
        <w:lvlJc w:val="left"/>
        <w:pPr>
          <w:ind w:left="1440" w:hanging="360"/>
        </w:pPr>
        <w:rPr>
          <w:rFonts w:cs="Times New Roman"/>
        </w:rPr>
      </w:lvl>
    </w:lvlOverride>
    <w:lvlOverride w:ilvl="2">
      <w:lvl w:ilvl="2" w:tentative="1">
        <w:start w:val="1"/>
        <w:numFmt w:val="lowerRoman"/>
        <w:lvlText w:val="%3."/>
        <w:lvlJc w:val="right"/>
        <w:pPr>
          <w:ind w:left="2160" w:hanging="180"/>
        </w:pPr>
        <w:rPr>
          <w:rFonts w:cs="Times New Roman"/>
        </w:rPr>
      </w:lvl>
    </w:lvlOverride>
    <w:lvlOverride w:ilvl="3">
      <w:lvl w:ilvl="3" w:tentative="1">
        <w:start w:val="1"/>
        <w:numFmt w:val="decimal"/>
        <w:lvlText w:val="%4."/>
        <w:lvlJc w:val="left"/>
        <w:pPr>
          <w:ind w:left="2880" w:hanging="360"/>
        </w:pPr>
        <w:rPr>
          <w:rFonts w:cs="Times New Roman"/>
        </w:rPr>
      </w:lvl>
    </w:lvlOverride>
    <w:lvlOverride w:ilvl="4">
      <w:lvl w:ilvl="4" w:tentative="1">
        <w:start w:val="1"/>
        <w:numFmt w:val="lowerLetter"/>
        <w:lvlText w:val="%5."/>
        <w:lvlJc w:val="left"/>
        <w:pPr>
          <w:ind w:left="3600" w:hanging="360"/>
        </w:pPr>
        <w:rPr>
          <w:rFonts w:cs="Times New Roman"/>
        </w:rPr>
      </w:lvl>
    </w:lvlOverride>
    <w:lvlOverride w:ilvl="5">
      <w:lvl w:ilvl="5" w:tentative="1">
        <w:start w:val="1"/>
        <w:numFmt w:val="lowerRoman"/>
        <w:lvlText w:val="%6."/>
        <w:lvlJc w:val="right"/>
        <w:pPr>
          <w:ind w:left="4320" w:hanging="180"/>
        </w:pPr>
        <w:rPr>
          <w:rFonts w:cs="Times New Roman"/>
        </w:rPr>
      </w:lvl>
    </w:lvlOverride>
    <w:lvlOverride w:ilvl="6">
      <w:lvl w:ilvl="6" w:tentative="1">
        <w:start w:val="1"/>
        <w:numFmt w:val="decimal"/>
        <w:lvlText w:val="%7."/>
        <w:lvlJc w:val="left"/>
        <w:pPr>
          <w:ind w:left="5040" w:hanging="360"/>
        </w:pPr>
        <w:rPr>
          <w:rFonts w:cs="Times New Roman"/>
        </w:rPr>
      </w:lvl>
    </w:lvlOverride>
    <w:lvlOverride w:ilvl="7">
      <w:lvl w:ilvl="7" w:tentative="1">
        <w:start w:val="1"/>
        <w:numFmt w:val="lowerLetter"/>
        <w:lvlText w:val="%8."/>
        <w:lvlJc w:val="left"/>
        <w:pPr>
          <w:ind w:left="5760" w:hanging="360"/>
        </w:pPr>
        <w:rPr>
          <w:rFonts w:cs="Times New Roman"/>
        </w:rPr>
      </w:lvl>
    </w:lvlOverride>
    <w:lvlOverride w:ilvl="8">
      <w:lvl w:ilvl="8" w:tentative="1">
        <w:start w:val="1"/>
        <w:numFmt w:val="lowerRoman"/>
        <w:lvlText w:val="%9."/>
        <w:lvlJc w:val="right"/>
        <w:pPr>
          <w:ind w:left="6480" w:hanging="180"/>
        </w:pPr>
        <w:rPr>
          <w:rFonts w:cs="Times New Roman"/>
        </w:rPr>
      </w:lvl>
    </w:lvlOverride>
  </w:num>
  <w:num w:numId="42">
    <w:abstractNumId w:val="41"/>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start w:val="1"/>
        <w:numFmt w:val="decimal"/>
        <w:lvlText w:val="%4."/>
        <w:lvlJc w:val="left"/>
        <w:pPr>
          <w:tabs>
            <w:tab w:val="num" w:pos="720"/>
          </w:tabs>
          <w:ind w:left="720" w:hanging="360"/>
        </w:pPr>
        <w:rPr>
          <w:rFonts w:ascii="Calibri" w:eastAsia="Times New Roman" w:hAnsi="Calibri" w:cs="Calibri" w:hint="default"/>
          <w:b/>
          <w:bCs/>
          <w:color w:val="000000"/>
          <w:position w:val="0"/>
          <w:sz w:val="22"/>
          <w:szCs w:val="22"/>
          <w:u w:val="none"/>
        </w:rPr>
      </w:lvl>
    </w:lvlOverride>
  </w:num>
  <w:num w:numId="43">
    <w:abstractNumId w:val="17"/>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4">
    <w:abstractNumId w:val="43"/>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5">
    <w:abstractNumId w:val="13"/>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6">
    <w:abstractNumId w:val="18"/>
    <w:lvlOverride w:ilvl="0">
      <w:lvl w:ilvl="0">
        <w:start w:val="1"/>
        <w:numFmt w:val="decimal"/>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7">
    <w:abstractNumId w:val="26"/>
    <w:lvlOverride w:ilvl="0">
      <w:lvl w:ilvl="0">
        <w:start w:val="1"/>
        <w:numFmt w:val="lowerLetter"/>
        <w:lvlText w:val="%1."/>
        <w:lvlJc w:val="left"/>
        <w:pPr>
          <w:ind w:left="720" w:hanging="360"/>
        </w:pPr>
        <w:rPr>
          <w:rFonts w:cs="Times New Roman"/>
        </w:rPr>
      </w:lvl>
    </w:lvlOverride>
    <w:lvlOverride w:ilvl="1">
      <w:lvl w:ilvl="1" w:tentative="1">
        <w:start w:val="1"/>
        <w:numFmt w:val="lowerLetter"/>
        <w:lvlText w:val="%2."/>
        <w:lvlJc w:val="left"/>
        <w:pPr>
          <w:ind w:left="1440" w:hanging="360"/>
        </w:pPr>
        <w:rPr>
          <w:rFonts w:cs="Times New Roman"/>
        </w:rPr>
      </w:lvl>
    </w:lvlOverride>
    <w:lvlOverride w:ilvl="2">
      <w:lvl w:ilvl="2" w:tentative="1">
        <w:start w:val="1"/>
        <w:numFmt w:val="lowerRoman"/>
        <w:lvlText w:val="%3."/>
        <w:lvlJc w:val="right"/>
        <w:pPr>
          <w:ind w:left="2160" w:hanging="180"/>
        </w:pPr>
        <w:rPr>
          <w:rFonts w:cs="Times New Roman"/>
        </w:rPr>
      </w:lvl>
    </w:lvlOverride>
    <w:lvlOverride w:ilvl="3">
      <w:lvl w:ilvl="3" w:tentative="1">
        <w:start w:val="1"/>
        <w:numFmt w:val="decimal"/>
        <w:lvlText w:val="%4."/>
        <w:lvlJc w:val="left"/>
        <w:pPr>
          <w:ind w:left="2880" w:hanging="360"/>
        </w:pPr>
        <w:rPr>
          <w:rFonts w:cs="Times New Roman"/>
        </w:rPr>
      </w:lvl>
    </w:lvlOverride>
    <w:lvlOverride w:ilvl="4">
      <w:lvl w:ilvl="4" w:tentative="1">
        <w:start w:val="1"/>
        <w:numFmt w:val="lowerLetter"/>
        <w:lvlText w:val="%5."/>
        <w:lvlJc w:val="left"/>
        <w:pPr>
          <w:ind w:left="3600" w:hanging="360"/>
        </w:pPr>
        <w:rPr>
          <w:rFonts w:cs="Times New Roman"/>
        </w:rPr>
      </w:lvl>
    </w:lvlOverride>
    <w:lvlOverride w:ilvl="5">
      <w:lvl w:ilvl="5" w:tentative="1">
        <w:start w:val="1"/>
        <w:numFmt w:val="lowerRoman"/>
        <w:lvlText w:val="%6."/>
        <w:lvlJc w:val="right"/>
        <w:pPr>
          <w:ind w:left="4320" w:hanging="180"/>
        </w:pPr>
        <w:rPr>
          <w:rFonts w:cs="Times New Roman"/>
        </w:rPr>
      </w:lvl>
    </w:lvlOverride>
    <w:lvlOverride w:ilvl="6">
      <w:lvl w:ilvl="6" w:tentative="1">
        <w:start w:val="1"/>
        <w:numFmt w:val="decimal"/>
        <w:lvlText w:val="%7."/>
        <w:lvlJc w:val="left"/>
        <w:pPr>
          <w:ind w:left="5040" w:hanging="360"/>
        </w:pPr>
        <w:rPr>
          <w:rFonts w:cs="Times New Roman"/>
        </w:rPr>
      </w:lvl>
    </w:lvlOverride>
    <w:lvlOverride w:ilvl="7">
      <w:lvl w:ilvl="7" w:tentative="1">
        <w:start w:val="1"/>
        <w:numFmt w:val="lowerLetter"/>
        <w:lvlText w:val="%8."/>
        <w:lvlJc w:val="left"/>
        <w:pPr>
          <w:ind w:left="5760" w:hanging="360"/>
        </w:pPr>
        <w:rPr>
          <w:rFonts w:cs="Times New Roman"/>
        </w:rPr>
      </w:lvl>
    </w:lvlOverride>
    <w:lvlOverride w:ilvl="8">
      <w:lvl w:ilvl="8" w:tentative="1">
        <w:start w:val="1"/>
        <w:numFmt w:val="lowerRoman"/>
        <w:lvlText w:val="%9."/>
        <w:lvlJc w:val="right"/>
        <w:pPr>
          <w:ind w:left="6480" w:hanging="180"/>
        </w:pPr>
        <w:rPr>
          <w:rFonts w:cs="Times New Roman"/>
        </w:rPr>
      </w:lvl>
    </w:lvlOverride>
  </w:num>
  <w:num w:numId="48">
    <w:abstractNumId w:val="66"/>
    <w:lvlOverride w:ilvl="0">
      <w:lvl w:ilvl="0">
        <w:start w:val="1"/>
        <w:numFmt w:val="decimal"/>
        <w:lvlText w:val="%1."/>
        <w:lvlJc w:val="left"/>
        <w:pPr>
          <w:tabs>
            <w:tab w:val="num" w:pos="720"/>
          </w:tabs>
          <w:ind w:left="720" w:hanging="360"/>
        </w:pPr>
        <w:rPr>
          <w:rFonts w:ascii="Calibri" w:eastAsia="Times New Roman" w:hAnsi="Calibri" w:cs="Calibri" w:hint="default"/>
          <w:b/>
          <w:bCs/>
          <w:color w:val="000000"/>
          <w:position w:val="0"/>
          <w:sz w:val="22"/>
          <w:szCs w:val="22"/>
          <w:u w:val="none"/>
        </w:rPr>
      </w:lvl>
    </w:lvlOverride>
  </w:num>
  <w:num w:numId="49">
    <w:abstractNumId w:val="42"/>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50">
    <w:abstractNumId w:val="37"/>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51">
    <w:abstractNumId w:val="33"/>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242"/>
    <w:rsid w:val="0000036F"/>
    <w:rsid w:val="00000CDA"/>
    <w:rsid w:val="000027B3"/>
    <w:rsid w:val="00006E1F"/>
    <w:rsid w:val="000070D7"/>
    <w:rsid w:val="00007A47"/>
    <w:rsid w:val="000120F3"/>
    <w:rsid w:val="0001788C"/>
    <w:rsid w:val="00021703"/>
    <w:rsid w:val="00022EEE"/>
    <w:rsid w:val="00023CAB"/>
    <w:rsid w:val="00026A17"/>
    <w:rsid w:val="0002779C"/>
    <w:rsid w:val="00027CC7"/>
    <w:rsid w:val="000337EF"/>
    <w:rsid w:val="00036B4F"/>
    <w:rsid w:val="00040C3A"/>
    <w:rsid w:val="0004135F"/>
    <w:rsid w:val="0004158B"/>
    <w:rsid w:val="000419AD"/>
    <w:rsid w:val="000433C9"/>
    <w:rsid w:val="00051286"/>
    <w:rsid w:val="0005569B"/>
    <w:rsid w:val="000606F1"/>
    <w:rsid w:val="000716C5"/>
    <w:rsid w:val="00072306"/>
    <w:rsid w:val="0007516F"/>
    <w:rsid w:val="00075E23"/>
    <w:rsid w:val="00084E3B"/>
    <w:rsid w:val="00085166"/>
    <w:rsid w:val="00085CF3"/>
    <w:rsid w:val="0009344A"/>
    <w:rsid w:val="000A051A"/>
    <w:rsid w:val="000A392E"/>
    <w:rsid w:val="000A575F"/>
    <w:rsid w:val="000C4B76"/>
    <w:rsid w:val="000C4C69"/>
    <w:rsid w:val="000C66A9"/>
    <w:rsid w:val="000C7DAC"/>
    <w:rsid w:val="000D10DB"/>
    <w:rsid w:val="000D599B"/>
    <w:rsid w:val="000E0098"/>
    <w:rsid w:val="000E1F92"/>
    <w:rsid w:val="000E463B"/>
    <w:rsid w:val="000E5EB5"/>
    <w:rsid w:val="000E686B"/>
    <w:rsid w:val="000E6CAD"/>
    <w:rsid w:val="000F35ED"/>
    <w:rsid w:val="000F3913"/>
    <w:rsid w:val="000F5F09"/>
    <w:rsid w:val="00100A6C"/>
    <w:rsid w:val="00101D01"/>
    <w:rsid w:val="00102E97"/>
    <w:rsid w:val="001065F9"/>
    <w:rsid w:val="00107131"/>
    <w:rsid w:val="0010736F"/>
    <w:rsid w:val="00107831"/>
    <w:rsid w:val="0011096F"/>
    <w:rsid w:val="00113DAD"/>
    <w:rsid w:val="00113E93"/>
    <w:rsid w:val="00113F73"/>
    <w:rsid w:val="00114DCB"/>
    <w:rsid w:val="00121CC2"/>
    <w:rsid w:val="001224D4"/>
    <w:rsid w:val="00124B80"/>
    <w:rsid w:val="00131354"/>
    <w:rsid w:val="00132BC1"/>
    <w:rsid w:val="00133EE5"/>
    <w:rsid w:val="00140B21"/>
    <w:rsid w:val="00142794"/>
    <w:rsid w:val="001433FE"/>
    <w:rsid w:val="00143E51"/>
    <w:rsid w:val="0014669B"/>
    <w:rsid w:val="00146B6C"/>
    <w:rsid w:val="00157122"/>
    <w:rsid w:val="0016082B"/>
    <w:rsid w:val="00165B7D"/>
    <w:rsid w:val="0016705D"/>
    <w:rsid w:val="00167A34"/>
    <w:rsid w:val="00170B02"/>
    <w:rsid w:val="00170ED4"/>
    <w:rsid w:val="00176306"/>
    <w:rsid w:val="001838AB"/>
    <w:rsid w:val="00184984"/>
    <w:rsid w:val="001A4386"/>
    <w:rsid w:val="001A43B4"/>
    <w:rsid w:val="001A7870"/>
    <w:rsid w:val="001B0221"/>
    <w:rsid w:val="001B3A00"/>
    <w:rsid w:val="001B78C3"/>
    <w:rsid w:val="001C1B41"/>
    <w:rsid w:val="001C28F3"/>
    <w:rsid w:val="001C2E80"/>
    <w:rsid w:val="001C36C3"/>
    <w:rsid w:val="001C41C4"/>
    <w:rsid w:val="001C74C1"/>
    <w:rsid w:val="001D054A"/>
    <w:rsid w:val="001D14A4"/>
    <w:rsid w:val="001D36EA"/>
    <w:rsid w:val="001D65EF"/>
    <w:rsid w:val="001D71E1"/>
    <w:rsid w:val="001E3806"/>
    <w:rsid w:val="001E49E7"/>
    <w:rsid w:val="001E7EE6"/>
    <w:rsid w:val="001F0CE8"/>
    <w:rsid w:val="001F29AB"/>
    <w:rsid w:val="001F3E01"/>
    <w:rsid w:val="001F5F6F"/>
    <w:rsid w:val="001F7201"/>
    <w:rsid w:val="001F781E"/>
    <w:rsid w:val="00200790"/>
    <w:rsid w:val="00200F0C"/>
    <w:rsid w:val="00206C60"/>
    <w:rsid w:val="00212D3D"/>
    <w:rsid w:val="002145C9"/>
    <w:rsid w:val="0022289B"/>
    <w:rsid w:val="0022302D"/>
    <w:rsid w:val="00223609"/>
    <w:rsid w:val="00223A29"/>
    <w:rsid w:val="00224BE6"/>
    <w:rsid w:val="002250A3"/>
    <w:rsid w:val="00231E71"/>
    <w:rsid w:val="00235217"/>
    <w:rsid w:val="0024696B"/>
    <w:rsid w:val="00246D1F"/>
    <w:rsid w:val="00247403"/>
    <w:rsid w:val="00247542"/>
    <w:rsid w:val="0025401E"/>
    <w:rsid w:val="00266B61"/>
    <w:rsid w:val="00266E2A"/>
    <w:rsid w:val="0026712A"/>
    <w:rsid w:val="00267A8D"/>
    <w:rsid w:val="002704DB"/>
    <w:rsid w:val="00271E16"/>
    <w:rsid w:val="00274443"/>
    <w:rsid w:val="00275DE4"/>
    <w:rsid w:val="00276E51"/>
    <w:rsid w:val="00291602"/>
    <w:rsid w:val="00291E11"/>
    <w:rsid w:val="0029285D"/>
    <w:rsid w:val="0029371B"/>
    <w:rsid w:val="002A0AAE"/>
    <w:rsid w:val="002A192B"/>
    <w:rsid w:val="002A5820"/>
    <w:rsid w:val="002A6072"/>
    <w:rsid w:val="002A7742"/>
    <w:rsid w:val="002B0883"/>
    <w:rsid w:val="002B22BA"/>
    <w:rsid w:val="002B3D82"/>
    <w:rsid w:val="002C0EE2"/>
    <w:rsid w:val="002C3469"/>
    <w:rsid w:val="002D1337"/>
    <w:rsid w:val="002D28FF"/>
    <w:rsid w:val="002D2B26"/>
    <w:rsid w:val="002D2ECD"/>
    <w:rsid w:val="002D66FF"/>
    <w:rsid w:val="002D7EA2"/>
    <w:rsid w:val="002E0625"/>
    <w:rsid w:val="002E187C"/>
    <w:rsid w:val="002E18A3"/>
    <w:rsid w:val="002E18ED"/>
    <w:rsid w:val="002E217E"/>
    <w:rsid w:val="002F194A"/>
    <w:rsid w:val="002F4E67"/>
    <w:rsid w:val="002F628D"/>
    <w:rsid w:val="00302733"/>
    <w:rsid w:val="00302C92"/>
    <w:rsid w:val="00306C6C"/>
    <w:rsid w:val="00310F28"/>
    <w:rsid w:val="00314078"/>
    <w:rsid w:val="003140B6"/>
    <w:rsid w:val="003150C7"/>
    <w:rsid w:val="0031535D"/>
    <w:rsid w:val="003239B8"/>
    <w:rsid w:val="00326F53"/>
    <w:rsid w:val="0033169F"/>
    <w:rsid w:val="00334D3A"/>
    <w:rsid w:val="00341752"/>
    <w:rsid w:val="0034209E"/>
    <w:rsid w:val="00344977"/>
    <w:rsid w:val="00346C95"/>
    <w:rsid w:val="00347084"/>
    <w:rsid w:val="00350DCF"/>
    <w:rsid w:val="00356185"/>
    <w:rsid w:val="00360380"/>
    <w:rsid w:val="00361FE7"/>
    <w:rsid w:val="00373A16"/>
    <w:rsid w:val="0037519E"/>
    <w:rsid w:val="00375582"/>
    <w:rsid w:val="0038432D"/>
    <w:rsid w:val="00385B36"/>
    <w:rsid w:val="00386CF0"/>
    <w:rsid w:val="0039057A"/>
    <w:rsid w:val="003913DC"/>
    <w:rsid w:val="003A4BBC"/>
    <w:rsid w:val="003B09B8"/>
    <w:rsid w:val="003B1DAC"/>
    <w:rsid w:val="003B543A"/>
    <w:rsid w:val="003B70FB"/>
    <w:rsid w:val="003C676B"/>
    <w:rsid w:val="003D3BC2"/>
    <w:rsid w:val="003D43D3"/>
    <w:rsid w:val="003D51D0"/>
    <w:rsid w:val="003E6CA1"/>
    <w:rsid w:val="003F3A20"/>
    <w:rsid w:val="003F4929"/>
    <w:rsid w:val="00400F21"/>
    <w:rsid w:val="004015D9"/>
    <w:rsid w:val="004022E5"/>
    <w:rsid w:val="00403B97"/>
    <w:rsid w:val="004065A8"/>
    <w:rsid w:val="004120BA"/>
    <w:rsid w:val="004150BF"/>
    <w:rsid w:val="00415201"/>
    <w:rsid w:val="004165C2"/>
    <w:rsid w:val="00422B46"/>
    <w:rsid w:val="00422C3C"/>
    <w:rsid w:val="00426A48"/>
    <w:rsid w:val="00426C3B"/>
    <w:rsid w:val="00430667"/>
    <w:rsid w:val="004356B5"/>
    <w:rsid w:val="0043766F"/>
    <w:rsid w:val="00441ECB"/>
    <w:rsid w:val="00443EB5"/>
    <w:rsid w:val="00445193"/>
    <w:rsid w:val="004461A6"/>
    <w:rsid w:val="004508DB"/>
    <w:rsid w:val="00453C2F"/>
    <w:rsid w:val="00453FA3"/>
    <w:rsid w:val="00454FC3"/>
    <w:rsid w:val="00455345"/>
    <w:rsid w:val="00455753"/>
    <w:rsid w:val="00460F5E"/>
    <w:rsid w:val="00462037"/>
    <w:rsid w:val="0046211E"/>
    <w:rsid w:val="004622A9"/>
    <w:rsid w:val="0046232D"/>
    <w:rsid w:val="00462C1B"/>
    <w:rsid w:val="004644ED"/>
    <w:rsid w:val="00467B7E"/>
    <w:rsid w:val="0047093E"/>
    <w:rsid w:val="00470D27"/>
    <w:rsid w:val="004735C5"/>
    <w:rsid w:val="00473BB4"/>
    <w:rsid w:val="00477592"/>
    <w:rsid w:val="00477D56"/>
    <w:rsid w:val="00486F1C"/>
    <w:rsid w:val="00492532"/>
    <w:rsid w:val="00493993"/>
    <w:rsid w:val="0049419D"/>
    <w:rsid w:val="0049472B"/>
    <w:rsid w:val="004A25BB"/>
    <w:rsid w:val="004A6A54"/>
    <w:rsid w:val="004A74C4"/>
    <w:rsid w:val="004A78FB"/>
    <w:rsid w:val="004B014B"/>
    <w:rsid w:val="004B08E1"/>
    <w:rsid w:val="004C20D2"/>
    <w:rsid w:val="004C2312"/>
    <w:rsid w:val="004C49F1"/>
    <w:rsid w:val="004C4B62"/>
    <w:rsid w:val="004C4DC4"/>
    <w:rsid w:val="004C54C9"/>
    <w:rsid w:val="004C65C0"/>
    <w:rsid w:val="004D31FC"/>
    <w:rsid w:val="004D4ABA"/>
    <w:rsid w:val="004D6025"/>
    <w:rsid w:val="004E0089"/>
    <w:rsid w:val="004E15C8"/>
    <w:rsid w:val="004E2649"/>
    <w:rsid w:val="004F0C8F"/>
    <w:rsid w:val="004F3908"/>
    <w:rsid w:val="004F47CD"/>
    <w:rsid w:val="004F5006"/>
    <w:rsid w:val="004F69F7"/>
    <w:rsid w:val="00501399"/>
    <w:rsid w:val="005033C9"/>
    <w:rsid w:val="0050633D"/>
    <w:rsid w:val="00507BC4"/>
    <w:rsid w:val="00507F18"/>
    <w:rsid w:val="005128E4"/>
    <w:rsid w:val="00512BB2"/>
    <w:rsid w:val="005133DB"/>
    <w:rsid w:val="00517238"/>
    <w:rsid w:val="00517E13"/>
    <w:rsid w:val="00525560"/>
    <w:rsid w:val="00525DA2"/>
    <w:rsid w:val="00527EE9"/>
    <w:rsid w:val="00531947"/>
    <w:rsid w:val="00533A4F"/>
    <w:rsid w:val="00534149"/>
    <w:rsid w:val="0053626D"/>
    <w:rsid w:val="005403BD"/>
    <w:rsid w:val="00540737"/>
    <w:rsid w:val="00543C39"/>
    <w:rsid w:val="00544C49"/>
    <w:rsid w:val="00546301"/>
    <w:rsid w:val="0054647A"/>
    <w:rsid w:val="005516A1"/>
    <w:rsid w:val="00563557"/>
    <w:rsid w:val="00564F70"/>
    <w:rsid w:val="0057402A"/>
    <w:rsid w:val="005752AB"/>
    <w:rsid w:val="00576D2F"/>
    <w:rsid w:val="005771D0"/>
    <w:rsid w:val="005814E2"/>
    <w:rsid w:val="0058358A"/>
    <w:rsid w:val="0058736B"/>
    <w:rsid w:val="0059191A"/>
    <w:rsid w:val="005921FF"/>
    <w:rsid w:val="0059705A"/>
    <w:rsid w:val="005A24ED"/>
    <w:rsid w:val="005A2C50"/>
    <w:rsid w:val="005A55D9"/>
    <w:rsid w:val="005A6897"/>
    <w:rsid w:val="005A6D0E"/>
    <w:rsid w:val="005A71E8"/>
    <w:rsid w:val="005B52B0"/>
    <w:rsid w:val="005B6806"/>
    <w:rsid w:val="005C0F97"/>
    <w:rsid w:val="005C4225"/>
    <w:rsid w:val="005D4748"/>
    <w:rsid w:val="005D7D6E"/>
    <w:rsid w:val="005E40AB"/>
    <w:rsid w:val="005E5A8C"/>
    <w:rsid w:val="005F06B8"/>
    <w:rsid w:val="005F0DAD"/>
    <w:rsid w:val="005F0F33"/>
    <w:rsid w:val="005F76DF"/>
    <w:rsid w:val="005F7E0B"/>
    <w:rsid w:val="00600DEB"/>
    <w:rsid w:val="00601036"/>
    <w:rsid w:val="006019D1"/>
    <w:rsid w:val="006024BF"/>
    <w:rsid w:val="006042D8"/>
    <w:rsid w:val="00605F23"/>
    <w:rsid w:val="00606F89"/>
    <w:rsid w:val="006135D4"/>
    <w:rsid w:val="00623394"/>
    <w:rsid w:val="00627C9F"/>
    <w:rsid w:val="006311E9"/>
    <w:rsid w:val="00632354"/>
    <w:rsid w:val="00633515"/>
    <w:rsid w:val="00642810"/>
    <w:rsid w:val="00651328"/>
    <w:rsid w:val="00652333"/>
    <w:rsid w:val="00653016"/>
    <w:rsid w:val="00653161"/>
    <w:rsid w:val="00661EE5"/>
    <w:rsid w:val="006657ED"/>
    <w:rsid w:val="00675E46"/>
    <w:rsid w:val="0068009E"/>
    <w:rsid w:val="00680C01"/>
    <w:rsid w:val="00680C09"/>
    <w:rsid w:val="00682DDC"/>
    <w:rsid w:val="00684D7C"/>
    <w:rsid w:val="006870EA"/>
    <w:rsid w:val="00692219"/>
    <w:rsid w:val="006937A0"/>
    <w:rsid w:val="006A17D2"/>
    <w:rsid w:val="006A4C54"/>
    <w:rsid w:val="006A731C"/>
    <w:rsid w:val="006A73E6"/>
    <w:rsid w:val="006A749C"/>
    <w:rsid w:val="006A799F"/>
    <w:rsid w:val="006A7E9C"/>
    <w:rsid w:val="006B2D5C"/>
    <w:rsid w:val="006C403D"/>
    <w:rsid w:val="006C45F3"/>
    <w:rsid w:val="006C4EB1"/>
    <w:rsid w:val="006C4F92"/>
    <w:rsid w:val="006C628D"/>
    <w:rsid w:val="006D399D"/>
    <w:rsid w:val="006D7533"/>
    <w:rsid w:val="006E0041"/>
    <w:rsid w:val="006E0166"/>
    <w:rsid w:val="006E0C4A"/>
    <w:rsid w:val="006E7B34"/>
    <w:rsid w:val="006F17B6"/>
    <w:rsid w:val="006F5A21"/>
    <w:rsid w:val="007007DF"/>
    <w:rsid w:val="0070697F"/>
    <w:rsid w:val="00707094"/>
    <w:rsid w:val="0070793B"/>
    <w:rsid w:val="00716D62"/>
    <w:rsid w:val="0072199C"/>
    <w:rsid w:val="00722C9F"/>
    <w:rsid w:val="007242F1"/>
    <w:rsid w:val="007253B8"/>
    <w:rsid w:val="0073573B"/>
    <w:rsid w:val="00736BEB"/>
    <w:rsid w:val="0073741F"/>
    <w:rsid w:val="00741DF6"/>
    <w:rsid w:val="0074424B"/>
    <w:rsid w:val="00744AEA"/>
    <w:rsid w:val="00746C94"/>
    <w:rsid w:val="00746FF7"/>
    <w:rsid w:val="00757848"/>
    <w:rsid w:val="007608BD"/>
    <w:rsid w:val="00761C1B"/>
    <w:rsid w:val="0076643F"/>
    <w:rsid w:val="00775FFF"/>
    <w:rsid w:val="00777F63"/>
    <w:rsid w:val="007813A1"/>
    <w:rsid w:val="00782461"/>
    <w:rsid w:val="00786227"/>
    <w:rsid w:val="0079068D"/>
    <w:rsid w:val="00792F4B"/>
    <w:rsid w:val="00797E0A"/>
    <w:rsid w:val="007A4604"/>
    <w:rsid w:val="007A5817"/>
    <w:rsid w:val="007A7D47"/>
    <w:rsid w:val="007B05C4"/>
    <w:rsid w:val="007B60E9"/>
    <w:rsid w:val="007B6CC3"/>
    <w:rsid w:val="007B76D3"/>
    <w:rsid w:val="007B7E21"/>
    <w:rsid w:val="007C1E1C"/>
    <w:rsid w:val="007C3334"/>
    <w:rsid w:val="007D139E"/>
    <w:rsid w:val="007D2B98"/>
    <w:rsid w:val="007D3EFF"/>
    <w:rsid w:val="007D40E2"/>
    <w:rsid w:val="007D7059"/>
    <w:rsid w:val="007E05D4"/>
    <w:rsid w:val="007E21BC"/>
    <w:rsid w:val="007E7C82"/>
    <w:rsid w:val="007F4AF8"/>
    <w:rsid w:val="007F5545"/>
    <w:rsid w:val="007F578F"/>
    <w:rsid w:val="007F588D"/>
    <w:rsid w:val="00800366"/>
    <w:rsid w:val="00802FC2"/>
    <w:rsid w:val="00803487"/>
    <w:rsid w:val="00803F1C"/>
    <w:rsid w:val="0080478A"/>
    <w:rsid w:val="00805476"/>
    <w:rsid w:val="0080600E"/>
    <w:rsid w:val="0080620C"/>
    <w:rsid w:val="008109A2"/>
    <w:rsid w:val="00817612"/>
    <w:rsid w:val="00822F90"/>
    <w:rsid w:val="0082417A"/>
    <w:rsid w:val="00827967"/>
    <w:rsid w:val="008338A4"/>
    <w:rsid w:val="00834D49"/>
    <w:rsid w:val="00837C45"/>
    <w:rsid w:val="00844730"/>
    <w:rsid w:val="008457C2"/>
    <w:rsid w:val="00845947"/>
    <w:rsid w:val="0084597F"/>
    <w:rsid w:val="00851938"/>
    <w:rsid w:val="00853552"/>
    <w:rsid w:val="00857910"/>
    <w:rsid w:val="00857A82"/>
    <w:rsid w:val="00860136"/>
    <w:rsid w:val="0086212C"/>
    <w:rsid w:val="00862397"/>
    <w:rsid w:val="008734EE"/>
    <w:rsid w:val="00873836"/>
    <w:rsid w:val="008811EB"/>
    <w:rsid w:val="00883A6E"/>
    <w:rsid w:val="00884DD3"/>
    <w:rsid w:val="00885737"/>
    <w:rsid w:val="00887EE1"/>
    <w:rsid w:val="00890650"/>
    <w:rsid w:val="00892C9E"/>
    <w:rsid w:val="00893014"/>
    <w:rsid w:val="00897095"/>
    <w:rsid w:val="00897E12"/>
    <w:rsid w:val="008A465B"/>
    <w:rsid w:val="008A4CF1"/>
    <w:rsid w:val="008A6643"/>
    <w:rsid w:val="008A7E0F"/>
    <w:rsid w:val="008B047C"/>
    <w:rsid w:val="008B12F5"/>
    <w:rsid w:val="008B28A9"/>
    <w:rsid w:val="008B2C33"/>
    <w:rsid w:val="008C2D07"/>
    <w:rsid w:val="008C3437"/>
    <w:rsid w:val="008C44BF"/>
    <w:rsid w:val="008D33D9"/>
    <w:rsid w:val="008D768D"/>
    <w:rsid w:val="008E3759"/>
    <w:rsid w:val="008E3BFE"/>
    <w:rsid w:val="008F12F9"/>
    <w:rsid w:val="008F1912"/>
    <w:rsid w:val="0090270B"/>
    <w:rsid w:val="00903F87"/>
    <w:rsid w:val="009041DC"/>
    <w:rsid w:val="00917332"/>
    <w:rsid w:val="00917B5A"/>
    <w:rsid w:val="00920A58"/>
    <w:rsid w:val="00920A8C"/>
    <w:rsid w:val="00926A3F"/>
    <w:rsid w:val="009317BA"/>
    <w:rsid w:val="00932CA8"/>
    <w:rsid w:val="00934A2C"/>
    <w:rsid w:val="0094022D"/>
    <w:rsid w:val="00942D54"/>
    <w:rsid w:val="00944059"/>
    <w:rsid w:val="009460B2"/>
    <w:rsid w:val="00952890"/>
    <w:rsid w:val="009537CA"/>
    <w:rsid w:val="00957117"/>
    <w:rsid w:val="0096112C"/>
    <w:rsid w:val="009621CB"/>
    <w:rsid w:val="0096395A"/>
    <w:rsid w:val="0096706E"/>
    <w:rsid w:val="00972AEF"/>
    <w:rsid w:val="00972B47"/>
    <w:rsid w:val="00974491"/>
    <w:rsid w:val="00975C4E"/>
    <w:rsid w:val="00976A22"/>
    <w:rsid w:val="00977736"/>
    <w:rsid w:val="00981A01"/>
    <w:rsid w:val="00981FBA"/>
    <w:rsid w:val="009858DB"/>
    <w:rsid w:val="00986E1B"/>
    <w:rsid w:val="0099561C"/>
    <w:rsid w:val="00997BC5"/>
    <w:rsid w:val="009A4F41"/>
    <w:rsid w:val="009A6862"/>
    <w:rsid w:val="009B381B"/>
    <w:rsid w:val="009B3884"/>
    <w:rsid w:val="009B7F97"/>
    <w:rsid w:val="009C2E1D"/>
    <w:rsid w:val="009C3193"/>
    <w:rsid w:val="009C6AF9"/>
    <w:rsid w:val="009C72FB"/>
    <w:rsid w:val="009D1753"/>
    <w:rsid w:val="009D402B"/>
    <w:rsid w:val="009D7099"/>
    <w:rsid w:val="009D7611"/>
    <w:rsid w:val="009E0B61"/>
    <w:rsid w:val="009E2152"/>
    <w:rsid w:val="009E53DE"/>
    <w:rsid w:val="009F061C"/>
    <w:rsid w:val="009F69E7"/>
    <w:rsid w:val="00A00438"/>
    <w:rsid w:val="00A01FA0"/>
    <w:rsid w:val="00A0267F"/>
    <w:rsid w:val="00A062CF"/>
    <w:rsid w:val="00A10690"/>
    <w:rsid w:val="00A11212"/>
    <w:rsid w:val="00A11E44"/>
    <w:rsid w:val="00A20530"/>
    <w:rsid w:val="00A270C0"/>
    <w:rsid w:val="00A277FC"/>
    <w:rsid w:val="00A32201"/>
    <w:rsid w:val="00A328B3"/>
    <w:rsid w:val="00A35904"/>
    <w:rsid w:val="00A36FFB"/>
    <w:rsid w:val="00A45EB2"/>
    <w:rsid w:val="00A50FCF"/>
    <w:rsid w:val="00A528D1"/>
    <w:rsid w:val="00A57CA4"/>
    <w:rsid w:val="00A57F2F"/>
    <w:rsid w:val="00A60D06"/>
    <w:rsid w:val="00A610CD"/>
    <w:rsid w:val="00A66202"/>
    <w:rsid w:val="00A67A02"/>
    <w:rsid w:val="00A72E43"/>
    <w:rsid w:val="00A758AA"/>
    <w:rsid w:val="00A819F3"/>
    <w:rsid w:val="00A820DF"/>
    <w:rsid w:val="00A8794A"/>
    <w:rsid w:val="00A9606E"/>
    <w:rsid w:val="00AA09A2"/>
    <w:rsid w:val="00AA2734"/>
    <w:rsid w:val="00AA5ABB"/>
    <w:rsid w:val="00AA7996"/>
    <w:rsid w:val="00AB1E46"/>
    <w:rsid w:val="00AB6A71"/>
    <w:rsid w:val="00AC19CB"/>
    <w:rsid w:val="00AC4823"/>
    <w:rsid w:val="00AC4F01"/>
    <w:rsid w:val="00AD3F22"/>
    <w:rsid w:val="00AD6DE9"/>
    <w:rsid w:val="00AE09AA"/>
    <w:rsid w:val="00AE211C"/>
    <w:rsid w:val="00AE3111"/>
    <w:rsid w:val="00AE3C6B"/>
    <w:rsid w:val="00AE5488"/>
    <w:rsid w:val="00AE6816"/>
    <w:rsid w:val="00AE6F91"/>
    <w:rsid w:val="00AE785E"/>
    <w:rsid w:val="00AF08D6"/>
    <w:rsid w:val="00AF0C8E"/>
    <w:rsid w:val="00AF5571"/>
    <w:rsid w:val="00AF7112"/>
    <w:rsid w:val="00B0133E"/>
    <w:rsid w:val="00B03431"/>
    <w:rsid w:val="00B04624"/>
    <w:rsid w:val="00B06A65"/>
    <w:rsid w:val="00B07341"/>
    <w:rsid w:val="00B1450D"/>
    <w:rsid w:val="00B16DC9"/>
    <w:rsid w:val="00B26D0A"/>
    <w:rsid w:val="00B272C2"/>
    <w:rsid w:val="00B30539"/>
    <w:rsid w:val="00B314DB"/>
    <w:rsid w:val="00B346BB"/>
    <w:rsid w:val="00B361F2"/>
    <w:rsid w:val="00B3718B"/>
    <w:rsid w:val="00B4632A"/>
    <w:rsid w:val="00B4765B"/>
    <w:rsid w:val="00B47EE4"/>
    <w:rsid w:val="00B51D56"/>
    <w:rsid w:val="00B530F1"/>
    <w:rsid w:val="00B54401"/>
    <w:rsid w:val="00B54B92"/>
    <w:rsid w:val="00B62F6C"/>
    <w:rsid w:val="00B634D6"/>
    <w:rsid w:val="00B6455B"/>
    <w:rsid w:val="00B67BE8"/>
    <w:rsid w:val="00B703DA"/>
    <w:rsid w:val="00B75B98"/>
    <w:rsid w:val="00B76FCB"/>
    <w:rsid w:val="00B772A4"/>
    <w:rsid w:val="00B83EB5"/>
    <w:rsid w:val="00B86FA6"/>
    <w:rsid w:val="00B91536"/>
    <w:rsid w:val="00B95B66"/>
    <w:rsid w:val="00B969BE"/>
    <w:rsid w:val="00BA276C"/>
    <w:rsid w:val="00BA3CF0"/>
    <w:rsid w:val="00BB306F"/>
    <w:rsid w:val="00BB3D44"/>
    <w:rsid w:val="00BB4597"/>
    <w:rsid w:val="00BB5E27"/>
    <w:rsid w:val="00BB796D"/>
    <w:rsid w:val="00BC7390"/>
    <w:rsid w:val="00BD030A"/>
    <w:rsid w:val="00BD3652"/>
    <w:rsid w:val="00BD4B89"/>
    <w:rsid w:val="00BD4E0A"/>
    <w:rsid w:val="00BD5922"/>
    <w:rsid w:val="00BD765D"/>
    <w:rsid w:val="00BF02CB"/>
    <w:rsid w:val="00BF3880"/>
    <w:rsid w:val="00BF4B31"/>
    <w:rsid w:val="00BF6FD8"/>
    <w:rsid w:val="00C03680"/>
    <w:rsid w:val="00C054DF"/>
    <w:rsid w:val="00C15D14"/>
    <w:rsid w:val="00C21762"/>
    <w:rsid w:val="00C21FEF"/>
    <w:rsid w:val="00C2238A"/>
    <w:rsid w:val="00C24543"/>
    <w:rsid w:val="00C246DB"/>
    <w:rsid w:val="00C256A2"/>
    <w:rsid w:val="00C27CA7"/>
    <w:rsid w:val="00C30B67"/>
    <w:rsid w:val="00C336D2"/>
    <w:rsid w:val="00C357A3"/>
    <w:rsid w:val="00C408B3"/>
    <w:rsid w:val="00C408F6"/>
    <w:rsid w:val="00C40C6D"/>
    <w:rsid w:val="00C432CE"/>
    <w:rsid w:val="00C432DF"/>
    <w:rsid w:val="00C51515"/>
    <w:rsid w:val="00C5275C"/>
    <w:rsid w:val="00C5660B"/>
    <w:rsid w:val="00C648AD"/>
    <w:rsid w:val="00C66B72"/>
    <w:rsid w:val="00C73774"/>
    <w:rsid w:val="00C806F3"/>
    <w:rsid w:val="00C87AC4"/>
    <w:rsid w:val="00C948AD"/>
    <w:rsid w:val="00C9567A"/>
    <w:rsid w:val="00C97A86"/>
    <w:rsid w:val="00CA6924"/>
    <w:rsid w:val="00CB212D"/>
    <w:rsid w:val="00CB2660"/>
    <w:rsid w:val="00CC17EB"/>
    <w:rsid w:val="00CC31F5"/>
    <w:rsid w:val="00CC3E88"/>
    <w:rsid w:val="00CC3EFE"/>
    <w:rsid w:val="00CC5E90"/>
    <w:rsid w:val="00CD046C"/>
    <w:rsid w:val="00CE076C"/>
    <w:rsid w:val="00CE326F"/>
    <w:rsid w:val="00CE466E"/>
    <w:rsid w:val="00CE5199"/>
    <w:rsid w:val="00CE66D5"/>
    <w:rsid w:val="00CE7BAA"/>
    <w:rsid w:val="00CF1802"/>
    <w:rsid w:val="00CF36D8"/>
    <w:rsid w:val="00CF432E"/>
    <w:rsid w:val="00CF637A"/>
    <w:rsid w:val="00CF73AE"/>
    <w:rsid w:val="00D0576E"/>
    <w:rsid w:val="00D059DE"/>
    <w:rsid w:val="00D05ABD"/>
    <w:rsid w:val="00D07FEA"/>
    <w:rsid w:val="00D11E79"/>
    <w:rsid w:val="00D13FCE"/>
    <w:rsid w:val="00D16580"/>
    <w:rsid w:val="00D26693"/>
    <w:rsid w:val="00D306D1"/>
    <w:rsid w:val="00D30800"/>
    <w:rsid w:val="00D313FE"/>
    <w:rsid w:val="00D32622"/>
    <w:rsid w:val="00D34786"/>
    <w:rsid w:val="00D37BFC"/>
    <w:rsid w:val="00D43E8A"/>
    <w:rsid w:val="00D47607"/>
    <w:rsid w:val="00D47A8E"/>
    <w:rsid w:val="00D507B1"/>
    <w:rsid w:val="00D52D14"/>
    <w:rsid w:val="00D670F0"/>
    <w:rsid w:val="00D67909"/>
    <w:rsid w:val="00D712D3"/>
    <w:rsid w:val="00D71422"/>
    <w:rsid w:val="00D72DC6"/>
    <w:rsid w:val="00D7558D"/>
    <w:rsid w:val="00D81D92"/>
    <w:rsid w:val="00D82149"/>
    <w:rsid w:val="00D84410"/>
    <w:rsid w:val="00D876F9"/>
    <w:rsid w:val="00D9498C"/>
    <w:rsid w:val="00DA7B14"/>
    <w:rsid w:val="00DA7B5F"/>
    <w:rsid w:val="00DB071C"/>
    <w:rsid w:val="00DB4BD9"/>
    <w:rsid w:val="00DB6C73"/>
    <w:rsid w:val="00DB7D6D"/>
    <w:rsid w:val="00DC11E7"/>
    <w:rsid w:val="00DC181F"/>
    <w:rsid w:val="00DC2590"/>
    <w:rsid w:val="00DC7023"/>
    <w:rsid w:val="00DC71F7"/>
    <w:rsid w:val="00DC769A"/>
    <w:rsid w:val="00DD0F4C"/>
    <w:rsid w:val="00DD15D3"/>
    <w:rsid w:val="00DD3243"/>
    <w:rsid w:val="00DD3D86"/>
    <w:rsid w:val="00DD4AD2"/>
    <w:rsid w:val="00DE1E49"/>
    <w:rsid w:val="00DE1F98"/>
    <w:rsid w:val="00DE4D0D"/>
    <w:rsid w:val="00DF1EC4"/>
    <w:rsid w:val="00E0340B"/>
    <w:rsid w:val="00E04A90"/>
    <w:rsid w:val="00E0551F"/>
    <w:rsid w:val="00E0728C"/>
    <w:rsid w:val="00E13B1E"/>
    <w:rsid w:val="00E21545"/>
    <w:rsid w:val="00E219C7"/>
    <w:rsid w:val="00E23DD1"/>
    <w:rsid w:val="00E30665"/>
    <w:rsid w:val="00E31B29"/>
    <w:rsid w:val="00E4118C"/>
    <w:rsid w:val="00E42D9A"/>
    <w:rsid w:val="00E43157"/>
    <w:rsid w:val="00E461CE"/>
    <w:rsid w:val="00E51909"/>
    <w:rsid w:val="00E51C68"/>
    <w:rsid w:val="00E51EB5"/>
    <w:rsid w:val="00E54F88"/>
    <w:rsid w:val="00E56BB6"/>
    <w:rsid w:val="00E618D2"/>
    <w:rsid w:val="00E63F73"/>
    <w:rsid w:val="00E70BA9"/>
    <w:rsid w:val="00E720CA"/>
    <w:rsid w:val="00E73C33"/>
    <w:rsid w:val="00E76E57"/>
    <w:rsid w:val="00E83433"/>
    <w:rsid w:val="00E84CCF"/>
    <w:rsid w:val="00E84EB5"/>
    <w:rsid w:val="00E85662"/>
    <w:rsid w:val="00E8789F"/>
    <w:rsid w:val="00E92E2C"/>
    <w:rsid w:val="00E97B71"/>
    <w:rsid w:val="00E97B77"/>
    <w:rsid w:val="00EA0EE6"/>
    <w:rsid w:val="00EA162E"/>
    <w:rsid w:val="00EA3D34"/>
    <w:rsid w:val="00EA5A54"/>
    <w:rsid w:val="00EA5AFF"/>
    <w:rsid w:val="00EB1E6E"/>
    <w:rsid w:val="00EB3781"/>
    <w:rsid w:val="00EB454D"/>
    <w:rsid w:val="00EC7D62"/>
    <w:rsid w:val="00ED549D"/>
    <w:rsid w:val="00ED76BE"/>
    <w:rsid w:val="00EE00E9"/>
    <w:rsid w:val="00EE144F"/>
    <w:rsid w:val="00EE43A2"/>
    <w:rsid w:val="00EF43F1"/>
    <w:rsid w:val="00EF5E73"/>
    <w:rsid w:val="00EF619B"/>
    <w:rsid w:val="00EF6F56"/>
    <w:rsid w:val="00EF7A00"/>
    <w:rsid w:val="00F00B55"/>
    <w:rsid w:val="00F0128A"/>
    <w:rsid w:val="00F02AD1"/>
    <w:rsid w:val="00F04003"/>
    <w:rsid w:val="00F04A86"/>
    <w:rsid w:val="00F06C5D"/>
    <w:rsid w:val="00F07201"/>
    <w:rsid w:val="00F10AC0"/>
    <w:rsid w:val="00F12328"/>
    <w:rsid w:val="00F253CC"/>
    <w:rsid w:val="00F359E9"/>
    <w:rsid w:val="00F37106"/>
    <w:rsid w:val="00F40282"/>
    <w:rsid w:val="00F42DAC"/>
    <w:rsid w:val="00F43D7B"/>
    <w:rsid w:val="00F47BA0"/>
    <w:rsid w:val="00F519CF"/>
    <w:rsid w:val="00F51FCC"/>
    <w:rsid w:val="00F56BA5"/>
    <w:rsid w:val="00F600FE"/>
    <w:rsid w:val="00F60E22"/>
    <w:rsid w:val="00F62620"/>
    <w:rsid w:val="00F62A69"/>
    <w:rsid w:val="00F67530"/>
    <w:rsid w:val="00F81395"/>
    <w:rsid w:val="00F81BB8"/>
    <w:rsid w:val="00F84BD8"/>
    <w:rsid w:val="00F84F8B"/>
    <w:rsid w:val="00F8780F"/>
    <w:rsid w:val="00F87FBF"/>
    <w:rsid w:val="00F90D77"/>
    <w:rsid w:val="00F917D1"/>
    <w:rsid w:val="00F93632"/>
    <w:rsid w:val="00F9653B"/>
    <w:rsid w:val="00F96BF8"/>
    <w:rsid w:val="00FA0D09"/>
    <w:rsid w:val="00FA7041"/>
    <w:rsid w:val="00FA7859"/>
    <w:rsid w:val="00FB2737"/>
    <w:rsid w:val="00FB62CF"/>
    <w:rsid w:val="00FB64D3"/>
    <w:rsid w:val="00FC152D"/>
    <w:rsid w:val="00FC2F21"/>
    <w:rsid w:val="00FC4DB7"/>
    <w:rsid w:val="00FC7657"/>
    <w:rsid w:val="00FD3C3B"/>
    <w:rsid w:val="00FD65DD"/>
    <w:rsid w:val="00FE07DD"/>
    <w:rsid w:val="00FE4917"/>
    <w:rsid w:val="00FE6B45"/>
    <w:rsid w:val="00FF0167"/>
    <w:rsid w:val="00FF4861"/>
    <w:rsid w:val="00FF55F3"/>
    <w:rsid w:val="00FF5851"/>
    <w:rsid w:val="00FF6453"/>
    <w:rsid w:val="00FF7B79"/>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es-PA" w:eastAsia="es-P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117"/>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rsid w:val="00D81D92"/>
    <w:pPr>
      <w:keepNext/>
      <w:keepLines/>
      <w:numPr>
        <w:numId w:val="96"/>
      </w:numPr>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D92"/>
    <w:rPr>
      <w:rFonts w:ascii="Cambria" w:eastAsia="MS Gothic" w:hAnsi="Cambria" w:cs="Times New Roman"/>
      <w:b/>
      <w:bCs/>
      <w:color w:val="365F91"/>
      <w:sz w:val="28"/>
      <w:szCs w:val="28"/>
      <w:lang w:val="en-US" w:eastAsia="en-US"/>
    </w:rPr>
  </w:style>
  <w:style w:type="character" w:customStyle="1" w:styleId="Heading2Char">
    <w:name w:val="Heading 2 Char"/>
    <w:basedOn w:val="DefaultParagraphFont"/>
    <w:link w:val="Heading2"/>
    <w:uiPriority w:val="99"/>
    <w:locked/>
    <w:rsid w:val="00DF1EC4"/>
    <w:rPr>
      <w:rFonts w:ascii="Arial" w:hAnsi="Arial" w:cs="Arial"/>
      <w:b/>
      <w:bCs/>
      <w:i/>
      <w:iCs/>
      <w:sz w:val="28"/>
      <w:szCs w:val="28"/>
      <w:lang w:val="en-US" w:eastAsia="en-US"/>
    </w:rPr>
  </w:style>
  <w:style w:type="character" w:customStyle="1" w:styleId="Heading3Char">
    <w:name w:val="Heading 3 Char"/>
    <w:basedOn w:val="DefaultParagraphFont"/>
    <w:link w:val="Heading3"/>
    <w:uiPriority w:val="99"/>
    <w:locked/>
    <w:rsid w:val="00DF1EC4"/>
    <w:rPr>
      <w:rFonts w:ascii="Arial" w:hAnsi="Arial" w:cs="Arial"/>
      <w:b/>
      <w:bCs/>
      <w:sz w:val="26"/>
      <w:szCs w:val="26"/>
      <w:lang w:val="en-US" w:eastAsia="en-US"/>
    </w:rPr>
  </w:style>
  <w:style w:type="character" w:styleId="Hyperlink">
    <w:name w:val="Hyperlink"/>
    <w:basedOn w:val="DefaultParagraphFont"/>
    <w:uiPriority w:val="99"/>
    <w:rsid w:val="00957117"/>
    <w:rPr>
      <w:rFonts w:cs="Times New Roman"/>
      <w:u w:val="single"/>
    </w:rPr>
  </w:style>
  <w:style w:type="paragraph" w:customStyle="1" w:styleId="Cabeceraypie">
    <w:name w:val="Cabecera y pie"/>
    <w:uiPriority w:val="99"/>
    <w:rsid w:val="00957117"/>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lang w:val="es-ES" w:eastAsia="es-ES"/>
    </w:rPr>
  </w:style>
  <w:style w:type="paragraph" w:styleId="Footer">
    <w:name w:val="footer"/>
    <w:basedOn w:val="Normal"/>
    <w:link w:val="FooterChar"/>
    <w:uiPriority w:val="99"/>
    <w:rsid w:val="00957117"/>
    <w:pPr>
      <w:tabs>
        <w:tab w:val="center" w:pos="4513"/>
        <w:tab w:val="right" w:pos="9026"/>
      </w:tabs>
    </w:pPr>
    <w:rPr>
      <w:rFonts w:ascii="Cambria" w:hAnsi="Cambria" w:cs="Cambria"/>
      <w:color w:val="000000"/>
      <w:u w:color="000000"/>
      <w:lang w:eastAsia="es-ES"/>
    </w:rPr>
  </w:style>
  <w:style w:type="character" w:customStyle="1" w:styleId="FooterChar">
    <w:name w:val="Footer Char"/>
    <w:basedOn w:val="DefaultParagraphFont"/>
    <w:link w:val="Footer"/>
    <w:uiPriority w:val="99"/>
    <w:locked/>
    <w:rsid w:val="00A50FCF"/>
    <w:rPr>
      <w:rFonts w:ascii="Cambria" w:hAnsi="Cambria" w:cs="Cambria"/>
      <w:color w:val="000000"/>
      <w:sz w:val="24"/>
      <w:szCs w:val="24"/>
      <w:u w:color="000000"/>
      <w:lang w:val="en-US" w:eastAsia="es-ES" w:bidi="ar-SA"/>
    </w:rPr>
  </w:style>
  <w:style w:type="paragraph" w:customStyle="1" w:styleId="Cuerpo">
    <w:name w:val="Cuerpo"/>
    <w:uiPriority w:val="99"/>
    <w:rsid w:val="0095711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lang w:val="es-ES" w:eastAsia="es-ES"/>
    </w:rPr>
  </w:style>
  <w:style w:type="paragraph" w:styleId="BodyTextIndent">
    <w:name w:val="Body Text Indent"/>
    <w:basedOn w:val="Normal"/>
    <w:link w:val="BodyTextIndentChar"/>
    <w:uiPriority w:val="99"/>
    <w:rsid w:val="00957117"/>
    <w:pPr>
      <w:ind w:left="2160" w:hanging="720"/>
    </w:pPr>
    <w:rPr>
      <w:rFonts w:eastAsia="Times New Roman"/>
      <w:color w:val="000000"/>
      <w:u w:color="000000"/>
      <w:lang w:val="es-ES_tradnl" w:eastAsia="es-ES"/>
    </w:rPr>
  </w:style>
  <w:style w:type="character" w:customStyle="1" w:styleId="BodyTextIndentChar">
    <w:name w:val="Body Text Indent Char"/>
    <w:basedOn w:val="DefaultParagraphFont"/>
    <w:link w:val="BodyTextIndent"/>
    <w:uiPriority w:val="99"/>
    <w:semiHidden/>
    <w:locked/>
    <w:rPr>
      <w:rFonts w:cs="Times New Roman"/>
      <w:sz w:val="24"/>
      <w:szCs w:val="24"/>
      <w:lang w:val="en-US" w:eastAsia="en-US"/>
    </w:rPr>
  </w:style>
  <w:style w:type="paragraph" w:styleId="ListParagraph">
    <w:name w:val="List Paragraph"/>
    <w:basedOn w:val="Normal"/>
    <w:uiPriority w:val="99"/>
    <w:qFormat/>
    <w:rsid w:val="00957117"/>
    <w:pPr>
      <w:ind w:left="720"/>
    </w:pPr>
    <w:rPr>
      <w:rFonts w:ascii="Cambria" w:hAnsi="Cambria" w:cs="Cambria"/>
      <w:color w:val="000000"/>
      <w:u w:color="000000"/>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
    <w:basedOn w:val="Normal"/>
    <w:link w:val="FootnoteTextChar1"/>
    <w:uiPriority w:val="99"/>
    <w:rsid w:val="00957117"/>
    <w:rPr>
      <w:rFonts w:ascii="Calibri" w:eastAsia="Times New Roman" w:hAnsi="Calibri"/>
      <w:color w:val="000000"/>
      <w:sz w:val="20"/>
      <w:szCs w:val="20"/>
      <w:u w:color="000000"/>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 Char"/>
    <w:basedOn w:val="DefaultParagraphFont"/>
    <w:uiPriority w:val="99"/>
    <w:semiHidden/>
    <w:locked/>
    <w:rPr>
      <w:rFonts w:cs="Times New Roman"/>
      <w:sz w:val="20"/>
      <w:szCs w:val="20"/>
      <w:lang w:val="en-US" w:eastAsia="en-US"/>
    </w:rPr>
  </w:style>
  <w:style w:type="paragraph" w:styleId="BalloonText">
    <w:name w:val="Balloon Text"/>
    <w:basedOn w:val="Normal"/>
    <w:link w:val="BalloonTextChar"/>
    <w:uiPriority w:val="99"/>
    <w:semiHidden/>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ar w:val="none" w:sz="0" w:color="auto"/>
      </w:pBdr>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basedOn w:val="DefaultParagraphFont"/>
    <w:link w:val="Header"/>
    <w:uiPriority w:val="99"/>
    <w:locked/>
    <w:rsid w:val="00D81D92"/>
    <w:rPr>
      <w:rFonts w:ascii="Univers" w:hAnsi="Univers" w:cs="Univers"/>
      <w:sz w:val="24"/>
      <w:szCs w:val="24"/>
      <w:lang w:val="en-US" w:eastAsia="en-US"/>
    </w:rPr>
  </w:style>
  <w:style w:type="table" w:styleId="MediumShading1-Accent1">
    <w:name w:val="Medium Shading 1 Accent 1"/>
    <w:basedOn w:val="TableNormal"/>
    <w:uiPriority w:val="99"/>
    <w:rsid w:val="006A17D2"/>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TOC2">
    <w:name w:val="toc 2"/>
    <w:basedOn w:val="Normal"/>
    <w:next w:val="Normal"/>
    <w:autoRedefine/>
    <w:uiPriority w:val="99"/>
    <w:rsid w:val="005C4225"/>
    <w:pPr>
      <w:tabs>
        <w:tab w:val="left" w:pos="1440"/>
        <w:tab w:val="right" w:leader="dot" w:pos="9350"/>
      </w:tabs>
      <w:spacing w:after="100"/>
      <w:ind w:left="1440" w:hanging="720"/>
    </w:pPr>
  </w:style>
  <w:style w:type="paragraph" w:styleId="TOC1">
    <w:name w:val="toc 1"/>
    <w:basedOn w:val="Normal"/>
    <w:next w:val="Normal"/>
    <w:autoRedefine/>
    <w:uiPriority w:val="99"/>
    <w:rsid w:val="005C4225"/>
    <w:pPr>
      <w:spacing w:after="100"/>
    </w:pPr>
    <w:rPr>
      <w:rFonts w:ascii="Calibri" w:hAnsi="Calibri"/>
      <w:sz w:val="22"/>
    </w:rPr>
  </w:style>
  <w:style w:type="paragraph" w:styleId="TOC3">
    <w:name w:val="toc 3"/>
    <w:basedOn w:val="Normal"/>
    <w:next w:val="Normal"/>
    <w:autoRedefine/>
    <w:uiPriority w:val="99"/>
    <w:rsid w:val="005C4225"/>
    <w:pPr>
      <w:tabs>
        <w:tab w:val="left" w:pos="880"/>
        <w:tab w:val="right" w:leader="dot" w:pos="9350"/>
      </w:tabs>
      <w:spacing w:after="100"/>
      <w:ind w:left="2160" w:hanging="720"/>
    </w:pPr>
  </w:style>
  <w:style w:type="paragraph" w:styleId="TOC4">
    <w:name w:val="toc 4"/>
    <w:basedOn w:val="Normal"/>
    <w:next w:val="Normal"/>
    <w:autoRedefine/>
    <w:uiPriority w:val="99"/>
    <w:rsid w:val="005C4225"/>
    <w:pPr>
      <w:spacing w:after="100"/>
      <w:ind w:left="720"/>
    </w:pPr>
  </w:style>
  <w:style w:type="character" w:styleId="PageNumber">
    <w:name w:val="page number"/>
    <w:basedOn w:val="DefaultParagraphFont"/>
    <w:uiPriority w:val="99"/>
    <w:rsid w:val="00040C3A"/>
    <w:rPr>
      <w:rFonts w:cs="Times New Roman"/>
    </w:rPr>
  </w:style>
  <w:style w:type="character" w:styleId="FootnoteReference">
    <w:name w:val="footnote reference"/>
    <w:aliases w:val="Footnotes refss,Ref. de nota al pie.,Texto de nota al pie,Appel note de bas de page,referencia nota al pie,BVI fnr,Footnote number,f1,Footnote symbol,Footnote,4_G,16 Point,Superscript 6 Point,Texto nota al pie,Ref,de nota al pie"/>
    <w:basedOn w:val="DefaultParagraphFont"/>
    <w:uiPriority w:val="99"/>
    <w:rsid w:val="000F35ED"/>
    <w:rPr>
      <w:rFonts w:cs="Times New Roman"/>
      <w:vertAlign w:val="superscript"/>
    </w:rPr>
  </w:style>
  <w:style w:type="paragraph" w:styleId="BodyTextIndent2">
    <w:name w:val="Body Text Indent 2"/>
    <w:basedOn w:val="Normal"/>
    <w:link w:val="BodyTextIndent2Char"/>
    <w:uiPriority w:val="99"/>
    <w:semiHidden/>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0F35ED"/>
    <w:rPr>
      <w:rFonts w:cs="Times New Roman"/>
      <w:sz w:val="24"/>
      <w:szCs w:val="24"/>
      <w:lang w:val="en-US" w:eastAsia="en-US"/>
    </w:rPr>
  </w:style>
  <w:style w:type="paragraph" w:styleId="BodyText">
    <w:name w:val="Body Text"/>
    <w:basedOn w:val="Normal"/>
    <w:link w:val="BodyTextChar"/>
    <w:uiPriority w:val="99"/>
    <w:semiHidden/>
    <w:rsid w:val="0031535D"/>
    <w:pPr>
      <w:spacing w:after="120"/>
    </w:pPr>
  </w:style>
  <w:style w:type="character" w:customStyle="1" w:styleId="BodyTextChar">
    <w:name w:val="Body Text Char"/>
    <w:basedOn w:val="DefaultParagraphFont"/>
    <w:link w:val="BodyText"/>
    <w:uiPriority w:val="99"/>
    <w:semiHidden/>
    <w:locked/>
    <w:rsid w:val="0031535D"/>
    <w:rPr>
      <w:rFonts w:cs="Times New Roman"/>
      <w:sz w:val="24"/>
      <w:szCs w:val="24"/>
      <w:lang w:val="en-US" w:eastAsia="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ink w:val="FootnoteText"/>
    <w:uiPriority w:val="99"/>
    <w:locked/>
    <w:rsid w:val="0031535D"/>
    <w:rPr>
      <w:rFonts w:ascii="Calibri" w:hAnsi="Calibri"/>
      <w:color w:val="000000"/>
      <w:u w:color="000000"/>
      <w:lang w:val="en-US"/>
    </w:rPr>
  </w:style>
  <w:style w:type="paragraph" w:customStyle="1" w:styleId="Default">
    <w:name w:val="Default"/>
    <w:link w:val="DefaultChar"/>
    <w:uiPriority w:val="99"/>
    <w:rsid w:val="00DF1EC4"/>
    <w:pPr>
      <w:pBdr>
        <w:top w:val="none" w:sz="96" w:space="31" w:color="FFFFFF" w:frame="1"/>
        <w:left w:val="none" w:sz="96" w:space="31" w:color="FFFFFF" w:frame="1"/>
        <w:bottom w:val="none" w:sz="96" w:space="31" w:color="FFFFFF" w:frame="1"/>
        <w:right w:val="none" w:sz="96" w:space="31" w:color="FFFFFF" w:frame="1"/>
        <w:bar w:val="none" w:sz="0" w:color="000000"/>
      </w:pBdr>
      <w:autoSpaceDE w:val="0"/>
      <w:autoSpaceDN w:val="0"/>
      <w:adjustRightInd w:val="0"/>
    </w:pPr>
    <w:rPr>
      <w:rFonts w:eastAsia="Times New Roman"/>
      <w:color w:val="000000"/>
      <w:sz w:val="24"/>
      <w:lang w:val="en-US" w:eastAsia="en-US"/>
    </w:rPr>
  </w:style>
  <w:style w:type="paragraph" w:styleId="EndnoteText">
    <w:name w:val="endnote text"/>
    <w:basedOn w:val="Normal"/>
    <w:link w:val="EndnoteTextChar"/>
    <w:uiPriority w:val="99"/>
    <w:rsid w:val="00DF1EC4"/>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eastAsia="Times New Roman"/>
    </w:rPr>
  </w:style>
  <w:style w:type="character" w:customStyle="1" w:styleId="EndnoteTextChar">
    <w:name w:val="Endnote Text Char"/>
    <w:basedOn w:val="DefaultParagraphFont"/>
    <w:link w:val="EndnoteText"/>
    <w:uiPriority w:val="99"/>
    <w:locked/>
    <w:rsid w:val="00DF1EC4"/>
    <w:rPr>
      <w:rFonts w:eastAsia="Times New Roman" w:cs="Times New Roman"/>
      <w:sz w:val="24"/>
      <w:szCs w:val="24"/>
      <w:lang w:val="en-US" w:eastAsia="en-US"/>
    </w:rPr>
  </w:style>
  <w:style w:type="character" w:customStyle="1" w:styleId="DefaultChar">
    <w:name w:val="Default Char"/>
    <w:link w:val="Default"/>
    <w:uiPriority w:val="99"/>
    <w:locked/>
    <w:rsid w:val="00DF1EC4"/>
    <w:rPr>
      <w:rFonts w:eastAsia="Times New Roman"/>
      <w:color w:val="000000"/>
      <w:sz w:val="22"/>
      <w:lang w:val="en-US" w:eastAsia="en-US"/>
    </w:rPr>
  </w:style>
  <w:style w:type="table" w:styleId="TableGrid">
    <w:name w:val="Table Grid"/>
    <w:basedOn w:val="TableNormal"/>
    <w:uiPriority w:val="99"/>
    <w:rsid w:val="003239B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CC17EB"/>
    <w:rPr>
      <w:rFonts w:cs="Times New Roman"/>
      <w:sz w:val="16"/>
      <w:szCs w:val="16"/>
    </w:rPr>
  </w:style>
  <w:style w:type="paragraph" w:styleId="CommentText">
    <w:name w:val="annotation text"/>
    <w:basedOn w:val="Normal"/>
    <w:link w:val="CommentTextChar"/>
    <w:uiPriority w:val="99"/>
    <w:rsid w:val="00CC17EB"/>
    <w:rPr>
      <w:sz w:val="20"/>
      <w:szCs w:val="20"/>
    </w:rPr>
  </w:style>
  <w:style w:type="character" w:customStyle="1" w:styleId="CommentTextChar">
    <w:name w:val="Comment Text Char"/>
    <w:basedOn w:val="DefaultParagraphFont"/>
    <w:link w:val="CommentText"/>
    <w:uiPriority w:val="99"/>
    <w:locked/>
    <w:rsid w:val="00CC17EB"/>
    <w:rPr>
      <w:rFonts w:cs="Times New Roman"/>
      <w:lang w:val="en-US" w:eastAsia="en-US"/>
    </w:rPr>
  </w:style>
  <w:style w:type="paragraph" w:styleId="CommentSubject">
    <w:name w:val="annotation subject"/>
    <w:basedOn w:val="CommentText"/>
    <w:next w:val="CommentText"/>
    <w:link w:val="CommentSubjectChar"/>
    <w:uiPriority w:val="99"/>
    <w:semiHidden/>
    <w:rsid w:val="00CC17EB"/>
    <w:rPr>
      <w:b/>
      <w:bCs/>
    </w:rPr>
  </w:style>
  <w:style w:type="character" w:customStyle="1" w:styleId="CommentSubjectChar">
    <w:name w:val="Comment Subject Char"/>
    <w:basedOn w:val="CommentTextChar"/>
    <w:link w:val="CommentSubject"/>
    <w:uiPriority w:val="99"/>
    <w:semiHidden/>
    <w:locked/>
    <w:rsid w:val="00CC17EB"/>
    <w:rPr>
      <w:rFonts w:cs="Times New Roman"/>
      <w:b/>
      <w:bCs/>
      <w:lang w:val="en-US" w:eastAsia="en-US"/>
    </w:rPr>
  </w:style>
  <w:style w:type="paragraph" w:styleId="Revision">
    <w:name w:val="Revision"/>
    <w:hidden/>
    <w:uiPriority w:val="99"/>
    <w:semiHidden/>
    <w:rsid w:val="00274443"/>
    <w:rPr>
      <w:sz w:val="24"/>
      <w:szCs w:val="24"/>
      <w:lang w:val="en-US" w:eastAsia="en-US"/>
    </w:rPr>
  </w:style>
  <w:style w:type="numbering" w:customStyle="1" w:styleId="List16">
    <w:name w:val="List 16"/>
    <w:rsid w:val="000975AB"/>
    <w:pPr>
      <w:numPr>
        <w:numId w:val="53"/>
      </w:numPr>
    </w:pPr>
  </w:style>
  <w:style w:type="numbering" w:customStyle="1" w:styleId="List36">
    <w:name w:val="List 36"/>
    <w:rsid w:val="000975AB"/>
    <w:pPr>
      <w:numPr>
        <w:numId w:val="57"/>
      </w:numPr>
    </w:pPr>
  </w:style>
  <w:style w:type="numbering" w:customStyle="1" w:styleId="List25">
    <w:name w:val="List 25"/>
    <w:rsid w:val="000975AB"/>
    <w:pPr>
      <w:numPr>
        <w:numId w:val="58"/>
      </w:numPr>
    </w:pPr>
  </w:style>
  <w:style w:type="numbering" w:customStyle="1" w:styleId="List1">
    <w:name w:val="List 1"/>
    <w:rsid w:val="000975AB"/>
    <w:pPr>
      <w:numPr>
        <w:numId w:val="2"/>
      </w:numPr>
    </w:pPr>
  </w:style>
  <w:style w:type="numbering" w:customStyle="1" w:styleId="List11">
    <w:name w:val="List 11"/>
    <w:rsid w:val="000975AB"/>
    <w:pPr>
      <w:numPr>
        <w:numId w:val="20"/>
      </w:numPr>
    </w:pPr>
  </w:style>
  <w:style w:type="numbering" w:customStyle="1" w:styleId="List15">
    <w:name w:val="List 15"/>
    <w:rsid w:val="000975AB"/>
    <w:pPr>
      <w:numPr>
        <w:numId w:val="59"/>
      </w:numPr>
    </w:pPr>
  </w:style>
  <w:style w:type="numbering" w:customStyle="1" w:styleId="List14">
    <w:name w:val="List 14"/>
    <w:rsid w:val="000975AB"/>
    <w:pPr>
      <w:numPr>
        <w:numId w:val="60"/>
      </w:numPr>
    </w:pPr>
  </w:style>
  <w:style w:type="numbering" w:customStyle="1" w:styleId="List23">
    <w:name w:val="List 23"/>
    <w:rsid w:val="000975AB"/>
    <w:pPr>
      <w:numPr>
        <w:numId w:val="61"/>
      </w:numPr>
    </w:pPr>
  </w:style>
  <w:style w:type="numbering" w:customStyle="1" w:styleId="List19">
    <w:name w:val="List 19"/>
    <w:rsid w:val="000975AB"/>
    <w:pPr>
      <w:numPr>
        <w:numId w:val="62"/>
      </w:numPr>
    </w:pPr>
  </w:style>
  <w:style w:type="numbering" w:customStyle="1" w:styleId="List45">
    <w:name w:val="List 45"/>
    <w:rsid w:val="000975AB"/>
    <w:pPr>
      <w:numPr>
        <w:numId w:val="63"/>
      </w:numPr>
    </w:pPr>
  </w:style>
  <w:style w:type="numbering" w:customStyle="1" w:styleId="List40">
    <w:name w:val="List 40"/>
    <w:rsid w:val="000975AB"/>
    <w:pPr>
      <w:numPr>
        <w:numId w:val="64"/>
      </w:numPr>
    </w:pPr>
  </w:style>
  <w:style w:type="numbering" w:customStyle="1" w:styleId="List9">
    <w:name w:val="List 9"/>
    <w:rsid w:val="000975AB"/>
    <w:pPr>
      <w:numPr>
        <w:numId w:val="65"/>
      </w:numPr>
    </w:pPr>
  </w:style>
  <w:style w:type="numbering" w:customStyle="1" w:styleId="List43">
    <w:name w:val="List 43"/>
    <w:rsid w:val="000975AB"/>
    <w:pPr>
      <w:numPr>
        <w:numId w:val="66"/>
      </w:numPr>
    </w:pPr>
  </w:style>
  <w:style w:type="numbering" w:customStyle="1" w:styleId="List46">
    <w:name w:val="List 46"/>
    <w:rsid w:val="000975AB"/>
    <w:pPr>
      <w:numPr>
        <w:numId w:val="67"/>
      </w:numPr>
    </w:pPr>
  </w:style>
  <w:style w:type="numbering" w:customStyle="1" w:styleId="List35">
    <w:name w:val="List 35"/>
    <w:rsid w:val="000975AB"/>
    <w:pPr>
      <w:numPr>
        <w:numId w:val="35"/>
      </w:numPr>
    </w:pPr>
  </w:style>
  <w:style w:type="numbering" w:customStyle="1" w:styleId="List17">
    <w:name w:val="List 17"/>
    <w:rsid w:val="000975AB"/>
    <w:pPr>
      <w:numPr>
        <w:numId w:val="68"/>
      </w:numPr>
    </w:pPr>
  </w:style>
  <w:style w:type="numbering" w:customStyle="1" w:styleId="List33">
    <w:name w:val="List 33"/>
    <w:rsid w:val="000975AB"/>
    <w:pPr>
      <w:numPr>
        <w:numId w:val="69"/>
      </w:numPr>
    </w:pPr>
  </w:style>
  <w:style w:type="numbering" w:customStyle="1" w:styleId="List7">
    <w:name w:val="List 7"/>
    <w:rsid w:val="000975AB"/>
    <w:pPr>
      <w:numPr>
        <w:numId w:val="8"/>
      </w:numPr>
    </w:pPr>
  </w:style>
  <w:style w:type="numbering" w:customStyle="1" w:styleId="List18">
    <w:name w:val="List 18"/>
    <w:rsid w:val="000975AB"/>
    <w:pPr>
      <w:numPr>
        <w:numId w:val="70"/>
      </w:numPr>
    </w:pPr>
  </w:style>
  <w:style w:type="numbering" w:customStyle="1" w:styleId="List22">
    <w:name w:val="List 22"/>
    <w:rsid w:val="000975AB"/>
    <w:pPr>
      <w:numPr>
        <w:numId w:val="71"/>
      </w:numPr>
    </w:pPr>
  </w:style>
  <w:style w:type="numbering" w:customStyle="1" w:styleId="List47">
    <w:name w:val="List 47"/>
    <w:rsid w:val="000975AB"/>
    <w:pPr>
      <w:numPr>
        <w:numId w:val="72"/>
      </w:numPr>
    </w:pPr>
  </w:style>
  <w:style w:type="numbering" w:customStyle="1" w:styleId="List28">
    <w:name w:val="List 28"/>
    <w:rsid w:val="000975AB"/>
    <w:pPr>
      <w:numPr>
        <w:numId w:val="73"/>
      </w:numPr>
    </w:pPr>
  </w:style>
  <w:style w:type="numbering" w:customStyle="1" w:styleId="List10">
    <w:name w:val="List 10"/>
    <w:rsid w:val="000975AB"/>
    <w:pPr>
      <w:numPr>
        <w:numId w:val="11"/>
      </w:numPr>
    </w:pPr>
  </w:style>
  <w:style w:type="numbering" w:customStyle="1" w:styleId="List0">
    <w:name w:val="List 0"/>
    <w:rsid w:val="000975AB"/>
    <w:pPr>
      <w:numPr>
        <w:numId w:val="74"/>
      </w:numPr>
    </w:pPr>
  </w:style>
  <w:style w:type="numbering" w:customStyle="1" w:styleId="List30">
    <w:name w:val="List 30"/>
    <w:rsid w:val="000975AB"/>
    <w:pPr>
      <w:numPr>
        <w:numId w:val="75"/>
      </w:numPr>
    </w:pPr>
  </w:style>
  <w:style w:type="numbering" w:customStyle="1" w:styleId="List29">
    <w:name w:val="List 29"/>
    <w:rsid w:val="000975AB"/>
    <w:pPr>
      <w:numPr>
        <w:numId w:val="77"/>
      </w:numPr>
    </w:pPr>
  </w:style>
  <w:style w:type="numbering" w:customStyle="1" w:styleId="List38">
    <w:name w:val="List 38"/>
    <w:rsid w:val="000975AB"/>
    <w:pPr>
      <w:numPr>
        <w:numId w:val="78"/>
      </w:numPr>
    </w:pPr>
  </w:style>
  <w:style w:type="numbering" w:customStyle="1" w:styleId="List12">
    <w:name w:val="List 12"/>
    <w:rsid w:val="000975AB"/>
    <w:pPr>
      <w:numPr>
        <w:numId w:val="79"/>
      </w:numPr>
    </w:pPr>
  </w:style>
  <w:style w:type="numbering" w:customStyle="1" w:styleId="List50">
    <w:name w:val="List 50"/>
    <w:rsid w:val="000975AB"/>
    <w:pPr>
      <w:numPr>
        <w:numId w:val="80"/>
      </w:numPr>
    </w:pPr>
  </w:style>
  <w:style w:type="numbering" w:customStyle="1" w:styleId="List34">
    <w:name w:val="List 34"/>
    <w:rsid w:val="000975AB"/>
    <w:pPr>
      <w:numPr>
        <w:numId w:val="54"/>
      </w:numPr>
    </w:pPr>
  </w:style>
  <w:style w:type="numbering" w:customStyle="1" w:styleId="List42">
    <w:name w:val="List 42"/>
    <w:rsid w:val="000975AB"/>
    <w:pPr>
      <w:numPr>
        <w:numId w:val="55"/>
      </w:numPr>
    </w:pPr>
  </w:style>
  <w:style w:type="numbering" w:customStyle="1" w:styleId="List49">
    <w:name w:val="List 49"/>
    <w:rsid w:val="000975AB"/>
    <w:pPr>
      <w:numPr>
        <w:numId w:val="82"/>
      </w:numPr>
    </w:pPr>
  </w:style>
  <w:style w:type="numbering" w:customStyle="1" w:styleId="List44">
    <w:name w:val="List 44"/>
    <w:rsid w:val="000975AB"/>
    <w:pPr>
      <w:numPr>
        <w:numId w:val="83"/>
      </w:numPr>
    </w:pPr>
  </w:style>
  <w:style w:type="numbering" w:customStyle="1" w:styleId="List21">
    <w:name w:val="List 21"/>
    <w:rsid w:val="000975AB"/>
    <w:pPr>
      <w:numPr>
        <w:numId w:val="95"/>
      </w:numPr>
    </w:pPr>
  </w:style>
  <w:style w:type="numbering" w:customStyle="1" w:styleId="List52">
    <w:name w:val="List 52"/>
    <w:rsid w:val="000975AB"/>
    <w:pPr>
      <w:numPr>
        <w:numId w:val="52"/>
      </w:numPr>
    </w:pPr>
  </w:style>
  <w:style w:type="numbering" w:customStyle="1" w:styleId="List24">
    <w:name w:val="List 24"/>
    <w:rsid w:val="000975AB"/>
    <w:pPr>
      <w:numPr>
        <w:numId w:val="56"/>
      </w:numPr>
    </w:pPr>
  </w:style>
  <w:style w:type="numbering" w:customStyle="1" w:styleId="List51">
    <w:name w:val="List 51"/>
    <w:rsid w:val="000975AB"/>
    <w:pPr>
      <w:numPr>
        <w:numId w:val="98"/>
      </w:numPr>
    </w:pPr>
  </w:style>
  <w:style w:type="numbering" w:customStyle="1" w:styleId="List27">
    <w:name w:val="List 27"/>
    <w:rsid w:val="000975AB"/>
    <w:pPr>
      <w:numPr>
        <w:numId w:val="84"/>
      </w:numPr>
    </w:pPr>
  </w:style>
  <w:style w:type="numbering" w:customStyle="1" w:styleId="List8">
    <w:name w:val="List 8"/>
    <w:rsid w:val="000975AB"/>
    <w:pPr>
      <w:numPr>
        <w:numId w:val="9"/>
      </w:numPr>
    </w:pPr>
  </w:style>
  <w:style w:type="numbering" w:customStyle="1" w:styleId="List13">
    <w:name w:val="List 13"/>
    <w:rsid w:val="000975AB"/>
    <w:pPr>
      <w:numPr>
        <w:numId w:val="85"/>
      </w:numPr>
    </w:pPr>
  </w:style>
  <w:style w:type="numbering" w:customStyle="1" w:styleId="List20">
    <w:name w:val="List 20"/>
    <w:rsid w:val="000975AB"/>
    <w:pPr>
      <w:numPr>
        <w:numId w:val="86"/>
      </w:numPr>
    </w:pPr>
  </w:style>
  <w:style w:type="numbering" w:customStyle="1" w:styleId="List41">
    <w:name w:val="List 41"/>
    <w:rsid w:val="000975AB"/>
    <w:pPr>
      <w:numPr>
        <w:numId w:val="87"/>
      </w:numPr>
    </w:pPr>
  </w:style>
  <w:style w:type="numbering" w:customStyle="1" w:styleId="List31">
    <w:name w:val="List 31"/>
    <w:rsid w:val="000975AB"/>
    <w:pPr>
      <w:numPr>
        <w:numId w:val="88"/>
      </w:numPr>
    </w:pPr>
  </w:style>
  <w:style w:type="numbering" w:customStyle="1" w:styleId="List6">
    <w:name w:val="List 6"/>
    <w:rsid w:val="000975AB"/>
    <w:pPr>
      <w:numPr>
        <w:numId w:val="7"/>
      </w:numPr>
    </w:pPr>
  </w:style>
  <w:style w:type="numbering" w:customStyle="1" w:styleId="List39">
    <w:name w:val="List 39"/>
    <w:rsid w:val="000975AB"/>
    <w:pPr>
      <w:numPr>
        <w:numId w:val="89"/>
      </w:numPr>
    </w:pPr>
  </w:style>
  <w:style w:type="numbering" w:customStyle="1" w:styleId="List37">
    <w:name w:val="List 37"/>
    <w:rsid w:val="000975AB"/>
    <w:pPr>
      <w:numPr>
        <w:numId w:val="90"/>
      </w:numPr>
    </w:pPr>
  </w:style>
  <w:style w:type="numbering" w:customStyle="1" w:styleId="List32">
    <w:name w:val="List 32"/>
    <w:rsid w:val="000975AB"/>
    <w:pPr>
      <w:numPr>
        <w:numId w:val="91"/>
      </w:numPr>
    </w:pPr>
  </w:style>
  <w:style w:type="numbering" w:customStyle="1" w:styleId="List26">
    <w:name w:val="List 26"/>
    <w:rsid w:val="000975AB"/>
    <w:pPr>
      <w:numPr>
        <w:numId w:val="92"/>
      </w:numPr>
    </w:pPr>
  </w:style>
  <w:style w:type="numbering" w:customStyle="1" w:styleId="List48">
    <w:name w:val="List 48"/>
    <w:rsid w:val="000975AB"/>
    <w:pPr>
      <w:numPr>
        <w:numId w:val="9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795673">
      <w:marLeft w:val="0"/>
      <w:marRight w:val="0"/>
      <w:marTop w:val="0"/>
      <w:marBottom w:val="0"/>
      <w:divBdr>
        <w:top w:val="none" w:sz="0" w:space="0" w:color="auto"/>
        <w:left w:val="none" w:sz="0" w:space="0" w:color="auto"/>
        <w:bottom w:val="none" w:sz="0" w:space="0" w:color="auto"/>
        <w:right w:val="none" w:sz="0" w:space="0" w:color="auto"/>
      </w:divBdr>
    </w:div>
    <w:div w:id="1866795674">
      <w:marLeft w:val="0"/>
      <w:marRight w:val="0"/>
      <w:marTop w:val="0"/>
      <w:marBottom w:val="0"/>
      <w:divBdr>
        <w:top w:val="none" w:sz="0" w:space="0" w:color="auto"/>
        <w:left w:val="none" w:sz="0" w:space="0" w:color="auto"/>
        <w:bottom w:val="none" w:sz="0" w:space="0" w:color="auto"/>
        <w:right w:val="none" w:sz="0" w:space="0" w:color="auto"/>
      </w:divBdr>
    </w:div>
    <w:div w:id="1866795675">
      <w:marLeft w:val="0"/>
      <w:marRight w:val="0"/>
      <w:marTop w:val="0"/>
      <w:marBottom w:val="0"/>
      <w:divBdr>
        <w:top w:val="none" w:sz="0" w:space="0" w:color="auto"/>
        <w:left w:val="none" w:sz="0" w:space="0" w:color="auto"/>
        <w:bottom w:val="none" w:sz="0" w:space="0" w:color="auto"/>
        <w:right w:val="none" w:sz="0" w:space="0" w:color="auto"/>
      </w:divBdr>
    </w:div>
    <w:div w:id="18667956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2927</Words>
  <Characters>15665</Characters>
  <Application>Microsoft Office Word</Application>
  <DocSecurity>0</DocSecurity>
  <Lines>333</Lines>
  <Paragraphs>96</Paragraphs>
  <ScaleCrop>false</ScaleCrop>
  <Company/>
  <LinksUpToDate>false</LinksUpToDate>
  <CharactersWithSpaces>18496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129/20</dc:title>
  <dc:subject/>
  <dc:creator/>
  <cp:keywords/>
  <dc:description/>
  <cp:lastModifiedBy/>
  <cp:revision>1</cp:revision>
  <dcterms:created xsi:type="dcterms:W3CDTF">2020-07-13T13:57:00Z</dcterms:created>
  <dcterms:modified xsi:type="dcterms:W3CDTF">2020-07-13T13:57:00Z</dcterms:modified>
</cp:coreProperties>
</file>