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D01EE8">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D01EE8">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D01EE8">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D01EE8">
      <w:pPr>
        <w:tabs>
          <w:tab w:val="center" w:pos="5400"/>
        </w:tabs>
        <w:suppressAutoHyphens/>
        <w:jc w:val="both"/>
        <w:rPr>
          <w:rFonts w:asciiTheme="majorHAnsi" w:hAnsiTheme="majorHAnsi"/>
          <w:sz w:val="22"/>
          <w:szCs w:val="22"/>
          <w:lang w:val="es-ES_tradnl"/>
        </w:rPr>
      </w:pPr>
    </w:p>
    <w:p w14:paraId="515D20A5" w14:textId="77777777" w:rsidR="005128E4" w:rsidRPr="003C32BC" w:rsidRDefault="005128E4" w:rsidP="00D01EE8">
      <w:pPr>
        <w:tabs>
          <w:tab w:val="center" w:pos="5400"/>
        </w:tabs>
        <w:suppressAutoHyphens/>
        <w:jc w:val="both"/>
        <w:rPr>
          <w:rFonts w:asciiTheme="majorHAnsi" w:hAnsiTheme="majorHAnsi"/>
          <w:sz w:val="22"/>
          <w:szCs w:val="22"/>
          <w:lang w:val="es-ES_tradnl"/>
        </w:rPr>
      </w:pPr>
    </w:p>
    <w:p w14:paraId="7CBA3E7E" w14:textId="77777777" w:rsidR="005128E4" w:rsidRPr="003C32BC" w:rsidRDefault="005128E4" w:rsidP="00D01EE8">
      <w:pPr>
        <w:tabs>
          <w:tab w:val="center" w:pos="5400"/>
        </w:tabs>
        <w:suppressAutoHyphens/>
        <w:jc w:val="both"/>
        <w:rPr>
          <w:rFonts w:asciiTheme="majorHAnsi" w:hAnsiTheme="majorHAnsi"/>
          <w:sz w:val="22"/>
          <w:szCs w:val="22"/>
          <w:lang w:val="es-ES_tradnl"/>
        </w:rPr>
      </w:pPr>
    </w:p>
    <w:p w14:paraId="0FFC5ED6"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5FCF0358"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23C02B60" w14:textId="77777777" w:rsidR="005B52B0" w:rsidRPr="003C32BC" w:rsidRDefault="005B52B0" w:rsidP="00D01EE8">
      <w:pPr>
        <w:tabs>
          <w:tab w:val="center" w:pos="5400"/>
        </w:tabs>
        <w:suppressAutoHyphens/>
        <w:jc w:val="both"/>
        <w:rPr>
          <w:rFonts w:asciiTheme="majorHAnsi" w:hAnsiTheme="majorHAnsi"/>
          <w:sz w:val="22"/>
          <w:szCs w:val="22"/>
          <w:lang w:val="es-ES_tradnl"/>
        </w:rPr>
      </w:pPr>
    </w:p>
    <w:p w14:paraId="1E4CC4A3" w14:textId="77777777" w:rsidR="005B52B0" w:rsidRPr="003C32BC" w:rsidRDefault="005B52B0" w:rsidP="00D01EE8">
      <w:pPr>
        <w:tabs>
          <w:tab w:val="center" w:pos="5400"/>
        </w:tabs>
        <w:suppressAutoHyphens/>
        <w:jc w:val="both"/>
        <w:rPr>
          <w:rFonts w:asciiTheme="majorHAnsi" w:hAnsiTheme="majorHAnsi"/>
          <w:sz w:val="22"/>
          <w:szCs w:val="22"/>
          <w:lang w:val="es-ES_tradnl"/>
        </w:rPr>
      </w:pPr>
    </w:p>
    <w:p w14:paraId="022074FD" w14:textId="77777777" w:rsidR="005B52B0" w:rsidRPr="003C32BC" w:rsidRDefault="005B52B0" w:rsidP="00D01EE8">
      <w:pPr>
        <w:tabs>
          <w:tab w:val="center" w:pos="5400"/>
        </w:tabs>
        <w:suppressAutoHyphens/>
        <w:jc w:val="both"/>
        <w:rPr>
          <w:rFonts w:asciiTheme="majorHAnsi" w:hAnsiTheme="majorHAnsi"/>
          <w:sz w:val="22"/>
          <w:szCs w:val="22"/>
          <w:lang w:val="es-ES_tradnl"/>
        </w:rPr>
      </w:pPr>
    </w:p>
    <w:p w14:paraId="3234C43C"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2D58FFBA"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4A574974"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11A9BA8A" w14:textId="64614996" w:rsidR="00040C3A" w:rsidRPr="003C32BC" w:rsidRDefault="00DD50BC" w:rsidP="00D01EE8">
      <w:pPr>
        <w:tabs>
          <w:tab w:val="center" w:pos="5400"/>
        </w:tabs>
        <w:suppressAutoHyphens/>
        <w:jc w:val="both"/>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4768FFFC">
                <wp:simplePos x="0" y="0"/>
                <wp:positionH relativeFrom="column">
                  <wp:posOffset>-386442</wp:posOffset>
                </wp:positionH>
                <wp:positionV relativeFrom="paragraph">
                  <wp:posOffset>129086</wp:posOffset>
                </wp:positionV>
                <wp:extent cx="1350464"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50464"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43000622" w:rsidR="00302748" w:rsidRDefault="00DD50BC" w:rsidP="009E566A">
                            <w:pPr>
                              <w:jc w:val="right"/>
                              <w:rPr>
                                <w:rFonts w:asciiTheme="minorHAnsi" w:hAnsiTheme="minorHAnsi"/>
                                <w:color w:val="FF0000"/>
                                <w:sz w:val="22"/>
                                <w:lang w:val="pt-BR"/>
                              </w:rPr>
                            </w:pPr>
                            <w:r>
                              <w:rPr>
                                <w:rFonts w:asciiTheme="minorHAnsi" w:hAnsiTheme="minorHAnsi"/>
                                <w:color w:val="FFFFFF" w:themeColor="background1"/>
                                <w:sz w:val="22"/>
                                <w:lang w:val="pt-BR"/>
                              </w:rPr>
                              <w:t>OEA/Ser.L/V/II.</w:t>
                            </w:r>
                          </w:p>
                          <w:p w14:paraId="4AA08A8C" w14:textId="722D9E34"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D50BC">
                              <w:rPr>
                                <w:rFonts w:asciiTheme="minorHAnsi" w:hAnsiTheme="minorHAnsi"/>
                                <w:color w:val="FFFFFF" w:themeColor="background1"/>
                                <w:sz w:val="22"/>
                                <w:lang w:val="pt-BR"/>
                              </w:rPr>
                              <w:t>290</w:t>
                            </w:r>
                          </w:p>
                          <w:p w14:paraId="0BEFF61A" w14:textId="6218E6B6"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DD50BC">
                              <w:rPr>
                                <w:rFonts w:asciiTheme="minorHAnsi" w:hAnsiTheme="minorHAnsi"/>
                                <w:color w:val="FFFFFF" w:themeColor="background1"/>
                                <w:sz w:val="22"/>
                              </w:rPr>
                              <w:t>23 September</w:t>
                            </w:r>
                            <w:r w:rsidR="00167D72">
                              <w:rPr>
                                <w:rFonts w:asciiTheme="minorHAnsi" w:hAnsiTheme="minorHAnsi"/>
                                <w:color w:val="FFFFFF" w:themeColor="background1"/>
                                <w:sz w:val="22"/>
                              </w:rPr>
                              <w:t xml:space="preserve"> 2020</w:t>
                            </w:r>
                          </w:p>
                          <w:p w14:paraId="0FC103BD" w14:textId="07D05541" w:rsidR="00627C9F" w:rsidRDefault="00627C9F" w:rsidP="009E566A">
                            <w:pPr>
                              <w:jc w:val="right"/>
                              <w:rPr>
                                <w:rFonts w:asciiTheme="minorHAnsi" w:hAnsiTheme="minorHAnsi"/>
                                <w:color w:val="FF0000"/>
                                <w:sz w:val="22"/>
                              </w:rPr>
                            </w:pPr>
                            <w:r w:rsidRPr="004B7EB6">
                              <w:rPr>
                                <w:rFonts w:asciiTheme="minorHAnsi" w:hAnsiTheme="minorHAnsi"/>
                                <w:color w:val="FFFFFF" w:themeColor="background1"/>
                                <w:sz w:val="22"/>
                              </w:rPr>
                              <w:t>Original:</w:t>
                            </w:r>
                            <w:r w:rsidR="00DD50BC">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p w14:paraId="5F1F7BEA" w14:textId="1752F060" w:rsidR="00302748" w:rsidRPr="00302748" w:rsidRDefault="00302748"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7" type="#_x0000_t202" style="position:absolute;left:0;text-align:left;margin-left:-30.45pt;margin-top:10.15pt;width:106.3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" filled="f" stroked="f" strokeweight=".5pt">
                <v:textbox>
                  <w:txbxContent>
                    <w:p w14:paraId="3F823D97" w14:textId="43000622" w:rsidR="00302748" w:rsidRDefault="00DD50BC" w:rsidP="009E566A">
                      <w:pPr>
                        <w:jc w:val="right"/>
                        <w:rPr>
                          <w:rFonts w:asciiTheme="minorHAnsi" w:hAnsiTheme="minorHAnsi"/>
                          <w:color w:val="FF0000"/>
                          <w:sz w:val="22"/>
                          <w:lang w:val="pt-BR"/>
                        </w:rPr>
                      </w:pPr>
                      <w:r>
                        <w:rPr>
                          <w:rFonts w:asciiTheme="minorHAnsi" w:hAnsiTheme="minorHAnsi"/>
                          <w:color w:val="FFFFFF" w:themeColor="background1"/>
                          <w:sz w:val="22"/>
                          <w:lang w:val="pt-BR"/>
                        </w:rPr>
                        <w:t>OEA/Ser.L/V/II.</w:t>
                      </w:r>
                    </w:p>
                    <w:p w14:paraId="4AA08A8C" w14:textId="722D9E34"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D50BC">
                        <w:rPr>
                          <w:rFonts w:asciiTheme="minorHAnsi" w:hAnsiTheme="minorHAnsi"/>
                          <w:color w:val="FFFFFF" w:themeColor="background1"/>
                          <w:sz w:val="22"/>
                          <w:lang w:val="pt-BR"/>
                        </w:rPr>
                        <w:t>290</w:t>
                      </w:r>
                    </w:p>
                    <w:p w14:paraId="0BEFF61A" w14:textId="6218E6B6"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DD50BC">
                        <w:rPr>
                          <w:rFonts w:asciiTheme="minorHAnsi" w:hAnsiTheme="minorHAnsi"/>
                          <w:color w:val="FFFFFF" w:themeColor="background1"/>
                          <w:sz w:val="22"/>
                        </w:rPr>
                        <w:t>23 September</w:t>
                      </w:r>
                      <w:r w:rsidR="00167D72">
                        <w:rPr>
                          <w:rFonts w:asciiTheme="minorHAnsi" w:hAnsiTheme="minorHAnsi"/>
                          <w:color w:val="FFFFFF" w:themeColor="background1"/>
                          <w:sz w:val="22"/>
                        </w:rPr>
                        <w:t xml:space="preserve"> 2020</w:t>
                      </w:r>
                    </w:p>
                    <w:p w14:paraId="0FC103BD" w14:textId="07D05541" w:rsidR="00627C9F" w:rsidRDefault="00627C9F" w:rsidP="009E566A">
                      <w:pPr>
                        <w:jc w:val="right"/>
                        <w:rPr>
                          <w:rFonts w:asciiTheme="minorHAnsi" w:hAnsiTheme="minorHAnsi"/>
                          <w:color w:val="FF0000"/>
                          <w:sz w:val="22"/>
                        </w:rPr>
                      </w:pPr>
                      <w:r w:rsidRPr="004B7EB6">
                        <w:rPr>
                          <w:rFonts w:asciiTheme="minorHAnsi" w:hAnsiTheme="minorHAnsi"/>
                          <w:color w:val="FFFFFF" w:themeColor="background1"/>
                          <w:sz w:val="22"/>
                        </w:rPr>
                        <w:t>Original:</w:t>
                      </w:r>
                      <w:r w:rsidR="00DD50BC">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p w14:paraId="5F1F7BEA" w14:textId="1752F060" w:rsidR="00302748" w:rsidRPr="00302748" w:rsidRDefault="00302748" w:rsidP="009E566A">
                      <w:pPr>
                        <w:jc w:val="right"/>
                        <w:rPr>
                          <w:rFonts w:asciiTheme="minorHAnsi" w:hAnsiTheme="minorHAnsi"/>
                          <w:color w:val="FFFFFF" w:themeColor="background1"/>
                          <w:sz w:val="22"/>
                        </w:rPr>
                      </w:pP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0F56D2E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9B8AC0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D50BC">
                              <w:rPr>
                                <w:rFonts w:asciiTheme="majorHAnsi" w:hAnsiTheme="majorHAnsi" w:cs="Arial"/>
                                <w:b/>
                                <w:bCs/>
                                <w:color w:val="0D0D0D" w:themeColor="text1" w:themeTint="F2"/>
                                <w:sz w:val="36"/>
                                <w:szCs w:val="40"/>
                              </w:rPr>
                              <w:t>273</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2066FF5B" w:rsidR="00322450" w:rsidRPr="00DD50BC" w:rsidRDefault="00F42B71" w:rsidP="004B7EB6">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45BCA" w:rsidRPr="00DD50BC">
                              <w:rPr>
                                <w:rFonts w:asciiTheme="majorHAnsi" w:hAnsiTheme="majorHAnsi" w:cs="Arial"/>
                                <w:b/>
                                <w:color w:val="0D0D0D" w:themeColor="text1" w:themeTint="F2"/>
                                <w:sz w:val="36"/>
                                <w:szCs w:val="22"/>
                              </w:rPr>
                              <w:t xml:space="preserve">2253-12 </w:t>
                            </w:r>
                          </w:p>
                          <w:p w14:paraId="34978E5A" w14:textId="306538A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7A89EFB" w14:textId="0B40703D" w:rsidR="005B52B0" w:rsidRDefault="007D2BC6" w:rsidP="004F35AC">
                            <w:pPr>
                              <w:spacing w:line="276" w:lineRule="auto"/>
                              <w:rPr>
                                <w:rFonts w:asciiTheme="majorHAnsi" w:hAnsiTheme="majorHAnsi"/>
                                <w:color w:val="0D0D0D" w:themeColor="text1" w:themeTint="F2"/>
                              </w:rPr>
                            </w:pPr>
                            <w:r>
                              <w:rPr>
                                <w:rFonts w:asciiTheme="majorHAnsi" w:hAnsiTheme="majorHAnsi"/>
                                <w:color w:val="0D0D0D" w:themeColor="text1" w:themeTint="F2"/>
                              </w:rPr>
                              <w:t xml:space="preserve">RELATIVES </w:t>
                            </w:r>
                            <w:r w:rsidR="00845BCA" w:rsidRPr="00845BCA">
                              <w:rPr>
                                <w:rFonts w:asciiTheme="majorHAnsi" w:hAnsiTheme="majorHAnsi"/>
                                <w:color w:val="0D0D0D" w:themeColor="text1" w:themeTint="F2"/>
                              </w:rPr>
                              <w:t>OF JORGE ISAAC FUENTES ALARCÓN</w:t>
                            </w:r>
                          </w:p>
                          <w:p w14:paraId="464922F4" w14:textId="4C563CFD" w:rsidR="00845BCA" w:rsidRPr="000C4365" w:rsidRDefault="00845BCA" w:rsidP="004F35AC">
                            <w:pPr>
                              <w:spacing w:line="276" w:lineRule="auto"/>
                              <w:rPr>
                                <w:rFonts w:asciiTheme="majorHAnsi" w:hAnsiTheme="majorHAnsi"/>
                                <w:color w:val="0D0D0D" w:themeColor="text1" w:themeTint="F2"/>
                              </w:rPr>
                            </w:pPr>
                            <w:r>
                              <w:rPr>
                                <w:rFonts w:asciiTheme="majorHAnsi" w:hAnsiTheme="majorHAnsi"/>
                                <w:color w:val="0D0D0D" w:themeColor="text1" w:themeTint="F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9B8AC0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D50BC">
                        <w:rPr>
                          <w:rFonts w:asciiTheme="majorHAnsi" w:hAnsiTheme="majorHAnsi" w:cs="Arial"/>
                          <w:b/>
                          <w:bCs/>
                          <w:color w:val="0D0D0D" w:themeColor="text1" w:themeTint="F2"/>
                          <w:sz w:val="36"/>
                          <w:szCs w:val="40"/>
                        </w:rPr>
                        <w:t>273</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2066FF5B" w:rsidR="00322450" w:rsidRPr="00DD50BC" w:rsidRDefault="00F42B71" w:rsidP="004B7EB6">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45BCA" w:rsidRPr="00DD50BC">
                        <w:rPr>
                          <w:rFonts w:asciiTheme="majorHAnsi" w:hAnsiTheme="majorHAnsi" w:cs="Arial"/>
                          <w:b/>
                          <w:color w:val="0D0D0D" w:themeColor="text1" w:themeTint="F2"/>
                          <w:sz w:val="36"/>
                          <w:szCs w:val="22"/>
                        </w:rPr>
                        <w:t xml:space="preserve">2253-12 </w:t>
                      </w:r>
                    </w:p>
                    <w:p w14:paraId="34978E5A" w14:textId="306538A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7A89EFB" w14:textId="0B40703D" w:rsidR="005B52B0" w:rsidRDefault="007D2BC6" w:rsidP="004F35AC">
                      <w:pPr>
                        <w:spacing w:line="276" w:lineRule="auto"/>
                        <w:rPr>
                          <w:rFonts w:asciiTheme="majorHAnsi" w:hAnsiTheme="majorHAnsi"/>
                          <w:color w:val="0D0D0D" w:themeColor="text1" w:themeTint="F2"/>
                        </w:rPr>
                      </w:pPr>
                      <w:r>
                        <w:rPr>
                          <w:rFonts w:asciiTheme="majorHAnsi" w:hAnsiTheme="majorHAnsi"/>
                          <w:color w:val="0D0D0D" w:themeColor="text1" w:themeTint="F2"/>
                        </w:rPr>
                        <w:t xml:space="preserve">RELATIVES </w:t>
                      </w:r>
                      <w:r w:rsidR="00845BCA" w:rsidRPr="00845BCA">
                        <w:rPr>
                          <w:rFonts w:asciiTheme="majorHAnsi" w:hAnsiTheme="majorHAnsi"/>
                          <w:color w:val="0D0D0D" w:themeColor="text1" w:themeTint="F2"/>
                        </w:rPr>
                        <w:t>OF JORGE ISAAC FUENTES ALARCÓN</w:t>
                      </w:r>
                    </w:p>
                    <w:p w14:paraId="464922F4" w14:textId="4C563CFD" w:rsidR="00845BCA" w:rsidRPr="000C4365" w:rsidRDefault="00845BCA" w:rsidP="004F35AC">
                      <w:pPr>
                        <w:spacing w:line="276" w:lineRule="auto"/>
                        <w:rPr>
                          <w:rFonts w:asciiTheme="majorHAnsi" w:hAnsiTheme="majorHAnsi"/>
                          <w:color w:val="0D0D0D" w:themeColor="text1" w:themeTint="F2"/>
                        </w:rPr>
                      </w:pPr>
                      <w:r>
                        <w:rPr>
                          <w:rFonts w:asciiTheme="majorHAnsi" w:hAnsiTheme="majorHAnsi"/>
                          <w:color w:val="0D0D0D" w:themeColor="text1" w:themeTint="F2"/>
                        </w:rPr>
                        <w:t>CHILE</w:t>
                      </w:r>
                    </w:p>
                  </w:txbxContent>
                </v:textbox>
              </v:shape>
            </w:pict>
          </mc:Fallback>
        </mc:AlternateContent>
      </w:r>
    </w:p>
    <w:p w14:paraId="3765F9FA"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5E33CE59" w14:textId="77777777" w:rsidR="00040C3A" w:rsidRPr="003C32BC" w:rsidRDefault="00040C3A" w:rsidP="00D01EE8">
      <w:pPr>
        <w:tabs>
          <w:tab w:val="center" w:pos="5400"/>
        </w:tabs>
        <w:suppressAutoHyphens/>
        <w:jc w:val="both"/>
        <w:rPr>
          <w:rFonts w:asciiTheme="majorHAnsi" w:hAnsiTheme="majorHAnsi" w:cs="Arial"/>
          <w:sz w:val="22"/>
          <w:szCs w:val="22"/>
          <w:lang w:val="es-ES_tradnl"/>
        </w:rPr>
      </w:pPr>
    </w:p>
    <w:p w14:paraId="04802712"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43677EE2"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747B776B"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3FA14379"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28A65FAF" w14:textId="77777777" w:rsidR="005128E4" w:rsidRPr="003C32BC" w:rsidRDefault="005128E4" w:rsidP="00D01EE8">
      <w:pPr>
        <w:tabs>
          <w:tab w:val="center" w:pos="5400"/>
        </w:tabs>
        <w:suppressAutoHyphens/>
        <w:jc w:val="both"/>
        <w:rPr>
          <w:rFonts w:asciiTheme="majorHAnsi" w:hAnsiTheme="majorHAnsi"/>
          <w:sz w:val="22"/>
          <w:szCs w:val="22"/>
          <w:lang w:val="es-ES_tradnl"/>
        </w:rPr>
      </w:pPr>
    </w:p>
    <w:p w14:paraId="11B1978A"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650F503D" w14:textId="77777777" w:rsidR="005128E4" w:rsidRPr="003C32BC" w:rsidRDefault="005128E4" w:rsidP="00D01EE8">
      <w:pPr>
        <w:tabs>
          <w:tab w:val="center" w:pos="5400"/>
        </w:tabs>
        <w:suppressAutoHyphens/>
        <w:jc w:val="both"/>
        <w:rPr>
          <w:rFonts w:asciiTheme="majorHAnsi" w:hAnsiTheme="majorHAnsi"/>
          <w:sz w:val="22"/>
          <w:szCs w:val="22"/>
          <w:lang w:val="es-ES_tradnl"/>
        </w:rPr>
      </w:pPr>
    </w:p>
    <w:p w14:paraId="17861C77" w14:textId="77777777" w:rsidR="005128E4" w:rsidRPr="003C32BC" w:rsidRDefault="005128E4" w:rsidP="00D01EE8">
      <w:pPr>
        <w:tabs>
          <w:tab w:val="center" w:pos="5400"/>
        </w:tabs>
        <w:suppressAutoHyphens/>
        <w:jc w:val="both"/>
        <w:rPr>
          <w:rFonts w:asciiTheme="majorHAnsi" w:hAnsiTheme="majorHAnsi"/>
          <w:sz w:val="22"/>
          <w:szCs w:val="22"/>
          <w:lang w:val="es-ES_tradnl"/>
        </w:rPr>
      </w:pPr>
    </w:p>
    <w:p w14:paraId="0EFEAEB7" w14:textId="77777777" w:rsidR="005128E4" w:rsidRPr="003C32BC" w:rsidRDefault="005128E4" w:rsidP="00D01EE8">
      <w:pPr>
        <w:tabs>
          <w:tab w:val="center" w:pos="5400"/>
        </w:tabs>
        <w:suppressAutoHyphens/>
        <w:jc w:val="both"/>
        <w:rPr>
          <w:rFonts w:asciiTheme="majorHAnsi" w:hAnsiTheme="majorHAnsi"/>
          <w:sz w:val="22"/>
          <w:szCs w:val="22"/>
          <w:lang w:val="es-ES_tradnl"/>
        </w:rPr>
      </w:pPr>
    </w:p>
    <w:p w14:paraId="5B815FC5"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0D43F8BD" w14:textId="77777777" w:rsidR="00040C3A" w:rsidRPr="003C32BC" w:rsidRDefault="00040C3A" w:rsidP="00D01EE8">
      <w:pPr>
        <w:tabs>
          <w:tab w:val="center" w:pos="5400"/>
        </w:tabs>
        <w:suppressAutoHyphens/>
        <w:jc w:val="both"/>
        <w:rPr>
          <w:rFonts w:asciiTheme="majorHAnsi" w:hAnsiTheme="majorHAnsi"/>
          <w:sz w:val="22"/>
          <w:szCs w:val="22"/>
          <w:lang w:val="es-ES_tradnl"/>
        </w:rPr>
      </w:pPr>
    </w:p>
    <w:p w14:paraId="03AA1AEB"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2FD75BF3"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73EF440E"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3D12B191"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1132D17C"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659B324C"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0DE58CEA"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3A5BB7C9"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6BA67E7F"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6D4FBE3A"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2741AD16"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1D99DBC4"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3290BF94" w14:textId="77777777" w:rsidR="002C1641" w:rsidRPr="003C32BC" w:rsidRDefault="003C32BC" w:rsidP="00D01EE8">
      <w:pPr>
        <w:tabs>
          <w:tab w:val="center" w:pos="5400"/>
        </w:tabs>
        <w:suppressAutoHyphens/>
        <w:jc w:val="both"/>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BD7FF9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DD50B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9A46A6">
                              <w:rPr>
                                <w:rFonts w:asciiTheme="majorHAnsi" w:hAnsiTheme="majorHAnsi"/>
                                <w:color w:val="0D0D0D" w:themeColor="text1" w:themeTint="F2"/>
                                <w:sz w:val="18"/>
                                <w:szCs w:val="20"/>
                              </w:rPr>
                              <w:t>September 23</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9A46A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BD7FF9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DD50B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9A46A6">
                        <w:rPr>
                          <w:rFonts w:asciiTheme="majorHAnsi" w:hAnsiTheme="majorHAnsi"/>
                          <w:color w:val="0D0D0D" w:themeColor="text1" w:themeTint="F2"/>
                          <w:sz w:val="18"/>
                          <w:szCs w:val="20"/>
                        </w:rPr>
                        <w:t>September 23</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9A46A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3751FEDE"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5FAB54E7"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4AE4FBFB"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4DA3B2C3" w14:textId="77777777" w:rsidR="002C1641" w:rsidRPr="003C32BC" w:rsidRDefault="003C32BC" w:rsidP="00D01EE8">
      <w:pPr>
        <w:tabs>
          <w:tab w:val="center" w:pos="5400"/>
        </w:tabs>
        <w:suppressAutoHyphens/>
        <w:jc w:val="both"/>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1FAD8DC" w:rsidR="00F644E6" w:rsidRPr="007D2BC6" w:rsidRDefault="00F644E6" w:rsidP="00F644E6">
                            <w:pPr>
                              <w:spacing w:line="276" w:lineRule="auto"/>
                              <w:rPr>
                                <w:rFonts w:asciiTheme="majorHAnsi" w:hAnsiTheme="majorHAnsi"/>
                                <w:color w:val="595959" w:themeColor="text1" w:themeTint="A6"/>
                                <w:sz w:val="18"/>
                                <w:lang w:val="fr-CA"/>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D50BC">
                              <w:rPr>
                                <w:rFonts w:asciiTheme="majorHAnsi" w:hAnsiTheme="majorHAnsi"/>
                                <w:color w:val="595959" w:themeColor="text1" w:themeTint="A6"/>
                                <w:sz w:val="18"/>
                              </w:rPr>
                              <w:t>273</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D2BC6">
                              <w:rPr>
                                <w:rFonts w:asciiTheme="majorHAnsi" w:hAnsiTheme="majorHAnsi"/>
                                <w:color w:val="595959" w:themeColor="text1" w:themeTint="A6"/>
                                <w:sz w:val="18"/>
                              </w:rPr>
                              <w:t>2253</w:t>
                            </w:r>
                            <w:r w:rsidR="00F621C3">
                              <w:rPr>
                                <w:rFonts w:asciiTheme="majorHAnsi" w:hAnsiTheme="majorHAnsi"/>
                                <w:color w:val="595959" w:themeColor="text1" w:themeTint="A6"/>
                                <w:sz w:val="18"/>
                              </w:rPr>
                              <w:t>-</w:t>
                            </w:r>
                            <w:r w:rsidR="007D2BC6">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D2BC6">
                              <w:rPr>
                                <w:rFonts w:asciiTheme="majorHAnsi" w:hAnsiTheme="majorHAnsi"/>
                                <w:color w:val="595959" w:themeColor="text1" w:themeTint="A6"/>
                                <w:sz w:val="18"/>
                              </w:rPr>
                              <w:t xml:space="preserve">Relatives of Jorge Isaac Fuentes </w:t>
                            </w:r>
                            <w:proofErr w:type="spellStart"/>
                            <w:r w:rsidR="007D2BC6">
                              <w:rPr>
                                <w:rFonts w:asciiTheme="majorHAnsi" w:hAnsiTheme="majorHAnsi"/>
                                <w:color w:val="595959" w:themeColor="text1" w:themeTint="A6"/>
                                <w:sz w:val="18"/>
                              </w:rPr>
                              <w:t>Alarc</w:t>
                            </w:r>
                            <w:r w:rsidR="007D2BC6" w:rsidRPr="007D2BC6">
                              <w:rPr>
                                <w:rFonts w:asciiTheme="majorHAnsi" w:hAnsiTheme="majorHAnsi"/>
                                <w:color w:val="595959" w:themeColor="text1" w:themeTint="A6"/>
                                <w:sz w:val="18"/>
                              </w:rPr>
                              <w:t>ón</w:t>
                            </w:r>
                            <w:proofErr w:type="spellEnd"/>
                            <w:r w:rsidRPr="003C32BC">
                              <w:rPr>
                                <w:rFonts w:asciiTheme="majorHAnsi" w:hAnsiTheme="majorHAnsi"/>
                                <w:color w:val="595959" w:themeColor="text1" w:themeTint="A6"/>
                                <w:sz w:val="18"/>
                              </w:rPr>
                              <w:t xml:space="preserve">. </w:t>
                            </w:r>
                            <w:r w:rsidR="007D2BC6">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DD50BC">
                              <w:rPr>
                                <w:rFonts w:asciiTheme="majorHAnsi" w:hAnsiTheme="majorHAnsi"/>
                                <w:color w:val="595959" w:themeColor="text1" w:themeTint="A6"/>
                                <w:sz w:val="18"/>
                              </w:rPr>
                              <w:t>September 23,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1FAD8DC" w:rsidR="00F644E6" w:rsidRPr="007D2BC6" w:rsidRDefault="00F644E6" w:rsidP="00F644E6">
                      <w:pPr>
                        <w:spacing w:line="276" w:lineRule="auto"/>
                        <w:rPr>
                          <w:rFonts w:asciiTheme="majorHAnsi" w:hAnsiTheme="majorHAnsi"/>
                          <w:color w:val="595959" w:themeColor="text1" w:themeTint="A6"/>
                          <w:sz w:val="18"/>
                          <w:lang w:val="fr-CA"/>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DD50BC">
                        <w:rPr>
                          <w:rFonts w:asciiTheme="majorHAnsi" w:hAnsiTheme="majorHAnsi"/>
                          <w:color w:val="595959" w:themeColor="text1" w:themeTint="A6"/>
                          <w:sz w:val="18"/>
                        </w:rPr>
                        <w:t>273</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D2BC6">
                        <w:rPr>
                          <w:rFonts w:asciiTheme="majorHAnsi" w:hAnsiTheme="majorHAnsi"/>
                          <w:color w:val="595959" w:themeColor="text1" w:themeTint="A6"/>
                          <w:sz w:val="18"/>
                        </w:rPr>
                        <w:t>2253</w:t>
                      </w:r>
                      <w:r w:rsidR="00F621C3">
                        <w:rPr>
                          <w:rFonts w:asciiTheme="majorHAnsi" w:hAnsiTheme="majorHAnsi"/>
                          <w:color w:val="595959" w:themeColor="text1" w:themeTint="A6"/>
                          <w:sz w:val="18"/>
                        </w:rPr>
                        <w:t>-</w:t>
                      </w:r>
                      <w:r w:rsidR="007D2BC6">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D2BC6">
                        <w:rPr>
                          <w:rFonts w:asciiTheme="majorHAnsi" w:hAnsiTheme="majorHAnsi"/>
                          <w:color w:val="595959" w:themeColor="text1" w:themeTint="A6"/>
                          <w:sz w:val="18"/>
                        </w:rPr>
                        <w:t xml:space="preserve">Relatives of Jorge Isaac Fuentes </w:t>
                      </w:r>
                      <w:proofErr w:type="spellStart"/>
                      <w:r w:rsidR="007D2BC6">
                        <w:rPr>
                          <w:rFonts w:asciiTheme="majorHAnsi" w:hAnsiTheme="majorHAnsi"/>
                          <w:color w:val="595959" w:themeColor="text1" w:themeTint="A6"/>
                          <w:sz w:val="18"/>
                        </w:rPr>
                        <w:t>Alarc</w:t>
                      </w:r>
                      <w:r w:rsidR="007D2BC6" w:rsidRPr="007D2BC6">
                        <w:rPr>
                          <w:rFonts w:asciiTheme="majorHAnsi" w:hAnsiTheme="majorHAnsi"/>
                          <w:color w:val="595959" w:themeColor="text1" w:themeTint="A6"/>
                          <w:sz w:val="18"/>
                        </w:rPr>
                        <w:t>ón</w:t>
                      </w:r>
                      <w:proofErr w:type="spellEnd"/>
                      <w:r w:rsidRPr="003C32BC">
                        <w:rPr>
                          <w:rFonts w:asciiTheme="majorHAnsi" w:hAnsiTheme="majorHAnsi"/>
                          <w:color w:val="595959" w:themeColor="text1" w:themeTint="A6"/>
                          <w:sz w:val="18"/>
                        </w:rPr>
                        <w:t xml:space="preserve">. </w:t>
                      </w:r>
                      <w:r w:rsidR="007D2BC6">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DD50BC">
                        <w:rPr>
                          <w:rFonts w:asciiTheme="majorHAnsi" w:hAnsiTheme="majorHAnsi"/>
                          <w:color w:val="595959" w:themeColor="text1" w:themeTint="A6"/>
                          <w:sz w:val="18"/>
                        </w:rPr>
                        <w:t>September 23, 2020</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5420A6FF" w14:textId="77777777" w:rsidR="002C1641" w:rsidRPr="003C32BC" w:rsidRDefault="002C1641" w:rsidP="00D01EE8">
      <w:pPr>
        <w:tabs>
          <w:tab w:val="center" w:pos="5400"/>
        </w:tabs>
        <w:suppressAutoHyphens/>
        <w:jc w:val="both"/>
        <w:rPr>
          <w:rFonts w:asciiTheme="majorHAnsi" w:hAnsiTheme="majorHAnsi"/>
          <w:sz w:val="18"/>
          <w:szCs w:val="22"/>
          <w:lang w:val="es-ES_tradnl"/>
        </w:rPr>
      </w:pPr>
    </w:p>
    <w:p w14:paraId="03B36C31" w14:textId="77777777" w:rsidR="003C32BC" w:rsidRPr="003C32BC" w:rsidRDefault="003C32BC" w:rsidP="00D01EE8">
      <w:pPr>
        <w:tabs>
          <w:tab w:val="center" w:pos="5400"/>
        </w:tabs>
        <w:suppressAutoHyphens/>
        <w:jc w:val="both"/>
        <w:rPr>
          <w:rFonts w:asciiTheme="majorHAnsi" w:hAnsiTheme="majorHAnsi"/>
          <w:sz w:val="18"/>
          <w:szCs w:val="22"/>
        </w:rPr>
      </w:pPr>
    </w:p>
    <w:p w14:paraId="154A4854" w14:textId="77777777" w:rsidR="003C32BC" w:rsidRPr="003C32BC" w:rsidRDefault="006311DA" w:rsidP="00D01EE8">
      <w:pPr>
        <w:tabs>
          <w:tab w:val="center" w:pos="5400"/>
        </w:tabs>
        <w:suppressAutoHyphens/>
        <w:jc w:val="both"/>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D01EE8">
      <w:pPr>
        <w:tabs>
          <w:tab w:val="center" w:pos="5400"/>
        </w:tabs>
        <w:suppressAutoHyphens/>
        <w:jc w:val="both"/>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D01EE8">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7D2BC6" w:rsidRDefault="003771A3" w:rsidP="00D01EE8">
            <w:pPr>
              <w:jc w:val="both"/>
              <w:rPr>
                <w:rFonts w:ascii="Cambria" w:hAnsi="Cambria"/>
                <w:bCs/>
                <w:color w:val="FFFFFF" w:themeColor="background1"/>
                <w:sz w:val="20"/>
                <w:szCs w:val="20"/>
              </w:rPr>
            </w:pPr>
            <w:r w:rsidRPr="007D2BC6">
              <w:rPr>
                <w:rFonts w:ascii="Cambria" w:hAnsi="Cambria"/>
                <w:bCs/>
                <w:color w:val="FFFFFF" w:themeColor="background1"/>
                <w:sz w:val="20"/>
                <w:szCs w:val="20"/>
              </w:rPr>
              <w:t>Petitioner</w:t>
            </w:r>
            <w:r w:rsidR="00F621C3" w:rsidRPr="007D2BC6">
              <w:rPr>
                <w:rFonts w:ascii="Cambria" w:hAnsi="Cambria"/>
                <w:bCs/>
                <w:color w:val="FFFFFF" w:themeColor="background1"/>
                <w:sz w:val="20"/>
                <w:szCs w:val="20"/>
              </w:rPr>
              <w:t>:</w:t>
            </w:r>
          </w:p>
        </w:tc>
        <w:tc>
          <w:tcPr>
            <w:tcW w:w="5670" w:type="dxa"/>
            <w:vAlign w:val="center"/>
          </w:tcPr>
          <w:p w14:paraId="0674C7B8" w14:textId="49439D89" w:rsidR="00F621C3" w:rsidRPr="00FE5113" w:rsidRDefault="00335F77" w:rsidP="00D01EE8">
            <w:pPr>
              <w:jc w:val="both"/>
              <w:rPr>
                <w:rFonts w:asciiTheme="majorHAnsi" w:hAnsiTheme="majorHAnsi"/>
                <w:bCs/>
                <w:sz w:val="20"/>
                <w:szCs w:val="20"/>
              </w:rPr>
            </w:pPr>
            <w:r w:rsidRPr="00ED70FC">
              <w:rPr>
                <w:rFonts w:ascii="Cambria" w:hAnsi="Cambria"/>
                <w:bCs/>
                <w:sz w:val="19"/>
                <w:szCs w:val="19"/>
                <w:lang w:val="es-ES"/>
              </w:rPr>
              <w:t>N</w:t>
            </w:r>
            <w:r>
              <w:rPr>
                <w:rFonts w:ascii="Cambria" w:hAnsi="Cambria"/>
                <w:bCs/>
                <w:sz w:val="19"/>
                <w:szCs w:val="19"/>
                <w:lang w:val="es-ES"/>
              </w:rPr>
              <w:t xml:space="preserve">elson </w:t>
            </w:r>
            <w:proofErr w:type="spellStart"/>
            <w:r>
              <w:rPr>
                <w:rFonts w:ascii="Cambria" w:hAnsi="Cambria"/>
                <w:bCs/>
                <w:sz w:val="19"/>
                <w:szCs w:val="19"/>
                <w:lang w:val="es-ES"/>
              </w:rPr>
              <w:t>Caucoto</w:t>
            </w:r>
            <w:proofErr w:type="spellEnd"/>
            <w:r>
              <w:rPr>
                <w:rFonts w:ascii="Cambria" w:hAnsi="Cambria"/>
                <w:bCs/>
                <w:sz w:val="19"/>
                <w:szCs w:val="19"/>
                <w:lang w:val="es-ES"/>
              </w:rPr>
              <w:t xml:space="preserve"> Pereira</w:t>
            </w:r>
            <w:r>
              <w:rPr>
                <w:rStyle w:val="FootnoteReference"/>
                <w:rFonts w:ascii="Cambria" w:hAnsi="Cambria"/>
                <w:bCs/>
                <w:sz w:val="19"/>
                <w:szCs w:val="19"/>
                <w:lang w:val="es-ES"/>
              </w:rPr>
              <w:footnoteReference w:id="2"/>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7D2BC6" w:rsidRDefault="002A6F90" w:rsidP="00D01EE8">
            <w:pPr>
              <w:jc w:val="both"/>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7D2BC6">
                  <w:rPr>
                    <w:rFonts w:ascii="Cambria" w:hAnsi="Cambria"/>
                    <w:bCs/>
                    <w:color w:val="FFFFFF" w:themeColor="background1"/>
                    <w:sz w:val="20"/>
                    <w:szCs w:val="20"/>
                  </w:rPr>
                  <w:t>Alleged victim</w:t>
                </w:r>
              </w:sdtContent>
            </w:sdt>
            <w:r w:rsidR="00F621C3" w:rsidRPr="007D2BC6">
              <w:rPr>
                <w:rFonts w:ascii="Cambria" w:hAnsi="Cambria"/>
                <w:bCs/>
                <w:color w:val="FFFFFF" w:themeColor="background1"/>
                <w:sz w:val="20"/>
                <w:szCs w:val="20"/>
              </w:rPr>
              <w:t>:</w:t>
            </w:r>
          </w:p>
        </w:tc>
        <w:tc>
          <w:tcPr>
            <w:tcW w:w="5670" w:type="dxa"/>
            <w:vAlign w:val="center"/>
          </w:tcPr>
          <w:p w14:paraId="60895337" w14:textId="3729DF5A" w:rsidR="00F621C3" w:rsidRPr="00FE5113" w:rsidRDefault="007D2BC6" w:rsidP="00D01EE8">
            <w:pPr>
              <w:jc w:val="both"/>
              <w:rPr>
                <w:rFonts w:asciiTheme="majorHAnsi" w:hAnsiTheme="majorHAnsi"/>
                <w:bCs/>
                <w:sz w:val="20"/>
                <w:szCs w:val="20"/>
              </w:rPr>
            </w:pPr>
            <w:r>
              <w:rPr>
                <w:rFonts w:ascii="Cambria" w:hAnsi="Cambria"/>
                <w:bCs/>
                <w:sz w:val="19"/>
                <w:szCs w:val="19"/>
                <w:lang w:val="pt-BR"/>
              </w:rPr>
              <w:t xml:space="preserve">Relatives </w:t>
            </w:r>
            <w:r w:rsidR="00335F77">
              <w:rPr>
                <w:rFonts w:ascii="Cambria" w:hAnsi="Cambria"/>
                <w:bCs/>
                <w:sz w:val="19"/>
                <w:szCs w:val="19"/>
                <w:lang w:val="pt-BR"/>
              </w:rPr>
              <w:t>of</w:t>
            </w:r>
            <w:r w:rsidR="00335F77" w:rsidRPr="00430DD7">
              <w:rPr>
                <w:rFonts w:ascii="Cambria" w:hAnsi="Cambria"/>
                <w:bCs/>
                <w:sz w:val="19"/>
                <w:szCs w:val="19"/>
                <w:lang w:val="pt-BR"/>
              </w:rPr>
              <w:t xml:space="preserve"> </w:t>
            </w:r>
            <w:r w:rsidR="00335F77">
              <w:rPr>
                <w:rFonts w:ascii="Cambria" w:hAnsi="Cambria"/>
                <w:bCs/>
                <w:sz w:val="19"/>
                <w:szCs w:val="19"/>
                <w:lang w:val="pt-BR"/>
              </w:rPr>
              <w:t>Jorge Isaac Fuentes Alarcón</w:t>
            </w:r>
            <w:r w:rsidR="00335F77" w:rsidRPr="0019517D">
              <w:rPr>
                <w:rStyle w:val="FootnoteReference"/>
                <w:rFonts w:ascii="Cambria" w:hAnsi="Cambria"/>
                <w:bCs/>
                <w:sz w:val="19"/>
                <w:szCs w:val="19"/>
                <w:lang w:val="es-ES"/>
              </w:rPr>
              <w:footnoteReference w:id="3"/>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7D2BC6" w:rsidRDefault="005816E5" w:rsidP="00D01EE8">
            <w:pPr>
              <w:jc w:val="both"/>
              <w:rPr>
                <w:rFonts w:ascii="Cambria" w:hAnsi="Cambria"/>
                <w:bCs/>
                <w:color w:val="FFFFFF" w:themeColor="background1"/>
                <w:sz w:val="20"/>
                <w:szCs w:val="20"/>
              </w:rPr>
            </w:pPr>
            <w:r w:rsidRPr="007D2BC6">
              <w:rPr>
                <w:rFonts w:ascii="Cambria" w:hAnsi="Cambria"/>
                <w:bCs/>
                <w:color w:val="FFFFFF" w:themeColor="background1"/>
                <w:sz w:val="20"/>
                <w:szCs w:val="20"/>
              </w:rPr>
              <w:t xml:space="preserve">Respondent </w:t>
            </w:r>
            <w:r w:rsidR="00F621C3" w:rsidRPr="007D2BC6">
              <w:rPr>
                <w:rFonts w:ascii="Cambria" w:hAnsi="Cambria"/>
                <w:bCs/>
                <w:color w:val="FFFFFF" w:themeColor="background1"/>
                <w:sz w:val="20"/>
                <w:szCs w:val="20"/>
              </w:rPr>
              <w:t>State:</w:t>
            </w:r>
          </w:p>
        </w:tc>
        <w:tc>
          <w:tcPr>
            <w:tcW w:w="5670" w:type="dxa"/>
            <w:vAlign w:val="center"/>
          </w:tcPr>
          <w:p w14:paraId="3539D391" w14:textId="3B70A619" w:rsidR="00F621C3" w:rsidRPr="00FE5113" w:rsidRDefault="00335F77" w:rsidP="00D01EE8">
            <w:pPr>
              <w:jc w:val="both"/>
              <w:rPr>
                <w:rFonts w:asciiTheme="majorHAnsi" w:hAnsiTheme="majorHAnsi"/>
                <w:bCs/>
                <w:sz w:val="20"/>
                <w:szCs w:val="20"/>
              </w:rPr>
            </w:pPr>
            <w:r w:rsidRPr="0019517D">
              <w:rPr>
                <w:rFonts w:ascii="Cambria" w:hAnsi="Cambria"/>
                <w:bCs/>
                <w:sz w:val="19"/>
                <w:szCs w:val="19"/>
                <w:lang w:val="es-ES"/>
              </w:rPr>
              <w:t>Chile</w:t>
            </w:r>
            <w:r w:rsidRPr="0019517D">
              <w:rPr>
                <w:rStyle w:val="FootnoteReference"/>
                <w:rFonts w:ascii="Cambria" w:hAnsi="Cambria"/>
                <w:bCs/>
                <w:sz w:val="19"/>
                <w:szCs w:val="19"/>
                <w:lang w:val="es-ES"/>
              </w:rPr>
              <w:footnoteReference w:id="4"/>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7D2BC6" w:rsidRDefault="00E47F3D" w:rsidP="00D01EE8">
            <w:pPr>
              <w:jc w:val="both"/>
              <w:rPr>
                <w:rFonts w:ascii="Cambria" w:hAnsi="Cambria"/>
                <w:bCs/>
                <w:color w:val="FFFFFF" w:themeColor="background1"/>
                <w:sz w:val="20"/>
                <w:szCs w:val="20"/>
              </w:rPr>
            </w:pPr>
            <w:r w:rsidRPr="007D2BC6">
              <w:rPr>
                <w:rFonts w:ascii="Cambria" w:hAnsi="Cambria"/>
                <w:bCs/>
                <w:color w:val="FFFFFF" w:themeColor="background1"/>
                <w:sz w:val="20"/>
                <w:szCs w:val="20"/>
              </w:rPr>
              <w:t xml:space="preserve">Rights </w:t>
            </w:r>
            <w:r w:rsidR="00E7588C" w:rsidRPr="007D2BC6">
              <w:rPr>
                <w:rFonts w:ascii="Cambria" w:hAnsi="Cambria"/>
                <w:bCs/>
                <w:color w:val="FFFFFF" w:themeColor="background1"/>
                <w:sz w:val="20"/>
                <w:szCs w:val="20"/>
              </w:rPr>
              <w:t>invoked:</w:t>
            </w:r>
          </w:p>
        </w:tc>
        <w:tc>
          <w:tcPr>
            <w:tcW w:w="5670" w:type="dxa"/>
            <w:vAlign w:val="center"/>
          </w:tcPr>
          <w:p w14:paraId="51EEF9D2" w14:textId="72B7B7C8" w:rsidR="00E47F3D" w:rsidRPr="00FE5113" w:rsidRDefault="00335F77" w:rsidP="00D01EE8">
            <w:pPr>
              <w:jc w:val="both"/>
              <w:rPr>
                <w:rFonts w:ascii="Cambria" w:hAnsi="Cambria"/>
                <w:bCs/>
                <w:sz w:val="20"/>
                <w:szCs w:val="20"/>
              </w:rPr>
            </w:pPr>
            <w:r w:rsidRPr="00335F77">
              <w:rPr>
                <w:rFonts w:ascii="Cambria" w:hAnsi="Cambria"/>
                <w:bCs/>
                <w:sz w:val="20"/>
                <w:szCs w:val="20"/>
              </w:rPr>
              <w:t>Articles 8 (</w:t>
            </w:r>
            <w:r>
              <w:rPr>
                <w:rFonts w:ascii="Cambria" w:hAnsi="Cambria"/>
                <w:bCs/>
                <w:sz w:val="20"/>
                <w:szCs w:val="20"/>
              </w:rPr>
              <w:t>fair trial</w:t>
            </w:r>
            <w:r w:rsidRPr="00335F77">
              <w:rPr>
                <w:rFonts w:ascii="Cambria" w:hAnsi="Cambria"/>
                <w:bCs/>
                <w:sz w:val="20"/>
                <w:szCs w:val="20"/>
              </w:rPr>
              <w:t>) and 25 (judicial protection) of the American Convention on Human Rights</w:t>
            </w:r>
            <w:r w:rsidRPr="0019517D">
              <w:rPr>
                <w:rStyle w:val="FootnoteReference"/>
                <w:rFonts w:ascii="Cambria" w:hAnsi="Cambria"/>
                <w:bCs/>
                <w:sz w:val="19"/>
                <w:szCs w:val="19"/>
                <w:lang w:val="es-ES"/>
              </w:rPr>
              <w:footnoteReference w:id="5"/>
            </w:r>
            <w:r w:rsidRPr="00335F77">
              <w:rPr>
                <w:rFonts w:ascii="Cambria" w:hAnsi="Cambria"/>
                <w:bCs/>
                <w:sz w:val="20"/>
                <w:szCs w:val="20"/>
              </w:rPr>
              <w:t>, in relation to its articles 1.1 (</w:t>
            </w:r>
            <w:r w:rsidR="007D2BC6">
              <w:rPr>
                <w:rFonts w:ascii="Cambria" w:hAnsi="Cambria"/>
                <w:bCs/>
                <w:sz w:val="20"/>
                <w:szCs w:val="20"/>
              </w:rPr>
              <w:t>obligation</w:t>
            </w:r>
            <w:r w:rsidRPr="00335F77">
              <w:rPr>
                <w:rFonts w:ascii="Cambria" w:hAnsi="Cambria"/>
                <w:bCs/>
                <w:sz w:val="20"/>
                <w:szCs w:val="20"/>
              </w:rPr>
              <w:t xml:space="preserve"> to respect rights) and 2 (</w:t>
            </w:r>
            <w:r w:rsidR="007D2BC6">
              <w:rPr>
                <w:rFonts w:ascii="Cambria" w:hAnsi="Cambria"/>
                <w:bCs/>
                <w:sz w:val="20"/>
                <w:szCs w:val="20"/>
              </w:rPr>
              <w:t>domestic legal effects</w:t>
            </w:r>
            <w:r w:rsidRPr="00335F77">
              <w:rPr>
                <w:rFonts w:ascii="Cambria" w:hAnsi="Cambria"/>
                <w:bCs/>
                <w:sz w:val="20"/>
                <w:szCs w:val="20"/>
              </w:rPr>
              <w:t>)</w:t>
            </w:r>
          </w:p>
        </w:tc>
      </w:tr>
    </w:tbl>
    <w:p w14:paraId="006E8D49" w14:textId="1C646C41" w:rsidR="00F621C3" w:rsidRPr="000B6B7A" w:rsidRDefault="00F621C3" w:rsidP="00D01EE8">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5E9727A3" w:rsidR="00F621C3" w:rsidRPr="007D2BC6" w:rsidRDefault="004F35AC" w:rsidP="00D01EE8">
            <w:pPr>
              <w:jc w:val="both"/>
              <w:rPr>
                <w:rFonts w:ascii="Cambria" w:hAnsi="Cambria"/>
                <w:bCs/>
                <w:color w:val="FFFFFF" w:themeColor="background1"/>
                <w:sz w:val="22"/>
                <w:szCs w:val="22"/>
              </w:rPr>
            </w:pPr>
            <w:r w:rsidRPr="007D2BC6">
              <w:rPr>
                <w:rFonts w:ascii="Cambria" w:hAnsi="Cambria"/>
                <w:bCs/>
                <w:color w:val="FFFFFF" w:themeColor="background1"/>
                <w:sz w:val="22"/>
                <w:szCs w:val="22"/>
              </w:rPr>
              <w:t>Date of receipt</w:t>
            </w:r>
          </w:p>
        </w:tc>
        <w:tc>
          <w:tcPr>
            <w:tcW w:w="5670" w:type="dxa"/>
            <w:vAlign w:val="center"/>
          </w:tcPr>
          <w:p w14:paraId="1C0C3DE2" w14:textId="3B3D2C95" w:rsidR="00F621C3" w:rsidRPr="00FE5113" w:rsidRDefault="00335F77" w:rsidP="00D01EE8">
            <w:pPr>
              <w:jc w:val="both"/>
              <w:rPr>
                <w:rFonts w:ascii="Cambria" w:hAnsi="Cambria"/>
                <w:bCs/>
                <w:sz w:val="20"/>
                <w:szCs w:val="20"/>
              </w:rPr>
            </w:pPr>
            <w:proofErr w:type="spellStart"/>
            <w:r>
              <w:rPr>
                <w:rFonts w:ascii="Cambria" w:hAnsi="Cambria"/>
                <w:bCs/>
                <w:sz w:val="20"/>
                <w:szCs w:val="20"/>
                <w:lang w:val="es-ES"/>
              </w:rPr>
              <w:t>December</w:t>
            </w:r>
            <w:proofErr w:type="spellEnd"/>
            <w:r>
              <w:rPr>
                <w:rFonts w:ascii="Cambria" w:hAnsi="Cambria"/>
                <w:bCs/>
                <w:sz w:val="20"/>
                <w:szCs w:val="20"/>
                <w:lang w:val="es-ES"/>
              </w:rPr>
              <w:t xml:space="preserve"> 6, 2012</w:t>
            </w:r>
          </w:p>
        </w:tc>
      </w:tr>
      <w:tr w:rsidR="00DB2771" w:rsidRPr="000B6B7A" w14:paraId="6AA51B6F" w14:textId="77777777" w:rsidTr="00B06BB7">
        <w:tc>
          <w:tcPr>
            <w:tcW w:w="3690" w:type="dxa"/>
            <w:tcBorders>
              <w:top w:val="single" w:sz="6" w:space="0" w:color="auto"/>
              <w:bottom w:val="single" w:sz="6" w:space="0" w:color="auto"/>
            </w:tcBorders>
            <w:shd w:val="clear" w:color="auto" w:fill="67AE3C"/>
            <w:vAlign w:val="center"/>
          </w:tcPr>
          <w:p w14:paraId="08AF1E5E" w14:textId="6371148A" w:rsidR="00DB2771" w:rsidRPr="007D2BC6" w:rsidRDefault="004F35AC" w:rsidP="00D01EE8">
            <w:pPr>
              <w:jc w:val="both"/>
              <w:rPr>
                <w:rFonts w:ascii="Cambria" w:hAnsi="Cambria"/>
                <w:color w:val="FFFFFF" w:themeColor="background1"/>
                <w:sz w:val="22"/>
                <w:szCs w:val="22"/>
              </w:rPr>
            </w:pPr>
            <w:r w:rsidRPr="007D2BC6">
              <w:rPr>
                <w:rFonts w:ascii="Cambria" w:hAnsi="Cambria"/>
                <w:color w:val="FFFFFF" w:themeColor="background1"/>
                <w:sz w:val="22"/>
                <w:szCs w:val="22"/>
              </w:rPr>
              <w:t>Notification of the petition to the State:</w:t>
            </w:r>
          </w:p>
        </w:tc>
        <w:tc>
          <w:tcPr>
            <w:tcW w:w="5670" w:type="dxa"/>
            <w:vAlign w:val="center"/>
          </w:tcPr>
          <w:p w14:paraId="412CB193" w14:textId="38C22376" w:rsidR="00DB2771" w:rsidRPr="00FE5113" w:rsidRDefault="00335F77" w:rsidP="00D01EE8">
            <w:pPr>
              <w:jc w:val="both"/>
              <w:rPr>
                <w:rFonts w:ascii="Cambria" w:hAnsi="Cambria"/>
                <w:bCs/>
                <w:sz w:val="20"/>
                <w:szCs w:val="20"/>
              </w:rPr>
            </w:pPr>
            <w:r>
              <w:rPr>
                <w:rFonts w:ascii="Cambria" w:hAnsi="Cambria"/>
                <w:bCs/>
                <w:sz w:val="20"/>
                <w:szCs w:val="20"/>
              </w:rPr>
              <w:t>September 7, 2017</w:t>
            </w:r>
          </w:p>
        </w:tc>
      </w:tr>
      <w:tr w:rsidR="004F35AC" w:rsidRPr="000B6B7A" w14:paraId="6C8DD469" w14:textId="77777777" w:rsidTr="00B06BB7">
        <w:tc>
          <w:tcPr>
            <w:tcW w:w="3690" w:type="dxa"/>
            <w:tcBorders>
              <w:top w:val="single" w:sz="6" w:space="0" w:color="auto"/>
              <w:bottom w:val="single" w:sz="6" w:space="0" w:color="auto"/>
            </w:tcBorders>
            <w:shd w:val="clear" w:color="auto" w:fill="67AE3C"/>
            <w:vAlign w:val="center"/>
          </w:tcPr>
          <w:p w14:paraId="41C256C0" w14:textId="259106B2" w:rsidR="004F35AC" w:rsidRPr="007D2BC6" w:rsidRDefault="004F35AC" w:rsidP="00D01EE8">
            <w:pPr>
              <w:jc w:val="both"/>
              <w:rPr>
                <w:rFonts w:ascii="Cambria" w:hAnsi="Cambria"/>
                <w:color w:val="FFFFFF" w:themeColor="background1"/>
                <w:sz w:val="22"/>
                <w:szCs w:val="22"/>
              </w:rPr>
            </w:pPr>
            <w:r w:rsidRPr="007D2BC6">
              <w:rPr>
                <w:rFonts w:ascii="Cambria" w:hAnsi="Cambria"/>
                <w:color w:val="FFFFFF" w:themeColor="background1"/>
                <w:sz w:val="22"/>
                <w:szCs w:val="22"/>
              </w:rPr>
              <w:t>State’s first response:</w:t>
            </w:r>
          </w:p>
        </w:tc>
        <w:tc>
          <w:tcPr>
            <w:tcW w:w="5670" w:type="dxa"/>
            <w:vAlign w:val="center"/>
          </w:tcPr>
          <w:p w14:paraId="5786E1B5" w14:textId="23ED3AAA" w:rsidR="004F35AC" w:rsidRDefault="00335F77" w:rsidP="00D01EE8">
            <w:pPr>
              <w:jc w:val="both"/>
              <w:rPr>
                <w:rFonts w:ascii="Cambria" w:hAnsi="Cambria"/>
                <w:bCs/>
                <w:sz w:val="20"/>
                <w:szCs w:val="20"/>
              </w:rPr>
            </w:pPr>
            <w:r>
              <w:rPr>
                <w:rFonts w:ascii="Cambria" w:hAnsi="Cambria"/>
                <w:bCs/>
                <w:sz w:val="20"/>
                <w:szCs w:val="20"/>
              </w:rPr>
              <w:t>October 3, 2017</w:t>
            </w:r>
          </w:p>
        </w:tc>
      </w:tr>
      <w:tr w:rsidR="004F35AC" w:rsidRPr="000B6B7A" w14:paraId="29D5073D" w14:textId="77777777" w:rsidTr="00B06BB7">
        <w:tc>
          <w:tcPr>
            <w:tcW w:w="3690" w:type="dxa"/>
            <w:tcBorders>
              <w:top w:val="single" w:sz="6" w:space="0" w:color="auto"/>
              <w:bottom w:val="single" w:sz="6" w:space="0" w:color="auto"/>
            </w:tcBorders>
            <w:shd w:val="clear" w:color="auto" w:fill="67AE3C"/>
            <w:vAlign w:val="center"/>
          </w:tcPr>
          <w:p w14:paraId="5E23FCC0" w14:textId="39EF60E9" w:rsidR="004F35AC" w:rsidRPr="007D2BC6" w:rsidRDefault="004F35AC" w:rsidP="00D01EE8">
            <w:pPr>
              <w:jc w:val="both"/>
              <w:rPr>
                <w:rFonts w:ascii="Cambria" w:hAnsi="Cambria"/>
                <w:color w:val="FFFFFF" w:themeColor="background1"/>
                <w:sz w:val="22"/>
                <w:szCs w:val="22"/>
              </w:rPr>
            </w:pPr>
            <w:r w:rsidRPr="007D2BC6">
              <w:rPr>
                <w:rFonts w:ascii="Cambria" w:hAnsi="Cambria"/>
                <w:color w:val="FFFFFF" w:themeColor="background1"/>
                <w:sz w:val="22"/>
                <w:szCs w:val="22"/>
              </w:rPr>
              <w:t>Additional observations from the petitioner</w:t>
            </w:r>
            <w:r w:rsidR="007D2BC6">
              <w:rPr>
                <w:rFonts w:ascii="Cambria" w:hAnsi="Cambria"/>
                <w:color w:val="FFFFFF" w:themeColor="background1"/>
                <w:sz w:val="22"/>
                <w:szCs w:val="22"/>
              </w:rPr>
              <w:t>:</w:t>
            </w:r>
          </w:p>
        </w:tc>
        <w:tc>
          <w:tcPr>
            <w:tcW w:w="5670" w:type="dxa"/>
            <w:vAlign w:val="center"/>
          </w:tcPr>
          <w:p w14:paraId="25A44418" w14:textId="3079B90F" w:rsidR="004F35AC" w:rsidRPr="007D2BC6" w:rsidRDefault="00335F77" w:rsidP="00D01EE8">
            <w:pPr>
              <w:jc w:val="both"/>
              <w:rPr>
                <w:rFonts w:ascii="Cambria" w:hAnsi="Cambria"/>
                <w:bCs/>
                <w:sz w:val="19"/>
                <w:szCs w:val="19"/>
                <w:lang w:val="es-ES"/>
              </w:rPr>
            </w:pPr>
            <w:r>
              <w:rPr>
                <w:rFonts w:ascii="Cambria" w:hAnsi="Cambria"/>
                <w:bCs/>
                <w:sz w:val="19"/>
                <w:szCs w:val="19"/>
                <w:lang w:val="es-ES"/>
              </w:rPr>
              <w:t>May 7, 2018</w:t>
            </w:r>
          </w:p>
        </w:tc>
      </w:tr>
      <w:tr w:rsidR="00D026D9" w:rsidRPr="000B6B7A" w14:paraId="15E9EA49" w14:textId="77777777" w:rsidTr="00363D52">
        <w:tc>
          <w:tcPr>
            <w:tcW w:w="3690" w:type="dxa"/>
            <w:tcBorders>
              <w:top w:val="single" w:sz="6" w:space="0" w:color="auto"/>
              <w:bottom w:val="single" w:sz="6" w:space="0" w:color="auto"/>
            </w:tcBorders>
            <w:shd w:val="clear" w:color="auto" w:fill="67AE3C"/>
            <w:vAlign w:val="center"/>
          </w:tcPr>
          <w:p w14:paraId="569567E4" w14:textId="77777777" w:rsidR="00D026D9" w:rsidRPr="007D2BC6" w:rsidRDefault="00D026D9" w:rsidP="00D01EE8">
            <w:pPr>
              <w:jc w:val="both"/>
              <w:rPr>
                <w:rFonts w:ascii="Cambria" w:hAnsi="Cambria"/>
                <w:color w:val="FFFFFF" w:themeColor="background1"/>
                <w:sz w:val="22"/>
                <w:szCs w:val="22"/>
              </w:rPr>
            </w:pPr>
            <w:r w:rsidRPr="007D2BC6">
              <w:rPr>
                <w:rFonts w:ascii="Cambria" w:hAnsi="Cambria"/>
                <w:color w:val="FFFFFF" w:themeColor="background1"/>
                <w:sz w:val="22"/>
                <w:szCs w:val="22"/>
              </w:rPr>
              <w:t xml:space="preserve">Advisement of intent to archive: </w:t>
            </w:r>
          </w:p>
        </w:tc>
        <w:tc>
          <w:tcPr>
            <w:tcW w:w="5670" w:type="dxa"/>
            <w:vAlign w:val="center"/>
          </w:tcPr>
          <w:p w14:paraId="3CBF6747" w14:textId="77777777" w:rsidR="00D026D9" w:rsidRPr="00FE5113" w:rsidRDefault="00D026D9" w:rsidP="00D01EE8">
            <w:pPr>
              <w:jc w:val="both"/>
              <w:rPr>
                <w:rFonts w:ascii="Cambria" w:hAnsi="Cambria"/>
                <w:bCs/>
                <w:sz w:val="20"/>
                <w:szCs w:val="20"/>
              </w:rPr>
            </w:pPr>
            <w:r>
              <w:rPr>
                <w:rFonts w:ascii="Cambria" w:hAnsi="Cambria"/>
                <w:bCs/>
                <w:sz w:val="20"/>
                <w:szCs w:val="20"/>
              </w:rPr>
              <w:t>April 27, 2017</w:t>
            </w:r>
          </w:p>
        </w:tc>
      </w:tr>
      <w:tr w:rsidR="00D026D9" w:rsidRPr="000B6B7A" w14:paraId="1F923B3A" w14:textId="77777777" w:rsidTr="00363D52">
        <w:tc>
          <w:tcPr>
            <w:tcW w:w="3690" w:type="dxa"/>
            <w:tcBorders>
              <w:top w:val="single" w:sz="6" w:space="0" w:color="auto"/>
              <w:bottom w:val="single" w:sz="6" w:space="0" w:color="auto"/>
            </w:tcBorders>
            <w:shd w:val="clear" w:color="auto" w:fill="67AE3C"/>
            <w:vAlign w:val="center"/>
          </w:tcPr>
          <w:p w14:paraId="49CD9DAE" w14:textId="77777777" w:rsidR="00D026D9" w:rsidRPr="007D2BC6" w:rsidRDefault="00D026D9" w:rsidP="00D01EE8">
            <w:pPr>
              <w:jc w:val="both"/>
              <w:rPr>
                <w:rFonts w:ascii="Cambria" w:hAnsi="Cambria"/>
                <w:color w:val="FFFFFF" w:themeColor="background1"/>
                <w:sz w:val="22"/>
                <w:szCs w:val="22"/>
              </w:rPr>
            </w:pPr>
            <w:r w:rsidRPr="007D2BC6">
              <w:rPr>
                <w:rFonts w:ascii="Cambria" w:hAnsi="Cambria"/>
                <w:color w:val="FFFFFF" w:themeColor="background1"/>
                <w:sz w:val="22"/>
                <w:szCs w:val="22"/>
              </w:rPr>
              <w:t xml:space="preserve">Response to notice of archival: </w:t>
            </w:r>
          </w:p>
        </w:tc>
        <w:tc>
          <w:tcPr>
            <w:tcW w:w="5670" w:type="dxa"/>
            <w:vAlign w:val="center"/>
          </w:tcPr>
          <w:p w14:paraId="7026E7A9" w14:textId="0ED581AD" w:rsidR="00D026D9" w:rsidRDefault="00D026D9" w:rsidP="00D01EE8">
            <w:pPr>
              <w:jc w:val="both"/>
              <w:rPr>
                <w:rFonts w:ascii="Cambria" w:hAnsi="Cambria"/>
                <w:bCs/>
                <w:sz w:val="20"/>
                <w:szCs w:val="20"/>
              </w:rPr>
            </w:pPr>
            <w:r>
              <w:rPr>
                <w:rFonts w:ascii="Cambria" w:hAnsi="Cambria"/>
                <w:bCs/>
                <w:sz w:val="20"/>
                <w:szCs w:val="20"/>
              </w:rPr>
              <w:t>April 28, 2017</w:t>
            </w:r>
          </w:p>
        </w:tc>
      </w:tr>
    </w:tbl>
    <w:p w14:paraId="7F88B361" w14:textId="77777777" w:rsidR="00F621C3" w:rsidRPr="000B6B7A" w:rsidRDefault="00F621C3" w:rsidP="00D01EE8">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7D2BC6" w:rsidRDefault="00F621C3" w:rsidP="00D01EE8">
            <w:pPr>
              <w:jc w:val="both"/>
              <w:rPr>
                <w:rFonts w:ascii="Cambria" w:hAnsi="Cambria"/>
                <w:bCs/>
                <w:i/>
                <w:color w:val="FFFFFF" w:themeColor="background1"/>
                <w:sz w:val="20"/>
                <w:szCs w:val="20"/>
              </w:rPr>
            </w:pPr>
            <w:r w:rsidRPr="007D2BC6">
              <w:rPr>
                <w:rFonts w:ascii="Cambria" w:hAnsi="Cambria"/>
                <w:bCs/>
                <w:color w:val="FFFFFF" w:themeColor="background1"/>
                <w:sz w:val="20"/>
                <w:szCs w:val="20"/>
              </w:rPr>
              <w:t>Competence</w:t>
            </w:r>
            <w:r w:rsidRPr="007D2BC6">
              <w:rPr>
                <w:rFonts w:ascii="Cambria" w:hAnsi="Cambria"/>
                <w:bCs/>
                <w:i/>
                <w:color w:val="FFFFFF" w:themeColor="background1"/>
                <w:sz w:val="20"/>
                <w:szCs w:val="20"/>
              </w:rPr>
              <w:t xml:space="preserve"> </w:t>
            </w:r>
            <w:proofErr w:type="spellStart"/>
            <w:r w:rsidRPr="007D2BC6">
              <w:rPr>
                <w:rFonts w:ascii="Cambria" w:hAnsi="Cambria"/>
                <w:bCs/>
                <w:i/>
                <w:color w:val="FFFFFF" w:themeColor="background1"/>
                <w:sz w:val="20"/>
                <w:szCs w:val="20"/>
              </w:rPr>
              <w:t>Ratione</w:t>
            </w:r>
            <w:proofErr w:type="spellEnd"/>
            <w:r w:rsidRPr="007D2BC6">
              <w:rPr>
                <w:rFonts w:ascii="Cambria" w:hAnsi="Cambria"/>
                <w:bCs/>
                <w:i/>
                <w:color w:val="FFFFFF" w:themeColor="background1"/>
                <w:sz w:val="20"/>
                <w:szCs w:val="20"/>
              </w:rPr>
              <w:t xml:space="preserve"> personae:</w:t>
            </w:r>
          </w:p>
        </w:tc>
        <w:tc>
          <w:tcPr>
            <w:tcW w:w="5670" w:type="dxa"/>
            <w:vAlign w:val="center"/>
          </w:tcPr>
          <w:p w14:paraId="237A8D0C" w14:textId="6B12BB8E" w:rsidR="00F621C3" w:rsidRPr="000B6B7A" w:rsidRDefault="00302748" w:rsidP="00D01EE8">
            <w:pPr>
              <w:jc w:val="both"/>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7D2BC6" w:rsidRDefault="00F621C3" w:rsidP="00D01EE8">
            <w:pPr>
              <w:jc w:val="both"/>
              <w:rPr>
                <w:rFonts w:ascii="Cambria" w:hAnsi="Cambria"/>
                <w:bCs/>
                <w:color w:val="FFFFFF" w:themeColor="background1"/>
                <w:sz w:val="20"/>
                <w:szCs w:val="20"/>
              </w:rPr>
            </w:pPr>
            <w:r w:rsidRPr="007D2BC6">
              <w:rPr>
                <w:rFonts w:ascii="Cambria" w:hAnsi="Cambria"/>
                <w:bCs/>
                <w:color w:val="FFFFFF" w:themeColor="background1"/>
                <w:sz w:val="20"/>
                <w:szCs w:val="20"/>
              </w:rPr>
              <w:t>Competence</w:t>
            </w:r>
            <w:r w:rsidRPr="007D2BC6">
              <w:rPr>
                <w:rFonts w:ascii="Cambria" w:hAnsi="Cambria"/>
                <w:bCs/>
                <w:i/>
                <w:color w:val="FFFFFF" w:themeColor="background1"/>
                <w:sz w:val="20"/>
                <w:szCs w:val="20"/>
              </w:rPr>
              <w:t xml:space="preserve"> </w:t>
            </w:r>
            <w:proofErr w:type="spellStart"/>
            <w:r w:rsidRPr="007D2BC6">
              <w:rPr>
                <w:rFonts w:ascii="Cambria" w:hAnsi="Cambria"/>
                <w:bCs/>
                <w:i/>
                <w:color w:val="FFFFFF" w:themeColor="background1"/>
                <w:sz w:val="20"/>
                <w:szCs w:val="20"/>
              </w:rPr>
              <w:t>Ratione</w:t>
            </w:r>
            <w:proofErr w:type="spellEnd"/>
            <w:r w:rsidRPr="007D2BC6">
              <w:rPr>
                <w:rFonts w:ascii="Cambria" w:hAnsi="Cambria"/>
                <w:bCs/>
                <w:i/>
                <w:color w:val="FFFFFF" w:themeColor="background1"/>
                <w:sz w:val="20"/>
                <w:szCs w:val="20"/>
              </w:rPr>
              <w:t xml:space="preserve"> loci</w:t>
            </w:r>
            <w:r w:rsidRPr="007D2BC6">
              <w:rPr>
                <w:rFonts w:ascii="Cambria" w:hAnsi="Cambria"/>
                <w:bCs/>
                <w:color w:val="FFFFFF" w:themeColor="background1"/>
                <w:sz w:val="20"/>
                <w:szCs w:val="20"/>
              </w:rPr>
              <w:t>:</w:t>
            </w:r>
          </w:p>
        </w:tc>
        <w:tc>
          <w:tcPr>
            <w:tcW w:w="5670" w:type="dxa"/>
            <w:vAlign w:val="center"/>
          </w:tcPr>
          <w:p w14:paraId="48257424" w14:textId="39C38C6E" w:rsidR="00F621C3" w:rsidRPr="000B6B7A" w:rsidRDefault="00302748" w:rsidP="00D01EE8">
            <w:pPr>
              <w:jc w:val="both"/>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7D2BC6" w:rsidRDefault="00F621C3" w:rsidP="00D01EE8">
            <w:pPr>
              <w:jc w:val="both"/>
              <w:rPr>
                <w:rFonts w:ascii="Cambria" w:hAnsi="Cambria"/>
                <w:bCs/>
                <w:color w:val="FFFFFF" w:themeColor="background1"/>
                <w:sz w:val="20"/>
                <w:szCs w:val="20"/>
              </w:rPr>
            </w:pPr>
            <w:r w:rsidRPr="007D2BC6">
              <w:rPr>
                <w:rFonts w:ascii="Cambria" w:hAnsi="Cambria"/>
                <w:bCs/>
                <w:color w:val="FFFFFF" w:themeColor="background1"/>
                <w:sz w:val="20"/>
                <w:szCs w:val="20"/>
              </w:rPr>
              <w:t>Competence</w:t>
            </w:r>
            <w:r w:rsidRPr="007D2BC6">
              <w:rPr>
                <w:rFonts w:ascii="Cambria" w:hAnsi="Cambria"/>
                <w:bCs/>
                <w:i/>
                <w:color w:val="FFFFFF" w:themeColor="background1"/>
                <w:sz w:val="20"/>
                <w:szCs w:val="20"/>
              </w:rPr>
              <w:t xml:space="preserve"> </w:t>
            </w:r>
            <w:proofErr w:type="spellStart"/>
            <w:r w:rsidRPr="007D2BC6">
              <w:rPr>
                <w:rFonts w:ascii="Cambria" w:hAnsi="Cambria"/>
                <w:bCs/>
                <w:i/>
                <w:color w:val="FFFFFF" w:themeColor="background1"/>
                <w:sz w:val="20"/>
                <w:szCs w:val="20"/>
              </w:rPr>
              <w:t>Ratione</w:t>
            </w:r>
            <w:proofErr w:type="spellEnd"/>
            <w:r w:rsidRPr="007D2BC6">
              <w:rPr>
                <w:rFonts w:ascii="Cambria" w:hAnsi="Cambria"/>
                <w:bCs/>
                <w:i/>
                <w:color w:val="FFFFFF" w:themeColor="background1"/>
                <w:sz w:val="20"/>
                <w:szCs w:val="20"/>
              </w:rPr>
              <w:t xml:space="preserve"> </w:t>
            </w:r>
            <w:proofErr w:type="spellStart"/>
            <w:r w:rsidRPr="007D2BC6">
              <w:rPr>
                <w:rFonts w:ascii="Cambria" w:hAnsi="Cambria"/>
                <w:bCs/>
                <w:i/>
                <w:color w:val="FFFFFF" w:themeColor="background1"/>
                <w:sz w:val="20"/>
                <w:szCs w:val="20"/>
              </w:rPr>
              <w:t>temporis</w:t>
            </w:r>
            <w:proofErr w:type="spellEnd"/>
            <w:r w:rsidRPr="007D2BC6">
              <w:rPr>
                <w:rFonts w:ascii="Cambria" w:hAnsi="Cambria"/>
                <w:bCs/>
                <w:color w:val="FFFFFF" w:themeColor="background1"/>
                <w:sz w:val="20"/>
                <w:szCs w:val="20"/>
              </w:rPr>
              <w:t>:</w:t>
            </w:r>
          </w:p>
        </w:tc>
        <w:tc>
          <w:tcPr>
            <w:tcW w:w="5670" w:type="dxa"/>
            <w:vAlign w:val="center"/>
          </w:tcPr>
          <w:p w14:paraId="74B3F783" w14:textId="1DEF3181" w:rsidR="00F621C3" w:rsidRPr="000B6B7A" w:rsidRDefault="00302748" w:rsidP="00D01EE8">
            <w:pPr>
              <w:jc w:val="both"/>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7D2BC6" w:rsidRDefault="00F621C3" w:rsidP="00D01EE8">
            <w:pPr>
              <w:jc w:val="both"/>
              <w:rPr>
                <w:rFonts w:ascii="Cambria" w:hAnsi="Cambria"/>
                <w:bCs/>
                <w:color w:val="FFFFFF" w:themeColor="background1"/>
                <w:sz w:val="20"/>
                <w:szCs w:val="20"/>
              </w:rPr>
            </w:pPr>
            <w:r w:rsidRPr="007D2BC6">
              <w:rPr>
                <w:rFonts w:ascii="Cambria" w:hAnsi="Cambria"/>
                <w:bCs/>
                <w:color w:val="FFFFFF" w:themeColor="background1"/>
                <w:sz w:val="20"/>
                <w:szCs w:val="20"/>
              </w:rPr>
              <w:t>Competence</w:t>
            </w:r>
            <w:r w:rsidRPr="007D2BC6">
              <w:rPr>
                <w:rFonts w:ascii="Cambria" w:hAnsi="Cambria"/>
                <w:bCs/>
                <w:i/>
                <w:color w:val="FFFFFF" w:themeColor="background1"/>
                <w:sz w:val="20"/>
                <w:szCs w:val="20"/>
              </w:rPr>
              <w:t xml:space="preserve"> </w:t>
            </w:r>
            <w:proofErr w:type="spellStart"/>
            <w:r w:rsidRPr="007D2BC6">
              <w:rPr>
                <w:rFonts w:ascii="Cambria" w:hAnsi="Cambria"/>
                <w:bCs/>
                <w:i/>
                <w:color w:val="FFFFFF" w:themeColor="background1"/>
                <w:sz w:val="20"/>
                <w:szCs w:val="20"/>
              </w:rPr>
              <w:t>Ratione</w:t>
            </w:r>
            <w:proofErr w:type="spellEnd"/>
            <w:r w:rsidRPr="007D2BC6">
              <w:rPr>
                <w:rFonts w:ascii="Cambria" w:hAnsi="Cambria"/>
                <w:bCs/>
                <w:i/>
                <w:color w:val="FFFFFF" w:themeColor="background1"/>
                <w:sz w:val="20"/>
                <w:szCs w:val="20"/>
              </w:rPr>
              <w:t xml:space="preserve"> </w:t>
            </w:r>
            <w:proofErr w:type="spellStart"/>
            <w:r w:rsidRPr="007D2BC6">
              <w:rPr>
                <w:rFonts w:ascii="Cambria" w:hAnsi="Cambria"/>
                <w:bCs/>
                <w:i/>
                <w:color w:val="FFFFFF" w:themeColor="background1"/>
                <w:sz w:val="20"/>
                <w:szCs w:val="20"/>
              </w:rPr>
              <w:t>materiae</w:t>
            </w:r>
            <w:proofErr w:type="spellEnd"/>
            <w:r w:rsidRPr="007D2BC6">
              <w:rPr>
                <w:rFonts w:ascii="Cambria" w:hAnsi="Cambria"/>
                <w:bCs/>
                <w:color w:val="FFFFFF" w:themeColor="background1"/>
                <w:sz w:val="20"/>
                <w:szCs w:val="20"/>
              </w:rPr>
              <w:t>:</w:t>
            </w:r>
          </w:p>
        </w:tc>
        <w:tc>
          <w:tcPr>
            <w:tcW w:w="5670" w:type="dxa"/>
            <w:vAlign w:val="center"/>
          </w:tcPr>
          <w:p w14:paraId="64B3F199" w14:textId="7ADA4697" w:rsidR="00F621C3" w:rsidRPr="000B6B7A" w:rsidRDefault="00335F77" w:rsidP="00D01EE8">
            <w:pPr>
              <w:jc w:val="both"/>
              <w:rPr>
                <w:rFonts w:asciiTheme="majorHAnsi" w:hAnsiTheme="majorHAnsi"/>
                <w:bCs/>
                <w:sz w:val="20"/>
                <w:szCs w:val="20"/>
              </w:rPr>
            </w:pPr>
            <w:r w:rsidRPr="00335F77">
              <w:rPr>
                <w:rFonts w:asciiTheme="majorHAnsi" w:hAnsiTheme="majorHAnsi"/>
                <w:bCs/>
                <w:sz w:val="20"/>
                <w:szCs w:val="20"/>
              </w:rPr>
              <w:t>Yes, American Convention (deposit of the instrument of ratification made on August 21, 1990)</w:t>
            </w:r>
          </w:p>
        </w:tc>
      </w:tr>
    </w:tbl>
    <w:p w14:paraId="0408D4CD" w14:textId="54A61356" w:rsidR="00F621C3" w:rsidRPr="000B6B7A" w:rsidRDefault="00F621C3" w:rsidP="00D01EE8">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7D2BC6" w:rsidRDefault="00F621C3" w:rsidP="00D01EE8">
            <w:pPr>
              <w:jc w:val="both"/>
              <w:rPr>
                <w:rFonts w:ascii="Cambria" w:hAnsi="Cambria"/>
                <w:bCs/>
                <w:color w:val="FFFFFF" w:themeColor="background1"/>
                <w:sz w:val="20"/>
                <w:szCs w:val="20"/>
              </w:rPr>
            </w:pPr>
            <w:r w:rsidRPr="007D2BC6">
              <w:rPr>
                <w:rFonts w:ascii="Cambria" w:hAnsi="Cambria"/>
                <w:bCs/>
                <w:color w:val="FFFFFF" w:themeColor="background1"/>
                <w:sz w:val="20"/>
                <w:szCs w:val="20"/>
              </w:rPr>
              <w:t xml:space="preserve">Duplication of procedures and International </w:t>
            </w:r>
            <w:r w:rsidRPr="007D2BC6">
              <w:rPr>
                <w:rFonts w:ascii="Cambria" w:hAnsi="Cambria"/>
                <w:bCs/>
                <w:i/>
                <w:color w:val="FFFFFF" w:themeColor="background1"/>
                <w:sz w:val="20"/>
                <w:szCs w:val="20"/>
              </w:rPr>
              <w:t>res judicata</w:t>
            </w:r>
            <w:r w:rsidRPr="007D2BC6">
              <w:rPr>
                <w:rFonts w:ascii="Cambria" w:hAnsi="Cambria"/>
                <w:bCs/>
                <w:color w:val="FFFFFF" w:themeColor="background1"/>
                <w:sz w:val="20"/>
                <w:szCs w:val="20"/>
              </w:rPr>
              <w:t>:</w:t>
            </w:r>
          </w:p>
        </w:tc>
        <w:tc>
          <w:tcPr>
            <w:tcW w:w="5670" w:type="dxa"/>
            <w:vAlign w:val="center"/>
          </w:tcPr>
          <w:p w14:paraId="4773CD23" w14:textId="3C3CBFCF" w:rsidR="00F621C3" w:rsidRPr="000B6B7A" w:rsidRDefault="00302748" w:rsidP="00D01EE8">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7D2BC6" w:rsidRDefault="00F621C3" w:rsidP="00D01EE8">
            <w:pPr>
              <w:jc w:val="both"/>
              <w:rPr>
                <w:rFonts w:ascii="Cambria" w:hAnsi="Cambria"/>
                <w:bCs/>
                <w:i/>
                <w:color w:val="FFFFFF" w:themeColor="background1"/>
                <w:sz w:val="20"/>
                <w:szCs w:val="20"/>
              </w:rPr>
            </w:pPr>
            <w:r w:rsidRPr="007D2BC6">
              <w:rPr>
                <w:rFonts w:ascii="Cambria" w:hAnsi="Cambria"/>
                <w:bCs/>
                <w:color w:val="FFFFFF" w:themeColor="background1"/>
                <w:sz w:val="20"/>
                <w:szCs w:val="20"/>
              </w:rPr>
              <w:t>Rights declared admissible</w:t>
            </w:r>
          </w:p>
        </w:tc>
        <w:tc>
          <w:tcPr>
            <w:tcW w:w="5670" w:type="dxa"/>
            <w:vAlign w:val="center"/>
          </w:tcPr>
          <w:p w14:paraId="33BE4040" w14:textId="258B67CC" w:rsidR="00F621C3" w:rsidRPr="000B6B7A" w:rsidRDefault="00711263" w:rsidP="00D01EE8">
            <w:pPr>
              <w:jc w:val="both"/>
              <w:rPr>
                <w:rFonts w:ascii="Cambria" w:hAnsi="Cambria"/>
                <w:bCs/>
                <w:sz w:val="20"/>
                <w:szCs w:val="20"/>
              </w:rPr>
            </w:pPr>
            <w:r w:rsidRPr="00711263">
              <w:rPr>
                <w:rFonts w:ascii="Cambria" w:hAnsi="Cambria"/>
                <w:bCs/>
                <w:sz w:val="20"/>
                <w:szCs w:val="20"/>
              </w:rPr>
              <w:t>Articles 8 (</w:t>
            </w:r>
            <w:r>
              <w:rPr>
                <w:rFonts w:ascii="Cambria" w:hAnsi="Cambria"/>
                <w:bCs/>
                <w:sz w:val="20"/>
                <w:szCs w:val="20"/>
              </w:rPr>
              <w:t>fair trial</w:t>
            </w:r>
            <w:r w:rsidRPr="00711263">
              <w:rPr>
                <w:rFonts w:ascii="Cambria" w:hAnsi="Cambria"/>
                <w:bCs/>
                <w:sz w:val="20"/>
                <w:szCs w:val="20"/>
              </w:rPr>
              <w:t>) and 25 (judicial protection) of the American Convention in relation to its Articles 1.1 (obligation to respect rights) and 2 (</w:t>
            </w:r>
            <w:r w:rsidR="00D026D9">
              <w:rPr>
                <w:rFonts w:ascii="Cambria" w:hAnsi="Cambria"/>
                <w:bCs/>
                <w:sz w:val="20"/>
                <w:szCs w:val="20"/>
              </w:rPr>
              <w:t>domestic legal effects</w:t>
            </w:r>
            <w:r w:rsidRPr="00711263">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7D2BC6" w:rsidRDefault="00F621C3" w:rsidP="00D01EE8">
            <w:pPr>
              <w:jc w:val="both"/>
              <w:rPr>
                <w:rFonts w:ascii="Cambria" w:hAnsi="Cambria"/>
                <w:bCs/>
                <w:color w:val="FFFFFF" w:themeColor="background1"/>
                <w:sz w:val="20"/>
                <w:szCs w:val="20"/>
              </w:rPr>
            </w:pPr>
            <w:r w:rsidRPr="007D2BC6">
              <w:rPr>
                <w:rFonts w:ascii="Cambria" w:hAnsi="Cambria"/>
                <w:bCs/>
                <w:color w:val="FFFFFF" w:themeColor="background1"/>
                <w:sz w:val="20"/>
                <w:szCs w:val="20"/>
              </w:rPr>
              <w:t>Exhaustion of domestic remedies or applicability of an exception to the rule:</w:t>
            </w:r>
          </w:p>
        </w:tc>
        <w:tc>
          <w:tcPr>
            <w:tcW w:w="5670" w:type="dxa"/>
            <w:vAlign w:val="center"/>
          </w:tcPr>
          <w:p w14:paraId="432DC56B" w14:textId="16B9F55C" w:rsidR="00F621C3" w:rsidRPr="000B6B7A" w:rsidRDefault="00711263" w:rsidP="00D01EE8">
            <w:pPr>
              <w:jc w:val="both"/>
              <w:rPr>
                <w:rFonts w:ascii="Cambria" w:hAnsi="Cambria"/>
                <w:bCs/>
                <w:sz w:val="20"/>
                <w:szCs w:val="20"/>
              </w:rPr>
            </w:pPr>
            <w:r w:rsidRPr="00711263">
              <w:rPr>
                <w:rFonts w:ascii="Cambria" w:hAnsi="Cambria"/>
                <w:bCs/>
                <w:sz w:val="20"/>
                <w:szCs w:val="20"/>
              </w:rPr>
              <w:t>Yes, on June 6, 2012</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7D2BC6" w:rsidRDefault="00F621C3" w:rsidP="00D01EE8">
            <w:pPr>
              <w:jc w:val="both"/>
              <w:rPr>
                <w:rFonts w:ascii="Cambria" w:hAnsi="Cambria"/>
                <w:bCs/>
                <w:color w:val="FFFFFF" w:themeColor="background1"/>
                <w:sz w:val="20"/>
                <w:szCs w:val="20"/>
              </w:rPr>
            </w:pPr>
            <w:r w:rsidRPr="007D2BC6">
              <w:rPr>
                <w:rFonts w:ascii="Cambria" w:hAnsi="Cambria"/>
                <w:bCs/>
                <w:color w:val="FFFFFF" w:themeColor="background1"/>
                <w:sz w:val="20"/>
                <w:szCs w:val="20"/>
              </w:rPr>
              <w:t>Timeliness of the petition:</w:t>
            </w:r>
          </w:p>
        </w:tc>
        <w:tc>
          <w:tcPr>
            <w:tcW w:w="5670" w:type="dxa"/>
            <w:vAlign w:val="center"/>
          </w:tcPr>
          <w:p w14:paraId="6A26CCE9" w14:textId="1E6AE802" w:rsidR="00F621C3" w:rsidRPr="000B6B7A" w:rsidRDefault="00711263" w:rsidP="00D01EE8">
            <w:pPr>
              <w:jc w:val="both"/>
              <w:rPr>
                <w:rFonts w:asciiTheme="majorHAnsi" w:hAnsiTheme="majorHAnsi"/>
                <w:bCs/>
                <w:sz w:val="20"/>
                <w:szCs w:val="20"/>
              </w:rPr>
            </w:pPr>
            <w:r w:rsidRPr="00711263">
              <w:rPr>
                <w:rFonts w:asciiTheme="majorHAnsi" w:hAnsiTheme="majorHAnsi"/>
                <w:bCs/>
                <w:sz w:val="20"/>
                <w:szCs w:val="20"/>
              </w:rPr>
              <w:t>Yes, on December 6, 2012</w:t>
            </w:r>
          </w:p>
        </w:tc>
      </w:tr>
    </w:tbl>
    <w:p w14:paraId="22BE12EB" w14:textId="446ADC31" w:rsidR="00BF4B32" w:rsidRPr="00167D72" w:rsidRDefault="00F621C3" w:rsidP="00D01EE8">
      <w:pPr>
        <w:spacing w:before="120" w:after="120"/>
        <w:ind w:firstLine="720"/>
        <w:jc w:val="both"/>
        <w:rPr>
          <w:rFonts w:asciiTheme="majorHAnsi" w:hAnsiTheme="majorHAnsi"/>
          <w:b/>
          <w:sz w:val="20"/>
          <w:szCs w:val="20"/>
        </w:rPr>
      </w:pPr>
      <w:r w:rsidRPr="00167D72">
        <w:rPr>
          <w:rFonts w:asciiTheme="majorHAnsi" w:hAnsiTheme="majorHAnsi"/>
          <w:b/>
          <w:sz w:val="20"/>
          <w:szCs w:val="20"/>
        </w:rPr>
        <w:t xml:space="preserve">V. </w:t>
      </w:r>
      <w:r w:rsidRPr="00167D72">
        <w:rPr>
          <w:rFonts w:asciiTheme="majorHAnsi" w:hAnsiTheme="majorHAnsi"/>
          <w:b/>
          <w:sz w:val="20"/>
          <w:szCs w:val="20"/>
        </w:rPr>
        <w:tab/>
        <w:t xml:space="preserve">FACTS </w:t>
      </w:r>
      <w:r w:rsidR="005816E5" w:rsidRPr="00167D72">
        <w:rPr>
          <w:rFonts w:asciiTheme="majorHAnsi" w:hAnsiTheme="majorHAnsi"/>
          <w:b/>
          <w:sz w:val="20"/>
          <w:szCs w:val="20"/>
        </w:rPr>
        <w:t>ALLEGED</w:t>
      </w:r>
    </w:p>
    <w:p w14:paraId="6BE25819" w14:textId="70852587" w:rsidR="00141263" w:rsidRDefault="00141263" w:rsidP="00D01EE8">
      <w:pPr>
        <w:pStyle w:val="ListParagraph"/>
        <w:numPr>
          <w:ilvl w:val="0"/>
          <w:numId w:val="107"/>
        </w:numPr>
        <w:spacing w:before="120" w:after="120"/>
        <w:ind w:left="0" w:firstLine="720"/>
        <w:jc w:val="both"/>
        <w:rPr>
          <w:rFonts w:asciiTheme="majorHAnsi" w:hAnsiTheme="majorHAnsi"/>
          <w:sz w:val="20"/>
          <w:szCs w:val="20"/>
        </w:rPr>
      </w:pPr>
      <w:r w:rsidRPr="00141263">
        <w:rPr>
          <w:rFonts w:asciiTheme="majorHAnsi" w:hAnsiTheme="majorHAnsi"/>
          <w:sz w:val="20"/>
          <w:szCs w:val="20"/>
        </w:rPr>
        <w:t xml:space="preserve">The petitioning party denounces the lack of reparation to the </w:t>
      </w:r>
      <w:r w:rsidR="00D026D9">
        <w:rPr>
          <w:rFonts w:asciiTheme="majorHAnsi" w:hAnsiTheme="majorHAnsi"/>
          <w:sz w:val="20"/>
          <w:szCs w:val="20"/>
        </w:rPr>
        <w:t>relatives</w:t>
      </w:r>
      <w:r w:rsidRPr="00141263">
        <w:rPr>
          <w:rFonts w:asciiTheme="majorHAnsi" w:hAnsiTheme="majorHAnsi"/>
          <w:sz w:val="20"/>
          <w:szCs w:val="20"/>
        </w:rPr>
        <w:t xml:space="preserve"> of Jorge Isaac Fuentes </w:t>
      </w:r>
      <w:proofErr w:type="spellStart"/>
      <w:r w:rsidRPr="00141263">
        <w:rPr>
          <w:rFonts w:asciiTheme="majorHAnsi" w:hAnsiTheme="majorHAnsi"/>
          <w:sz w:val="20"/>
          <w:szCs w:val="20"/>
        </w:rPr>
        <w:t>Alarcón</w:t>
      </w:r>
      <w:proofErr w:type="spellEnd"/>
      <w:r w:rsidRPr="00141263">
        <w:rPr>
          <w:rFonts w:asciiTheme="majorHAnsi" w:hAnsiTheme="majorHAnsi"/>
          <w:sz w:val="20"/>
          <w:szCs w:val="20"/>
        </w:rPr>
        <w:t xml:space="preserve"> (or hereinafter “alleged victim”) for the damage caused by his extrajudicial detention, torture and subsequent forced disappearance, as well as violation of judicial guarantees and the right to judicial protection in the </w:t>
      </w:r>
      <w:r w:rsidR="00D026D9">
        <w:rPr>
          <w:rFonts w:asciiTheme="majorHAnsi" w:hAnsiTheme="majorHAnsi"/>
          <w:sz w:val="20"/>
          <w:szCs w:val="20"/>
        </w:rPr>
        <w:t>course</w:t>
      </w:r>
      <w:r w:rsidRPr="00141263">
        <w:rPr>
          <w:rFonts w:asciiTheme="majorHAnsi" w:hAnsiTheme="majorHAnsi"/>
          <w:sz w:val="20"/>
          <w:szCs w:val="20"/>
        </w:rPr>
        <w:t xml:space="preserve"> of </w:t>
      </w:r>
      <w:r w:rsidR="00D026D9">
        <w:rPr>
          <w:rFonts w:asciiTheme="majorHAnsi" w:hAnsiTheme="majorHAnsi"/>
          <w:sz w:val="20"/>
          <w:szCs w:val="20"/>
        </w:rPr>
        <w:t xml:space="preserve">the </w:t>
      </w:r>
      <w:r w:rsidRPr="00141263">
        <w:rPr>
          <w:rFonts w:asciiTheme="majorHAnsi" w:hAnsiTheme="majorHAnsi"/>
          <w:sz w:val="20"/>
          <w:szCs w:val="20"/>
        </w:rPr>
        <w:t>civil proceedings, constituting a denial of justice.</w:t>
      </w:r>
    </w:p>
    <w:p w14:paraId="184DD4A6" w14:textId="1D8C8F99" w:rsidR="00141263" w:rsidRDefault="00141263" w:rsidP="00D01EE8">
      <w:pPr>
        <w:pStyle w:val="ListParagraph"/>
        <w:numPr>
          <w:ilvl w:val="0"/>
          <w:numId w:val="107"/>
        </w:numPr>
        <w:spacing w:before="120" w:after="120"/>
        <w:ind w:left="0" w:firstLine="720"/>
        <w:jc w:val="both"/>
        <w:rPr>
          <w:rFonts w:asciiTheme="majorHAnsi" w:hAnsiTheme="majorHAnsi"/>
          <w:sz w:val="20"/>
          <w:szCs w:val="20"/>
        </w:rPr>
      </w:pPr>
      <w:r w:rsidRPr="00141263">
        <w:rPr>
          <w:rFonts w:asciiTheme="majorHAnsi" w:hAnsiTheme="majorHAnsi"/>
          <w:sz w:val="20"/>
          <w:szCs w:val="20"/>
        </w:rPr>
        <w:t xml:space="preserve">The petitioner </w:t>
      </w:r>
      <w:r w:rsidR="00D026D9">
        <w:rPr>
          <w:rFonts w:asciiTheme="majorHAnsi" w:hAnsiTheme="majorHAnsi"/>
          <w:sz w:val="20"/>
          <w:szCs w:val="20"/>
        </w:rPr>
        <w:t>submits</w:t>
      </w:r>
      <w:r w:rsidR="00564B70">
        <w:rPr>
          <w:rStyle w:val="FootnoteReference"/>
          <w:sz w:val="20"/>
          <w:szCs w:val="20"/>
          <w:lang w:val="es-ES"/>
        </w:rPr>
        <w:footnoteReference w:id="7"/>
      </w:r>
      <w:r w:rsidR="00D026D9">
        <w:rPr>
          <w:rFonts w:asciiTheme="majorHAnsi" w:hAnsiTheme="majorHAnsi"/>
          <w:sz w:val="20"/>
          <w:szCs w:val="20"/>
        </w:rPr>
        <w:t xml:space="preserve"> </w:t>
      </w:r>
      <w:r w:rsidRPr="00141263">
        <w:rPr>
          <w:rFonts w:asciiTheme="majorHAnsi" w:hAnsiTheme="majorHAnsi"/>
          <w:sz w:val="20"/>
          <w:szCs w:val="20"/>
        </w:rPr>
        <w:t xml:space="preserve">that the alleged victim, a Chilean, student leader and member of the Revolutionary Left Movement (MIR) was detained on May 17, 1975 in Asunción by Paraguayan security personnel. In September of the same year, he was handed over to members of the Directorate of National </w:t>
      </w:r>
      <w:r w:rsidRPr="00141263">
        <w:rPr>
          <w:rFonts w:asciiTheme="majorHAnsi" w:hAnsiTheme="majorHAnsi"/>
          <w:sz w:val="20"/>
          <w:szCs w:val="20"/>
        </w:rPr>
        <w:lastRenderedPageBreak/>
        <w:t xml:space="preserve">Intelligence (DINA) and smuggled into Chile. He was first taken to the </w:t>
      </w:r>
      <w:proofErr w:type="spellStart"/>
      <w:r w:rsidRPr="00141263">
        <w:rPr>
          <w:rFonts w:asciiTheme="majorHAnsi" w:hAnsiTheme="majorHAnsi"/>
          <w:sz w:val="20"/>
          <w:szCs w:val="20"/>
        </w:rPr>
        <w:t>Cuatro</w:t>
      </w:r>
      <w:proofErr w:type="spellEnd"/>
      <w:r w:rsidRPr="00141263">
        <w:rPr>
          <w:rFonts w:asciiTheme="majorHAnsi" w:hAnsiTheme="majorHAnsi"/>
          <w:sz w:val="20"/>
          <w:szCs w:val="20"/>
        </w:rPr>
        <w:t xml:space="preserve"> </w:t>
      </w:r>
      <w:proofErr w:type="spellStart"/>
      <w:r w:rsidRPr="00141263">
        <w:rPr>
          <w:rFonts w:asciiTheme="majorHAnsi" w:hAnsiTheme="majorHAnsi"/>
          <w:sz w:val="20"/>
          <w:szCs w:val="20"/>
        </w:rPr>
        <w:t>Álamos</w:t>
      </w:r>
      <w:proofErr w:type="spellEnd"/>
      <w:r w:rsidRPr="00141263">
        <w:rPr>
          <w:rFonts w:asciiTheme="majorHAnsi" w:hAnsiTheme="majorHAnsi"/>
          <w:sz w:val="20"/>
          <w:szCs w:val="20"/>
        </w:rPr>
        <w:t xml:space="preserve"> detention center and then to Villa Grimaldi, where he was tortured and remained until January 12, 1976, when he was taken out in a van along with other detainees with an unknown destination. His whereabouts are unknown to this day.</w:t>
      </w:r>
    </w:p>
    <w:p w14:paraId="7D3762F2" w14:textId="31EBFCD2" w:rsidR="00A7181D" w:rsidRDefault="00A7181D" w:rsidP="00D01EE8">
      <w:pPr>
        <w:pStyle w:val="ListParagraph"/>
        <w:numPr>
          <w:ilvl w:val="0"/>
          <w:numId w:val="107"/>
        </w:numPr>
        <w:spacing w:before="120" w:after="120"/>
        <w:ind w:left="0" w:firstLine="720"/>
        <w:jc w:val="both"/>
        <w:rPr>
          <w:rFonts w:asciiTheme="majorHAnsi" w:hAnsiTheme="majorHAnsi"/>
          <w:sz w:val="20"/>
          <w:szCs w:val="20"/>
        </w:rPr>
      </w:pPr>
      <w:r w:rsidRPr="00A7181D">
        <w:rPr>
          <w:rFonts w:asciiTheme="majorHAnsi" w:hAnsiTheme="majorHAnsi"/>
          <w:sz w:val="20"/>
          <w:szCs w:val="20"/>
        </w:rPr>
        <w:t xml:space="preserve">On October 6, 1975, an </w:t>
      </w:r>
      <w:proofErr w:type="spellStart"/>
      <w:r w:rsidRPr="00A7181D">
        <w:rPr>
          <w:rFonts w:asciiTheme="majorHAnsi" w:hAnsiTheme="majorHAnsi"/>
          <w:sz w:val="20"/>
          <w:szCs w:val="20"/>
        </w:rPr>
        <w:t>amparo</w:t>
      </w:r>
      <w:proofErr w:type="spellEnd"/>
      <w:r w:rsidR="009C6420">
        <w:rPr>
          <w:rFonts w:asciiTheme="majorHAnsi" w:hAnsiTheme="majorHAnsi"/>
          <w:sz w:val="20"/>
          <w:szCs w:val="20"/>
        </w:rPr>
        <w:t xml:space="preserve"> remedy</w:t>
      </w:r>
      <w:r w:rsidRPr="00A7181D">
        <w:rPr>
          <w:rFonts w:asciiTheme="majorHAnsi" w:hAnsiTheme="majorHAnsi"/>
          <w:sz w:val="20"/>
          <w:szCs w:val="20"/>
        </w:rPr>
        <w:t xml:space="preserve"> was filed </w:t>
      </w:r>
      <w:r w:rsidR="009C6420">
        <w:rPr>
          <w:rFonts w:asciiTheme="majorHAnsi" w:hAnsiTheme="majorHAnsi"/>
          <w:sz w:val="20"/>
          <w:szCs w:val="20"/>
        </w:rPr>
        <w:t>before</w:t>
      </w:r>
      <w:r w:rsidRPr="00A7181D">
        <w:rPr>
          <w:rFonts w:asciiTheme="majorHAnsi" w:hAnsiTheme="majorHAnsi"/>
          <w:sz w:val="20"/>
          <w:szCs w:val="20"/>
        </w:rPr>
        <w:t xml:space="preserve"> the Santiago Court of Appeals. Faced with a series of negative reports from different institutions, the </w:t>
      </w:r>
      <w:r w:rsidR="009C6420">
        <w:rPr>
          <w:rFonts w:asciiTheme="majorHAnsi" w:hAnsiTheme="majorHAnsi"/>
          <w:sz w:val="20"/>
          <w:szCs w:val="20"/>
        </w:rPr>
        <w:t>submission</w:t>
      </w:r>
      <w:r w:rsidRPr="00A7181D">
        <w:rPr>
          <w:rFonts w:asciiTheme="majorHAnsi" w:hAnsiTheme="majorHAnsi"/>
          <w:sz w:val="20"/>
          <w:szCs w:val="20"/>
        </w:rPr>
        <w:t xml:space="preserve"> was rejected and the antecedents were forwarded to the First Major Crime Court of the President Aguirre Cerda Department. The processing of this case is unknown. On December 11 of the same year, the alleged victim's mother filed a complaint for illegal arrest before the 11th Criminal Court of Santiago, where various testimonies were received, including 14 people who claimed to have seen the alleged victim in Villa Grimaldi. On February 12, 1976, the Ministry of the Interior indicated that Jorge Isaac Fuentes </w:t>
      </w:r>
      <w:proofErr w:type="spellStart"/>
      <w:r w:rsidRPr="00A7181D">
        <w:rPr>
          <w:rFonts w:asciiTheme="majorHAnsi" w:hAnsiTheme="majorHAnsi"/>
          <w:sz w:val="20"/>
          <w:szCs w:val="20"/>
        </w:rPr>
        <w:t>Alarcón</w:t>
      </w:r>
      <w:proofErr w:type="spellEnd"/>
      <w:r w:rsidRPr="00A7181D">
        <w:rPr>
          <w:rFonts w:asciiTheme="majorHAnsi" w:hAnsiTheme="majorHAnsi"/>
          <w:sz w:val="20"/>
          <w:szCs w:val="20"/>
        </w:rPr>
        <w:t xml:space="preserve"> was not detained by order, but that there was a history of his detention in Paraguay. On August 26, 1977, the case was temporarily dismissed, and said resolution was approved by the Court of Appeals, despite pending proceedings such as the </w:t>
      </w:r>
      <w:r w:rsidR="00D6616C">
        <w:rPr>
          <w:rFonts w:asciiTheme="majorHAnsi" w:hAnsiTheme="majorHAnsi"/>
          <w:sz w:val="20"/>
          <w:szCs w:val="20"/>
        </w:rPr>
        <w:t>establishment</w:t>
      </w:r>
      <w:r w:rsidRPr="00A7181D">
        <w:rPr>
          <w:rFonts w:asciiTheme="majorHAnsi" w:hAnsiTheme="majorHAnsi"/>
          <w:sz w:val="20"/>
          <w:szCs w:val="20"/>
        </w:rPr>
        <w:t xml:space="preserve"> of the </w:t>
      </w:r>
      <w:r w:rsidR="00D6616C">
        <w:rPr>
          <w:rFonts w:asciiTheme="majorHAnsi" w:hAnsiTheme="majorHAnsi"/>
          <w:sz w:val="20"/>
          <w:szCs w:val="20"/>
        </w:rPr>
        <w:t>Tribunal</w:t>
      </w:r>
      <w:r w:rsidRPr="00A7181D">
        <w:rPr>
          <w:rFonts w:asciiTheme="majorHAnsi" w:hAnsiTheme="majorHAnsi"/>
          <w:sz w:val="20"/>
          <w:szCs w:val="20"/>
        </w:rPr>
        <w:t xml:space="preserve"> in Villa </w:t>
      </w:r>
      <w:proofErr w:type="spellStart"/>
      <w:r w:rsidRPr="00A7181D">
        <w:rPr>
          <w:rFonts w:asciiTheme="majorHAnsi" w:hAnsiTheme="majorHAnsi"/>
          <w:sz w:val="20"/>
          <w:szCs w:val="20"/>
        </w:rPr>
        <w:t>Grimaldi</w:t>
      </w:r>
      <w:proofErr w:type="spellEnd"/>
      <w:r w:rsidRPr="00A7181D">
        <w:rPr>
          <w:rFonts w:asciiTheme="majorHAnsi" w:hAnsiTheme="majorHAnsi"/>
          <w:sz w:val="20"/>
          <w:szCs w:val="20"/>
        </w:rPr>
        <w:t>. At the beginning of 1978</w:t>
      </w:r>
      <w:r w:rsidR="00D6616C">
        <w:rPr>
          <w:rFonts w:asciiTheme="majorHAnsi" w:hAnsiTheme="majorHAnsi"/>
          <w:sz w:val="20"/>
          <w:szCs w:val="20"/>
        </w:rPr>
        <w:t>,</w:t>
      </w:r>
      <w:r w:rsidRPr="00A7181D">
        <w:rPr>
          <w:rFonts w:asciiTheme="majorHAnsi" w:hAnsiTheme="majorHAnsi"/>
          <w:sz w:val="20"/>
          <w:szCs w:val="20"/>
        </w:rPr>
        <w:t xml:space="preserve"> a criminal complaint was presented before the same court, which was joined to the case. In November of the same year, the temporary dismissal </w:t>
      </w:r>
      <w:r w:rsidR="00D6616C">
        <w:rPr>
          <w:rFonts w:asciiTheme="majorHAnsi" w:hAnsiTheme="majorHAnsi"/>
          <w:sz w:val="20"/>
          <w:szCs w:val="20"/>
        </w:rPr>
        <w:t xml:space="preserve">of the case </w:t>
      </w:r>
      <w:r w:rsidRPr="00A7181D">
        <w:rPr>
          <w:rFonts w:asciiTheme="majorHAnsi" w:hAnsiTheme="majorHAnsi"/>
          <w:sz w:val="20"/>
          <w:szCs w:val="20"/>
        </w:rPr>
        <w:t xml:space="preserve">was decreed, </w:t>
      </w:r>
      <w:r w:rsidR="00D6616C">
        <w:rPr>
          <w:rFonts w:asciiTheme="majorHAnsi" w:hAnsiTheme="majorHAnsi"/>
          <w:sz w:val="20"/>
          <w:szCs w:val="20"/>
        </w:rPr>
        <w:t>but it</w:t>
      </w:r>
      <w:r w:rsidRPr="00A7181D">
        <w:rPr>
          <w:rFonts w:asciiTheme="majorHAnsi" w:hAnsiTheme="majorHAnsi"/>
          <w:sz w:val="20"/>
          <w:szCs w:val="20"/>
        </w:rPr>
        <w:t xml:space="preserve"> was </w:t>
      </w:r>
      <w:r w:rsidR="00D6616C">
        <w:rPr>
          <w:rFonts w:asciiTheme="majorHAnsi" w:hAnsiTheme="majorHAnsi"/>
          <w:sz w:val="20"/>
          <w:szCs w:val="20"/>
        </w:rPr>
        <w:t>overturned</w:t>
      </w:r>
      <w:r w:rsidRPr="00A7181D">
        <w:rPr>
          <w:rFonts w:asciiTheme="majorHAnsi" w:hAnsiTheme="majorHAnsi"/>
          <w:sz w:val="20"/>
          <w:szCs w:val="20"/>
        </w:rPr>
        <w:t xml:space="preserve"> by the Court of Appeals, </w:t>
      </w:r>
      <w:r w:rsidR="00D6616C">
        <w:rPr>
          <w:rFonts w:asciiTheme="majorHAnsi" w:hAnsiTheme="majorHAnsi"/>
          <w:sz w:val="20"/>
          <w:szCs w:val="20"/>
        </w:rPr>
        <w:t>which ordered</w:t>
      </w:r>
      <w:r w:rsidRPr="00A7181D">
        <w:rPr>
          <w:rFonts w:asciiTheme="majorHAnsi" w:hAnsiTheme="majorHAnsi"/>
          <w:sz w:val="20"/>
          <w:szCs w:val="20"/>
        </w:rPr>
        <w:t xml:space="preserve"> the reopening of the summary and the arrest of Osvaldo </w:t>
      </w:r>
      <w:proofErr w:type="spellStart"/>
      <w:r w:rsidRPr="00A7181D">
        <w:rPr>
          <w:rFonts w:asciiTheme="majorHAnsi" w:hAnsiTheme="majorHAnsi"/>
          <w:sz w:val="20"/>
          <w:szCs w:val="20"/>
        </w:rPr>
        <w:t>Romo</w:t>
      </w:r>
      <w:proofErr w:type="spellEnd"/>
      <w:r w:rsidRPr="00A7181D">
        <w:rPr>
          <w:rFonts w:asciiTheme="majorHAnsi" w:hAnsiTheme="majorHAnsi"/>
          <w:sz w:val="20"/>
          <w:szCs w:val="20"/>
        </w:rPr>
        <w:t xml:space="preserve">, who was </w:t>
      </w:r>
      <w:r w:rsidR="00D6616C">
        <w:rPr>
          <w:rFonts w:asciiTheme="majorHAnsi" w:hAnsiTheme="majorHAnsi"/>
          <w:sz w:val="20"/>
          <w:szCs w:val="20"/>
        </w:rPr>
        <w:t>not present at the moment</w:t>
      </w:r>
      <w:r w:rsidRPr="00A7181D">
        <w:rPr>
          <w:rFonts w:asciiTheme="majorHAnsi" w:hAnsiTheme="majorHAnsi"/>
          <w:sz w:val="20"/>
          <w:szCs w:val="20"/>
        </w:rPr>
        <w:t xml:space="preserve">. In July 1983 the case was </w:t>
      </w:r>
      <w:r w:rsidR="00D6616C">
        <w:rPr>
          <w:rFonts w:asciiTheme="majorHAnsi" w:hAnsiTheme="majorHAnsi"/>
          <w:sz w:val="20"/>
          <w:szCs w:val="20"/>
        </w:rPr>
        <w:t xml:space="preserve">dismissed </w:t>
      </w:r>
      <w:r w:rsidRPr="00A7181D">
        <w:rPr>
          <w:rFonts w:asciiTheme="majorHAnsi" w:hAnsiTheme="majorHAnsi"/>
          <w:sz w:val="20"/>
          <w:szCs w:val="20"/>
        </w:rPr>
        <w:t>again and</w:t>
      </w:r>
      <w:r w:rsidR="00D6616C">
        <w:rPr>
          <w:rFonts w:asciiTheme="majorHAnsi" w:hAnsiTheme="majorHAnsi"/>
          <w:sz w:val="20"/>
          <w:szCs w:val="20"/>
        </w:rPr>
        <w:t>,</w:t>
      </w:r>
      <w:r w:rsidRPr="00A7181D">
        <w:rPr>
          <w:rFonts w:asciiTheme="majorHAnsi" w:hAnsiTheme="majorHAnsi"/>
          <w:sz w:val="20"/>
          <w:szCs w:val="20"/>
        </w:rPr>
        <w:t xml:space="preserve"> in November of the same year</w:t>
      </w:r>
      <w:r w:rsidR="00D6616C">
        <w:rPr>
          <w:rFonts w:asciiTheme="majorHAnsi" w:hAnsiTheme="majorHAnsi"/>
          <w:sz w:val="20"/>
          <w:szCs w:val="20"/>
        </w:rPr>
        <w:t>,</w:t>
      </w:r>
      <w:r w:rsidRPr="00A7181D">
        <w:rPr>
          <w:rFonts w:asciiTheme="majorHAnsi" w:hAnsiTheme="majorHAnsi"/>
          <w:sz w:val="20"/>
          <w:szCs w:val="20"/>
        </w:rPr>
        <w:t xml:space="preserve"> the Court of Appeals ordered its reopening and the Court was established at the Interpol offices, where it </w:t>
      </w:r>
      <w:r w:rsidR="00D6616C">
        <w:rPr>
          <w:rFonts w:asciiTheme="majorHAnsi" w:hAnsiTheme="majorHAnsi"/>
          <w:sz w:val="20"/>
          <w:szCs w:val="20"/>
        </w:rPr>
        <w:t>was made aware</w:t>
      </w:r>
      <w:r w:rsidRPr="00A7181D">
        <w:rPr>
          <w:rFonts w:asciiTheme="majorHAnsi" w:hAnsiTheme="majorHAnsi"/>
          <w:sz w:val="20"/>
          <w:szCs w:val="20"/>
        </w:rPr>
        <w:t xml:space="preserve"> of a letter between the United States Attaché in Buenos Aires and the Director of Investigations of Chile, in which he confirmed the arrest of the alleged victim in Asunción and that the Federal Bureau of Investigation (FBI) had initiated an investigation for his </w:t>
      </w:r>
      <w:r w:rsidR="00D6616C">
        <w:rPr>
          <w:rFonts w:asciiTheme="majorHAnsi" w:hAnsiTheme="majorHAnsi"/>
          <w:sz w:val="20"/>
          <w:szCs w:val="20"/>
        </w:rPr>
        <w:t>ties</w:t>
      </w:r>
      <w:r w:rsidRPr="00A7181D">
        <w:rPr>
          <w:rFonts w:asciiTheme="majorHAnsi" w:hAnsiTheme="majorHAnsi"/>
          <w:sz w:val="20"/>
          <w:szCs w:val="20"/>
        </w:rPr>
        <w:t xml:space="preserve"> with left-wing groups in the region. On March 18, 1991, a complaint for illegal detention, torture and disappearance was filed </w:t>
      </w:r>
      <w:r w:rsidR="00D6616C">
        <w:rPr>
          <w:rFonts w:asciiTheme="majorHAnsi" w:hAnsiTheme="majorHAnsi"/>
          <w:sz w:val="20"/>
          <w:szCs w:val="20"/>
        </w:rPr>
        <w:t>before</w:t>
      </w:r>
      <w:r w:rsidRPr="00A7181D">
        <w:rPr>
          <w:rFonts w:asciiTheme="majorHAnsi" w:hAnsiTheme="majorHAnsi"/>
          <w:sz w:val="20"/>
          <w:szCs w:val="20"/>
        </w:rPr>
        <w:t xml:space="preserve"> the 11th Criminal Court of Santiago, but as of 1992 this case was in summary status and</w:t>
      </w:r>
      <w:r>
        <w:rPr>
          <w:rFonts w:asciiTheme="majorHAnsi" w:hAnsiTheme="majorHAnsi"/>
          <w:sz w:val="20"/>
          <w:szCs w:val="20"/>
        </w:rPr>
        <w:t xml:space="preserve"> </w:t>
      </w:r>
      <w:r w:rsidRPr="00A7181D">
        <w:rPr>
          <w:rFonts w:asciiTheme="majorHAnsi" w:hAnsiTheme="majorHAnsi"/>
          <w:sz w:val="20"/>
          <w:szCs w:val="20"/>
        </w:rPr>
        <w:t>proceedings</w:t>
      </w:r>
      <w:r>
        <w:rPr>
          <w:rFonts w:asciiTheme="majorHAnsi" w:hAnsiTheme="majorHAnsi"/>
          <w:sz w:val="20"/>
          <w:szCs w:val="20"/>
        </w:rPr>
        <w:t xml:space="preserve"> were pending. </w:t>
      </w:r>
    </w:p>
    <w:p w14:paraId="0A1C2FD6" w14:textId="53E79E9B" w:rsidR="00A7181D" w:rsidRDefault="00A7181D" w:rsidP="00D01EE8">
      <w:pPr>
        <w:pStyle w:val="ListParagraph"/>
        <w:numPr>
          <w:ilvl w:val="0"/>
          <w:numId w:val="107"/>
        </w:numPr>
        <w:spacing w:before="120" w:after="120"/>
        <w:ind w:left="0" w:firstLine="720"/>
        <w:jc w:val="both"/>
        <w:rPr>
          <w:rFonts w:asciiTheme="majorHAnsi" w:hAnsiTheme="majorHAnsi"/>
          <w:sz w:val="20"/>
          <w:szCs w:val="20"/>
        </w:rPr>
      </w:pPr>
      <w:r w:rsidRPr="00A7181D">
        <w:rPr>
          <w:rFonts w:asciiTheme="majorHAnsi" w:hAnsiTheme="majorHAnsi"/>
          <w:sz w:val="20"/>
          <w:szCs w:val="20"/>
        </w:rPr>
        <w:t>On June 24, 2003, a civil case was initiated in the 2nd Civil Court of Santiago, the judgment of which was issued on June 4, 2017, denying the claim of the relatives of the alleged victim to compensation for the damage caused</w:t>
      </w:r>
      <w:r w:rsidR="008E0E1C">
        <w:rPr>
          <w:rFonts w:asciiTheme="majorHAnsi" w:hAnsiTheme="majorHAnsi"/>
          <w:sz w:val="20"/>
          <w:szCs w:val="20"/>
        </w:rPr>
        <w:t xml:space="preserve">, in application of the statute of limitations </w:t>
      </w:r>
      <w:r w:rsidRPr="00A7181D">
        <w:rPr>
          <w:rFonts w:asciiTheme="majorHAnsi" w:hAnsiTheme="majorHAnsi"/>
          <w:sz w:val="20"/>
          <w:szCs w:val="20"/>
        </w:rPr>
        <w:t xml:space="preserve">of civil actions. In a judgment of August 3, 2009, the Santiago </w:t>
      </w:r>
      <w:r w:rsidR="008E0E1C">
        <w:rPr>
          <w:rFonts w:asciiTheme="majorHAnsi" w:hAnsiTheme="majorHAnsi"/>
          <w:sz w:val="20"/>
          <w:szCs w:val="20"/>
        </w:rPr>
        <w:t xml:space="preserve">Court of </w:t>
      </w:r>
      <w:r w:rsidRPr="00A7181D">
        <w:rPr>
          <w:rFonts w:asciiTheme="majorHAnsi" w:hAnsiTheme="majorHAnsi"/>
          <w:sz w:val="20"/>
          <w:szCs w:val="20"/>
        </w:rPr>
        <w:t xml:space="preserve">Appeals reversed the first instance judgment, forcing the State to </w:t>
      </w:r>
      <w:r>
        <w:rPr>
          <w:rFonts w:asciiTheme="majorHAnsi" w:hAnsiTheme="majorHAnsi"/>
          <w:sz w:val="20"/>
          <w:szCs w:val="20"/>
        </w:rPr>
        <w:t xml:space="preserve">provide </w:t>
      </w:r>
      <w:r w:rsidRPr="00A7181D">
        <w:rPr>
          <w:rFonts w:asciiTheme="majorHAnsi" w:hAnsiTheme="majorHAnsi"/>
          <w:sz w:val="20"/>
          <w:szCs w:val="20"/>
        </w:rPr>
        <w:t>compensat</w:t>
      </w:r>
      <w:r>
        <w:rPr>
          <w:rFonts w:asciiTheme="majorHAnsi" w:hAnsiTheme="majorHAnsi"/>
          <w:sz w:val="20"/>
          <w:szCs w:val="20"/>
        </w:rPr>
        <w:t>ion</w:t>
      </w:r>
      <w:r w:rsidRPr="00A7181D">
        <w:rPr>
          <w:rFonts w:asciiTheme="majorHAnsi" w:hAnsiTheme="majorHAnsi"/>
          <w:sz w:val="20"/>
          <w:szCs w:val="20"/>
        </w:rPr>
        <w:t xml:space="preserve">. However, this ruling was appealed for cassation before the Supreme Court, and on June 6, 2012, the Court accepted the </w:t>
      </w:r>
      <w:r>
        <w:rPr>
          <w:rFonts w:asciiTheme="majorHAnsi" w:hAnsiTheme="majorHAnsi"/>
          <w:sz w:val="20"/>
          <w:szCs w:val="20"/>
        </w:rPr>
        <w:t xml:space="preserve">argument </w:t>
      </w:r>
      <w:r w:rsidR="008E0E1C">
        <w:rPr>
          <w:rFonts w:asciiTheme="majorHAnsi" w:hAnsiTheme="majorHAnsi"/>
          <w:sz w:val="20"/>
          <w:szCs w:val="20"/>
        </w:rPr>
        <w:t xml:space="preserve">of the State </w:t>
      </w:r>
      <w:r w:rsidRPr="00A7181D">
        <w:rPr>
          <w:rFonts w:asciiTheme="majorHAnsi" w:hAnsiTheme="majorHAnsi"/>
          <w:sz w:val="20"/>
          <w:szCs w:val="20"/>
        </w:rPr>
        <w:t xml:space="preserve">that the plaintiffs' claims were based on actions already prescribed and </w:t>
      </w:r>
      <w:r w:rsidR="008E0E1C">
        <w:rPr>
          <w:rFonts w:asciiTheme="majorHAnsi" w:hAnsiTheme="majorHAnsi"/>
          <w:sz w:val="20"/>
          <w:szCs w:val="20"/>
        </w:rPr>
        <w:t>thus</w:t>
      </w:r>
      <w:r w:rsidRPr="00A7181D">
        <w:rPr>
          <w:rFonts w:asciiTheme="majorHAnsi" w:hAnsiTheme="majorHAnsi"/>
          <w:sz w:val="20"/>
          <w:szCs w:val="20"/>
        </w:rPr>
        <w:t xml:space="preserve"> revoked the judgment of the Court of Appeals granting compensation.</w:t>
      </w:r>
    </w:p>
    <w:p w14:paraId="53B0C200" w14:textId="063B2168" w:rsidR="00A7181D" w:rsidRDefault="00A7181D" w:rsidP="00D01EE8">
      <w:pPr>
        <w:pStyle w:val="ListParagraph"/>
        <w:numPr>
          <w:ilvl w:val="0"/>
          <w:numId w:val="107"/>
        </w:numPr>
        <w:spacing w:before="120" w:after="120"/>
        <w:ind w:left="0" w:firstLine="720"/>
        <w:jc w:val="both"/>
        <w:rPr>
          <w:rFonts w:asciiTheme="majorHAnsi" w:hAnsiTheme="majorHAnsi"/>
          <w:sz w:val="20"/>
          <w:szCs w:val="20"/>
        </w:rPr>
      </w:pPr>
      <w:r w:rsidRPr="00A7181D">
        <w:rPr>
          <w:rFonts w:asciiTheme="majorHAnsi" w:hAnsiTheme="majorHAnsi"/>
          <w:sz w:val="20"/>
          <w:szCs w:val="20"/>
        </w:rPr>
        <w:t xml:space="preserve">For its part, the State indicates that, regarding the allegation of lack of civil reparation, it has no objections to raise regarding compliance with the formal requirements, without prejudice to the observations on the merits that it may </w:t>
      </w:r>
      <w:r w:rsidR="002F56BF">
        <w:rPr>
          <w:rFonts w:asciiTheme="majorHAnsi" w:hAnsiTheme="majorHAnsi"/>
          <w:sz w:val="20"/>
          <w:szCs w:val="20"/>
        </w:rPr>
        <w:t xml:space="preserve">make at a later occasion. </w:t>
      </w:r>
      <w:r w:rsidRPr="00A7181D">
        <w:rPr>
          <w:rFonts w:asciiTheme="majorHAnsi" w:hAnsiTheme="majorHAnsi"/>
          <w:sz w:val="20"/>
          <w:szCs w:val="20"/>
        </w:rPr>
        <w:t>Regarding allegations about events that would have taken place as of 1975, consisting of the violation of the rights to life, personal integrity and personal liberty of the alleged victim, the State indicates that there is a criminal case</w:t>
      </w:r>
      <w:r w:rsidR="002F56BF">
        <w:rPr>
          <w:rFonts w:asciiTheme="majorHAnsi" w:hAnsiTheme="majorHAnsi"/>
          <w:sz w:val="20"/>
          <w:szCs w:val="20"/>
        </w:rPr>
        <w:t>,</w:t>
      </w:r>
      <w:r w:rsidRPr="00A7181D">
        <w:rPr>
          <w:rFonts w:asciiTheme="majorHAnsi" w:hAnsiTheme="majorHAnsi"/>
          <w:sz w:val="20"/>
          <w:szCs w:val="20"/>
        </w:rPr>
        <w:t xml:space="preserve"> "Operation Condor</w:t>
      </w:r>
      <w:r w:rsidR="002F56BF">
        <w:rPr>
          <w:rFonts w:asciiTheme="majorHAnsi" w:hAnsiTheme="majorHAnsi"/>
          <w:sz w:val="20"/>
          <w:szCs w:val="20"/>
        </w:rPr>
        <w:t>”,</w:t>
      </w:r>
      <w:r w:rsidRPr="00A7181D">
        <w:rPr>
          <w:rFonts w:asciiTheme="majorHAnsi" w:hAnsiTheme="majorHAnsi"/>
          <w:sz w:val="20"/>
          <w:szCs w:val="20"/>
        </w:rPr>
        <w:t xml:space="preserve"> which is in the plenary stage. Additionally, it recalls its reservations to the American Convention, by virtue of which it was </w:t>
      </w:r>
      <w:r w:rsidR="003A56DF">
        <w:rPr>
          <w:rFonts w:asciiTheme="majorHAnsi" w:hAnsiTheme="majorHAnsi"/>
          <w:sz w:val="20"/>
          <w:szCs w:val="20"/>
        </w:rPr>
        <w:t>declared</w:t>
      </w:r>
      <w:r w:rsidRPr="00A7181D">
        <w:rPr>
          <w:rFonts w:asciiTheme="majorHAnsi" w:hAnsiTheme="majorHAnsi"/>
          <w:sz w:val="20"/>
          <w:szCs w:val="20"/>
        </w:rPr>
        <w:t xml:space="preserve"> that the acknowledgments of competence conferred by the State refer to events subsequent to the date of deposit of the instrument of ratification, or, in any case, to events </w:t>
      </w:r>
      <w:r w:rsidR="003A56DF">
        <w:rPr>
          <w:rFonts w:asciiTheme="majorHAnsi" w:hAnsiTheme="majorHAnsi"/>
          <w:sz w:val="20"/>
          <w:szCs w:val="20"/>
        </w:rPr>
        <w:t>which</w:t>
      </w:r>
      <w:r w:rsidRPr="00A7181D">
        <w:rPr>
          <w:rFonts w:asciiTheme="majorHAnsi" w:hAnsiTheme="majorHAnsi"/>
          <w:sz w:val="20"/>
          <w:szCs w:val="20"/>
        </w:rPr>
        <w:t xml:space="preserve"> </w:t>
      </w:r>
      <w:r w:rsidR="003A56DF">
        <w:rPr>
          <w:rFonts w:asciiTheme="majorHAnsi" w:hAnsiTheme="majorHAnsi"/>
          <w:sz w:val="20"/>
          <w:szCs w:val="20"/>
        </w:rPr>
        <w:t xml:space="preserve">would have started </w:t>
      </w:r>
      <w:r w:rsidR="002F56BF">
        <w:rPr>
          <w:rFonts w:asciiTheme="majorHAnsi" w:hAnsiTheme="majorHAnsi"/>
          <w:sz w:val="20"/>
          <w:szCs w:val="20"/>
        </w:rPr>
        <w:t>after</w:t>
      </w:r>
      <w:r w:rsidRPr="00A7181D">
        <w:rPr>
          <w:rFonts w:asciiTheme="majorHAnsi" w:hAnsiTheme="majorHAnsi"/>
          <w:sz w:val="20"/>
          <w:szCs w:val="20"/>
        </w:rPr>
        <w:t xml:space="preserve"> March 11, 1990. Therefore, the Commission would not have jurisdiction to rule on them due to an </w:t>
      </w:r>
      <w:r w:rsidRPr="003A56DF">
        <w:rPr>
          <w:rFonts w:asciiTheme="majorHAnsi" w:hAnsiTheme="majorHAnsi"/>
          <w:i/>
          <w:sz w:val="20"/>
          <w:szCs w:val="20"/>
        </w:rPr>
        <w:t xml:space="preserve">ex </w:t>
      </w:r>
      <w:proofErr w:type="spellStart"/>
      <w:r w:rsidRPr="003A56DF">
        <w:rPr>
          <w:rFonts w:asciiTheme="majorHAnsi" w:hAnsiTheme="majorHAnsi"/>
          <w:i/>
          <w:sz w:val="20"/>
          <w:szCs w:val="20"/>
        </w:rPr>
        <w:t>ratione</w:t>
      </w:r>
      <w:proofErr w:type="spellEnd"/>
      <w:r w:rsidRPr="003A56DF">
        <w:rPr>
          <w:rFonts w:asciiTheme="majorHAnsi" w:hAnsiTheme="majorHAnsi"/>
          <w:i/>
          <w:sz w:val="20"/>
          <w:szCs w:val="20"/>
        </w:rPr>
        <w:t xml:space="preserve"> </w:t>
      </w:r>
      <w:proofErr w:type="spellStart"/>
      <w:r w:rsidRPr="003A56DF">
        <w:rPr>
          <w:rFonts w:asciiTheme="majorHAnsi" w:hAnsiTheme="majorHAnsi"/>
          <w:i/>
          <w:sz w:val="20"/>
          <w:szCs w:val="20"/>
        </w:rPr>
        <w:t>temporis</w:t>
      </w:r>
      <w:proofErr w:type="spellEnd"/>
      <w:r w:rsidRPr="00A7181D">
        <w:rPr>
          <w:rFonts w:asciiTheme="majorHAnsi" w:hAnsiTheme="majorHAnsi"/>
          <w:sz w:val="20"/>
          <w:szCs w:val="20"/>
        </w:rPr>
        <w:t xml:space="preserve"> restriction.</w:t>
      </w:r>
    </w:p>
    <w:p w14:paraId="3191A206" w14:textId="168CDF6B" w:rsidR="00D74450" w:rsidRPr="001966F0" w:rsidRDefault="00F621C3" w:rsidP="00D01EE8">
      <w:pPr>
        <w:pStyle w:val="ListParagraph"/>
        <w:spacing w:before="120" w:after="120"/>
        <w:ind w:left="0" w:firstLine="720"/>
        <w:jc w:val="both"/>
        <w:rPr>
          <w:rFonts w:asciiTheme="majorHAnsi" w:hAnsiTheme="majorHAnsi"/>
          <w:sz w:val="20"/>
          <w:szCs w:val="20"/>
        </w:rPr>
      </w:pPr>
      <w:r w:rsidRPr="001966F0">
        <w:rPr>
          <w:rFonts w:asciiTheme="majorHAnsi" w:hAnsiTheme="majorHAnsi"/>
          <w:b/>
          <w:bCs/>
          <w:sz w:val="20"/>
          <w:szCs w:val="20"/>
        </w:rPr>
        <w:t>VI.</w:t>
      </w:r>
      <w:r w:rsidRPr="001966F0">
        <w:rPr>
          <w:rFonts w:asciiTheme="majorHAnsi" w:hAnsiTheme="majorHAnsi"/>
          <w:b/>
          <w:bCs/>
          <w:sz w:val="20"/>
          <w:szCs w:val="20"/>
        </w:rPr>
        <w:tab/>
      </w:r>
      <w:r w:rsidR="001F1902" w:rsidRPr="001966F0">
        <w:rPr>
          <w:rFonts w:asciiTheme="majorHAnsi" w:hAnsiTheme="majorHAnsi"/>
          <w:b/>
          <w:bCs/>
          <w:sz w:val="20"/>
          <w:szCs w:val="20"/>
        </w:rPr>
        <w:t xml:space="preserve">ANALYSIS OF </w:t>
      </w:r>
      <w:r w:rsidRPr="001966F0">
        <w:rPr>
          <w:rFonts w:asciiTheme="majorHAnsi" w:hAnsiTheme="majorHAnsi"/>
          <w:b/>
          <w:sz w:val="20"/>
          <w:szCs w:val="20"/>
        </w:rPr>
        <w:t>EXHAUSTION OF DOMESTIC REMEDIES AND TIMELINESS OF THE PETITION</w:t>
      </w:r>
      <w:r w:rsidRPr="001966F0">
        <w:rPr>
          <w:rFonts w:asciiTheme="majorHAnsi" w:hAnsiTheme="majorHAnsi"/>
          <w:b/>
          <w:bCs/>
          <w:sz w:val="20"/>
          <w:szCs w:val="20"/>
        </w:rPr>
        <w:t xml:space="preserve"> </w:t>
      </w:r>
    </w:p>
    <w:p w14:paraId="6B61067B" w14:textId="5CE85233" w:rsidR="002F56BF" w:rsidRDefault="002F56BF" w:rsidP="00D01EE8">
      <w:pPr>
        <w:pStyle w:val="ListParagraph"/>
        <w:numPr>
          <w:ilvl w:val="0"/>
          <w:numId w:val="107"/>
        </w:numPr>
        <w:spacing w:before="120" w:after="120"/>
        <w:ind w:left="0" w:firstLine="720"/>
        <w:jc w:val="both"/>
        <w:rPr>
          <w:rFonts w:asciiTheme="majorHAnsi" w:hAnsiTheme="majorHAnsi"/>
          <w:sz w:val="20"/>
          <w:szCs w:val="20"/>
        </w:rPr>
      </w:pPr>
      <w:r w:rsidRPr="002F56BF">
        <w:rPr>
          <w:rFonts w:asciiTheme="majorHAnsi" w:hAnsiTheme="majorHAnsi"/>
          <w:sz w:val="20"/>
          <w:szCs w:val="20"/>
        </w:rPr>
        <w:t xml:space="preserve">The IACHR notes that the petitioner affirms that the petition is limited to denouncing the lack of access to civil reparation derived from the disappearance </w:t>
      </w:r>
      <w:r w:rsidR="00D01EE8">
        <w:rPr>
          <w:rFonts w:asciiTheme="majorHAnsi" w:hAnsiTheme="majorHAnsi"/>
          <w:sz w:val="20"/>
          <w:szCs w:val="20"/>
        </w:rPr>
        <w:t xml:space="preserve">and torture </w:t>
      </w:r>
      <w:r w:rsidRPr="002F56BF">
        <w:rPr>
          <w:rFonts w:asciiTheme="majorHAnsi" w:hAnsiTheme="majorHAnsi"/>
          <w:sz w:val="20"/>
          <w:szCs w:val="20"/>
        </w:rPr>
        <w:t xml:space="preserve">of the alleged victim, whose civil claim was rejected based on the statute of limitations. The Commission observes that in the </w:t>
      </w:r>
      <w:r w:rsidR="00D01EE8">
        <w:rPr>
          <w:rFonts w:asciiTheme="majorHAnsi" w:hAnsiTheme="majorHAnsi"/>
          <w:sz w:val="20"/>
          <w:szCs w:val="20"/>
        </w:rPr>
        <w:t>civil</w:t>
      </w:r>
      <w:r w:rsidRPr="002F56BF">
        <w:rPr>
          <w:rFonts w:asciiTheme="majorHAnsi" w:hAnsiTheme="majorHAnsi"/>
          <w:sz w:val="20"/>
          <w:szCs w:val="20"/>
        </w:rPr>
        <w:t xml:space="preserve"> jurisdiction the case began on June 24, 2003 before the Second Civil Court of Santiago and that on June 6, 2012, the Supreme Court rejected the petitioners' claims because they were based on prescribed actions. Based on this, the Commission concludes that domestic remedies have been exhausted and that the present petition meets the requirement established in Article 46.1.a of the Convention.</w:t>
      </w:r>
    </w:p>
    <w:p w14:paraId="7E01F4E6" w14:textId="35383E3C" w:rsidR="001966F0" w:rsidRDefault="007776D6" w:rsidP="00D01EE8">
      <w:pPr>
        <w:pStyle w:val="ListParagraph"/>
        <w:numPr>
          <w:ilvl w:val="0"/>
          <w:numId w:val="107"/>
        </w:numPr>
        <w:spacing w:before="120" w:after="120"/>
        <w:ind w:left="0" w:firstLine="720"/>
        <w:jc w:val="both"/>
        <w:rPr>
          <w:rFonts w:asciiTheme="majorHAnsi" w:hAnsiTheme="majorHAnsi"/>
          <w:sz w:val="20"/>
          <w:szCs w:val="20"/>
        </w:rPr>
      </w:pPr>
      <w:r w:rsidRPr="007776D6">
        <w:rPr>
          <w:rFonts w:asciiTheme="majorHAnsi" w:hAnsiTheme="majorHAnsi"/>
          <w:sz w:val="20"/>
          <w:szCs w:val="20"/>
        </w:rPr>
        <w:t>In addition, the petition was presented to the IACHR on December 6, 2012, complying with the requirement of the deadline for presentation established in Articles 46.1.b of the Convention and 32.1 of the IACHR Rules of Procedure.</w:t>
      </w:r>
    </w:p>
    <w:p w14:paraId="70146B96" w14:textId="1ACE3F98" w:rsidR="00F621C3" w:rsidRPr="001966F0" w:rsidRDefault="00F621C3" w:rsidP="00D01EE8">
      <w:pPr>
        <w:spacing w:before="120" w:after="120"/>
        <w:ind w:firstLine="720"/>
        <w:jc w:val="both"/>
        <w:rPr>
          <w:rFonts w:asciiTheme="majorHAnsi" w:hAnsiTheme="majorHAnsi"/>
          <w:b/>
          <w:bCs/>
          <w:sz w:val="20"/>
          <w:szCs w:val="20"/>
        </w:rPr>
      </w:pPr>
      <w:r w:rsidRPr="001966F0">
        <w:rPr>
          <w:rFonts w:asciiTheme="majorHAnsi" w:hAnsiTheme="majorHAnsi"/>
          <w:b/>
          <w:bCs/>
          <w:sz w:val="20"/>
          <w:szCs w:val="20"/>
        </w:rPr>
        <w:lastRenderedPageBreak/>
        <w:t>VII.</w:t>
      </w:r>
      <w:r w:rsidRPr="001966F0">
        <w:rPr>
          <w:rFonts w:asciiTheme="majorHAnsi" w:hAnsiTheme="majorHAnsi"/>
          <w:b/>
          <w:bCs/>
          <w:sz w:val="20"/>
          <w:szCs w:val="20"/>
        </w:rPr>
        <w:tab/>
      </w:r>
      <w:r w:rsidR="001F1902" w:rsidRPr="001966F0">
        <w:rPr>
          <w:rFonts w:asciiTheme="majorHAnsi" w:hAnsiTheme="majorHAnsi"/>
          <w:b/>
          <w:bCs/>
          <w:sz w:val="20"/>
          <w:szCs w:val="20"/>
        </w:rPr>
        <w:t xml:space="preserve">ANALYSIS OF </w:t>
      </w:r>
      <w:r w:rsidRPr="001966F0">
        <w:rPr>
          <w:rFonts w:asciiTheme="majorHAnsi" w:hAnsiTheme="majorHAnsi"/>
          <w:b/>
          <w:bCs/>
          <w:sz w:val="20"/>
          <w:szCs w:val="20"/>
        </w:rPr>
        <w:t>COLORABLE CLAIM</w:t>
      </w:r>
    </w:p>
    <w:p w14:paraId="7482C024" w14:textId="44103554" w:rsidR="007776D6" w:rsidRPr="007776D6" w:rsidRDefault="007776D6" w:rsidP="00D01EE8">
      <w:pPr>
        <w:pStyle w:val="ListParagraph"/>
        <w:numPr>
          <w:ilvl w:val="0"/>
          <w:numId w:val="107"/>
        </w:numPr>
        <w:spacing w:before="120" w:after="120"/>
        <w:ind w:left="0" w:firstLine="720"/>
        <w:jc w:val="both"/>
        <w:rPr>
          <w:rFonts w:asciiTheme="majorHAnsi" w:hAnsiTheme="majorHAnsi"/>
          <w:b/>
          <w:bCs/>
          <w:sz w:val="20"/>
          <w:szCs w:val="20"/>
        </w:rPr>
      </w:pPr>
      <w:r w:rsidRPr="007776D6">
        <w:rPr>
          <w:rFonts w:asciiTheme="majorHAnsi" w:hAnsiTheme="majorHAnsi"/>
          <w:sz w:val="20"/>
          <w:szCs w:val="20"/>
        </w:rPr>
        <w:t xml:space="preserve"> </w:t>
      </w:r>
      <w:r w:rsidR="00D01EE8" w:rsidRPr="0032474F">
        <w:rPr>
          <w:sz w:val="20"/>
          <w:szCs w:val="20"/>
        </w:rPr>
        <w:t>The Commission observes that the relatives of the alleged victim had access to the remedies provided in the Chilean law and that the matter was analyzed and resolved internally, including by the Supreme Court, the highest judicial instance. However, the petition includes claims regarding the lack of compensation to the relatives of the alleged victim for his kidnapping</w:t>
      </w:r>
      <w:r w:rsidR="00D01EE8">
        <w:rPr>
          <w:sz w:val="20"/>
          <w:szCs w:val="20"/>
        </w:rPr>
        <w:t>, torture</w:t>
      </w:r>
      <w:r w:rsidR="00D01EE8" w:rsidRPr="0032474F">
        <w:rPr>
          <w:sz w:val="20"/>
          <w:szCs w:val="20"/>
        </w:rPr>
        <w:t xml:space="preserve"> and forced disappearance, in judicial application of the statute of limitations in civil matters. Regarding civil actions for reparation for crimes against humanity, as in the present petition, both the Commission and the Inter-American Court have said that the application of the statute of limitations constitutes an obstacle to effective access to justice to guarantee the right of the victims to be repaired, and therefore should not be applied in such circumstances</w:t>
      </w:r>
      <w:r w:rsidR="00D01EE8" w:rsidRPr="0032474F">
        <w:rPr>
          <w:rStyle w:val="FootnoteReference"/>
          <w:sz w:val="20"/>
          <w:szCs w:val="20"/>
        </w:rPr>
        <w:footnoteReference w:id="8"/>
      </w:r>
      <w:r w:rsidR="00D01EE8" w:rsidRPr="0032474F">
        <w:rPr>
          <w:sz w:val="20"/>
          <w:szCs w:val="20"/>
        </w:rPr>
        <w:t xml:space="preserve">. Therefore, the Inter-American Commission considers that it is incumbent on it to exercise its complementary competence in this matter and to analyze in the merits stage whether the domestic system offered the petitioners the adequate channels to seek due reparation and guarantee the right to an effective judicial protection. </w:t>
      </w:r>
      <w:r w:rsidR="00D01EE8" w:rsidRPr="0032474F">
        <w:rPr>
          <w:bCs/>
          <w:sz w:val="20"/>
          <w:szCs w:val="20"/>
        </w:rPr>
        <w:t xml:space="preserve">Taking into account the foregoing, the IACHR </w:t>
      </w:r>
      <w:r w:rsidR="00D01EE8" w:rsidRPr="0032474F">
        <w:rPr>
          <w:sz w:val="20"/>
          <w:szCs w:val="20"/>
        </w:rPr>
        <w:t xml:space="preserve">considers that the allegations of the petitioners are not manifestly groundless and require an analysis on the merits, since the alleged facts, if proven, could characterize </w:t>
      </w:r>
      <w:r w:rsidR="00D01EE8" w:rsidRPr="0032474F">
        <w:rPr>
          <w:bCs/>
          <w:sz w:val="20"/>
          <w:szCs w:val="20"/>
        </w:rPr>
        <w:t>violations of Articles 8</w:t>
      </w:r>
      <w:r w:rsidR="00D01EE8" w:rsidRPr="0032474F">
        <w:rPr>
          <w:sz w:val="20"/>
          <w:szCs w:val="20"/>
          <w:lang w:val="en"/>
        </w:rPr>
        <w:t xml:space="preserve"> (fair trial) and 25 (judicial protection) of the American Convention, with regard to Articles 1.1 (obligation to respect rights) and 2 (domestic legal effects), in conformity with similar cases already decided upon by the IACHR.</w:t>
      </w:r>
      <w:r w:rsidR="00D01EE8" w:rsidRPr="0032474F">
        <w:rPr>
          <w:rStyle w:val="FootnoteReference"/>
          <w:sz w:val="20"/>
          <w:szCs w:val="20"/>
          <w:lang w:val="en"/>
        </w:rPr>
        <w:footnoteReference w:id="9"/>
      </w:r>
    </w:p>
    <w:p w14:paraId="5A70550C" w14:textId="7C8E2733" w:rsidR="00F621C3" w:rsidRPr="007776D6" w:rsidRDefault="00F621C3" w:rsidP="00D01EE8">
      <w:pPr>
        <w:spacing w:before="120" w:after="120"/>
        <w:ind w:firstLine="720"/>
        <w:jc w:val="both"/>
        <w:rPr>
          <w:rFonts w:asciiTheme="majorHAnsi" w:hAnsiTheme="majorHAnsi"/>
          <w:b/>
          <w:bCs/>
          <w:sz w:val="20"/>
          <w:szCs w:val="20"/>
        </w:rPr>
      </w:pPr>
      <w:r w:rsidRPr="007776D6">
        <w:rPr>
          <w:rFonts w:asciiTheme="majorHAnsi" w:hAnsiTheme="majorHAnsi"/>
          <w:b/>
          <w:bCs/>
          <w:sz w:val="20"/>
          <w:szCs w:val="20"/>
        </w:rPr>
        <w:t xml:space="preserve">VIII. </w:t>
      </w:r>
      <w:r w:rsidRPr="007776D6">
        <w:rPr>
          <w:rFonts w:asciiTheme="majorHAnsi" w:hAnsiTheme="majorHAnsi"/>
          <w:b/>
          <w:bCs/>
          <w:sz w:val="20"/>
          <w:szCs w:val="20"/>
        </w:rPr>
        <w:tab/>
        <w:t>DECISION</w:t>
      </w:r>
    </w:p>
    <w:p w14:paraId="1FEFFD0C" w14:textId="3C1D79EE" w:rsidR="00564B70" w:rsidRPr="00156E3D" w:rsidRDefault="00564B70" w:rsidP="00D01EE8">
      <w:pPr>
        <w:pStyle w:val="ListParagraph"/>
        <w:numPr>
          <w:ilvl w:val="0"/>
          <w:numId w:val="108"/>
        </w:numPr>
        <w:suppressAutoHyphens/>
        <w:spacing w:before="120" w:after="120" w:line="276" w:lineRule="auto"/>
        <w:ind w:left="0" w:firstLine="720"/>
        <w:jc w:val="both"/>
        <w:rPr>
          <w:rFonts w:asciiTheme="majorHAnsi" w:hAnsiTheme="majorHAnsi"/>
          <w:sz w:val="20"/>
          <w:szCs w:val="20"/>
        </w:rPr>
      </w:pPr>
      <w:r w:rsidRPr="00564B70">
        <w:rPr>
          <w:rFonts w:asciiTheme="majorHAnsi" w:hAnsiTheme="majorHAnsi"/>
          <w:sz w:val="20"/>
          <w:szCs w:val="20"/>
        </w:rPr>
        <w:t>Declare the present petition admissible in relation to Articles 8 and 25 of the American Convention, in relation to its Articles 1</w:t>
      </w:r>
      <w:r w:rsidR="00D01EE8">
        <w:rPr>
          <w:rFonts w:asciiTheme="majorHAnsi" w:hAnsiTheme="majorHAnsi"/>
          <w:sz w:val="20"/>
          <w:szCs w:val="20"/>
        </w:rPr>
        <w:t>.1</w:t>
      </w:r>
      <w:r w:rsidRPr="00564B70">
        <w:rPr>
          <w:rFonts w:asciiTheme="majorHAnsi" w:hAnsiTheme="majorHAnsi"/>
          <w:sz w:val="20"/>
          <w:szCs w:val="20"/>
        </w:rPr>
        <w:t xml:space="preserve"> and 2; and</w:t>
      </w:r>
    </w:p>
    <w:p w14:paraId="2122B46A" w14:textId="6501DA39" w:rsidR="00C55560" w:rsidRDefault="00564B70" w:rsidP="00D01EE8">
      <w:pPr>
        <w:pStyle w:val="ListParagraph"/>
        <w:numPr>
          <w:ilvl w:val="0"/>
          <w:numId w:val="108"/>
        </w:numPr>
        <w:suppressAutoHyphens/>
        <w:spacing w:before="120" w:after="120" w:line="276" w:lineRule="auto"/>
        <w:ind w:left="0" w:firstLine="720"/>
        <w:jc w:val="both"/>
        <w:rPr>
          <w:rFonts w:asciiTheme="majorHAnsi" w:hAnsiTheme="majorHAnsi"/>
          <w:sz w:val="20"/>
          <w:szCs w:val="20"/>
        </w:rPr>
      </w:pPr>
      <w:r w:rsidRPr="00564B70">
        <w:rPr>
          <w:rFonts w:asciiTheme="majorHAnsi" w:hAnsiTheme="majorHAnsi"/>
          <w:sz w:val="20"/>
          <w:szCs w:val="20"/>
        </w:rPr>
        <w:t xml:space="preserve"> Notify the parties of this decision; continue with the analysis of the merits of the matter; and publish this decision and include it in its Annual Report to the General Assembly of the Organization of American States.</w:t>
      </w:r>
    </w:p>
    <w:p w14:paraId="131DAF5A" w14:textId="50D2CB1C" w:rsidR="00DD50BC" w:rsidRPr="000F600B" w:rsidRDefault="00DD50BC" w:rsidP="000F600B">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23</w:t>
      </w:r>
      <w:r w:rsidRPr="00DD50BC">
        <w:rPr>
          <w:rFonts w:ascii="Cambria" w:hAnsi="Cambria"/>
          <w:spacing w:val="-2"/>
          <w:sz w:val="20"/>
          <w:vertAlign w:val="superscript"/>
        </w:rPr>
        <w:t>rd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September,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009A46A6">
        <w:rPr>
          <w:rFonts w:asciiTheme="majorHAnsi" w:hAnsiTheme="majorHAnsi" w:cs="Arial"/>
          <w:noProof/>
          <w:spacing w:val="-2"/>
          <w:sz w:val="20"/>
          <w:szCs w:val="20"/>
        </w:rPr>
        <w:t>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DD50BC" w:rsidRPr="000F600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EEB8" w14:textId="77777777" w:rsidR="002A6F90" w:rsidRDefault="002A6F90" w:rsidP="00036A8A">
      <w:r>
        <w:separator/>
      </w:r>
    </w:p>
  </w:endnote>
  <w:endnote w:type="continuationSeparator" w:id="0">
    <w:p w14:paraId="066E8BBC" w14:textId="77777777" w:rsidR="002A6F90" w:rsidRDefault="002A6F9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2ABE" w14:textId="77777777" w:rsidR="00651FCD" w:rsidRDefault="00651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63825E5C"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51FCD">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22065" w14:textId="77777777" w:rsidR="002A6F90" w:rsidRPr="00036A8A" w:rsidRDefault="002A6F9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53B46C3" w14:textId="77777777" w:rsidR="002A6F90" w:rsidRPr="00036A8A" w:rsidRDefault="002A6F90" w:rsidP="00036A8A">
      <w:pPr>
        <w:rPr>
          <w:rFonts w:asciiTheme="majorHAnsi" w:hAnsiTheme="majorHAnsi"/>
          <w:sz w:val="16"/>
          <w:szCs w:val="16"/>
        </w:rPr>
      </w:pPr>
      <w:r w:rsidRPr="00036A8A">
        <w:rPr>
          <w:rFonts w:asciiTheme="majorHAnsi" w:hAnsiTheme="majorHAnsi"/>
          <w:sz w:val="16"/>
          <w:szCs w:val="16"/>
        </w:rPr>
        <w:separator/>
      </w:r>
    </w:p>
    <w:p w14:paraId="2E169F1A" w14:textId="77777777" w:rsidR="002A6F90" w:rsidRPr="00036A8A" w:rsidRDefault="002A6F9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DFDFB19" w14:textId="77777777" w:rsidR="002A6F90" w:rsidRPr="0093441A" w:rsidRDefault="002A6F9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1FF7E51" w14:textId="5148037C" w:rsidR="00335F77" w:rsidRPr="007D2BC6" w:rsidRDefault="00DD50BC" w:rsidP="00335F77">
      <w:pPr>
        <w:pStyle w:val="FootnoteText"/>
        <w:jc w:val="both"/>
        <w:rPr>
          <w:rFonts w:asciiTheme="majorHAnsi" w:hAnsiTheme="majorHAnsi"/>
          <w:sz w:val="16"/>
          <w:szCs w:val="16"/>
        </w:rPr>
      </w:pPr>
      <w:r>
        <w:rPr>
          <w:rFonts w:asciiTheme="majorHAnsi" w:hAnsiTheme="majorHAnsi"/>
          <w:sz w:val="16"/>
          <w:szCs w:val="16"/>
        </w:rPr>
        <w:tab/>
      </w:r>
      <w:r w:rsidR="00335F77" w:rsidRPr="00734BF3">
        <w:rPr>
          <w:rStyle w:val="FootnoteReference"/>
          <w:rFonts w:asciiTheme="majorHAnsi" w:hAnsiTheme="majorHAnsi"/>
          <w:sz w:val="16"/>
          <w:szCs w:val="16"/>
        </w:rPr>
        <w:footnoteRef/>
      </w:r>
      <w:r w:rsidR="00335F77" w:rsidRPr="007D2BC6">
        <w:rPr>
          <w:rFonts w:asciiTheme="majorHAnsi" w:hAnsiTheme="majorHAnsi"/>
          <w:sz w:val="16"/>
          <w:szCs w:val="16"/>
        </w:rPr>
        <w:t xml:space="preserve"> The petition was also initially presented by Franz Moller Morris, but by communication dated September 26, 2017, he indicated that he was resigning as a petitioner.</w:t>
      </w:r>
    </w:p>
  </w:footnote>
  <w:footnote w:id="3">
    <w:p w14:paraId="4433C573" w14:textId="1A4DF4AB" w:rsidR="00335F77" w:rsidRPr="007D2BC6" w:rsidRDefault="00DD50BC" w:rsidP="00335F77">
      <w:pPr>
        <w:pStyle w:val="FootnoteText"/>
        <w:jc w:val="both"/>
        <w:rPr>
          <w:rFonts w:asciiTheme="majorHAnsi" w:hAnsiTheme="majorHAnsi"/>
          <w:color w:val="auto"/>
          <w:sz w:val="16"/>
          <w:szCs w:val="16"/>
        </w:rPr>
      </w:pPr>
      <w:r>
        <w:rPr>
          <w:rFonts w:asciiTheme="majorHAnsi" w:hAnsiTheme="majorHAnsi"/>
          <w:sz w:val="16"/>
          <w:szCs w:val="16"/>
        </w:rPr>
        <w:tab/>
      </w:r>
      <w:r w:rsidR="00335F77" w:rsidRPr="006A4D5D">
        <w:rPr>
          <w:rStyle w:val="FootnoteReference"/>
          <w:rFonts w:asciiTheme="majorHAnsi" w:hAnsiTheme="majorHAnsi"/>
          <w:sz w:val="16"/>
          <w:szCs w:val="16"/>
        </w:rPr>
        <w:footnoteRef/>
      </w:r>
      <w:r w:rsidR="00335F77" w:rsidRPr="007D2BC6">
        <w:rPr>
          <w:rFonts w:asciiTheme="majorHAnsi" w:hAnsiTheme="majorHAnsi"/>
          <w:sz w:val="16"/>
          <w:szCs w:val="16"/>
        </w:rPr>
        <w:t xml:space="preserve"> </w:t>
      </w:r>
      <w:proofErr w:type="spellStart"/>
      <w:r w:rsidR="00762031" w:rsidRPr="007D2BC6">
        <w:rPr>
          <w:rFonts w:asciiTheme="majorHAnsi" w:hAnsiTheme="majorHAnsi"/>
          <w:sz w:val="16"/>
          <w:szCs w:val="16"/>
        </w:rPr>
        <w:t>Luzmila</w:t>
      </w:r>
      <w:proofErr w:type="spellEnd"/>
      <w:r w:rsidR="00762031" w:rsidRPr="007D2BC6">
        <w:rPr>
          <w:rFonts w:asciiTheme="majorHAnsi" w:hAnsiTheme="majorHAnsi"/>
          <w:sz w:val="16"/>
          <w:szCs w:val="16"/>
        </w:rPr>
        <w:t xml:space="preserve"> </w:t>
      </w:r>
      <w:proofErr w:type="gramStart"/>
      <w:r w:rsidR="00762031" w:rsidRPr="007D2BC6">
        <w:rPr>
          <w:rFonts w:asciiTheme="majorHAnsi" w:hAnsiTheme="majorHAnsi"/>
          <w:sz w:val="16"/>
          <w:szCs w:val="16"/>
        </w:rPr>
        <w:t>del</w:t>
      </w:r>
      <w:proofErr w:type="gramEnd"/>
      <w:r w:rsidR="00762031" w:rsidRPr="007D2BC6">
        <w:rPr>
          <w:rFonts w:asciiTheme="majorHAnsi" w:hAnsiTheme="majorHAnsi"/>
          <w:sz w:val="16"/>
          <w:szCs w:val="16"/>
        </w:rPr>
        <w:t xml:space="preserve"> Carmen Ortiz </w:t>
      </w:r>
      <w:proofErr w:type="spellStart"/>
      <w:r w:rsidR="00762031" w:rsidRPr="007D2BC6">
        <w:rPr>
          <w:rFonts w:asciiTheme="majorHAnsi" w:hAnsiTheme="majorHAnsi"/>
          <w:sz w:val="16"/>
          <w:szCs w:val="16"/>
        </w:rPr>
        <w:t>Ortiz</w:t>
      </w:r>
      <w:proofErr w:type="spellEnd"/>
      <w:r w:rsidR="00762031" w:rsidRPr="007D2BC6">
        <w:rPr>
          <w:rFonts w:asciiTheme="majorHAnsi" w:hAnsiTheme="majorHAnsi"/>
          <w:sz w:val="16"/>
          <w:szCs w:val="16"/>
        </w:rPr>
        <w:t>, and Jorge Mauricio Fuente Ortiz, widow and son of the alleged victim.</w:t>
      </w:r>
    </w:p>
  </w:footnote>
  <w:footnote w:id="4">
    <w:p w14:paraId="6BA0EE30" w14:textId="70F6C6F5" w:rsidR="00335F77" w:rsidRPr="007D2BC6" w:rsidRDefault="00DD50BC" w:rsidP="00335F77">
      <w:pPr>
        <w:pStyle w:val="FootnoteText"/>
        <w:jc w:val="both"/>
        <w:rPr>
          <w:rFonts w:asciiTheme="majorHAnsi" w:hAnsiTheme="majorHAnsi"/>
          <w:sz w:val="16"/>
          <w:szCs w:val="16"/>
        </w:rPr>
      </w:pPr>
      <w:r>
        <w:rPr>
          <w:rFonts w:asciiTheme="majorHAnsi" w:hAnsiTheme="majorHAnsi"/>
          <w:color w:val="auto"/>
          <w:sz w:val="16"/>
          <w:szCs w:val="16"/>
        </w:rPr>
        <w:tab/>
      </w:r>
      <w:r w:rsidR="00335F77" w:rsidRPr="007D4106">
        <w:rPr>
          <w:rStyle w:val="FootnoteReference"/>
          <w:rFonts w:asciiTheme="majorHAnsi" w:hAnsiTheme="majorHAnsi"/>
          <w:color w:val="auto"/>
          <w:sz w:val="16"/>
          <w:szCs w:val="16"/>
        </w:rPr>
        <w:footnoteRef/>
      </w:r>
      <w:r w:rsidR="00335F77" w:rsidRPr="007D2BC6">
        <w:rPr>
          <w:rFonts w:asciiTheme="majorHAnsi" w:hAnsiTheme="majorHAnsi"/>
          <w:color w:val="auto"/>
          <w:sz w:val="16"/>
          <w:szCs w:val="16"/>
        </w:rPr>
        <w:t xml:space="preserve"> Pursuant to the provisions of Article 17.2.</w:t>
      </w:r>
      <w:proofErr w:type="spellStart"/>
      <w:r w:rsidR="00335F77" w:rsidRPr="007D2BC6">
        <w:rPr>
          <w:rFonts w:asciiTheme="majorHAnsi" w:hAnsiTheme="majorHAnsi"/>
          <w:color w:val="auto"/>
          <w:sz w:val="16"/>
          <w:szCs w:val="16"/>
        </w:rPr>
        <w:t>a</w:t>
      </w:r>
      <w:proofErr w:type="spellEnd"/>
      <w:r w:rsidR="00335F77" w:rsidRPr="007D2BC6">
        <w:rPr>
          <w:rFonts w:asciiTheme="majorHAnsi" w:hAnsiTheme="majorHAnsi"/>
          <w:color w:val="auto"/>
          <w:sz w:val="16"/>
          <w:szCs w:val="16"/>
        </w:rPr>
        <w:t xml:space="preserve"> of the Commission's Regulations, Commissioner Antonia Urrejola Noguera, a Chilean national, did not participate in the debate or decision on this matter.</w:t>
      </w:r>
    </w:p>
  </w:footnote>
  <w:footnote w:id="5">
    <w:p w14:paraId="5A0A2BFB" w14:textId="1DB2BA7A" w:rsidR="00335F77" w:rsidRPr="007D2BC6" w:rsidRDefault="00DD50BC" w:rsidP="00335F77">
      <w:pPr>
        <w:pStyle w:val="FootnoteText"/>
        <w:jc w:val="both"/>
        <w:rPr>
          <w:rFonts w:asciiTheme="majorHAnsi" w:hAnsiTheme="majorHAnsi"/>
          <w:sz w:val="16"/>
          <w:szCs w:val="16"/>
        </w:rPr>
      </w:pPr>
      <w:r>
        <w:rPr>
          <w:rFonts w:asciiTheme="majorHAnsi" w:hAnsiTheme="majorHAnsi"/>
          <w:sz w:val="16"/>
          <w:szCs w:val="16"/>
        </w:rPr>
        <w:tab/>
      </w:r>
      <w:r w:rsidR="00335F77" w:rsidRPr="00734BF3">
        <w:rPr>
          <w:rStyle w:val="FootnoteReference"/>
          <w:rFonts w:asciiTheme="majorHAnsi" w:hAnsiTheme="majorHAnsi"/>
          <w:sz w:val="16"/>
          <w:szCs w:val="16"/>
        </w:rPr>
        <w:footnoteRef/>
      </w:r>
      <w:r w:rsidR="00335F77" w:rsidRPr="007D2BC6">
        <w:rPr>
          <w:rFonts w:asciiTheme="majorHAnsi" w:hAnsiTheme="majorHAnsi"/>
          <w:sz w:val="16"/>
          <w:szCs w:val="16"/>
        </w:rPr>
        <w:t xml:space="preserve"> Hereinafter "the American Convention" or "the Convention."</w:t>
      </w:r>
    </w:p>
  </w:footnote>
  <w:footnote w:id="6">
    <w:p w14:paraId="6F51BDAF" w14:textId="4655D1F6" w:rsidR="00653EA6" w:rsidRPr="000B6B7A" w:rsidRDefault="00DD50BC" w:rsidP="00CA14B3">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7">
    <w:p w14:paraId="3CECFA9B" w14:textId="604B5E9E" w:rsidR="00564B70" w:rsidRPr="007D2BC6" w:rsidRDefault="00DD50BC" w:rsidP="00564B70">
      <w:pPr>
        <w:pStyle w:val="FootnoteText"/>
        <w:jc w:val="both"/>
      </w:pPr>
      <w:r>
        <w:rPr>
          <w:rFonts w:asciiTheme="majorHAnsi" w:hAnsiTheme="majorHAnsi"/>
          <w:sz w:val="16"/>
          <w:szCs w:val="16"/>
        </w:rPr>
        <w:tab/>
      </w:r>
      <w:r w:rsidR="00564B70" w:rsidRPr="002E5993">
        <w:rPr>
          <w:rStyle w:val="FootnoteReference"/>
          <w:rFonts w:asciiTheme="majorHAnsi" w:hAnsiTheme="majorHAnsi"/>
          <w:sz w:val="16"/>
          <w:szCs w:val="16"/>
        </w:rPr>
        <w:footnoteRef/>
      </w:r>
      <w:r w:rsidR="00564B70" w:rsidRPr="007D2BC6">
        <w:rPr>
          <w:rFonts w:asciiTheme="majorHAnsi" w:hAnsiTheme="majorHAnsi"/>
          <w:sz w:val="16"/>
          <w:szCs w:val="16"/>
        </w:rPr>
        <w:t>The petitioner based his story and the facts denounced in this petition on the Report of the National Truth and Reconciliation Commission (</w:t>
      </w:r>
      <w:proofErr w:type="spellStart"/>
      <w:r w:rsidR="00564B70" w:rsidRPr="007D2BC6">
        <w:rPr>
          <w:rFonts w:asciiTheme="majorHAnsi" w:hAnsiTheme="majorHAnsi"/>
          <w:sz w:val="16"/>
          <w:szCs w:val="16"/>
        </w:rPr>
        <w:t>Rettig</w:t>
      </w:r>
      <w:proofErr w:type="spellEnd"/>
      <w:r w:rsidR="00564B70" w:rsidRPr="007D2BC6">
        <w:rPr>
          <w:rFonts w:asciiTheme="majorHAnsi" w:hAnsiTheme="majorHAnsi"/>
          <w:sz w:val="16"/>
          <w:szCs w:val="16"/>
        </w:rPr>
        <w:t xml:space="preserve"> Report)</w:t>
      </w:r>
    </w:p>
  </w:footnote>
  <w:footnote w:id="8">
    <w:p w14:paraId="2673D380" w14:textId="22746DE3" w:rsidR="00D01EE8" w:rsidRPr="00A022F8" w:rsidRDefault="00DD50BC" w:rsidP="00D01EE8">
      <w:pPr>
        <w:pStyle w:val="FootnoteText"/>
        <w:jc w:val="both"/>
        <w:rPr>
          <w:rFonts w:ascii="Cambria" w:hAnsi="Cambria"/>
          <w:sz w:val="16"/>
          <w:szCs w:val="16"/>
        </w:rPr>
      </w:pPr>
      <w:r>
        <w:rPr>
          <w:rFonts w:ascii="Cambria" w:hAnsi="Cambria"/>
          <w:sz w:val="16"/>
          <w:szCs w:val="16"/>
        </w:rPr>
        <w:tab/>
      </w:r>
      <w:r w:rsidR="00D01EE8" w:rsidRPr="00A022F8">
        <w:rPr>
          <w:rStyle w:val="FootnoteReference"/>
          <w:rFonts w:ascii="Cambria" w:hAnsi="Cambria"/>
          <w:sz w:val="16"/>
          <w:szCs w:val="16"/>
        </w:rPr>
        <w:footnoteRef/>
      </w:r>
      <w:r w:rsidR="00D01EE8" w:rsidRPr="00D01EE8">
        <w:rPr>
          <w:rFonts w:ascii="Cambria" w:hAnsi="Cambria"/>
          <w:sz w:val="16"/>
          <w:szCs w:val="16"/>
        </w:rPr>
        <w:t xml:space="preserve"> </w:t>
      </w:r>
      <w:r w:rsidR="00D01EE8" w:rsidRPr="00D01EE8">
        <w:rPr>
          <w:rFonts w:ascii="Cambria" w:eastAsia="Times New Roman" w:hAnsi="Cambria"/>
          <w:sz w:val="16"/>
          <w:szCs w:val="16"/>
          <w:lang w:eastAsia="fr-FR"/>
        </w:rPr>
        <w:t xml:space="preserve">IACHR, Report No. 52/16, Case 12.521. </w:t>
      </w:r>
      <w:r w:rsidR="00D01EE8" w:rsidRPr="00A022F8">
        <w:rPr>
          <w:rFonts w:ascii="Cambria" w:eastAsia="Times New Roman" w:hAnsi="Cambria"/>
          <w:sz w:val="16"/>
          <w:szCs w:val="16"/>
          <w:lang w:eastAsia="fr-FR"/>
        </w:rPr>
        <w:t xml:space="preserve">Background. Maria Laura </w:t>
      </w:r>
      <w:proofErr w:type="spellStart"/>
      <w:r w:rsidR="00D01EE8" w:rsidRPr="00A022F8">
        <w:rPr>
          <w:rFonts w:ascii="Cambria" w:eastAsia="Times New Roman" w:hAnsi="Cambria"/>
          <w:sz w:val="16"/>
          <w:szCs w:val="16"/>
          <w:lang w:eastAsia="fr-FR"/>
        </w:rPr>
        <w:t>Ordenes</w:t>
      </w:r>
      <w:proofErr w:type="spellEnd"/>
      <w:r w:rsidR="00D01EE8" w:rsidRPr="00A022F8">
        <w:rPr>
          <w:rFonts w:ascii="Cambria" w:eastAsia="Times New Roman" w:hAnsi="Cambria"/>
          <w:sz w:val="16"/>
          <w:szCs w:val="16"/>
          <w:lang w:eastAsia="fr-FR"/>
        </w:rPr>
        <w:t xml:space="preserve"> Guerra and others. Chile. November 30, 2016, para. 134; See also IACHR, Report No. 5/19, Petition 1560-08. Admissibility. Juan Paredes Barrientos and Family. Chile. January 31, 2019; I/A Court HR, Case of </w:t>
      </w:r>
      <w:proofErr w:type="spellStart"/>
      <w:r w:rsidR="00D01EE8" w:rsidRPr="00A022F8">
        <w:rPr>
          <w:rFonts w:ascii="Cambria" w:eastAsia="Times New Roman" w:hAnsi="Cambria"/>
          <w:sz w:val="16"/>
          <w:szCs w:val="16"/>
          <w:lang w:eastAsia="fr-FR"/>
        </w:rPr>
        <w:t>Ordenes</w:t>
      </w:r>
      <w:proofErr w:type="spellEnd"/>
      <w:r w:rsidR="00D01EE8" w:rsidRPr="00A022F8">
        <w:rPr>
          <w:rFonts w:ascii="Cambria" w:eastAsia="Times New Roman" w:hAnsi="Cambria"/>
          <w:sz w:val="16"/>
          <w:szCs w:val="16"/>
          <w:lang w:eastAsia="fr-FR"/>
        </w:rPr>
        <w:t xml:space="preserve"> Guerra and others vs. Chile, Judgment of November 29, 2018 (Merits, Reparations and Costs), para. 89.</w:t>
      </w:r>
    </w:p>
  </w:footnote>
  <w:footnote w:id="9">
    <w:p w14:paraId="4485A333" w14:textId="49400F2F" w:rsidR="00D01EE8" w:rsidRPr="00A022F8" w:rsidRDefault="00DD50BC" w:rsidP="00D01EE8">
      <w:pPr>
        <w:pStyle w:val="FootnoteText"/>
        <w:jc w:val="both"/>
        <w:rPr>
          <w:rFonts w:ascii="Cambria" w:hAnsi="Cambria"/>
          <w:sz w:val="16"/>
          <w:szCs w:val="16"/>
          <w:lang w:val="fr-CA"/>
        </w:rPr>
      </w:pPr>
      <w:r>
        <w:rPr>
          <w:rFonts w:ascii="Cambria" w:hAnsi="Cambria"/>
          <w:sz w:val="16"/>
          <w:szCs w:val="16"/>
        </w:rPr>
        <w:tab/>
      </w:r>
      <w:r w:rsidR="00D01EE8" w:rsidRPr="00A022F8">
        <w:rPr>
          <w:rStyle w:val="FootnoteReference"/>
          <w:rFonts w:ascii="Cambria" w:hAnsi="Cambria"/>
          <w:sz w:val="16"/>
          <w:szCs w:val="16"/>
        </w:rPr>
        <w:footnoteRef/>
      </w:r>
      <w:r w:rsidR="00D01EE8" w:rsidRPr="00D01EE8">
        <w:rPr>
          <w:rFonts w:ascii="Cambria" w:hAnsi="Cambria"/>
          <w:sz w:val="16"/>
          <w:szCs w:val="16"/>
        </w:rPr>
        <w:t xml:space="preserve"> See IACHR, Report No. 152/17. </w:t>
      </w:r>
      <w:r w:rsidR="00D01EE8" w:rsidRPr="00A022F8">
        <w:rPr>
          <w:rFonts w:ascii="Cambria" w:hAnsi="Cambria"/>
          <w:sz w:val="16"/>
          <w:szCs w:val="16"/>
          <w:lang w:val="en"/>
        </w:rPr>
        <w:t xml:space="preserve">Admissibility. Hugo </w:t>
      </w:r>
      <w:proofErr w:type="spellStart"/>
      <w:r w:rsidR="00D01EE8" w:rsidRPr="00A022F8">
        <w:rPr>
          <w:rFonts w:ascii="Cambria" w:hAnsi="Cambria"/>
          <w:sz w:val="16"/>
          <w:szCs w:val="16"/>
          <w:lang w:val="en"/>
        </w:rPr>
        <w:t>Tomás</w:t>
      </w:r>
      <w:proofErr w:type="spellEnd"/>
      <w:r w:rsidR="00D01EE8" w:rsidRPr="00A022F8">
        <w:rPr>
          <w:rFonts w:ascii="Cambria" w:hAnsi="Cambria"/>
          <w:sz w:val="16"/>
          <w:szCs w:val="16"/>
          <w:lang w:val="en"/>
        </w:rPr>
        <w:t xml:space="preserve"> </w:t>
      </w:r>
      <w:proofErr w:type="spellStart"/>
      <w:r w:rsidR="00D01EE8" w:rsidRPr="00A022F8">
        <w:rPr>
          <w:rFonts w:ascii="Cambria" w:hAnsi="Cambria"/>
          <w:sz w:val="16"/>
          <w:szCs w:val="16"/>
          <w:lang w:val="en"/>
        </w:rPr>
        <w:t>Martínez</w:t>
      </w:r>
      <w:proofErr w:type="spellEnd"/>
      <w:r w:rsidR="00D01EE8" w:rsidRPr="00A022F8">
        <w:rPr>
          <w:rFonts w:ascii="Cambria" w:hAnsi="Cambria"/>
          <w:sz w:val="16"/>
          <w:szCs w:val="16"/>
          <w:lang w:val="en"/>
        </w:rPr>
        <w:t xml:space="preserve"> </w:t>
      </w:r>
      <w:proofErr w:type="spellStart"/>
      <w:r w:rsidR="00D01EE8" w:rsidRPr="00A022F8">
        <w:rPr>
          <w:rFonts w:ascii="Cambria" w:hAnsi="Cambria"/>
          <w:sz w:val="16"/>
          <w:szCs w:val="16"/>
          <w:lang w:val="en"/>
        </w:rPr>
        <w:t>Guillén</w:t>
      </w:r>
      <w:proofErr w:type="spellEnd"/>
      <w:r w:rsidR="00D01EE8" w:rsidRPr="00A022F8">
        <w:rPr>
          <w:rFonts w:ascii="Cambria" w:hAnsi="Cambria"/>
          <w:sz w:val="16"/>
          <w:szCs w:val="16"/>
          <w:lang w:val="en"/>
        </w:rPr>
        <w:t xml:space="preserve"> and Others. 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A6F90"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E38C" w14:textId="77777777" w:rsidR="00651FCD" w:rsidRDefault="0065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E2B186E"/>
    <w:multiLevelType w:val="hybridMultilevel"/>
    <w:tmpl w:val="0C84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F90DD6"/>
    <w:multiLevelType w:val="hybridMultilevel"/>
    <w:tmpl w:val="DB363EA0"/>
    <w:lvl w:ilvl="0" w:tplc="04046EDE">
      <w:start w:val="1"/>
      <w:numFmt w:val="decimal"/>
      <w:lvlText w:val="%1."/>
      <w:lvlJc w:val="left"/>
      <w:pPr>
        <w:ind w:left="7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9"/>
  </w:num>
  <w:num w:numId="85">
    <w:abstractNumId w:val="52"/>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3"/>
  </w:num>
  <w:num w:numId="96">
    <w:abstractNumId w:val="55"/>
  </w:num>
  <w:num w:numId="97">
    <w:abstractNumId w:val="53"/>
  </w:num>
  <w:num w:numId="98">
    <w:abstractNumId w:val="48"/>
  </w:num>
  <w:num w:numId="99">
    <w:abstractNumId w:val="37"/>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56"/>
  </w:num>
  <w:num w:numId="107">
    <w:abstractNumId w:val="45"/>
  </w:num>
  <w:num w:numId="108">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569"/>
    <w:rsid w:val="000639C0"/>
    <w:rsid w:val="00070571"/>
    <w:rsid w:val="00070F3A"/>
    <w:rsid w:val="000716C5"/>
    <w:rsid w:val="00075E23"/>
    <w:rsid w:val="00092F32"/>
    <w:rsid w:val="0009344A"/>
    <w:rsid w:val="00094D5B"/>
    <w:rsid w:val="000A575F"/>
    <w:rsid w:val="000B5E02"/>
    <w:rsid w:val="000C4365"/>
    <w:rsid w:val="000D10DB"/>
    <w:rsid w:val="000F600B"/>
    <w:rsid w:val="00124116"/>
    <w:rsid w:val="00130279"/>
    <w:rsid w:val="0013104F"/>
    <w:rsid w:val="00137EBA"/>
    <w:rsid w:val="00141263"/>
    <w:rsid w:val="00145EDC"/>
    <w:rsid w:val="00153084"/>
    <w:rsid w:val="00153439"/>
    <w:rsid w:val="00156E3D"/>
    <w:rsid w:val="00157B97"/>
    <w:rsid w:val="00167A34"/>
    <w:rsid w:val="00167D72"/>
    <w:rsid w:val="001714B4"/>
    <w:rsid w:val="0018037F"/>
    <w:rsid w:val="001966F0"/>
    <w:rsid w:val="001A5F27"/>
    <w:rsid w:val="001A65E4"/>
    <w:rsid w:val="001A7870"/>
    <w:rsid w:val="001B2EA5"/>
    <w:rsid w:val="001C1B41"/>
    <w:rsid w:val="001E366B"/>
    <w:rsid w:val="001F1902"/>
    <w:rsid w:val="00210E0E"/>
    <w:rsid w:val="00210F4B"/>
    <w:rsid w:val="00220CFD"/>
    <w:rsid w:val="00230163"/>
    <w:rsid w:val="00232B3E"/>
    <w:rsid w:val="0023351C"/>
    <w:rsid w:val="00247403"/>
    <w:rsid w:val="00247542"/>
    <w:rsid w:val="00257893"/>
    <w:rsid w:val="00266092"/>
    <w:rsid w:val="00266B61"/>
    <w:rsid w:val="0026712A"/>
    <w:rsid w:val="002704DB"/>
    <w:rsid w:val="002760CE"/>
    <w:rsid w:val="0028259C"/>
    <w:rsid w:val="002A6F90"/>
    <w:rsid w:val="002B7A85"/>
    <w:rsid w:val="002C1641"/>
    <w:rsid w:val="002D7EA2"/>
    <w:rsid w:val="002E15DF"/>
    <w:rsid w:val="002E187C"/>
    <w:rsid w:val="002E6E57"/>
    <w:rsid w:val="002F56BF"/>
    <w:rsid w:val="00301075"/>
    <w:rsid w:val="00302733"/>
    <w:rsid w:val="00302748"/>
    <w:rsid w:val="00311A4F"/>
    <w:rsid w:val="00314078"/>
    <w:rsid w:val="00321AFD"/>
    <w:rsid w:val="00322450"/>
    <w:rsid w:val="003246B5"/>
    <w:rsid w:val="0033169F"/>
    <w:rsid w:val="00335F77"/>
    <w:rsid w:val="003414AC"/>
    <w:rsid w:val="00347852"/>
    <w:rsid w:val="00356185"/>
    <w:rsid w:val="00360380"/>
    <w:rsid w:val="003771A3"/>
    <w:rsid w:val="003826B3"/>
    <w:rsid w:val="003854F5"/>
    <w:rsid w:val="00386CF0"/>
    <w:rsid w:val="003A18A7"/>
    <w:rsid w:val="003A4348"/>
    <w:rsid w:val="003A56DF"/>
    <w:rsid w:val="003C32BC"/>
    <w:rsid w:val="003E3E03"/>
    <w:rsid w:val="003F1BBF"/>
    <w:rsid w:val="004162B1"/>
    <w:rsid w:val="004165C2"/>
    <w:rsid w:val="00450A4A"/>
    <w:rsid w:val="004666FB"/>
    <w:rsid w:val="00466D0B"/>
    <w:rsid w:val="00467B7E"/>
    <w:rsid w:val="00476D29"/>
    <w:rsid w:val="00484FE3"/>
    <w:rsid w:val="0049419D"/>
    <w:rsid w:val="004B2762"/>
    <w:rsid w:val="004B7EB6"/>
    <w:rsid w:val="004C41DE"/>
    <w:rsid w:val="004C4B62"/>
    <w:rsid w:val="004C7A36"/>
    <w:rsid w:val="004D6025"/>
    <w:rsid w:val="004D72BC"/>
    <w:rsid w:val="004F35AC"/>
    <w:rsid w:val="004F6B67"/>
    <w:rsid w:val="00501399"/>
    <w:rsid w:val="00507BC4"/>
    <w:rsid w:val="005128E4"/>
    <w:rsid w:val="00521B60"/>
    <w:rsid w:val="00525560"/>
    <w:rsid w:val="005357A6"/>
    <w:rsid w:val="005406C2"/>
    <w:rsid w:val="00544C49"/>
    <w:rsid w:val="00564B70"/>
    <w:rsid w:val="00572A02"/>
    <w:rsid w:val="0057402A"/>
    <w:rsid w:val="00576A49"/>
    <w:rsid w:val="005771D0"/>
    <w:rsid w:val="005816E5"/>
    <w:rsid w:val="0059191A"/>
    <w:rsid w:val="005921FF"/>
    <w:rsid w:val="00592718"/>
    <w:rsid w:val="005A4F7C"/>
    <w:rsid w:val="005A6D0E"/>
    <w:rsid w:val="005B0771"/>
    <w:rsid w:val="005B222D"/>
    <w:rsid w:val="005B52B0"/>
    <w:rsid w:val="005B6806"/>
    <w:rsid w:val="005C00F9"/>
    <w:rsid w:val="005C4225"/>
    <w:rsid w:val="005C7ADD"/>
    <w:rsid w:val="005F0F33"/>
    <w:rsid w:val="00600DEB"/>
    <w:rsid w:val="00605DE2"/>
    <w:rsid w:val="00613027"/>
    <w:rsid w:val="00613A9C"/>
    <w:rsid w:val="00627C9F"/>
    <w:rsid w:val="006311DA"/>
    <w:rsid w:val="006311E9"/>
    <w:rsid w:val="006318B2"/>
    <w:rsid w:val="00632354"/>
    <w:rsid w:val="00642810"/>
    <w:rsid w:val="00651FCD"/>
    <w:rsid w:val="00652333"/>
    <w:rsid w:val="00653EA6"/>
    <w:rsid w:val="0065506C"/>
    <w:rsid w:val="006614CA"/>
    <w:rsid w:val="0068009E"/>
    <w:rsid w:val="006A17D2"/>
    <w:rsid w:val="006A73E6"/>
    <w:rsid w:val="006B2D5C"/>
    <w:rsid w:val="006C4EB1"/>
    <w:rsid w:val="006D4707"/>
    <w:rsid w:val="006E0166"/>
    <w:rsid w:val="006E7B34"/>
    <w:rsid w:val="00701B24"/>
    <w:rsid w:val="00702338"/>
    <w:rsid w:val="00711263"/>
    <w:rsid w:val="0071495F"/>
    <w:rsid w:val="0073798E"/>
    <w:rsid w:val="00745899"/>
    <w:rsid w:val="007607C4"/>
    <w:rsid w:val="00762031"/>
    <w:rsid w:val="007656D5"/>
    <w:rsid w:val="0076643F"/>
    <w:rsid w:val="007776D6"/>
    <w:rsid w:val="00781653"/>
    <w:rsid w:val="007A2F70"/>
    <w:rsid w:val="007C3334"/>
    <w:rsid w:val="007C52BB"/>
    <w:rsid w:val="007D1585"/>
    <w:rsid w:val="007D2B98"/>
    <w:rsid w:val="007D2BC6"/>
    <w:rsid w:val="007F196E"/>
    <w:rsid w:val="00803F1C"/>
    <w:rsid w:val="0080600E"/>
    <w:rsid w:val="00817612"/>
    <w:rsid w:val="00817887"/>
    <w:rsid w:val="00837C45"/>
    <w:rsid w:val="00842B67"/>
    <w:rsid w:val="00845BCA"/>
    <w:rsid w:val="00853419"/>
    <w:rsid w:val="00893AF4"/>
    <w:rsid w:val="00897E12"/>
    <w:rsid w:val="008A614D"/>
    <w:rsid w:val="008A61AD"/>
    <w:rsid w:val="008D43BA"/>
    <w:rsid w:val="008E0E1C"/>
    <w:rsid w:val="008E10AB"/>
    <w:rsid w:val="008E3759"/>
    <w:rsid w:val="009041DC"/>
    <w:rsid w:val="009104B4"/>
    <w:rsid w:val="0091559F"/>
    <w:rsid w:val="009228DA"/>
    <w:rsid w:val="00925FCD"/>
    <w:rsid w:val="0093441A"/>
    <w:rsid w:val="00954BF7"/>
    <w:rsid w:val="0096706E"/>
    <w:rsid w:val="00981FBA"/>
    <w:rsid w:val="009A46A6"/>
    <w:rsid w:val="009A7C84"/>
    <w:rsid w:val="009B381B"/>
    <w:rsid w:val="009C6420"/>
    <w:rsid w:val="009D7611"/>
    <w:rsid w:val="009E53DE"/>
    <w:rsid w:val="009E566A"/>
    <w:rsid w:val="009F1B3B"/>
    <w:rsid w:val="00A12DBC"/>
    <w:rsid w:val="00A14AAA"/>
    <w:rsid w:val="00A27127"/>
    <w:rsid w:val="00A34EBD"/>
    <w:rsid w:val="00A43458"/>
    <w:rsid w:val="00A528D1"/>
    <w:rsid w:val="00A66BE5"/>
    <w:rsid w:val="00A67ADC"/>
    <w:rsid w:val="00A7181D"/>
    <w:rsid w:val="00A71C1C"/>
    <w:rsid w:val="00AD37C1"/>
    <w:rsid w:val="00AE0C9C"/>
    <w:rsid w:val="00AE66EC"/>
    <w:rsid w:val="00AE6F91"/>
    <w:rsid w:val="00AF5571"/>
    <w:rsid w:val="00B06BB7"/>
    <w:rsid w:val="00B167E9"/>
    <w:rsid w:val="00B179ED"/>
    <w:rsid w:val="00B314DB"/>
    <w:rsid w:val="00B31EBE"/>
    <w:rsid w:val="00B3718B"/>
    <w:rsid w:val="00B44B23"/>
    <w:rsid w:val="00B4632A"/>
    <w:rsid w:val="00B51815"/>
    <w:rsid w:val="00B92E49"/>
    <w:rsid w:val="00B930DB"/>
    <w:rsid w:val="00B96994"/>
    <w:rsid w:val="00BA276C"/>
    <w:rsid w:val="00BB306F"/>
    <w:rsid w:val="00BD232B"/>
    <w:rsid w:val="00BD2E42"/>
    <w:rsid w:val="00BD4B89"/>
    <w:rsid w:val="00BE45B0"/>
    <w:rsid w:val="00BF1835"/>
    <w:rsid w:val="00BF4B32"/>
    <w:rsid w:val="00C05480"/>
    <w:rsid w:val="00C14851"/>
    <w:rsid w:val="00C20982"/>
    <w:rsid w:val="00C21762"/>
    <w:rsid w:val="00C24543"/>
    <w:rsid w:val="00C256A2"/>
    <w:rsid w:val="00C3492D"/>
    <w:rsid w:val="00C34BA2"/>
    <w:rsid w:val="00C55560"/>
    <w:rsid w:val="00C66B72"/>
    <w:rsid w:val="00C9567A"/>
    <w:rsid w:val="00CA14B3"/>
    <w:rsid w:val="00CA6577"/>
    <w:rsid w:val="00CB2660"/>
    <w:rsid w:val="00CC5E90"/>
    <w:rsid w:val="00CD046C"/>
    <w:rsid w:val="00CE5199"/>
    <w:rsid w:val="00CE66D5"/>
    <w:rsid w:val="00D01EE8"/>
    <w:rsid w:val="00D026D9"/>
    <w:rsid w:val="00D34786"/>
    <w:rsid w:val="00D40A1E"/>
    <w:rsid w:val="00D52067"/>
    <w:rsid w:val="00D533C0"/>
    <w:rsid w:val="00D6616C"/>
    <w:rsid w:val="00D712D3"/>
    <w:rsid w:val="00D71422"/>
    <w:rsid w:val="00D7145E"/>
    <w:rsid w:val="00D720D9"/>
    <w:rsid w:val="00D74450"/>
    <w:rsid w:val="00D75084"/>
    <w:rsid w:val="00D7558D"/>
    <w:rsid w:val="00D81D92"/>
    <w:rsid w:val="00D93446"/>
    <w:rsid w:val="00DA7B5F"/>
    <w:rsid w:val="00DB2771"/>
    <w:rsid w:val="00DC28E0"/>
    <w:rsid w:val="00DD50BC"/>
    <w:rsid w:val="00DF078B"/>
    <w:rsid w:val="00DF350D"/>
    <w:rsid w:val="00E1105F"/>
    <w:rsid w:val="00E227C1"/>
    <w:rsid w:val="00E43157"/>
    <w:rsid w:val="00E44DF9"/>
    <w:rsid w:val="00E47F3D"/>
    <w:rsid w:val="00E533FF"/>
    <w:rsid w:val="00E709B3"/>
    <w:rsid w:val="00E7588C"/>
    <w:rsid w:val="00E850B6"/>
    <w:rsid w:val="00E8789F"/>
    <w:rsid w:val="00E97B71"/>
    <w:rsid w:val="00EB454D"/>
    <w:rsid w:val="00EB6B8C"/>
    <w:rsid w:val="00ED0D1B"/>
    <w:rsid w:val="00ED104F"/>
    <w:rsid w:val="00EE3522"/>
    <w:rsid w:val="00EE7AC0"/>
    <w:rsid w:val="00EF619B"/>
    <w:rsid w:val="00F00B55"/>
    <w:rsid w:val="00F10341"/>
    <w:rsid w:val="00F1380F"/>
    <w:rsid w:val="00F14F0E"/>
    <w:rsid w:val="00F15A3B"/>
    <w:rsid w:val="00F210CE"/>
    <w:rsid w:val="00F24C29"/>
    <w:rsid w:val="00F253CC"/>
    <w:rsid w:val="00F42B71"/>
    <w:rsid w:val="00F56BA5"/>
    <w:rsid w:val="00F621C3"/>
    <w:rsid w:val="00F644E6"/>
    <w:rsid w:val="00F862D8"/>
    <w:rsid w:val="00F9653B"/>
    <w:rsid w:val="00FB62CF"/>
    <w:rsid w:val="00FC3EB4"/>
    <w:rsid w:val="00FC6C58"/>
    <w:rsid w:val="00FE0C56"/>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4108B1"/>
    <w:rsid w:val="00523C53"/>
    <w:rsid w:val="00602DBB"/>
    <w:rsid w:val="00733948"/>
    <w:rsid w:val="009405F6"/>
    <w:rsid w:val="0099247D"/>
    <w:rsid w:val="00A939E7"/>
    <w:rsid w:val="00AB44F1"/>
    <w:rsid w:val="00B27754"/>
    <w:rsid w:val="00BD73EC"/>
    <w:rsid w:val="00C46B03"/>
    <w:rsid w:val="00D7165A"/>
    <w:rsid w:val="00DE0AEB"/>
    <w:rsid w:val="00E566F6"/>
    <w:rsid w:val="00E715BD"/>
    <w:rsid w:val="00EA0868"/>
    <w:rsid w:val="00F51E67"/>
    <w:rsid w:val="00FE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1DE0-A21E-48C2-8AEA-021E4423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8186</Characters>
  <Application>Microsoft Office Word</Application>
  <DocSecurity>0</DocSecurity>
  <Lines>163</Lines>
  <Paragraphs>44</Paragraphs>
  <ScaleCrop>false</ScaleCrop>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273/20</dc:title>
  <dc:creator/>
  <cp:lastModifiedBy/>
  <cp:revision>1</cp:revision>
  <dcterms:created xsi:type="dcterms:W3CDTF">2021-01-11T17:17:00Z</dcterms:created>
  <dcterms:modified xsi:type="dcterms:W3CDTF">2021-01-11T17:17:00Z</dcterms:modified>
</cp:coreProperties>
</file>