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1D4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0A6ACC" w:rsidRDefault="000A6ACC">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0A6ACC" w:rsidRDefault="000A6ACC">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7A2691F5" w:rsidR="000A6ACC" w:rsidRPr="004B7EB6" w:rsidRDefault="00BE0EC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240</w:t>
                            </w:r>
                            <w:r w:rsidR="000A6ACC" w:rsidRPr="004B7EB6">
                              <w:rPr>
                                <w:rFonts w:asciiTheme="majorHAnsi" w:hAnsiTheme="majorHAnsi" w:cs="Arial"/>
                                <w:b/>
                                <w:bCs/>
                                <w:color w:val="0D0D0D" w:themeColor="text1" w:themeTint="F2"/>
                                <w:sz w:val="36"/>
                                <w:szCs w:val="40"/>
                              </w:rPr>
                              <w:t>/</w:t>
                            </w:r>
                            <w:r w:rsidR="000A6ACC">
                              <w:rPr>
                                <w:rFonts w:asciiTheme="majorHAnsi" w:hAnsiTheme="majorHAnsi" w:cs="Arial"/>
                                <w:b/>
                                <w:bCs/>
                                <w:color w:val="0D0D0D" w:themeColor="text1" w:themeTint="F2"/>
                                <w:sz w:val="36"/>
                                <w:szCs w:val="40"/>
                              </w:rPr>
                              <w:t>20</w:t>
                            </w:r>
                          </w:p>
                          <w:p w14:paraId="2857F468" w14:textId="515658DB" w:rsidR="000A6ACC" w:rsidRPr="00770F33" w:rsidRDefault="000A6ACC" w:rsidP="00261E08">
                            <w:pPr>
                              <w:spacing w:line="276" w:lineRule="auto"/>
                              <w:rPr>
                                <w:rFonts w:asciiTheme="majorHAnsi" w:hAnsiTheme="majorHAnsi" w:cs="Arial"/>
                                <w:b/>
                                <w:bCs/>
                                <w:color w:val="0D0D0D" w:themeColor="text1" w:themeTint="F2"/>
                                <w:sz w:val="36"/>
                                <w:szCs w:val="40"/>
                                <w:lang w:val="fr-FR"/>
                              </w:rPr>
                            </w:pPr>
                            <w:r w:rsidRPr="00770F33">
                              <w:rPr>
                                <w:rFonts w:asciiTheme="majorHAnsi" w:hAnsiTheme="majorHAnsi" w:cs="Arial"/>
                                <w:b/>
                                <w:bCs/>
                                <w:color w:val="0D0D0D" w:themeColor="text1" w:themeTint="F2"/>
                                <w:sz w:val="36"/>
                                <w:szCs w:val="40"/>
                                <w:lang w:val="fr-FR"/>
                              </w:rPr>
                              <w:t>PETITION 399-11</w:t>
                            </w:r>
                          </w:p>
                          <w:p w14:paraId="51480B27" w14:textId="789B9C80" w:rsidR="000A6ACC" w:rsidRPr="00770F33" w:rsidRDefault="000A6ACC" w:rsidP="00261E08">
                            <w:pPr>
                              <w:spacing w:line="276" w:lineRule="auto"/>
                              <w:rPr>
                                <w:rFonts w:asciiTheme="majorHAnsi" w:hAnsiTheme="majorHAnsi" w:cs="Arial"/>
                                <w:color w:val="0D0D0D" w:themeColor="text1" w:themeTint="F2"/>
                                <w:szCs w:val="22"/>
                                <w:lang w:val="fr-FR"/>
                              </w:rPr>
                            </w:pPr>
                            <w:r w:rsidRPr="00770F33">
                              <w:rPr>
                                <w:rFonts w:asciiTheme="majorHAnsi" w:hAnsiTheme="majorHAnsi" w:cs="Arial"/>
                                <w:color w:val="0D0D0D" w:themeColor="text1" w:themeTint="F2"/>
                                <w:szCs w:val="22"/>
                                <w:lang w:val="fr-FR"/>
                              </w:rPr>
                              <w:t>REPORT ON ADMISSIBILITY</w:t>
                            </w:r>
                          </w:p>
                          <w:p w14:paraId="53E0BB0C" w14:textId="77777777" w:rsidR="000A6ACC" w:rsidRPr="00770F33" w:rsidRDefault="000A6ACC" w:rsidP="00261E08">
                            <w:pPr>
                              <w:spacing w:line="276" w:lineRule="auto"/>
                              <w:rPr>
                                <w:rFonts w:asciiTheme="majorHAnsi" w:hAnsiTheme="majorHAnsi" w:cs="Arial"/>
                                <w:color w:val="0D0D0D" w:themeColor="text1" w:themeTint="F2"/>
                                <w:szCs w:val="22"/>
                                <w:lang w:val="fr-FR"/>
                              </w:rPr>
                            </w:pPr>
                          </w:p>
                          <w:p w14:paraId="6F749A11" w14:textId="54B2A358" w:rsidR="000A6ACC" w:rsidRPr="00644DEB" w:rsidRDefault="000A6ACC"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fr-FR"/>
                              </w:rPr>
                            </w:pPr>
                            <w:r w:rsidRPr="00644DEB">
                              <w:rPr>
                                <w:rFonts w:ascii="Cambria" w:hAnsi="Cambria" w:cs="Arial"/>
                                <w:color w:val="0D0D0D"/>
                                <w:szCs w:val="22"/>
                                <w:lang w:val="fr-FR"/>
                              </w:rPr>
                              <w:t xml:space="preserve">OVER JOSÉ QUILA </w:t>
                            </w:r>
                            <w:r w:rsidRPr="00644DEB">
                              <w:rPr>
                                <w:rFonts w:ascii="Cambria" w:hAnsi="Cambria" w:cs="Arial"/>
                                <w:i/>
                                <w:iCs/>
                                <w:color w:val="0D0D0D"/>
                                <w:szCs w:val="22"/>
                                <w:lang w:val="fr-FR"/>
                              </w:rPr>
                              <w:t>ET AL</w:t>
                            </w:r>
                            <w:r w:rsidRPr="00644DEB">
                              <w:rPr>
                                <w:rFonts w:ascii="Cambria" w:hAnsi="Cambria" w:cs="Arial"/>
                                <w:color w:val="0D0D0D"/>
                                <w:szCs w:val="22"/>
                                <w:lang w:val="fr-FR"/>
                              </w:rPr>
                              <w:t>.</w:t>
                            </w:r>
                            <w:r>
                              <w:rPr>
                                <w:rFonts w:ascii="Cambria" w:hAnsi="Cambria" w:cs="Arial"/>
                                <w:color w:val="0D0D0D"/>
                                <w:szCs w:val="22"/>
                                <w:lang w:val="fr-FR"/>
                              </w:rPr>
                              <w:t xml:space="preserve"> (LA REJOYA MASSACRE)</w:t>
                            </w:r>
                            <w:r w:rsidRPr="00644DEB">
                              <w:rPr>
                                <w:rFonts w:ascii="Cambria" w:hAnsi="Cambria" w:cs="Arial"/>
                                <w:color w:val="0D0D0D"/>
                                <w:szCs w:val="22"/>
                                <w:lang w:val="fr-FR"/>
                              </w:rPr>
                              <w:t xml:space="preserve"> </w:t>
                            </w:r>
                          </w:p>
                          <w:p w14:paraId="67476ECA" w14:textId="08ABE217" w:rsidR="000A6ACC" w:rsidRPr="000C4365" w:rsidRDefault="000A6ACC"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7A2691F5" w:rsidR="000A6ACC" w:rsidRPr="004B7EB6" w:rsidRDefault="00BE0EC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240</w:t>
                      </w:r>
                      <w:r w:rsidR="000A6ACC" w:rsidRPr="004B7EB6">
                        <w:rPr>
                          <w:rFonts w:asciiTheme="majorHAnsi" w:hAnsiTheme="majorHAnsi" w:cs="Arial"/>
                          <w:b/>
                          <w:bCs/>
                          <w:color w:val="0D0D0D" w:themeColor="text1" w:themeTint="F2"/>
                          <w:sz w:val="36"/>
                          <w:szCs w:val="40"/>
                        </w:rPr>
                        <w:t>/</w:t>
                      </w:r>
                      <w:r w:rsidR="000A6ACC">
                        <w:rPr>
                          <w:rFonts w:asciiTheme="majorHAnsi" w:hAnsiTheme="majorHAnsi" w:cs="Arial"/>
                          <w:b/>
                          <w:bCs/>
                          <w:color w:val="0D0D0D" w:themeColor="text1" w:themeTint="F2"/>
                          <w:sz w:val="36"/>
                          <w:szCs w:val="40"/>
                        </w:rPr>
                        <w:t>20</w:t>
                      </w:r>
                    </w:p>
                    <w:p w14:paraId="2857F468" w14:textId="515658DB" w:rsidR="000A6ACC" w:rsidRPr="00770F33" w:rsidRDefault="000A6ACC" w:rsidP="00261E08">
                      <w:pPr>
                        <w:spacing w:line="276" w:lineRule="auto"/>
                        <w:rPr>
                          <w:rFonts w:asciiTheme="majorHAnsi" w:hAnsiTheme="majorHAnsi" w:cs="Arial"/>
                          <w:b/>
                          <w:bCs/>
                          <w:color w:val="0D0D0D" w:themeColor="text1" w:themeTint="F2"/>
                          <w:sz w:val="36"/>
                          <w:szCs w:val="40"/>
                          <w:lang w:val="fr-FR"/>
                        </w:rPr>
                      </w:pPr>
                      <w:r w:rsidRPr="00770F33">
                        <w:rPr>
                          <w:rFonts w:asciiTheme="majorHAnsi" w:hAnsiTheme="majorHAnsi" w:cs="Arial"/>
                          <w:b/>
                          <w:bCs/>
                          <w:color w:val="0D0D0D" w:themeColor="text1" w:themeTint="F2"/>
                          <w:sz w:val="36"/>
                          <w:szCs w:val="40"/>
                          <w:lang w:val="fr-FR"/>
                        </w:rPr>
                        <w:t>PETITION 399-11</w:t>
                      </w:r>
                    </w:p>
                    <w:p w14:paraId="51480B27" w14:textId="789B9C80" w:rsidR="000A6ACC" w:rsidRPr="00770F33" w:rsidRDefault="000A6ACC" w:rsidP="00261E08">
                      <w:pPr>
                        <w:spacing w:line="276" w:lineRule="auto"/>
                        <w:rPr>
                          <w:rFonts w:asciiTheme="majorHAnsi" w:hAnsiTheme="majorHAnsi" w:cs="Arial"/>
                          <w:color w:val="0D0D0D" w:themeColor="text1" w:themeTint="F2"/>
                          <w:szCs w:val="22"/>
                          <w:lang w:val="fr-FR"/>
                        </w:rPr>
                      </w:pPr>
                      <w:r w:rsidRPr="00770F33">
                        <w:rPr>
                          <w:rFonts w:asciiTheme="majorHAnsi" w:hAnsiTheme="majorHAnsi" w:cs="Arial"/>
                          <w:color w:val="0D0D0D" w:themeColor="text1" w:themeTint="F2"/>
                          <w:szCs w:val="22"/>
                          <w:lang w:val="fr-FR"/>
                        </w:rPr>
                        <w:t>REPORT ON ADMISSIBILITY</w:t>
                      </w:r>
                    </w:p>
                    <w:p w14:paraId="53E0BB0C" w14:textId="77777777" w:rsidR="000A6ACC" w:rsidRPr="00770F33" w:rsidRDefault="000A6ACC" w:rsidP="00261E08">
                      <w:pPr>
                        <w:spacing w:line="276" w:lineRule="auto"/>
                        <w:rPr>
                          <w:rFonts w:asciiTheme="majorHAnsi" w:hAnsiTheme="majorHAnsi" w:cs="Arial"/>
                          <w:color w:val="0D0D0D" w:themeColor="text1" w:themeTint="F2"/>
                          <w:szCs w:val="22"/>
                          <w:lang w:val="fr-FR"/>
                        </w:rPr>
                      </w:pPr>
                    </w:p>
                    <w:p w14:paraId="6F749A11" w14:textId="54B2A358" w:rsidR="000A6ACC" w:rsidRPr="00644DEB" w:rsidRDefault="000A6ACC"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fr-FR"/>
                        </w:rPr>
                      </w:pPr>
                      <w:r w:rsidRPr="00644DEB">
                        <w:rPr>
                          <w:rFonts w:ascii="Cambria" w:hAnsi="Cambria" w:cs="Arial"/>
                          <w:color w:val="0D0D0D"/>
                          <w:szCs w:val="22"/>
                          <w:lang w:val="fr-FR"/>
                        </w:rPr>
                        <w:t xml:space="preserve">OVER JOSÉ QUILA </w:t>
                      </w:r>
                      <w:r w:rsidRPr="00644DEB">
                        <w:rPr>
                          <w:rFonts w:ascii="Cambria" w:hAnsi="Cambria" w:cs="Arial"/>
                          <w:i/>
                          <w:iCs/>
                          <w:color w:val="0D0D0D"/>
                          <w:szCs w:val="22"/>
                          <w:lang w:val="fr-FR"/>
                        </w:rPr>
                        <w:t>ET AL</w:t>
                      </w:r>
                      <w:r w:rsidRPr="00644DEB">
                        <w:rPr>
                          <w:rFonts w:ascii="Cambria" w:hAnsi="Cambria" w:cs="Arial"/>
                          <w:color w:val="0D0D0D"/>
                          <w:szCs w:val="22"/>
                          <w:lang w:val="fr-FR"/>
                        </w:rPr>
                        <w:t>.</w:t>
                      </w:r>
                      <w:r>
                        <w:rPr>
                          <w:rFonts w:ascii="Cambria" w:hAnsi="Cambria" w:cs="Arial"/>
                          <w:color w:val="0D0D0D"/>
                          <w:szCs w:val="22"/>
                          <w:lang w:val="fr-FR"/>
                        </w:rPr>
                        <w:t xml:space="preserve"> (LA REJOYA MASSACRE)</w:t>
                      </w:r>
                      <w:r w:rsidRPr="00644DEB">
                        <w:rPr>
                          <w:rFonts w:ascii="Cambria" w:hAnsi="Cambria" w:cs="Arial"/>
                          <w:color w:val="0D0D0D"/>
                          <w:szCs w:val="22"/>
                          <w:lang w:val="fr-FR"/>
                        </w:rPr>
                        <w:t xml:space="preserve"> </w:t>
                      </w:r>
                    </w:p>
                    <w:p w14:paraId="67476ECA" w14:textId="08ABE217" w:rsidR="000A6ACC" w:rsidRPr="000C4365" w:rsidRDefault="000A6ACC"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52FA0C16" w:rsidR="000A6ACC" w:rsidRPr="00466D0B" w:rsidRDefault="000A6AC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Pr>
                                <w:rFonts w:asciiTheme="minorHAnsi" w:hAnsiTheme="minorHAnsi"/>
                                <w:color w:val="FFFFFF" w:themeColor="background1"/>
                                <w:sz w:val="22"/>
                                <w:lang w:val="pt-BR"/>
                              </w:rPr>
                              <w:t>AS</w:t>
                            </w:r>
                            <w:r w:rsidR="00BE0EC7">
                              <w:rPr>
                                <w:rFonts w:asciiTheme="minorHAnsi" w:hAnsiTheme="minorHAnsi"/>
                                <w:color w:val="FFFFFF" w:themeColor="background1"/>
                                <w:sz w:val="22"/>
                                <w:lang w:val="pt-BR"/>
                              </w:rPr>
                              <w:t>/Ser.L/V/II.</w:t>
                            </w:r>
                            <w:r w:rsidRPr="00466D0B">
                              <w:rPr>
                                <w:rFonts w:asciiTheme="minorHAnsi" w:hAnsiTheme="minorHAnsi"/>
                                <w:color w:val="FF0000"/>
                                <w:sz w:val="22"/>
                                <w:lang w:val="pt-BR"/>
                              </w:rPr>
                              <w:t xml:space="preserve"> </w:t>
                            </w:r>
                          </w:p>
                          <w:p w14:paraId="2B86BB36" w14:textId="50014534" w:rsidR="000A6ACC" w:rsidRPr="00BE0EC7" w:rsidRDefault="000A6ACC" w:rsidP="009E566A">
                            <w:pPr>
                              <w:jc w:val="right"/>
                              <w:rPr>
                                <w:rFonts w:asciiTheme="minorHAnsi" w:hAnsiTheme="minorHAnsi"/>
                                <w:sz w:val="22"/>
                                <w:highlight w:val="cyan"/>
                              </w:rPr>
                            </w:pPr>
                            <w:r w:rsidRPr="00BE0EC7">
                              <w:rPr>
                                <w:rFonts w:asciiTheme="minorHAnsi" w:hAnsiTheme="minorHAnsi"/>
                                <w:color w:val="FFFFFF" w:themeColor="background1"/>
                                <w:sz w:val="22"/>
                              </w:rPr>
                              <w:t>Doc.</w:t>
                            </w:r>
                            <w:r w:rsidR="00BE0EC7">
                              <w:rPr>
                                <w:rFonts w:asciiTheme="minorHAnsi" w:hAnsiTheme="minorHAnsi"/>
                                <w:color w:val="FFFFFF" w:themeColor="background1"/>
                                <w:sz w:val="22"/>
                              </w:rPr>
                              <w:t xml:space="preserve"> 256</w:t>
                            </w:r>
                          </w:p>
                          <w:p w14:paraId="6AC8D657" w14:textId="2CA9AACF" w:rsidR="000A6ACC" w:rsidRPr="004B7EB6" w:rsidRDefault="00BE0EC7"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6 September </w:t>
                            </w:r>
                            <w:r w:rsidR="000A6ACC">
                              <w:rPr>
                                <w:rFonts w:asciiTheme="minorHAnsi" w:hAnsiTheme="minorHAnsi"/>
                                <w:color w:val="FFFFFF" w:themeColor="background1"/>
                                <w:sz w:val="22"/>
                              </w:rPr>
                              <w:t>2020</w:t>
                            </w:r>
                          </w:p>
                          <w:p w14:paraId="35D3ABA3" w14:textId="4D5A616E" w:rsidR="000A6ACC" w:rsidRPr="004B7EB6" w:rsidRDefault="000A6AC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52FA0C16" w:rsidR="000A6ACC" w:rsidRPr="00466D0B" w:rsidRDefault="000A6AC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Pr>
                          <w:rFonts w:asciiTheme="minorHAnsi" w:hAnsiTheme="minorHAnsi"/>
                          <w:color w:val="FFFFFF" w:themeColor="background1"/>
                          <w:sz w:val="22"/>
                          <w:lang w:val="pt-BR"/>
                        </w:rPr>
                        <w:t>AS</w:t>
                      </w:r>
                      <w:r w:rsidR="00BE0EC7">
                        <w:rPr>
                          <w:rFonts w:asciiTheme="minorHAnsi" w:hAnsiTheme="minorHAnsi"/>
                          <w:color w:val="FFFFFF" w:themeColor="background1"/>
                          <w:sz w:val="22"/>
                          <w:lang w:val="pt-BR"/>
                        </w:rPr>
                        <w:t>/Ser.L/V/II.</w:t>
                      </w:r>
                      <w:r w:rsidRPr="00466D0B">
                        <w:rPr>
                          <w:rFonts w:asciiTheme="minorHAnsi" w:hAnsiTheme="minorHAnsi"/>
                          <w:color w:val="FF0000"/>
                          <w:sz w:val="22"/>
                          <w:lang w:val="pt-BR"/>
                        </w:rPr>
                        <w:t xml:space="preserve"> </w:t>
                      </w:r>
                    </w:p>
                    <w:p w14:paraId="2B86BB36" w14:textId="50014534" w:rsidR="000A6ACC" w:rsidRPr="00BE0EC7" w:rsidRDefault="000A6ACC" w:rsidP="009E566A">
                      <w:pPr>
                        <w:jc w:val="right"/>
                        <w:rPr>
                          <w:rFonts w:asciiTheme="minorHAnsi" w:hAnsiTheme="minorHAnsi"/>
                          <w:sz w:val="22"/>
                          <w:highlight w:val="cyan"/>
                        </w:rPr>
                      </w:pPr>
                      <w:r w:rsidRPr="00BE0EC7">
                        <w:rPr>
                          <w:rFonts w:asciiTheme="minorHAnsi" w:hAnsiTheme="minorHAnsi"/>
                          <w:color w:val="FFFFFF" w:themeColor="background1"/>
                          <w:sz w:val="22"/>
                        </w:rPr>
                        <w:t>Doc.</w:t>
                      </w:r>
                      <w:r w:rsidR="00BE0EC7">
                        <w:rPr>
                          <w:rFonts w:asciiTheme="minorHAnsi" w:hAnsiTheme="minorHAnsi"/>
                          <w:color w:val="FFFFFF" w:themeColor="background1"/>
                          <w:sz w:val="22"/>
                        </w:rPr>
                        <w:t xml:space="preserve"> 256</w:t>
                      </w:r>
                    </w:p>
                    <w:p w14:paraId="6AC8D657" w14:textId="2CA9AACF" w:rsidR="000A6ACC" w:rsidRPr="004B7EB6" w:rsidRDefault="00BE0EC7"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6 September </w:t>
                      </w:r>
                      <w:r w:rsidR="000A6ACC">
                        <w:rPr>
                          <w:rFonts w:asciiTheme="minorHAnsi" w:hAnsiTheme="minorHAnsi"/>
                          <w:color w:val="FFFFFF" w:themeColor="background1"/>
                          <w:sz w:val="22"/>
                        </w:rPr>
                        <w:t>2020</w:t>
                      </w:r>
                    </w:p>
                    <w:p w14:paraId="35D3ABA3" w14:textId="4D5A616E" w:rsidR="000A6ACC" w:rsidRPr="004B7EB6" w:rsidRDefault="000A6AC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1369255C" w:rsidR="002C1641" w:rsidRPr="003C32BC" w:rsidRDefault="00985FEF" w:rsidP="00985FEF">
      <w:pPr>
        <w:tabs>
          <w:tab w:val="center" w:pos="5400"/>
        </w:tabs>
        <w:suppressAutoHyphens/>
        <w:jc w:val="both"/>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5E87DA86">
                <wp:simplePos x="0" y="0"/>
                <wp:positionH relativeFrom="column">
                  <wp:posOffset>1257300</wp:posOffset>
                </wp:positionH>
                <wp:positionV relativeFrom="paragraph">
                  <wp:posOffset>112395</wp:posOffset>
                </wp:positionV>
                <wp:extent cx="4595495" cy="6286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109DB0B9" w:rsidR="000A6ACC" w:rsidRPr="009B306D" w:rsidRDefault="000A6ACC" w:rsidP="00985FEF">
                            <w:pPr>
                              <w:tabs>
                                <w:tab w:val="center" w:pos="5400"/>
                              </w:tabs>
                              <w:suppressAutoHyphens/>
                              <w:spacing w:before="60"/>
                              <w:jc w:val="both"/>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BE0EC7">
                              <w:rPr>
                                <w:rFonts w:asciiTheme="majorHAnsi" w:hAnsiTheme="majorHAnsi"/>
                                <w:color w:val="0D0D0D" w:themeColor="text1" w:themeTint="F2"/>
                                <w:sz w:val="20"/>
                              </w:rPr>
                              <w:t xml:space="preserve"> September 6, 2020</w:t>
                            </w:r>
                            <w:r>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9pt;margin-top:8.8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" filled="f" stroked="f" strokeweight=".5pt">
                <v:textbox>
                  <w:txbxContent>
                    <w:p w14:paraId="0281491C" w14:textId="109DB0B9" w:rsidR="000A6ACC" w:rsidRPr="009B306D" w:rsidRDefault="000A6ACC" w:rsidP="00985FEF">
                      <w:pPr>
                        <w:tabs>
                          <w:tab w:val="center" w:pos="5400"/>
                        </w:tabs>
                        <w:suppressAutoHyphens/>
                        <w:spacing w:before="60"/>
                        <w:jc w:val="both"/>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BE0EC7">
                        <w:rPr>
                          <w:rFonts w:asciiTheme="majorHAnsi" w:hAnsiTheme="majorHAnsi"/>
                          <w:color w:val="0D0D0D" w:themeColor="text1" w:themeTint="F2"/>
                          <w:sz w:val="20"/>
                        </w:rPr>
                        <w:t xml:space="preserve"> September 6, 2020</w:t>
                      </w:r>
                      <w:r>
                        <w:rPr>
                          <w:rFonts w:asciiTheme="majorHAnsi" w:hAnsiTheme="majorHAnsi"/>
                          <w:color w:val="0D0D0D" w:themeColor="text1" w:themeTint="F2"/>
                          <w:sz w:val="20"/>
                        </w:rPr>
                        <w:t>.</w:t>
                      </w:r>
                    </w:p>
                  </w:txbxContent>
                </v:textbox>
              </v:shape>
            </w:pict>
          </mc:Fallback>
        </mc:AlternateContent>
      </w:r>
    </w:p>
    <w:p w14:paraId="59BA4177" w14:textId="2CB0BDAB" w:rsidR="002C1641" w:rsidRPr="003C32BC" w:rsidRDefault="002C1641" w:rsidP="00040C3A">
      <w:pPr>
        <w:tabs>
          <w:tab w:val="center" w:pos="5400"/>
        </w:tabs>
        <w:suppressAutoHyphens/>
        <w:jc w:val="center"/>
        <w:rPr>
          <w:rFonts w:asciiTheme="majorHAnsi" w:hAnsiTheme="majorHAnsi"/>
          <w:sz w:val="18"/>
          <w:szCs w:val="22"/>
          <w:lang w:val="es-ES_tradnl"/>
        </w:rPr>
      </w:pP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60CE046" w:rsidR="000A6ACC" w:rsidRPr="003C32BC" w:rsidRDefault="000A6AC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BE0EC7">
                              <w:rPr>
                                <w:rFonts w:asciiTheme="majorHAnsi" w:hAnsiTheme="majorHAnsi"/>
                                <w:color w:val="595959" w:themeColor="text1" w:themeTint="A6"/>
                                <w:sz w:val="18"/>
                              </w:rPr>
                              <w:t xml:space="preserve">No. </w:t>
                            </w:r>
                            <w:r w:rsidR="00BE0EC7">
                              <w:rPr>
                                <w:rFonts w:asciiTheme="majorHAnsi" w:hAnsiTheme="majorHAnsi"/>
                                <w:color w:val="595959" w:themeColor="text1" w:themeTint="A6"/>
                                <w:sz w:val="18"/>
                                <w:lang w:val="en-GB"/>
                              </w:rPr>
                              <w:t>240</w:t>
                            </w:r>
                            <w:r w:rsidRPr="00BE0EC7">
                              <w:rPr>
                                <w:rFonts w:asciiTheme="majorHAnsi" w:hAnsiTheme="majorHAnsi"/>
                                <w:color w:val="595959" w:themeColor="text1" w:themeTint="A6"/>
                                <w:sz w:val="18"/>
                                <w:lang w:val="en-GB"/>
                              </w:rPr>
                              <w:t xml:space="preserve">/20, Petition 399-11. </w:t>
                            </w:r>
                            <w:r w:rsidRPr="00BE0EC7">
                              <w:rPr>
                                <w:rFonts w:asciiTheme="majorHAnsi" w:hAnsiTheme="majorHAnsi"/>
                                <w:color w:val="595959" w:themeColor="text1" w:themeTint="A6"/>
                                <w:sz w:val="18"/>
                                <w:lang w:val="fr-FR"/>
                              </w:rPr>
                              <w:t xml:space="preserve">Admissibility. Over José Quila </w:t>
                            </w:r>
                            <w:r w:rsidRPr="00BE0EC7">
                              <w:rPr>
                                <w:rFonts w:asciiTheme="majorHAnsi" w:hAnsiTheme="majorHAnsi"/>
                                <w:i/>
                                <w:iCs/>
                                <w:color w:val="595959" w:themeColor="text1" w:themeTint="A6"/>
                                <w:sz w:val="18"/>
                                <w:lang w:val="fr-FR"/>
                              </w:rPr>
                              <w:t>et al.</w:t>
                            </w:r>
                            <w:r w:rsidRPr="00BE0EC7">
                              <w:rPr>
                                <w:rFonts w:asciiTheme="majorHAnsi" w:hAnsiTheme="majorHAnsi"/>
                                <w:color w:val="595959" w:themeColor="text1" w:themeTint="A6"/>
                                <w:sz w:val="18"/>
                                <w:lang w:val="fr-FR"/>
                              </w:rPr>
                              <w:t xml:space="preserve"> </w:t>
                            </w:r>
                            <w:r w:rsidRPr="00BE0EC7">
                              <w:rPr>
                                <w:rFonts w:asciiTheme="majorHAnsi" w:hAnsiTheme="majorHAnsi"/>
                                <w:color w:val="595959" w:themeColor="text1" w:themeTint="A6"/>
                                <w:sz w:val="18"/>
                              </w:rPr>
                              <w:t xml:space="preserve">(La Rejoya Massacre) Colombia. </w:t>
                            </w:r>
                            <w:r w:rsidR="00BE0EC7">
                              <w:rPr>
                                <w:rFonts w:asciiTheme="majorHAnsi" w:hAnsiTheme="majorHAnsi"/>
                                <w:color w:val="595959" w:themeColor="text1" w:themeTint="A6"/>
                                <w:sz w:val="18"/>
                              </w:rPr>
                              <w:t>September 6, 2020</w:t>
                            </w:r>
                            <w:r w:rsidRPr="00BE0EC7">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60CE046" w:rsidR="000A6ACC" w:rsidRPr="003C32BC" w:rsidRDefault="000A6AC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BE0EC7">
                        <w:rPr>
                          <w:rFonts w:asciiTheme="majorHAnsi" w:hAnsiTheme="majorHAnsi"/>
                          <w:color w:val="595959" w:themeColor="text1" w:themeTint="A6"/>
                          <w:sz w:val="18"/>
                        </w:rPr>
                        <w:t xml:space="preserve">No. </w:t>
                      </w:r>
                      <w:r w:rsidR="00BE0EC7">
                        <w:rPr>
                          <w:rFonts w:asciiTheme="majorHAnsi" w:hAnsiTheme="majorHAnsi"/>
                          <w:color w:val="595959" w:themeColor="text1" w:themeTint="A6"/>
                          <w:sz w:val="18"/>
                          <w:lang w:val="en-GB"/>
                        </w:rPr>
                        <w:t>240</w:t>
                      </w:r>
                      <w:r w:rsidRPr="00BE0EC7">
                        <w:rPr>
                          <w:rFonts w:asciiTheme="majorHAnsi" w:hAnsiTheme="majorHAnsi"/>
                          <w:color w:val="595959" w:themeColor="text1" w:themeTint="A6"/>
                          <w:sz w:val="18"/>
                          <w:lang w:val="en-GB"/>
                        </w:rPr>
                        <w:t xml:space="preserve">/20, Petition 399-11. </w:t>
                      </w:r>
                      <w:r w:rsidRPr="00BE0EC7">
                        <w:rPr>
                          <w:rFonts w:asciiTheme="majorHAnsi" w:hAnsiTheme="majorHAnsi"/>
                          <w:color w:val="595959" w:themeColor="text1" w:themeTint="A6"/>
                          <w:sz w:val="18"/>
                          <w:lang w:val="fr-FR"/>
                        </w:rPr>
                        <w:t xml:space="preserve">Admissibility. Over José Quila </w:t>
                      </w:r>
                      <w:r w:rsidRPr="00BE0EC7">
                        <w:rPr>
                          <w:rFonts w:asciiTheme="majorHAnsi" w:hAnsiTheme="majorHAnsi"/>
                          <w:i/>
                          <w:iCs/>
                          <w:color w:val="595959" w:themeColor="text1" w:themeTint="A6"/>
                          <w:sz w:val="18"/>
                          <w:lang w:val="fr-FR"/>
                        </w:rPr>
                        <w:t>et al.</w:t>
                      </w:r>
                      <w:r w:rsidRPr="00BE0EC7">
                        <w:rPr>
                          <w:rFonts w:asciiTheme="majorHAnsi" w:hAnsiTheme="majorHAnsi"/>
                          <w:color w:val="595959" w:themeColor="text1" w:themeTint="A6"/>
                          <w:sz w:val="18"/>
                          <w:lang w:val="fr-FR"/>
                        </w:rPr>
                        <w:t xml:space="preserve"> </w:t>
                      </w:r>
                      <w:r w:rsidRPr="00BE0EC7">
                        <w:rPr>
                          <w:rFonts w:asciiTheme="majorHAnsi" w:hAnsiTheme="majorHAnsi"/>
                          <w:color w:val="595959" w:themeColor="text1" w:themeTint="A6"/>
                          <w:sz w:val="18"/>
                        </w:rPr>
                        <w:t xml:space="preserve">(La Rejoya Massacre) Colombia. </w:t>
                      </w:r>
                      <w:r w:rsidR="00BE0EC7">
                        <w:rPr>
                          <w:rFonts w:asciiTheme="majorHAnsi" w:hAnsiTheme="majorHAnsi"/>
                          <w:color w:val="595959" w:themeColor="text1" w:themeTint="A6"/>
                          <w:sz w:val="18"/>
                        </w:rPr>
                        <w:t>September 6, 2020</w:t>
                      </w:r>
                      <w:r w:rsidRPr="00BE0EC7">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14936A5D" w:rsidR="003C32BC" w:rsidRPr="003C32BC" w:rsidRDefault="007D4713" w:rsidP="003C32BC">
      <w:pPr>
        <w:tabs>
          <w:tab w:val="center" w:pos="5400"/>
        </w:tabs>
        <w:suppressAutoHyphens/>
        <w:jc w:val="center"/>
        <w:rPr>
          <w:rFonts w:asciiTheme="majorHAnsi" w:hAnsiTheme="majorHAnsi"/>
          <w:sz w:val="18"/>
          <w:szCs w:val="22"/>
        </w:rPr>
      </w:pPr>
      <w:r>
        <w:rPr>
          <w:rFonts w:ascii="Cambria" w:eastAsia="Cambria" w:hAnsi="Cambria" w:cs="Cambria"/>
          <w:noProof/>
          <w:sz w:val="22"/>
          <w:szCs w:val="22"/>
        </w:rPr>
        <mc:AlternateContent>
          <mc:Choice Requires="wps">
            <w:drawing>
              <wp:anchor distT="0" distB="0" distL="0" distR="0" simplePos="0" relativeHeight="251688960" behindDoc="0" locked="0" layoutInCell="1" allowOverlap="1" wp14:anchorId="190D4048" wp14:editId="7AF64D02">
                <wp:simplePos x="0" y="0"/>
                <wp:positionH relativeFrom="column">
                  <wp:posOffset>-342900</wp:posOffset>
                </wp:positionH>
                <wp:positionV relativeFrom="line">
                  <wp:posOffset>715645</wp:posOffset>
                </wp:positionV>
                <wp:extent cx="1181100" cy="332740"/>
                <wp:effectExtent l="0" t="0" r="12700" b="0"/>
                <wp:wrapNone/>
                <wp:docPr id="1073741833" name="officeArt object"/>
                <wp:cNvGraphicFramePr/>
                <a:graphic xmlns:a="http://schemas.openxmlformats.org/drawingml/2006/main">
                  <a:graphicData uri="http://schemas.microsoft.com/office/word/2010/wordprocessingShape">
                    <wps:wsp>
                      <wps:cNvSpPr/>
                      <wps:spPr>
                        <a:xfrm>
                          <a:off x="0" y="0"/>
                          <a:ext cx="1181100" cy="332740"/>
                        </a:xfrm>
                        <a:prstGeom prst="rect">
                          <a:avLst/>
                        </a:prstGeom>
                        <a:noFill/>
                        <a:ln w="12700" cap="flat">
                          <a:noFill/>
                          <a:miter lim="400000"/>
                        </a:ln>
                        <a:effectLst/>
                      </wps:spPr>
                      <wps:txbx>
                        <w:txbxContent>
                          <w:p w14:paraId="40C5D2C5" w14:textId="77777777" w:rsidR="000A6ACC" w:rsidRDefault="000A6ACC" w:rsidP="007D4713">
                            <w:pPr>
                              <w:pStyle w:val="Body"/>
                              <w:jc w:val="center"/>
                            </w:pPr>
                            <w:r>
                              <w:rPr>
                                <w:rFonts w:ascii="Calibri" w:eastAsia="Calibri" w:hAnsi="Calibri" w:cs="Calibri"/>
                                <w:b/>
                                <w:bCs/>
                                <w:color w:val="FFFFFF"/>
                                <w:u w:color="FFFFFF"/>
                                <w:lang w:val="pt-PT"/>
                              </w:rPr>
                              <w:t>www.iachr.org</w:t>
                            </w:r>
                          </w:p>
                        </w:txbxContent>
                      </wps:txbx>
                      <wps:bodyPr wrap="square" lIns="45719" tIns="45719" rIns="45719" bIns="45719" numCol="1" anchor="t">
                        <a:noAutofit/>
                      </wps:bodyPr>
                    </wps:wsp>
                  </a:graphicData>
                </a:graphic>
              </wp:anchor>
            </w:drawing>
          </mc:Choice>
          <mc:Fallback>
            <w:pict>
              <v:rect w14:anchorId="190D4048" id="officeArt object" o:spid="_x0000_s1031" style="position:absolute;left:0;text-align:left;margin-left:-27pt;margin-top:56.35pt;width:93pt;height:26.2pt;z-index:2516889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" filled="f" stroked="f" strokeweight="1pt">
                <v:stroke miterlimit="4"/>
                <v:textbox inset="1.27mm,1.27mm,1.27mm,1.27mm">
                  <w:txbxContent>
                    <w:p w14:paraId="40C5D2C5" w14:textId="77777777" w:rsidR="000A6ACC" w:rsidRDefault="000A6ACC" w:rsidP="007D4713">
                      <w:pPr>
                        <w:pStyle w:val="Body"/>
                        <w:jc w:val="center"/>
                      </w:pPr>
                      <w:r>
                        <w:rPr>
                          <w:rFonts w:ascii="Calibri" w:eastAsia="Calibri" w:hAnsi="Calibri" w:cs="Calibri"/>
                          <w:b/>
                          <w:bCs/>
                          <w:color w:val="FFFFFF"/>
                          <w:u w:color="FFFFFF"/>
                          <w:lang w:val="pt-PT"/>
                        </w:rPr>
                        <w:t>www.iachr.org</w:t>
                      </w:r>
                    </w:p>
                  </w:txbxContent>
                </v:textbox>
                <w10:wrap anchory="line"/>
              </v:rect>
            </w:pict>
          </mc:Fallback>
        </mc:AlternateContent>
      </w:r>
      <w:r w:rsidR="00126E08"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5C21F9D">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0A6ACC" w:rsidRDefault="000A6ACC">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2"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Ne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rp0AArqHfYFx66uQqOXyt8vBsW4j3z&#10;OEj43rgc4h1+pAYkH3qJkjX436/pEx77G62UNDiYFQ2/NswLSvQ3i53/eTyZpEnOh8n0rMSDP7as&#10;ji12Yy4BO2KMa8jxLCZ81IMoPZhH3CGLlBVNzHLMXdE4iJexWxe4g7hYLDIIZ9exeGOXjqfQieXU&#10;mg/tI/Ou79+InX8Lwwiz2Ys27rDJ08JiE0Gq3OOJ547Vnn+c+9z6/Y5Ki+X4nFGHTTp/Bg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C8EQNe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0A6ACC" w:rsidRDefault="000A6ACC">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F00B5F">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F00B5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31A2C846" w:rsidR="00261E08" w:rsidRPr="003A5566" w:rsidRDefault="00644DEB" w:rsidP="00F00B5F">
            <w:pPr>
              <w:jc w:val="both"/>
              <w:rPr>
                <w:rFonts w:asciiTheme="majorHAnsi" w:hAnsiTheme="majorHAnsi"/>
                <w:bCs/>
                <w:sz w:val="19"/>
                <w:szCs w:val="19"/>
              </w:rPr>
            </w:pPr>
            <w:r>
              <w:rPr>
                <w:rFonts w:asciiTheme="majorHAnsi" w:hAnsiTheme="majorHAnsi"/>
                <w:bCs/>
                <w:sz w:val="19"/>
                <w:szCs w:val="19"/>
              </w:rPr>
              <w:t>Justice and Dignity</w:t>
            </w:r>
            <w:r w:rsidR="00B978F3">
              <w:rPr>
                <w:rFonts w:asciiTheme="majorHAnsi" w:hAnsiTheme="majorHAnsi"/>
                <w:bCs/>
                <w:sz w:val="19"/>
                <w:szCs w:val="19"/>
              </w:rPr>
              <w:t xml:space="preserve"> Corporation</w:t>
            </w:r>
          </w:p>
        </w:tc>
      </w:tr>
      <w:tr w:rsidR="00261E08" w:rsidRPr="00B978F3" w14:paraId="4A730984" w14:textId="77777777" w:rsidTr="00F00B5F">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F00B5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22BEC559" w:rsidR="00261E08" w:rsidRPr="00B978F3" w:rsidRDefault="00B978F3" w:rsidP="00F00B5F">
            <w:pPr>
              <w:jc w:val="both"/>
              <w:rPr>
                <w:rFonts w:asciiTheme="majorHAnsi" w:hAnsiTheme="majorHAnsi"/>
                <w:bCs/>
                <w:sz w:val="19"/>
                <w:szCs w:val="19"/>
                <w:lang w:val="en-GB"/>
              </w:rPr>
            </w:pPr>
            <w:r w:rsidRPr="00B978F3">
              <w:rPr>
                <w:rFonts w:asciiTheme="majorHAnsi" w:hAnsiTheme="majorHAnsi"/>
                <w:bCs/>
                <w:sz w:val="19"/>
                <w:szCs w:val="19"/>
                <w:lang w:val="en-GB"/>
              </w:rPr>
              <w:t>Over José Quila and others</w:t>
            </w:r>
            <w:r>
              <w:rPr>
                <w:rStyle w:val="FootnoteReference"/>
                <w:rFonts w:asciiTheme="majorHAnsi" w:hAnsiTheme="majorHAnsi"/>
                <w:bCs/>
                <w:sz w:val="19"/>
                <w:szCs w:val="19"/>
                <w:lang w:val="en-GB"/>
              </w:rPr>
              <w:footnoteReference w:id="2"/>
            </w:r>
          </w:p>
        </w:tc>
      </w:tr>
      <w:tr w:rsidR="00261E08" w:rsidRPr="003A5566" w14:paraId="03D81EE5" w14:textId="77777777" w:rsidTr="00F00B5F">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2F0A2C34" w:rsidR="00261E08" w:rsidRPr="003A5566" w:rsidRDefault="00B978F3" w:rsidP="00F00B5F">
            <w:pPr>
              <w:jc w:val="both"/>
              <w:rPr>
                <w:rFonts w:asciiTheme="majorHAnsi" w:hAnsiTheme="majorHAnsi"/>
                <w:bCs/>
                <w:sz w:val="19"/>
                <w:szCs w:val="19"/>
              </w:rPr>
            </w:pPr>
            <w:r>
              <w:rPr>
                <w:rFonts w:asciiTheme="majorHAnsi" w:hAnsiTheme="majorHAnsi"/>
                <w:bCs/>
                <w:sz w:val="19"/>
                <w:szCs w:val="19"/>
              </w:rPr>
              <w:t>Colombia</w:t>
            </w:r>
          </w:p>
        </w:tc>
      </w:tr>
      <w:tr w:rsidR="00261E08" w:rsidRPr="003A5566" w14:paraId="61049B38" w14:textId="77777777" w:rsidTr="00F00B5F">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303132B7" w:rsidR="00261E08" w:rsidRPr="003A5566" w:rsidRDefault="00B978F3" w:rsidP="00261E08">
            <w:pPr>
              <w:jc w:val="both"/>
              <w:rPr>
                <w:rFonts w:asciiTheme="majorHAnsi" w:hAnsiTheme="majorHAnsi"/>
                <w:bCs/>
                <w:sz w:val="19"/>
                <w:szCs w:val="19"/>
              </w:rPr>
            </w:pPr>
            <w:r>
              <w:rPr>
                <w:rFonts w:asciiTheme="majorHAnsi" w:hAnsiTheme="majorHAnsi"/>
                <w:bCs/>
                <w:sz w:val="19"/>
                <w:szCs w:val="19"/>
              </w:rPr>
              <w:t>Articles 4 (life), 5 (humane treatment), 8 (fair trial), and 25 (judicial protection) of the American Convention on Human Rights,</w:t>
            </w:r>
            <w:r>
              <w:rPr>
                <w:rStyle w:val="FootnoteReference"/>
                <w:rFonts w:asciiTheme="majorHAnsi" w:hAnsiTheme="majorHAnsi"/>
                <w:bCs/>
                <w:sz w:val="19"/>
                <w:szCs w:val="19"/>
              </w:rPr>
              <w:footnoteReference w:id="3"/>
            </w:r>
            <w:r>
              <w:rPr>
                <w:rFonts w:asciiTheme="majorHAnsi" w:hAnsiTheme="majorHAnsi"/>
                <w:bCs/>
                <w:sz w:val="19"/>
                <w:szCs w:val="19"/>
              </w:rPr>
              <w:t xml:space="preserve"> in relation to Article 1.1</w:t>
            </w:r>
            <w:r w:rsidR="003C76BB">
              <w:rPr>
                <w:rFonts w:asciiTheme="majorHAnsi" w:hAnsiTheme="majorHAnsi"/>
                <w:bCs/>
                <w:sz w:val="19"/>
                <w:szCs w:val="19"/>
              </w:rPr>
              <w:t xml:space="preserve"> thereof</w:t>
            </w:r>
            <w:r>
              <w:rPr>
                <w:rFonts w:asciiTheme="majorHAnsi" w:hAnsiTheme="majorHAnsi"/>
                <w:bCs/>
                <w:sz w:val="19"/>
                <w:szCs w:val="19"/>
              </w:rPr>
              <w:t xml:space="preserve"> (obligation to respect rights)</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5E0C3EAF"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 </w:t>
            </w:r>
            <w:r w:rsidR="00FF13B6">
              <w:rPr>
                <w:rFonts w:asciiTheme="majorHAnsi" w:hAnsiTheme="majorHAnsi"/>
                <w:bCs/>
                <w:color w:val="FFFFFF" w:themeColor="background1"/>
                <w:sz w:val="19"/>
                <w:szCs w:val="19"/>
              </w:rPr>
              <w:t>F</w:t>
            </w:r>
            <w:r w:rsidR="006E270D">
              <w:rPr>
                <w:rFonts w:asciiTheme="majorHAnsi" w:hAnsiTheme="majorHAnsi"/>
                <w:bCs/>
                <w:color w:val="FFFFFF" w:themeColor="background1"/>
                <w:sz w:val="19"/>
                <w:szCs w:val="19"/>
              </w:rPr>
              <w:t>iling</w:t>
            </w:r>
            <w:r w:rsidR="00FF13B6">
              <w:rPr>
                <w:rFonts w:asciiTheme="majorHAnsi" w:hAnsiTheme="majorHAnsi"/>
                <w:bCs/>
                <w:color w:val="FFFFFF" w:themeColor="background1"/>
                <w:sz w:val="19"/>
                <w:szCs w:val="19"/>
              </w:rPr>
              <w:t xml:space="preserve"> of the petition</w:t>
            </w:r>
          </w:p>
        </w:tc>
        <w:tc>
          <w:tcPr>
            <w:tcW w:w="6570" w:type="dxa"/>
            <w:vAlign w:val="center"/>
          </w:tcPr>
          <w:p w14:paraId="7EADD3E8" w14:textId="188EA072" w:rsidR="00261E08" w:rsidRPr="003A5566" w:rsidRDefault="00B978F3" w:rsidP="00F00B5F">
            <w:pPr>
              <w:jc w:val="both"/>
              <w:rPr>
                <w:rFonts w:asciiTheme="majorHAnsi" w:hAnsiTheme="majorHAnsi"/>
                <w:bCs/>
                <w:sz w:val="19"/>
                <w:szCs w:val="19"/>
              </w:rPr>
            </w:pPr>
            <w:r>
              <w:rPr>
                <w:rFonts w:asciiTheme="majorHAnsi" w:hAnsiTheme="majorHAnsi"/>
                <w:bCs/>
                <w:sz w:val="19"/>
                <w:szCs w:val="19"/>
              </w:rPr>
              <w:t>March 29, 2011</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403B550E"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r w:rsidR="00603966">
              <w:rPr>
                <w:rFonts w:asciiTheme="majorHAnsi" w:hAnsiTheme="majorHAnsi"/>
                <w:color w:val="FFFFFF" w:themeColor="background1"/>
                <w:sz w:val="19"/>
                <w:szCs w:val="19"/>
              </w:rPr>
              <w:t xml:space="preserve"> to the State</w:t>
            </w:r>
          </w:p>
        </w:tc>
        <w:tc>
          <w:tcPr>
            <w:tcW w:w="6570" w:type="dxa"/>
            <w:vAlign w:val="center"/>
          </w:tcPr>
          <w:p w14:paraId="425D0EC0" w14:textId="03DBBEE7" w:rsidR="00261E08" w:rsidRPr="003A5566" w:rsidRDefault="00B978F3" w:rsidP="00F00B5F">
            <w:pPr>
              <w:jc w:val="both"/>
              <w:rPr>
                <w:rFonts w:asciiTheme="majorHAnsi" w:hAnsiTheme="majorHAnsi"/>
                <w:bCs/>
                <w:sz w:val="19"/>
                <w:szCs w:val="19"/>
              </w:rPr>
            </w:pPr>
            <w:r>
              <w:rPr>
                <w:rFonts w:asciiTheme="majorHAnsi" w:hAnsiTheme="majorHAnsi"/>
                <w:bCs/>
                <w:sz w:val="19"/>
                <w:szCs w:val="19"/>
              </w:rPr>
              <w:t>December 21,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F00B5F">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616C412C" w:rsidR="00261E08" w:rsidRPr="003A5566" w:rsidRDefault="00B978F3" w:rsidP="00F00B5F">
            <w:pPr>
              <w:jc w:val="both"/>
              <w:rPr>
                <w:rFonts w:asciiTheme="majorHAnsi" w:hAnsiTheme="majorHAnsi"/>
                <w:bCs/>
                <w:sz w:val="19"/>
                <w:szCs w:val="19"/>
              </w:rPr>
            </w:pPr>
            <w:r>
              <w:rPr>
                <w:rFonts w:asciiTheme="majorHAnsi" w:hAnsiTheme="majorHAnsi"/>
                <w:bCs/>
                <w:sz w:val="19"/>
                <w:szCs w:val="19"/>
              </w:rPr>
              <w:t>October 2, 2019</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F00B5F">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2ED28965" w:rsidR="00261E08" w:rsidRPr="003A5566" w:rsidRDefault="0093316C" w:rsidP="00F00B5F">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5E24D507" w:rsidR="00261E08" w:rsidRPr="003A5566" w:rsidRDefault="0093316C" w:rsidP="00F00B5F">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F00B5F">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460D4DAD" w:rsidR="00261E08" w:rsidRPr="003A5566" w:rsidRDefault="0093316C" w:rsidP="00F00B5F">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F00B5F">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35A24F4C" w:rsidR="00261E08" w:rsidRPr="003A5566" w:rsidRDefault="0093316C" w:rsidP="00F00B5F">
            <w:pPr>
              <w:jc w:val="both"/>
              <w:rPr>
                <w:rFonts w:asciiTheme="majorHAnsi" w:hAnsiTheme="majorHAnsi"/>
                <w:bCs/>
                <w:sz w:val="19"/>
                <w:szCs w:val="19"/>
              </w:rPr>
            </w:pPr>
            <w:r>
              <w:rPr>
                <w:rFonts w:asciiTheme="majorHAnsi" w:hAnsiTheme="majorHAnsi"/>
                <w:bCs/>
                <w:sz w:val="19"/>
                <w:szCs w:val="19"/>
              </w:rPr>
              <w:t>Yes, American Convention (deposit of the instrument of ratification on July 31, 1973)</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985FEF" w:rsidRDefault="00261E08" w:rsidP="008546E5">
            <w:pPr>
              <w:jc w:val="center"/>
              <w:rPr>
                <w:rFonts w:asciiTheme="majorHAnsi" w:hAnsiTheme="majorHAnsi"/>
                <w:bCs/>
                <w:color w:val="FFFFFF" w:themeColor="background1"/>
                <w:sz w:val="19"/>
                <w:szCs w:val="19"/>
              </w:rPr>
            </w:pPr>
            <w:r w:rsidRPr="00985FEF">
              <w:rPr>
                <w:rFonts w:asciiTheme="majorHAnsi" w:hAnsiTheme="majorHAnsi"/>
                <w:bCs/>
                <w:color w:val="FFFFFF" w:themeColor="background1"/>
                <w:sz w:val="19"/>
                <w:szCs w:val="19"/>
              </w:rPr>
              <w:t xml:space="preserve">Duplication of procedures and international </w:t>
            </w:r>
            <w:r w:rsidRPr="00985FEF">
              <w:rPr>
                <w:rFonts w:asciiTheme="majorHAnsi" w:hAnsiTheme="majorHAnsi"/>
                <w:bCs/>
                <w:i/>
                <w:color w:val="FFFFFF" w:themeColor="background1"/>
                <w:sz w:val="19"/>
                <w:szCs w:val="19"/>
              </w:rPr>
              <w:t>res judicata</w:t>
            </w:r>
          </w:p>
        </w:tc>
        <w:tc>
          <w:tcPr>
            <w:tcW w:w="6618" w:type="dxa"/>
            <w:vAlign w:val="center"/>
          </w:tcPr>
          <w:p w14:paraId="1A7CFC69" w14:textId="557DB5C2" w:rsidR="00261E08" w:rsidRPr="003A5566" w:rsidRDefault="0053127B" w:rsidP="00F00B5F">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985FEF" w:rsidRDefault="00261E08" w:rsidP="00F00B5F">
            <w:pPr>
              <w:jc w:val="center"/>
              <w:rPr>
                <w:rFonts w:asciiTheme="majorHAnsi" w:hAnsiTheme="majorHAnsi"/>
                <w:bCs/>
                <w:i/>
                <w:color w:val="FFFFFF" w:themeColor="background1"/>
                <w:sz w:val="19"/>
                <w:szCs w:val="19"/>
              </w:rPr>
            </w:pPr>
            <w:r w:rsidRPr="00985FEF">
              <w:rPr>
                <w:rFonts w:asciiTheme="majorHAnsi" w:hAnsiTheme="majorHAnsi"/>
                <w:bCs/>
                <w:color w:val="FFFFFF" w:themeColor="background1"/>
                <w:sz w:val="19"/>
                <w:szCs w:val="19"/>
              </w:rPr>
              <w:t>Rights declared admissible</w:t>
            </w:r>
          </w:p>
        </w:tc>
        <w:tc>
          <w:tcPr>
            <w:tcW w:w="6618" w:type="dxa"/>
            <w:vAlign w:val="center"/>
          </w:tcPr>
          <w:p w14:paraId="7C8C5244" w14:textId="36A3C535" w:rsidR="00261E08" w:rsidRPr="003A5566" w:rsidRDefault="0053127B" w:rsidP="00F00B5F">
            <w:pPr>
              <w:jc w:val="both"/>
              <w:rPr>
                <w:rFonts w:asciiTheme="majorHAnsi" w:hAnsiTheme="majorHAnsi"/>
                <w:bCs/>
                <w:sz w:val="19"/>
                <w:szCs w:val="19"/>
              </w:rPr>
            </w:pPr>
            <w:r>
              <w:rPr>
                <w:rFonts w:asciiTheme="majorHAnsi" w:hAnsiTheme="majorHAnsi"/>
                <w:bCs/>
                <w:sz w:val="19"/>
                <w:szCs w:val="19"/>
              </w:rPr>
              <w:t xml:space="preserve">Articles 4 (life), 5 (humane treatment), 8 (fair trial), 13 (freedom of thought and expression), 22 (movement and residence), and 25 (judicial protection) of the American Convention, in relation to Article 1.1 </w:t>
            </w:r>
            <w:r w:rsidR="003C76BB">
              <w:rPr>
                <w:rFonts w:asciiTheme="majorHAnsi" w:hAnsiTheme="majorHAnsi"/>
                <w:bCs/>
                <w:sz w:val="19"/>
                <w:szCs w:val="19"/>
              </w:rPr>
              <w:t xml:space="preserve">thereof </w:t>
            </w:r>
            <w:r>
              <w:rPr>
                <w:rFonts w:asciiTheme="majorHAnsi" w:hAnsiTheme="majorHAnsi"/>
                <w:bCs/>
                <w:sz w:val="19"/>
                <w:szCs w:val="19"/>
              </w:rPr>
              <w:t>(obligation to respect rights)</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D3ED0E" w:rsidR="00261E08" w:rsidRPr="00985FEF" w:rsidRDefault="00985FEF" w:rsidP="00985FEF">
            <w:pPr>
              <w:pStyle w:val="Heading2"/>
              <w:jc w:val="center"/>
              <w:rPr>
                <w:b w:val="0"/>
                <w:bCs w:val="0"/>
                <w:color w:val="FFFFFF" w:themeColor="background1"/>
                <w:sz w:val="19"/>
                <w:szCs w:val="19"/>
              </w:rPr>
            </w:pPr>
            <w:r w:rsidRPr="00985FEF">
              <w:rPr>
                <w:b w:val="0"/>
                <w:bCs w:val="0"/>
                <w:color w:val="FFFFFF" w:themeColor="background1"/>
                <w:sz w:val="19"/>
                <w:szCs w:val="19"/>
              </w:rPr>
              <w:t>Exhaustion of domestic remedies or applicability</w:t>
            </w:r>
            <w:r w:rsidR="00261E08" w:rsidRPr="00985FEF">
              <w:rPr>
                <w:b w:val="0"/>
                <w:color w:val="FFFFFF" w:themeColor="background1"/>
                <w:sz w:val="19"/>
                <w:szCs w:val="19"/>
              </w:rPr>
              <w:t xml:space="preserve"> of</w:t>
            </w:r>
            <w:r w:rsidRPr="00985FEF">
              <w:rPr>
                <w:b w:val="0"/>
                <w:color w:val="FFFFFF" w:themeColor="background1"/>
                <w:sz w:val="19"/>
                <w:szCs w:val="19"/>
              </w:rPr>
              <w:t xml:space="preserve"> an exception to the rule</w:t>
            </w:r>
          </w:p>
        </w:tc>
        <w:tc>
          <w:tcPr>
            <w:tcW w:w="6618" w:type="dxa"/>
            <w:vAlign w:val="center"/>
          </w:tcPr>
          <w:p w14:paraId="20F52498" w14:textId="069C0068" w:rsidR="00261E08" w:rsidRPr="00985FEF" w:rsidRDefault="0053127B" w:rsidP="00985FEF">
            <w:pPr>
              <w:pStyle w:val="Heading2"/>
              <w:rPr>
                <w:b w:val="0"/>
                <w:bCs w:val="0"/>
                <w:color w:val="auto"/>
                <w:sz w:val="19"/>
                <w:szCs w:val="19"/>
              </w:rPr>
            </w:pPr>
            <w:r w:rsidRPr="00985FEF">
              <w:rPr>
                <w:b w:val="0"/>
                <w:color w:val="auto"/>
                <w:sz w:val="19"/>
                <w:szCs w:val="19"/>
              </w:rPr>
              <w:t>Yes, under the terms of section VI</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F00B5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46D8999F" w:rsidR="00261E08" w:rsidRPr="003A5566" w:rsidRDefault="0053127B" w:rsidP="00F00B5F">
            <w:pPr>
              <w:rPr>
                <w:rFonts w:asciiTheme="majorHAnsi" w:hAnsiTheme="majorHAnsi"/>
                <w:bCs/>
                <w:sz w:val="19"/>
                <w:szCs w:val="19"/>
              </w:rPr>
            </w:pPr>
            <w:r>
              <w:rPr>
                <w:rFonts w:asciiTheme="majorHAnsi" w:hAnsiTheme="majorHAnsi"/>
                <w:bCs/>
                <w:sz w:val="19"/>
                <w:szCs w:val="19"/>
              </w:rPr>
              <w:t>Yes, under the terms of section VI</w:t>
            </w:r>
          </w:p>
        </w:tc>
      </w:tr>
    </w:tbl>
    <w:p w14:paraId="60535CDE" w14:textId="77777777" w:rsidR="00823FDD" w:rsidRDefault="00823FDD" w:rsidP="00C355B4">
      <w:pPr>
        <w:spacing w:before="120" w:after="120"/>
        <w:ind w:firstLine="720"/>
        <w:jc w:val="both"/>
        <w:rPr>
          <w:rFonts w:asciiTheme="majorHAnsi" w:hAnsiTheme="majorHAnsi"/>
          <w:b/>
          <w:sz w:val="20"/>
          <w:szCs w:val="20"/>
        </w:rPr>
      </w:pPr>
    </w:p>
    <w:p w14:paraId="3FEBD323" w14:textId="0F8CC5BC"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C772B0">
        <w:rPr>
          <w:rFonts w:asciiTheme="majorHAnsi" w:hAnsiTheme="majorHAnsi"/>
          <w:b/>
          <w:sz w:val="20"/>
          <w:szCs w:val="20"/>
        </w:rPr>
        <w:t xml:space="preserve">THE </w:t>
      </w:r>
      <w:r w:rsidRPr="000B6B7A">
        <w:rPr>
          <w:rFonts w:asciiTheme="majorHAnsi" w:hAnsiTheme="majorHAnsi"/>
          <w:b/>
          <w:sz w:val="20"/>
          <w:szCs w:val="20"/>
        </w:rPr>
        <w:t xml:space="preserve">FACTS </w:t>
      </w:r>
      <w:r w:rsidR="008C2373" w:rsidRPr="000B6B7A">
        <w:rPr>
          <w:rFonts w:asciiTheme="majorHAnsi" w:hAnsiTheme="majorHAnsi"/>
          <w:b/>
          <w:sz w:val="20"/>
          <w:szCs w:val="20"/>
        </w:rPr>
        <w:t>ALLEGED</w:t>
      </w:r>
    </w:p>
    <w:p w14:paraId="2C329050" w14:textId="433EB948" w:rsidR="00770F33" w:rsidRPr="00132A3A" w:rsidRDefault="00CB5264"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w:t>
      </w:r>
      <w:r w:rsidR="00770F33">
        <w:rPr>
          <w:rFonts w:ascii="Cambria" w:hAnsi="Cambria"/>
          <w:sz w:val="20"/>
          <w:szCs w:val="20"/>
          <w:lang w:val="en"/>
        </w:rPr>
        <w:t>etitioner claims that on January 15, 2001, a group of paramilitar</w:t>
      </w:r>
      <w:r w:rsidR="00461B30">
        <w:rPr>
          <w:rFonts w:ascii="Cambria" w:hAnsi="Cambria"/>
          <w:sz w:val="20"/>
          <w:szCs w:val="20"/>
          <w:lang w:val="en"/>
        </w:rPr>
        <w:t xml:space="preserve">ies </w:t>
      </w:r>
      <w:r w:rsidR="00770F33">
        <w:rPr>
          <w:rFonts w:ascii="Cambria" w:hAnsi="Cambria"/>
          <w:sz w:val="20"/>
          <w:szCs w:val="20"/>
          <w:lang w:val="en"/>
        </w:rPr>
        <w:t>intercepted a “ladder bus” (a rural bus) in La Rejoya</w:t>
      </w:r>
      <w:r w:rsidR="00BF7006">
        <w:rPr>
          <w:rFonts w:ascii="Cambria" w:hAnsi="Cambria"/>
          <w:sz w:val="20"/>
          <w:szCs w:val="20"/>
          <w:lang w:val="en"/>
        </w:rPr>
        <w:t xml:space="preserve"> district</w:t>
      </w:r>
      <w:r w:rsidR="00770F33">
        <w:rPr>
          <w:rFonts w:ascii="Cambria" w:hAnsi="Cambria"/>
          <w:sz w:val="20"/>
          <w:szCs w:val="20"/>
          <w:lang w:val="en"/>
        </w:rPr>
        <w:t xml:space="preserve">, </w:t>
      </w:r>
      <w:r w:rsidR="00D56BC3">
        <w:rPr>
          <w:rFonts w:ascii="Cambria" w:hAnsi="Cambria"/>
          <w:sz w:val="20"/>
          <w:szCs w:val="20"/>
          <w:lang w:val="en"/>
        </w:rPr>
        <w:t>killed</w:t>
      </w:r>
      <w:r w:rsidR="00770F33">
        <w:rPr>
          <w:rFonts w:ascii="Cambria" w:hAnsi="Cambria"/>
          <w:sz w:val="20"/>
          <w:szCs w:val="20"/>
          <w:lang w:val="en"/>
        </w:rPr>
        <w:t xml:space="preserve"> nine of its passengers, who were peasants from the town of Cajibío, and a police officer that was passing by, and </w:t>
      </w:r>
      <w:r w:rsidR="00D56BC3">
        <w:rPr>
          <w:rFonts w:ascii="Cambria" w:hAnsi="Cambria"/>
          <w:sz w:val="20"/>
          <w:szCs w:val="20"/>
          <w:lang w:val="en"/>
        </w:rPr>
        <w:t>left</w:t>
      </w:r>
      <w:r w:rsidR="00770F33">
        <w:rPr>
          <w:rFonts w:ascii="Cambria" w:hAnsi="Cambria"/>
          <w:sz w:val="20"/>
          <w:szCs w:val="20"/>
          <w:lang w:val="en"/>
        </w:rPr>
        <w:t xml:space="preserve"> the bus driver </w:t>
      </w:r>
      <w:r w:rsidR="00D56BC3">
        <w:rPr>
          <w:rFonts w:ascii="Cambria" w:hAnsi="Cambria"/>
          <w:sz w:val="20"/>
          <w:szCs w:val="20"/>
          <w:lang w:val="en"/>
        </w:rPr>
        <w:t>severely</w:t>
      </w:r>
      <w:r w:rsidR="00F00B5F">
        <w:rPr>
          <w:rFonts w:ascii="Cambria" w:hAnsi="Cambria"/>
          <w:sz w:val="20"/>
          <w:szCs w:val="20"/>
          <w:lang w:val="en"/>
        </w:rPr>
        <w:t xml:space="preserve"> injured. </w:t>
      </w:r>
      <w:r w:rsidR="00DF11BF">
        <w:rPr>
          <w:rFonts w:ascii="Cambria" w:hAnsi="Cambria"/>
          <w:sz w:val="20"/>
          <w:szCs w:val="20"/>
          <w:lang w:val="en"/>
        </w:rPr>
        <w:t>The Petitioner</w:t>
      </w:r>
      <w:r w:rsidR="00770F33">
        <w:rPr>
          <w:rFonts w:ascii="Cambria" w:hAnsi="Cambria"/>
          <w:sz w:val="20"/>
          <w:szCs w:val="20"/>
          <w:lang w:val="en"/>
        </w:rPr>
        <w:t xml:space="preserve"> alleges that even though military officers and members of several paramilitary groups were involved in these crimes, state authorities have failed to exercise due diligence in investigating this massacre, clarify the events, and punish th</w:t>
      </w:r>
      <w:r w:rsidR="007F4653">
        <w:rPr>
          <w:rFonts w:ascii="Cambria" w:hAnsi="Cambria"/>
          <w:sz w:val="20"/>
          <w:szCs w:val="20"/>
          <w:lang w:val="en"/>
        </w:rPr>
        <w:t>e perpetrators</w:t>
      </w:r>
      <w:r w:rsidR="00770F33">
        <w:rPr>
          <w:rFonts w:ascii="Cambria" w:hAnsi="Cambria"/>
          <w:sz w:val="20"/>
          <w:szCs w:val="20"/>
          <w:lang w:val="en"/>
        </w:rPr>
        <w:t xml:space="preserve">. </w:t>
      </w:r>
    </w:p>
    <w:p w14:paraId="2AD71286" w14:textId="7BCA9708" w:rsidR="00770F33" w:rsidRPr="00132A3A" w:rsidRDefault="00C63D21"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this </w:t>
      </w:r>
      <w:r w:rsidR="00770F33">
        <w:rPr>
          <w:rFonts w:ascii="Cambria" w:hAnsi="Cambria"/>
          <w:sz w:val="20"/>
          <w:szCs w:val="20"/>
          <w:lang w:val="en"/>
        </w:rPr>
        <w:t>context</w:t>
      </w:r>
      <w:r w:rsidR="00CB5264">
        <w:rPr>
          <w:rFonts w:ascii="Cambria" w:hAnsi="Cambria"/>
          <w:sz w:val="20"/>
          <w:szCs w:val="20"/>
          <w:lang w:val="en"/>
        </w:rPr>
        <w:t>, the P</w:t>
      </w:r>
      <w:r w:rsidR="00657264">
        <w:rPr>
          <w:rFonts w:ascii="Cambria" w:hAnsi="Cambria"/>
          <w:sz w:val="20"/>
          <w:szCs w:val="20"/>
          <w:lang w:val="en"/>
        </w:rPr>
        <w:t>etitioner</w:t>
      </w:r>
      <w:r w:rsidR="00770F33">
        <w:rPr>
          <w:rFonts w:ascii="Cambria" w:hAnsi="Cambria"/>
          <w:sz w:val="20"/>
          <w:szCs w:val="20"/>
          <w:lang w:val="en"/>
        </w:rPr>
        <w:t xml:space="preserve"> explains that in November 1999, around 50,000 people from many different social backgrounds and peasant grassroots organizations blocked a highway in Cajibío, Cauca</w:t>
      </w:r>
      <w:r w:rsidR="00BF7006">
        <w:rPr>
          <w:rFonts w:ascii="Cambria" w:hAnsi="Cambria"/>
          <w:sz w:val="20"/>
          <w:szCs w:val="20"/>
          <w:lang w:val="en"/>
        </w:rPr>
        <w:t xml:space="preserve"> department</w:t>
      </w:r>
      <w:r w:rsidR="00CB5264">
        <w:rPr>
          <w:rFonts w:ascii="Cambria" w:hAnsi="Cambria"/>
          <w:sz w:val="20"/>
          <w:szCs w:val="20"/>
          <w:lang w:val="en"/>
        </w:rPr>
        <w:t xml:space="preserve">, for twentysix </w:t>
      </w:r>
      <w:r w:rsidR="00770F33">
        <w:rPr>
          <w:rFonts w:ascii="Cambria" w:hAnsi="Cambria"/>
          <w:sz w:val="20"/>
          <w:szCs w:val="20"/>
          <w:lang w:val="en"/>
        </w:rPr>
        <w:t>days to demand that the State allocate funds to meet a set of basic needs of the popul</w:t>
      </w:r>
      <w:r w:rsidR="00297511">
        <w:rPr>
          <w:rFonts w:ascii="Cambria" w:hAnsi="Cambria"/>
          <w:sz w:val="20"/>
          <w:szCs w:val="20"/>
          <w:lang w:val="en"/>
        </w:rPr>
        <w:t xml:space="preserve">ation of southwest Colombia. The Petioner </w:t>
      </w:r>
      <w:r w:rsidR="00770F33">
        <w:rPr>
          <w:rFonts w:ascii="Cambria" w:hAnsi="Cambria"/>
          <w:sz w:val="20"/>
          <w:szCs w:val="20"/>
          <w:lang w:val="en"/>
        </w:rPr>
        <w:t xml:space="preserve">explains that given the place where the </w:t>
      </w:r>
      <w:r w:rsidR="00D000D3">
        <w:rPr>
          <w:rFonts w:ascii="Cambria" w:hAnsi="Cambria"/>
          <w:sz w:val="20"/>
          <w:szCs w:val="20"/>
          <w:lang w:val="en"/>
        </w:rPr>
        <w:t>protest</w:t>
      </w:r>
      <w:r w:rsidR="00770F33">
        <w:rPr>
          <w:rFonts w:ascii="Cambria" w:hAnsi="Cambria"/>
          <w:sz w:val="20"/>
          <w:szCs w:val="20"/>
          <w:lang w:val="en"/>
        </w:rPr>
        <w:t xml:space="preserve"> </w:t>
      </w:r>
      <w:r w:rsidR="00AC2FE8">
        <w:rPr>
          <w:rFonts w:ascii="Cambria" w:hAnsi="Cambria"/>
          <w:sz w:val="20"/>
          <w:szCs w:val="20"/>
          <w:lang w:val="en"/>
        </w:rPr>
        <w:t>took place</w:t>
      </w:r>
      <w:r w:rsidR="00770F33">
        <w:rPr>
          <w:rFonts w:ascii="Cambria" w:hAnsi="Cambria"/>
          <w:sz w:val="20"/>
          <w:szCs w:val="20"/>
          <w:lang w:val="en"/>
        </w:rPr>
        <w:t>, around 12,000 Cajibians joined</w:t>
      </w:r>
      <w:r w:rsidR="00657264">
        <w:rPr>
          <w:rFonts w:ascii="Cambria" w:hAnsi="Cambria"/>
          <w:sz w:val="20"/>
          <w:szCs w:val="20"/>
          <w:lang w:val="en"/>
        </w:rPr>
        <w:t xml:space="preserve">; they </w:t>
      </w:r>
      <w:r w:rsidR="00991530">
        <w:rPr>
          <w:rFonts w:ascii="Cambria" w:hAnsi="Cambria"/>
          <w:sz w:val="20"/>
          <w:szCs w:val="20"/>
          <w:lang w:val="en"/>
        </w:rPr>
        <w:t xml:space="preserve">were </w:t>
      </w:r>
      <w:r w:rsidR="00770F33">
        <w:rPr>
          <w:rFonts w:ascii="Cambria" w:hAnsi="Cambria"/>
          <w:sz w:val="20"/>
          <w:szCs w:val="20"/>
          <w:lang w:val="en"/>
        </w:rPr>
        <w:t>almost 20 per</w:t>
      </w:r>
      <w:r w:rsidR="007F4653">
        <w:rPr>
          <w:rFonts w:ascii="Cambria" w:hAnsi="Cambria"/>
          <w:sz w:val="20"/>
          <w:szCs w:val="20"/>
          <w:lang w:val="en"/>
        </w:rPr>
        <w:t>c</w:t>
      </w:r>
      <w:r w:rsidR="00CB5264">
        <w:rPr>
          <w:rFonts w:ascii="Cambria" w:hAnsi="Cambria"/>
          <w:sz w:val="20"/>
          <w:szCs w:val="20"/>
          <w:lang w:val="en"/>
        </w:rPr>
        <w:t>ent of the demonstrators. The Peti</w:t>
      </w:r>
      <w:r w:rsidR="00DF11BF">
        <w:rPr>
          <w:rFonts w:ascii="Cambria" w:hAnsi="Cambria"/>
          <w:sz w:val="20"/>
          <w:szCs w:val="20"/>
          <w:lang w:val="en"/>
        </w:rPr>
        <w:t>ti</w:t>
      </w:r>
      <w:r w:rsidR="00CB5264">
        <w:rPr>
          <w:rFonts w:ascii="Cambria" w:hAnsi="Cambria"/>
          <w:sz w:val="20"/>
          <w:szCs w:val="20"/>
          <w:lang w:val="en"/>
        </w:rPr>
        <w:t>oner</w:t>
      </w:r>
      <w:r w:rsidR="00770F33">
        <w:rPr>
          <w:rFonts w:ascii="Cambria" w:hAnsi="Cambria"/>
          <w:sz w:val="20"/>
          <w:szCs w:val="20"/>
          <w:lang w:val="en"/>
        </w:rPr>
        <w:t xml:space="preserve"> affirms </w:t>
      </w:r>
      <w:r w:rsidR="00770F33">
        <w:rPr>
          <w:rFonts w:ascii="Cambria" w:hAnsi="Cambria"/>
          <w:sz w:val="20"/>
          <w:szCs w:val="20"/>
          <w:lang w:val="en"/>
        </w:rPr>
        <w:lastRenderedPageBreak/>
        <w:t xml:space="preserve">that thanks to the </w:t>
      </w:r>
      <w:r w:rsidR="00D000D3">
        <w:rPr>
          <w:rFonts w:ascii="Cambria" w:hAnsi="Cambria"/>
          <w:sz w:val="20"/>
          <w:szCs w:val="20"/>
          <w:lang w:val="en"/>
        </w:rPr>
        <w:t>protest</w:t>
      </w:r>
      <w:r w:rsidR="00770F33">
        <w:rPr>
          <w:rFonts w:ascii="Cambria" w:hAnsi="Cambria"/>
          <w:sz w:val="20"/>
          <w:szCs w:val="20"/>
          <w:lang w:val="en"/>
        </w:rPr>
        <w:t>, the State agreed to give 112,000 million pesos to southwest Colombia, of which 13,000 million pesos he said would be destined for welfare programs in Cajibío.</w:t>
      </w:r>
      <w:r w:rsidR="00ED30B3">
        <w:rPr>
          <w:rFonts w:ascii="Cambria" w:hAnsi="Cambria"/>
          <w:sz w:val="20"/>
          <w:szCs w:val="20"/>
          <w:lang w:val="en"/>
        </w:rPr>
        <w:t xml:space="preserve"> </w:t>
      </w:r>
    </w:p>
    <w:p w14:paraId="17EE60C5" w14:textId="58608FF8" w:rsidR="00770F33" w:rsidRPr="00132A3A" w:rsidRDefault="00D27068"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However, the</w:t>
      </w:r>
      <w:r w:rsidR="00F869D6">
        <w:rPr>
          <w:rFonts w:ascii="Cambria" w:hAnsi="Cambria"/>
          <w:sz w:val="20"/>
          <w:szCs w:val="20"/>
          <w:lang w:val="en"/>
        </w:rPr>
        <w:t xml:space="preserve"> P</w:t>
      </w:r>
      <w:r w:rsidR="00657264">
        <w:rPr>
          <w:rFonts w:ascii="Cambria" w:hAnsi="Cambria"/>
          <w:sz w:val="20"/>
          <w:szCs w:val="20"/>
          <w:lang w:val="en"/>
        </w:rPr>
        <w:t>etitioner</w:t>
      </w:r>
      <w:r w:rsidR="00770F33">
        <w:rPr>
          <w:rFonts w:ascii="Cambria" w:hAnsi="Cambria"/>
          <w:sz w:val="20"/>
          <w:szCs w:val="20"/>
          <w:lang w:val="en"/>
        </w:rPr>
        <w:t xml:space="preserve"> submits that starting in 2000, state agents and paramilitary groups suppressed this collective action </w:t>
      </w:r>
      <w:r w:rsidR="00096DCC">
        <w:rPr>
          <w:rFonts w:ascii="Cambria" w:hAnsi="Cambria"/>
          <w:sz w:val="20"/>
          <w:szCs w:val="20"/>
          <w:lang w:val="en"/>
        </w:rPr>
        <w:t xml:space="preserve">through </w:t>
      </w:r>
      <w:r w:rsidR="00770F33">
        <w:rPr>
          <w:rFonts w:ascii="Cambria" w:hAnsi="Cambria"/>
          <w:sz w:val="20"/>
          <w:szCs w:val="20"/>
          <w:lang w:val="en"/>
        </w:rPr>
        <w:t>systemat</w:t>
      </w:r>
      <w:r w:rsidR="00096DCC">
        <w:rPr>
          <w:rFonts w:ascii="Cambria" w:hAnsi="Cambria"/>
          <w:sz w:val="20"/>
          <w:szCs w:val="20"/>
          <w:lang w:val="en"/>
        </w:rPr>
        <w:t>ic</w:t>
      </w:r>
      <w:r w:rsidR="00770F33">
        <w:rPr>
          <w:rFonts w:ascii="Cambria" w:hAnsi="Cambria"/>
          <w:sz w:val="20"/>
          <w:szCs w:val="20"/>
          <w:lang w:val="en"/>
        </w:rPr>
        <w:t xml:space="preserve"> human rights </w:t>
      </w:r>
      <w:r w:rsidR="00096DCC">
        <w:rPr>
          <w:rFonts w:ascii="Cambria" w:hAnsi="Cambria"/>
          <w:sz w:val="20"/>
          <w:szCs w:val="20"/>
          <w:lang w:val="en"/>
        </w:rPr>
        <w:t>violations against</w:t>
      </w:r>
      <w:r w:rsidR="00770F33">
        <w:rPr>
          <w:rFonts w:ascii="Cambria" w:hAnsi="Cambria"/>
          <w:sz w:val="20"/>
          <w:szCs w:val="20"/>
          <w:lang w:val="en"/>
        </w:rPr>
        <w:t xml:space="preserve"> Cajibío’s population. </w:t>
      </w:r>
      <w:r w:rsidR="00043ABD">
        <w:rPr>
          <w:rFonts w:ascii="Cambria" w:hAnsi="Cambria"/>
          <w:sz w:val="20"/>
          <w:szCs w:val="20"/>
          <w:lang w:val="en"/>
        </w:rPr>
        <w:t>The P</w:t>
      </w:r>
      <w:r w:rsidR="00F869D6">
        <w:rPr>
          <w:rFonts w:ascii="Cambria" w:hAnsi="Cambria"/>
          <w:sz w:val="20"/>
          <w:szCs w:val="20"/>
          <w:lang w:val="en"/>
        </w:rPr>
        <w:t xml:space="preserve">etitioner </w:t>
      </w:r>
      <w:r w:rsidR="00770F33">
        <w:rPr>
          <w:rFonts w:ascii="Cambria" w:hAnsi="Cambria"/>
          <w:sz w:val="20"/>
          <w:szCs w:val="20"/>
          <w:lang w:val="en"/>
        </w:rPr>
        <w:t xml:space="preserve">alleges that several informants reported that </w:t>
      </w:r>
      <w:r w:rsidR="007F4653">
        <w:rPr>
          <w:rFonts w:ascii="Cambria" w:hAnsi="Cambria"/>
          <w:sz w:val="20"/>
          <w:szCs w:val="20"/>
          <w:lang w:val="en"/>
        </w:rPr>
        <w:t xml:space="preserve">the </w:t>
      </w:r>
      <w:r w:rsidR="00770F33">
        <w:rPr>
          <w:rFonts w:ascii="Cambria" w:hAnsi="Cambria"/>
          <w:sz w:val="20"/>
          <w:szCs w:val="20"/>
          <w:lang w:val="en"/>
        </w:rPr>
        <w:t xml:space="preserve">Colombian Army Third Brigade helped the Colombian Self-Defense Groups’ (or “AUC”) Calima Front establish in Valle del Cauca and move to </w:t>
      </w:r>
      <w:r>
        <w:rPr>
          <w:rFonts w:ascii="Cambria" w:hAnsi="Cambria"/>
          <w:sz w:val="20"/>
          <w:szCs w:val="20"/>
          <w:lang w:val="en"/>
        </w:rPr>
        <w:t>C</w:t>
      </w:r>
      <w:r w:rsidR="00770F33">
        <w:rPr>
          <w:rFonts w:ascii="Cambria" w:hAnsi="Cambria"/>
          <w:sz w:val="20"/>
          <w:szCs w:val="20"/>
          <w:lang w:val="en"/>
        </w:rPr>
        <w:t>auca</w:t>
      </w:r>
      <w:r>
        <w:rPr>
          <w:rFonts w:ascii="Cambria" w:hAnsi="Cambria"/>
          <w:sz w:val="20"/>
          <w:szCs w:val="20"/>
          <w:lang w:val="en"/>
        </w:rPr>
        <w:t xml:space="preserve"> department</w:t>
      </w:r>
      <w:r w:rsidR="00770F33">
        <w:rPr>
          <w:rFonts w:ascii="Cambria" w:hAnsi="Cambria"/>
          <w:sz w:val="20"/>
          <w:szCs w:val="20"/>
          <w:lang w:val="en"/>
        </w:rPr>
        <w:t xml:space="preserve">. </w:t>
      </w:r>
      <w:r w:rsidR="009F69C7">
        <w:rPr>
          <w:rFonts w:ascii="Cambria" w:hAnsi="Cambria"/>
          <w:sz w:val="20"/>
          <w:szCs w:val="20"/>
          <w:lang w:val="en"/>
        </w:rPr>
        <w:t>The Petitioner</w:t>
      </w:r>
      <w:r w:rsidR="00770F33">
        <w:rPr>
          <w:rFonts w:ascii="Cambria" w:hAnsi="Cambria"/>
          <w:sz w:val="20"/>
          <w:szCs w:val="20"/>
          <w:lang w:val="en"/>
        </w:rPr>
        <w:t xml:space="preserve"> says that members of the Mártires de Ortega paramilitary front </w:t>
      </w:r>
      <w:r>
        <w:rPr>
          <w:rFonts w:ascii="Cambria" w:hAnsi="Cambria"/>
          <w:sz w:val="20"/>
          <w:szCs w:val="20"/>
          <w:lang w:val="en"/>
        </w:rPr>
        <w:t xml:space="preserve">also </w:t>
      </w:r>
      <w:r w:rsidR="00770F33">
        <w:rPr>
          <w:rFonts w:ascii="Cambria" w:hAnsi="Cambria"/>
          <w:sz w:val="20"/>
          <w:szCs w:val="20"/>
          <w:lang w:val="en"/>
        </w:rPr>
        <w:t>participated in the planning and execution of that front’s operations in this department.</w:t>
      </w:r>
      <w:r w:rsidR="00ED30B3">
        <w:rPr>
          <w:rFonts w:ascii="Cambria" w:hAnsi="Cambria"/>
          <w:sz w:val="20"/>
          <w:szCs w:val="20"/>
          <w:lang w:val="en"/>
        </w:rPr>
        <w:t xml:space="preserve"> </w:t>
      </w:r>
    </w:p>
    <w:p w14:paraId="2F0320FC" w14:textId="108A300A" w:rsidR="00770F33" w:rsidRPr="00132A3A" w:rsidRDefault="000A6ACC"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w:t>
      </w:r>
      <w:r w:rsidR="00657264">
        <w:rPr>
          <w:rFonts w:ascii="Cambria" w:hAnsi="Cambria"/>
          <w:sz w:val="20"/>
          <w:szCs w:val="20"/>
          <w:lang w:val="en"/>
        </w:rPr>
        <w:t>etitioner</w:t>
      </w:r>
      <w:r w:rsidR="00770F33">
        <w:rPr>
          <w:rFonts w:ascii="Cambria" w:hAnsi="Cambria"/>
          <w:sz w:val="20"/>
          <w:szCs w:val="20"/>
          <w:lang w:val="en"/>
        </w:rPr>
        <w:t xml:space="preserve"> claims that the </w:t>
      </w:r>
      <w:r w:rsidR="00657264">
        <w:rPr>
          <w:rFonts w:ascii="Cambria" w:hAnsi="Cambria"/>
          <w:sz w:val="20"/>
          <w:szCs w:val="20"/>
          <w:lang w:val="en"/>
        </w:rPr>
        <w:t>operations of</w:t>
      </w:r>
      <w:r w:rsidR="00770F33">
        <w:rPr>
          <w:rFonts w:ascii="Cambria" w:hAnsi="Cambria"/>
          <w:sz w:val="20"/>
          <w:szCs w:val="20"/>
          <w:lang w:val="en"/>
        </w:rPr>
        <w:t xml:space="preserve"> these paramilitary fronts and the army led to the incidents of January 15, 2001, in La Rejoya, among other massacres.</w:t>
      </w:r>
      <w:r w:rsidR="00770F33">
        <w:rPr>
          <w:rStyle w:val="FootnoteReference"/>
          <w:rFonts w:ascii="Cambria" w:hAnsi="Cambria"/>
          <w:sz w:val="20"/>
          <w:szCs w:val="20"/>
          <w:lang w:val="en"/>
        </w:rPr>
        <w:footnoteReference w:id="5"/>
      </w:r>
      <w:r w:rsidR="00770F33">
        <w:rPr>
          <w:rFonts w:ascii="Cambria" w:hAnsi="Cambria"/>
          <w:sz w:val="20"/>
          <w:szCs w:val="20"/>
          <w:lang w:val="en"/>
        </w:rPr>
        <w:t xml:space="preserve"> </w:t>
      </w:r>
      <w:r w:rsidR="00657264">
        <w:rPr>
          <w:rFonts w:ascii="Cambria" w:hAnsi="Cambria"/>
          <w:sz w:val="20"/>
          <w:szCs w:val="20"/>
          <w:lang w:val="en"/>
        </w:rPr>
        <w:t>Allegedly, after</w:t>
      </w:r>
      <w:r w:rsidR="00770F33">
        <w:rPr>
          <w:rFonts w:ascii="Cambria" w:hAnsi="Cambria"/>
          <w:sz w:val="20"/>
          <w:szCs w:val="20"/>
          <w:lang w:val="en"/>
        </w:rPr>
        <w:t xml:space="preserve"> the killings, the paramilitaries threatened the survivors, fo</w:t>
      </w:r>
      <w:r w:rsidR="00F869D6">
        <w:rPr>
          <w:rFonts w:ascii="Cambria" w:hAnsi="Cambria"/>
          <w:sz w:val="20"/>
          <w:szCs w:val="20"/>
          <w:lang w:val="en"/>
        </w:rPr>
        <w:t>rcing</w:t>
      </w:r>
      <w:r>
        <w:rPr>
          <w:rFonts w:ascii="Cambria" w:hAnsi="Cambria"/>
          <w:sz w:val="20"/>
          <w:szCs w:val="20"/>
          <w:lang w:val="en"/>
        </w:rPr>
        <w:t xml:space="preserve"> them to leave the area.</w:t>
      </w:r>
      <w:r w:rsidR="00F869D6">
        <w:rPr>
          <w:rFonts w:ascii="Cambria" w:hAnsi="Cambria"/>
          <w:sz w:val="20"/>
          <w:szCs w:val="20"/>
          <w:lang w:val="en"/>
        </w:rPr>
        <w:t>T</w:t>
      </w:r>
      <w:r>
        <w:rPr>
          <w:rFonts w:ascii="Cambria" w:hAnsi="Cambria"/>
          <w:sz w:val="20"/>
          <w:szCs w:val="20"/>
          <w:lang w:val="en"/>
        </w:rPr>
        <w:t xml:space="preserve"> </w:t>
      </w:r>
      <w:r w:rsidR="00F869D6">
        <w:rPr>
          <w:rFonts w:ascii="Cambria" w:hAnsi="Cambria"/>
          <w:sz w:val="20"/>
          <w:szCs w:val="20"/>
          <w:lang w:val="en"/>
        </w:rPr>
        <w:t>he petitioner</w:t>
      </w:r>
      <w:r w:rsidR="00770F33">
        <w:rPr>
          <w:rFonts w:ascii="Cambria" w:hAnsi="Cambria"/>
          <w:sz w:val="20"/>
          <w:szCs w:val="20"/>
          <w:lang w:val="en"/>
        </w:rPr>
        <w:t xml:space="preserve"> claims that such a situation forcedly displaced around 300 families to the cities of Cali and Popayán and the towns of Santander de Quilchao and Pendamó in Cauca</w:t>
      </w:r>
      <w:r w:rsidR="00657264">
        <w:rPr>
          <w:rFonts w:ascii="Cambria" w:hAnsi="Cambria"/>
          <w:sz w:val="20"/>
          <w:szCs w:val="20"/>
          <w:lang w:val="en"/>
        </w:rPr>
        <w:t xml:space="preserve"> department</w:t>
      </w:r>
      <w:r w:rsidR="00770F33">
        <w:rPr>
          <w:rFonts w:ascii="Cambria" w:hAnsi="Cambria"/>
          <w:sz w:val="20"/>
          <w:szCs w:val="20"/>
          <w:lang w:val="en"/>
        </w:rPr>
        <w:t>, d</w:t>
      </w:r>
      <w:r w:rsidR="007F4653">
        <w:rPr>
          <w:rFonts w:ascii="Cambria" w:hAnsi="Cambria"/>
          <w:sz w:val="20"/>
          <w:szCs w:val="20"/>
          <w:lang w:val="en"/>
        </w:rPr>
        <w:t>i</w:t>
      </w:r>
      <w:r w:rsidR="00770F33">
        <w:rPr>
          <w:rFonts w:ascii="Cambria" w:hAnsi="Cambria"/>
          <w:sz w:val="20"/>
          <w:szCs w:val="20"/>
          <w:lang w:val="en"/>
        </w:rPr>
        <w:t>sintegrating t</w:t>
      </w:r>
      <w:r w:rsidR="00F869D6">
        <w:rPr>
          <w:rFonts w:ascii="Cambria" w:hAnsi="Cambria"/>
          <w:sz w:val="20"/>
          <w:szCs w:val="20"/>
          <w:lang w:val="en"/>
        </w:rPr>
        <w:t xml:space="preserve">he social fabric of Cajibío. The petitioner </w:t>
      </w:r>
      <w:r w:rsidR="00770F33">
        <w:rPr>
          <w:rFonts w:ascii="Cambria" w:hAnsi="Cambria"/>
          <w:sz w:val="20"/>
          <w:szCs w:val="20"/>
          <w:lang w:val="en"/>
        </w:rPr>
        <w:t xml:space="preserve">also claims that many social leaders abandoned their community activities for fear of reprisals and that, as a result, the State did not fulfill and reneged the agreement signed in favor of Cajibío’s population following the protests of 1999. </w:t>
      </w:r>
    </w:p>
    <w:p w14:paraId="26153EF6" w14:textId="7A256C43" w:rsidR="00770F33" w:rsidRPr="00132A3A" w:rsidRDefault="00F869D6"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F7DB7">
        <w:rPr>
          <w:rFonts w:ascii="Cambria" w:hAnsi="Cambria"/>
          <w:sz w:val="20"/>
          <w:szCs w:val="20"/>
          <w:lang w:val="en"/>
        </w:rPr>
        <w:t xml:space="preserve">The petitioner </w:t>
      </w:r>
      <w:r w:rsidR="00770F33" w:rsidRPr="008F7DB7">
        <w:rPr>
          <w:rFonts w:ascii="Cambria" w:hAnsi="Cambria"/>
          <w:sz w:val="20"/>
          <w:szCs w:val="20"/>
          <w:lang w:val="en"/>
        </w:rPr>
        <w:t>submits that on January 20, 2001</w:t>
      </w:r>
      <w:r w:rsidR="00770F33">
        <w:rPr>
          <w:rFonts w:ascii="Cambria" w:hAnsi="Cambria"/>
          <w:sz w:val="20"/>
          <w:szCs w:val="20"/>
          <w:lang w:val="en"/>
        </w:rPr>
        <w:t>, the El Liberal newspaper of Popayán city reported that an AUC paramilitary leader admitted to having committed the crimes in La Rejoya, in a letter t</w:t>
      </w:r>
      <w:r>
        <w:rPr>
          <w:rFonts w:ascii="Cambria" w:hAnsi="Cambria"/>
          <w:sz w:val="20"/>
          <w:szCs w:val="20"/>
          <w:lang w:val="en"/>
        </w:rPr>
        <w:t>o Popayán Ombudsman’s Office. The petitioner</w:t>
      </w:r>
      <w:r w:rsidR="00770F33">
        <w:rPr>
          <w:rFonts w:ascii="Cambria" w:hAnsi="Cambria"/>
          <w:sz w:val="20"/>
          <w:szCs w:val="20"/>
          <w:lang w:val="en"/>
        </w:rPr>
        <w:t xml:space="preserve"> says that on February 2, 2001, the Public Prosecutor’s Office filed a preliminary investigation and that seven Calima Front paramilitaries were included in it during the process, who admitted</w:t>
      </w:r>
      <w:r w:rsidR="00BF7006">
        <w:rPr>
          <w:rFonts w:ascii="Cambria" w:hAnsi="Cambria"/>
          <w:sz w:val="20"/>
          <w:szCs w:val="20"/>
          <w:lang w:val="en"/>
        </w:rPr>
        <w:t xml:space="preserve"> </w:t>
      </w:r>
      <w:r w:rsidR="0090260A">
        <w:rPr>
          <w:rFonts w:ascii="Cambria" w:hAnsi="Cambria"/>
          <w:sz w:val="20"/>
          <w:szCs w:val="20"/>
          <w:lang w:val="en"/>
        </w:rPr>
        <w:t xml:space="preserve">to </w:t>
      </w:r>
      <w:r w:rsidR="00BF7006">
        <w:rPr>
          <w:rFonts w:ascii="Cambria" w:hAnsi="Cambria"/>
          <w:sz w:val="20"/>
          <w:szCs w:val="20"/>
          <w:lang w:val="en"/>
        </w:rPr>
        <w:t>their involvement</w:t>
      </w:r>
      <w:r w:rsidR="00770F33">
        <w:rPr>
          <w:rFonts w:ascii="Cambria" w:hAnsi="Cambria"/>
          <w:sz w:val="20"/>
          <w:szCs w:val="20"/>
          <w:lang w:val="en"/>
        </w:rPr>
        <w:t xml:space="preserve"> in the facts denounced. </w:t>
      </w:r>
      <w:r w:rsidR="00BF7006">
        <w:rPr>
          <w:rFonts w:ascii="Cambria" w:hAnsi="Cambria"/>
          <w:sz w:val="20"/>
          <w:szCs w:val="20"/>
          <w:lang w:val="en"/>
        </w:rPr>
        <w:t>Thus, o</w:t>
      </w:r>
      <w:r w:rsidR="00770F33">
        <w:rPr>
          <w:rFonts w:ascii="Cambria" w:hAnsi="Cambria"/>
          <w:sz w:val="20"/>
          <w:szCs w:val="20"/>
          <w:lang w:val="en"/>
        </w:rPr>
        <w:t>n April 10, 2010, the Second Specialized Criminal Court of Popayán Circuit sentenced these people to nineteen years’ imprisonment for aggravated murder</w:t>
      </w:r>
      <w:r w:rsidR="00AA1A44">
        <w:rPr>
          <w:rFonts w:ascii="Cambria" w:hAnsi="Cambria"/>
          <w:sz w:val="20"/>
          <w:szCs w:val="20"/>
          <w:lang w:val="en"/>
        </w:rPr>
        <w:t>, but,</w:t>
      </w:r>
      <w:r w:rsidR="00770F33">
        <w:rPr>
          <w:rFonts w:ascii="Cambria" w:hAnsi="Cambria"/>
          <w:sz w:val="20"/>
          <w:szCs w:val="20"/>
          <w:lang w:val="en"/>
        </w:rPr>
        <w:t xml:space="preserve"> </w:t>
      </w:r>
      <w:r w:rsidR="00182B88">
        <w:rPr>
          <w:rFonts w:ascii="Cambria" w:hAnsi="Cambria"/>
          <w:sz w:val="20"/>
          <w:szCs w:val="20"/>
          <w:lang w:val="en"/>
        </w:rPr>
        <w:t xml:space="preserve">the Court </w:t>
      </w:r>
      <w:r w:rsidR="00770F33">
        <w:rPr>
          <w:rFonts w:ascii="Cambria" w:hAnsi="Cambria"/>
          <w:sz w:val="20"/>
          <w:szCs w:val="20"/>
          <w:lang w:val="en"/>
        </w:rPr>
        <w:t>failed to establish reparations for moral and material damage.</w:t>
      </w:r>
      <w:r w:rsidR="00ED30B3">
        <w:rPr>
          <w:rFonts w:ascii="Cambria" w:hAnsi="Cambria"/>
          <w:sz w:val="20"/>
          <w:szCs w:val="20"/>
          <w:lang w:val="en"/>
        </w:rPr>
        <w:t xml:space="preserve"> </w:t>
      </w:r>
    </w:p>
    <w:p w14:paraId="181D2DEC" w14:textId="18A70D89" w:rsidR="00770F33" w:rsidRPr="00132A3A" w:rsidRDefault="00581ED2"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w:t>
      </w:r>
      <w:r w:rsidR="00770F33">
        <w:rPr>
          <w:rFonts w:ascii="Cambria" w:hAnsi="Cambria"/>
          <w:sz w:val="20"/>
          <w:szCs w:val="20"/>
          <w:lang w:val="en"/>
        </w:rPr>
        <w:t>etitioner reports that the civil party was not notified of this judgment and that, consequently, this became final without the victims’ families’ having the opportunity to appeal the decision and chall</w:t>
      </w:r>
      <w:r>
        <w:rPr>
          <w:rFonts w:ascii="Cambria" w:hAnsi="Cambria"/>
          <w:sz w:val="20"/>
          <w:szCs w:val="20"/>
          <w:lang w:val="en"/>
        </w:rPr>
        <w:t xml:space="preserve">enge the lack of reparations. The Petitioner </w:t>
      </w:r>
      <w:r w:rsidR="00770F33">
        <w:rPr>
          <w:rFonts w:ascii="Cambria" w:hAnsi="Cambria"/>
          <w:sz w:val="20"/>
          <w:szCs w:val="20"/>
          <w:lang w:val="en"/>
        </w:rPr>
        <w:t>says that, at the same time, the</w:t>
      </w:r>
      <w:r w:rsidR="0090260A">
        <w:rPr>
          <w:rFonts w:ascii="Cambria" w:hAnsi="Cambria"/>
          <w:sz w:val="20"/>
          <w:szCs w:val="20"/>
          <w:lang w:val="en"/>
        </w:rPr>
        <w:t>se</w:t>
      </w:r>
      <w:r w:rsidR="00770F33">
        <w:rPr>
          <w:rFonts w:ascii="Cambria" w:hAnsi="Cambria"/>
          <w:sz w:val="20"/>
          <w:szCs w:val="20"/>
          <w:lang w:val="en"/>
        </w:rPr>
        <w:t xml:space="preserve"> families presented two direct claims for damages to obtain compensation and that the Contentious Administrative Court of Cauca rejected these in its judgments of February 27, 2007</w:t>
      </w:r>
      <w:r w:rsidR="002F2CEA">
        <w:rPr>
          <w:rFonts w:ascii="Cambria" w:hAnsi="Cambria"/>
          <w:sz w:val="20"/>
          <w:szCs w:val="20"/>
          <w:lang w:val="en"/>
        </w:rPr>
        <w:t>,</w:t>
      </w:r>
      <w:r w:rsidR="00770F33">
        <w:rPr>
          <w:rFonts w:ascii="Cambria" w:hAnsi="Cambria"/>
          <w:sz w:val="20"/>
          <w:szCs w:val="20"/>
          <w:lang w:val="en"/>
        </w:rPr>
        <w:t xml:space="preserve"> and September 2, 2008, leaving the claimants without redress. </w:t>
      </w:r>
    </w:p>
    <w:p w14:paraId="3277864F" w14:textId="41A76302" w:rsidR="00770F33" w:rsidRPr="00132A3A" w:rsidRDefault="00770F33"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Further, </w:t>
      </w:r>
      <w:r w:rsidR="003D179B">
        <w:rPr>
          <w:rFonts w:ascii="Cambria" w:hAnsi="Cambria"/>
          <w:sz w:val="20"/>
          <w:szCs w:val="20"/>
          <w:lang w:val="en"/>
        </w:rPr>
        <w:t>the petitioner</w:t>
      </w:r>
      <w:r>
        <w:rPr>
          <w:rFonts w:ascii="Cambria" w:hAnsi="Cambria"/>
          <w:sz w:val="20"/>
          <w:szCs w:val="20"/>
          <w:lang w:val="en"/>
        </w:rPr>
        <w:t xml:space="preserve"> stresses that during the inquests, the defendants and some witnesses alleged that in the massacre in La Rejoya were involved paramilitaries of the AUC Mártires de Ortega front, military officers, and an officer of the Unified Action Group for Personal Liberty. </w:t>
      </w:r>
      <w:r w:rsidR="003D179B">
        <w:rPr>
          <w:rFonts w:ascii="Cambria" w:hAnsi="Cambria"/>
          <w:sz w:val="20"/>
          <w:szCs w:val="20"/>
          <w:lang w:val="en"/>
        </w:rPr>
        <w:t>Nonethe</w:t>
      </w:r>
      <w:r w:rsidR="00581ED2">
        <w:rPr>
          <w:rFonts w:ascii="Cambria" w:hAnsi="Cambria"/>
          <w:sz w:val="20"/>
          <w:szCs w:val="20"/>
          <w:lang w:val="en"/>
        </w:rPr>
        <w:t>less, the Petitioner</w:t>
      </w:r>
      <w:r>
        <w:rPr>
          <w:rFonts w:ascii="Cambria" w:hAnsi="Cambria"/>
          <w:sz w:val="20"/>
          <w:szCs w:val="20"/>
          <w:lang w:val="en"/>
        </w:rPr>
        <w:t xml:space="preserve"> claims that the criminal investigations failed to incriminate all the private parties and state officers involved in the massacre of La Rejoya and that to date</w:t>
      </w:r>
      <w:r w:rsidR="002F2CEA">
        <w:rPr>
          <w:rFonts w:ascii="Cambria" w:hAnsi="Cambria"/>
          <w:sz w:val="20"/>
          <w:szCs w:val="20"/>
          <w:lang w:val="en"/>
        </w:rPr>
        <w:t>,</w:t>
      </w:r>
      <w:r>
        <w:rPr>
          <w:rFonts w:ascii="Cambria" w:hAnsi="Cambria"/>
          <w:sz w:val="20"/>
          <w:szCs w:val="20"/>
          <w:lang w:val="en"/>
        </w:rPr>
        <w:t xml:space="preserve"> there is only </w:t>
      </w:r>
      <w:r w:rsidR="002F2CEA">
        <w:rPr>
          <w:rFonts w:ascii="Cambria" w:hAnsi="Cambria"/>
          <w:sz w:val="20"/>
          <w:szCs w:val="20"/>
          <w:lang w:val="en"/>
        </w:rPr>
        <w:t xml:space="preserve">one </w:t>
      </w:r>
      <w:r>
        <w:rPr>
          <w:rFonts w:ascii="Cambria" w:hAnsi="Cambria"/>
          <w:sz w:val="20"/>
          <w:szCs w:val="20"/>
          <w:lang w:val="en"/>
        </w:rPr>
        <w:t>person convicted, which does not satisfy the rights to truth and jus</w:t>
      </w:r>
      <w:r w:rsidR="00581ED2">
        <w:rPr>
          <w:rFonts w:ascii="Cambria" w:hAnsi="Cambria"/>
          <w:sz w:val="20"/>
          <w:szCs w:val="20"/>
          <w:lang w:val="en"/>
        </w:rPr>
        <w:t>tice. Lastly, the Petitioner</w:t>
      </w:r>
      <w:r>
        <w:rPr>
          <w:rFonts w:ascii="Cambria" w:hAnsi="Cambria"/>
          <w:sz w:val="20"/>
          <w:szCs w:val="20"/>
          <w:lang w:val="en"/>
        </w:rPr>
        <w:t xml:space="preserve"> alleges </w:t>
      </w:r>
      <w:r w:rsidR="00BF7006">
        <w:rPr>
          <w:rFonts w:ascii="Cambria" w:hAnsi="Cambria"/>
          <w:sz w:val="20"/>
          <w:szCs w:val="20"/>
          <w:lang w:val="en"/>
        </w:rPr>
        <w:t xml:space="preserve">during </w:t>
      </w:r>
      <w:r>
        <w:rPr>
          <w:rFonts w:ascii="Cambria" w:hAnsi="Cambria"/>
          <w:sz w:val="20"/>
          <w:szCs w:val="20"/>
          <w:lang w:val="en"/>
        </w:rPr>
        <w:t>these proceedings</w:t>
      </w:r>
      <w:r w:rsidR="002241C5">
        <w:rPr>
          <w:rFonts w:ascii="Cambria" w:hAnsi="Cambria"/>
          <w:sz w:val="20"/>
          <w:szCs w:val="20"/>
          <w:lang w:val="en"/>
        </w:rPr>
        <w:t>,</w:t>
      </w:r>
      <w:r w:rsidR="00BF7006">
        <w:rPr>
          <w:rFonts w:ascii="Cambria" w:hAnsi="Cambria"/>
          <w:sz w:val="20"/>
          <w:szCs w:val="20"/>
          <w:lang w:val="en"/>
        </w:rPr>
        <w:t xml:space="preserve"> there were</w:t>
      </w:r>
      <w:r>
        <w:rPr>
          <w:rFonts w:ascii="Cambria" w:hAnsi="Cambria"/>
          <w:sz w:val="20"/>
          <w:szCs w:val="20"/>
          <w:lang w:val="en"/>
        </w:rPr>
        <w:t xml:space="preserve"> no security measures</w:t>
      </w:r>
      <w:r w:rsidR="004A1DA1">
        <w:rPr>
          <w:rFonts w:ascii="Cambria" w:hAnsi="Cambria"/>
          <w:sz w:val="20"/>
          <w:szCs w:val="20"/>
          <w:lang w:val="en"/>
        </w:rPr>
        <w:t xml:space="preserve"> in place </w:t>
      </w:r>
      <w:r w:rsidR="00BF7006">
        <w:rPr>
          <w:rFonts w:ascii="Cambria" w:hAnsi="Cambria"/>
          <w:sz w:val="20"/>
          <w:szCs w:val="20"/>
          <w:lang w:val="en"/>
        </w:rPr>
        <w:t xml:space="preserve">for </w:t>
      </w:r>
      <w:r>
        <w:rPr>
          <w:rFonts w:ascii="Cambria" w:hAnsi="Cambria"/>
          <w:sz w:val="20"/>
          <w:szCs w:val="20"/>
          <w:lang w:val="en"/>
        </w:rPr>
        <w:t xml:space="preserve">the victims’ families and witnesses </w:t>
      </w:r>
      <w:r w:rsidR="00BF7006">
        <w:rPr>
          <w:rFonts w:ascii="Cambria" w:hAnsi="Cambria"/>
          <w:sz w:val="20"/>
          <w:szCs w:val="20"/>
          <w:lang w:val="en"/>
        </w:rPr>
        <w:t>to</w:t>
      </w:r>
      <w:r>
        <w:rPr>
          <w:rFonts w:ascii="Cambria" w:hAnsi="Cambria"/>
          <w:sz w:val="20"/>
          <w:szCs w:val="20"/>
          <w:lang w:val="en"/>
        </w:rPr>
        <w:t xml:space="preserve"> participate safely, which violated their right to justice. </w:t>
      </w:r>
    </w:p>
    <w:p w14:paraId="2E685ACB" w14:textId="36682EC7" w:rsidR="00770F33" w:rsidRPr="00132A3A" w:rsidRDefault="006A4B3F"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w:t>
      </w:r>
      <w:r w:rsidR="00770F33">
        <w:rPr>
          <w:rFonts w:ascii="Cambria" w:hAnsi="Cambria"/>
          <w:sz w:val="20"/>
          <w:szCs w:val="20"/>
          <w:lang w:val="en"/>
        </w:rPr>
        <w:t>he State</w:t>
      </w:r>
      <w:r>
        <w:rPr>
          <w:rFonts w:ascii="Cambria" w:hAnsi="Cambria"/>
          <w:sz w:val="20"/>
          <w:szCs w:val="20"/>
          <w:lang w:val="en"/>
        </w:rPr>
        <w:t>, for its part,</w:t>
      </w:r>
      <w:r w:rsidR="00770F33">
        <w:rPr>
          <w:rFonts w:ascii="Cambria" w:hAnsi="Cambria"/>
          <w:sz w:val="20"/>
          <w:szCs w:val="20"/>
          <w:lang w:val="en"/>
        </w:rPr>
        <w:t xml:space="preserve"> claims that the petition is inadmissible </w:t>
      </w:r>
      <w:r w:rsidR="001518BE">
        <w:rPr>
          <w:rFonts w:ascii="Cambria" w:hAnsi="Cambria"/>
          <w:sz w:val="20"/>
          <w:szCs w:val="20"/>
          <w:lang w:val="en"/>
        </w:rPr>
        <w:t>as</w:t>
      </w:r>
      <w:r w:rsidR="00770F33">
        <w:rPr>
          <w:rFonts w:ascii="Cambria" w:hAnsi="Cambria"/>
          <w:sz w:val="20"/>
          <w:szCs w:val="20"/>
          <w:lang w:val="en"/>
        </w:rPr>
        <w:t xml:space="preserve"> it was filed beyond the time limit required by Article 46.1.</w:t>
      </w:r>
      <w:r w:rsidR="00615C0B">
        <w:rPr>
          <w:rFonts w:ascii="Cambria" w:hAnsi="Cambria"/>
          <w:sz w:val="20"/>
          <w:szCs w:val="20"/>
          <w:lang w:val="en"/>
        </w:rPr>
        <w:t>b of the American Convention. The State</w:t>
      </w:r>
      <w:r w:rsidR="00770F33">
        <w:rPr>
          <w:rFonts w:ascii="Cambria" w:hAnsi="Cambria"/>
          <w:sz w:val="20"/>
          <w:szCs w:val="20"/>
          <w:lang w:val="en"/>
        </w:rPr>
        <w:t xml:space="preserve"> argues that the petition was filed 11 months after the domestic authorities</w:t>
      </w:r>
      <w:r w:rsidR="00BF7006">
        <w:rPr>
          <w:rFonts w:ascii="Cambria" w:hAnsi="Cambria"/>
          <w:sz w:val="20"/>
          <w:szCs w:val="20"/>
          <w:lang w:val="en"/>
        </w:rPr>
        <w:t>’ last decision</w:t>
      </w:r>
      <w:r w:rsidR="00770F33">
        <w:rPr>
          <w:rFonts w:ascii="Cambria" w:hAnsi="Cambria"/>
          <w:sz w:val="20"/>
          <w:szCs w:val="20"/>
          <w:lang w:val="en"/>
        </w:rPr>
        <w:t xml:space="preserve">, as the condemnatory judgment against the Calima Front paramilitaries was notified </w:t>
      </w:r>
      <w:r w:rsidR="00F667D7">
        <w:rPr>
          <w:rFonts w:ascii="Cambria" w:hAnsi="Cambria"/>
          <w:sz w:val="20"/>
          <w:szCs w:val="20"/>
          <w:lang w:val="en"/>
        </w:rPr>
        <w:t>through</w:t>
      </w:r>
      <w:r w:rsidR="008E21D7">
        <w:rPr>
          <w:rFonts w:ascii="Cambria" w:hAnsi="Cambria"/>
          <w:sz w:val="20"/>
          <w:szCs w:val="20"/>
          <w:lang w:val="en"/>
        </w:rPr>
        <w:t xml:space="preserve"> an edict on April 16, 2010. The State</w:t>
      </w:r>
      <w:r w:rsidR="00770F33">
        <w:rPr>
          <w:rFonts w:ascii="Cambria" w:hAnsi="Cambria"/>
          <w:sz w:val="20"/>
          <w:szCs w:val="20"/>
          <w:lang w:val="en"/>
        </w:rPr>
        <w:t xml:space="preserve"> contends that the petitioner has not submitted arguments to justify their delay in filing their petition. </w:t>
      </w:r>
    </w:p>
    <w:p w14:paraId="746FEC45" w14:textId="286C6906" w:rsidR="00770F33" w:rsidRPr="00132A3A" w:rsidRDefault="00770F33"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Moreover, </w:t>
      </w:r>
      <w:r>
        <w:rPr>
          <w:rFonts w:ascii="Cambria" w:hAnsi="Cambria"/>
          <w:sz w:val="20"/>
          <w:szCs w:val="20"/>
          <w:bdr w:val="none" w:sz="0" w:space="0" w:color="auto"/>
          <w:lang w:val="en"/>
        </w:rPr>
        <w:t>the State asserts that the facts set forth in the petition do not estab</w:t>
      </w:r>
      <w:r w:rsidR="009F69C7">
        <w:rPr>
          <w:rFonts w:ascii="Cambria" w:hAnsi="Cambria"/>
          <w:sz w:val="20"/>
          <w:szCs w:val="20"/>
          <w:bdr w:val="none" w:sz="0" w:space="0" w:color="auto"/>
          <w:lang w:val="en"/>
        </w:rPr>
        <w:t>lish human rights violations. The State</w:t>
      </w:r>
      <w:r>
        <w:rPr>
          <w:rFonts w:ascii="Cambria" w:hAnsi="Cambria"/>
          <w:sz w:val="20"/>
          <w:szCs w:val="20"/>
          <w:bdr w:val="none" w:sz="0" w:space="0" w:color="auto"/>
          <w:lang w:val="en"/>
        </w:rPr>
        <w:t xml:space="preserve"> claims to have fulfilled its duty to investigate the facts with due diligence and to have established the facts and punished seven paramilita</w:t>
      </w:r>
      <w:r w:rsidR="001518BE">
        <w:rPr>
          <w:rFonts w:ascii="Cambria" w:hAnsi="Cambria"/>
          <w:sz w:val="20"/>
          <w:szCs w:val="20"/>
          <w:bdr w:val="none" w:sz="0" w:space="0" w:color="auto"/>
          <w:lang w:val="en"/>
        </w:rPr>
        <w:t>ries</w:t>
      </w:r>
      <w:r w:rsidR="008E21D7">
        <w:rPr>
          <w:rFonts w:ascii="Cambria" w:hAnsi="Cambria"/>
          <w:sz w:val="20"/>
          <w:szCs w:val="20"/>
          <w:bdr w:val="none" w:sz="0" w:space="0" w:color="auto"/>
          <w:lang w:val="en"/>
        </w:rPr>
        <w:t xml:space="preserve">. The State </w:t>
      </w:r>
      <w:r>
        <w:rPr>
          <w:rFonts w:ascii="Cambria" w:hAnsi="Cambria"/>
          <w:sz w:val="20"/>
          <w:szCs w:val="20"/>
          <w:bdr w:val="none" w:sz="0" w:space="0" w:color="auto"/>
          <w:lang w:val="en"/>
        </w:rPr>
        <w:t xml:space="preserve">contends that the lack of prosecution </w:t>
      </w:r>
      <w:r>
        <w:rPr>
          <w:rFonts w:ascii="Cambria" w:hAnsi="Cambria"/>
          <w:sz w:val="20"/>
          <w:szCs w:val="20"/>
          <w:bdr w:val="none" w:sz="0" w:space="0" w:color="auto"/>
          <w:lang w:val="en"/>
        </w:rPr>
        <w:lastRenderedPageBreak/>
        <w:t xml:space="preserve">of all the alleged perpetrators does not alone show that the State has failed to fulfill its duty to investigate. Moreover, </w:t>
      </w:r>
      <w:r w:rsidR="00BF7006">
        <w:rPr>
          <w:rFonts w:ascii="Cambria" w:hAnsi="Cambria"/>
          <w:sz w:val="20"/>
          <w:szCs w:val="20"/>
          <w:bdr w:val="none" w:sz="0" w:space="0" w:color="auto"/>
          <w:lang w:val="en"/>
        </w:rPr>
        <w:t>the State</w:t>
      </w:r>
      <w:r>
        <w:rPr>
          <w:rFonts w:ascii="Cambria" w:hAnsi="Cambria"/>
          <w:sz w:val="20"/>
          <w:szCs w:val="20"/>
          <w:bdr w:val="none" w:sz="0" w:space="0" w:color="auto"/>
          <w:lang w:val="en"/>
        </w:rPr>
        <w:t xml:space="preserve"> holds that the </w:t>
      </w:r>
      <w:r>
        <w:rPr>
          <w:rFonts w:ascii="Cambria" w:hAnsi="Cambria"/>
          <w:sz w:val="20"/>
          <w:szCs w:val="20"/>
          <w:lang w:val="en"/>
        </w:rPr>
        <w:t>Second Specialized Criminal Court of Popayán Circuit</w:t>
      </w:r>
      <w:r w:rsidR="00BF7006">
        <w:rPr>
          <w:rFonts w:ascii="Cambria" w:hAnsi="Cambria"/>
          <w:sz w:val="20"/>
          <w:szCs w:val="20"/>
          <w:lang w:val="en"/>
        </w:rPr>
        <w:t xml:space="preserve"> decided not</w:t>
      </w:r>
      <w:r w:rsidR="00D000D3">
        <w:rPr>
          <w:rFonts w:ascii="Cambria" w:hAnsi="Cambria"/>
          <w:sz w:val="20"/>
          <w:szCs w:val="20"/>
          <w:lang w:val="en"/>
        </w:rPr>
        <w:t xml:space="preserve"> to</w:t>
      </w:r>
      <w:r>
        <w:rPr>
          <w:rFonts w:ascii="Cambria" w:hAnsi="Cambria"/>
          <w:sz w:val="20"/>
          <w:szCs w:val="20"/>
          <w:lang w:val="en"/>
        </w:rPr>
        <w:t xml:space="preserve"> grant reparations </w:t>
      </w:r>
      <w:r w:rsidR="002A2561">
        <w:rPr>
          <w:rFonts w:ascii="Cambria" w:hAnsi="Cambria"/>
          <w:sz w:val="20"/>
          <w:szCs w:val="20"/>
          <w:lang w:val="en"/>
        </w:rPr>
        <w:t>on considering the</w:t>
      </w:r>
      <w:r>
        <w:rPr>
          <w:rFonts w:ascii="Cambria" w:hAnsi="Cambria"/>
          <w:sz w:val="20"/>
          <w:szCs w:val="20"/>
          <w:lang w:val="en"/>
        </w:rPr>
        <w:t xml:space="preserve"> submitted evidence</w:t>
      </w:r>
      <w:r w:rsidR="00D000D3">
        <w:rPr>
          <w:rFonts w:ascii="Cambria" w:hAnsi="Cambria"/>
          <w:sz w:val="20"/>
          <w:szCs w:val="20"/>
          <w:lang w:val="en"/>
        </w:rPr>
        <w:t>;</w:t>
      </w:r>
      <w:r>
        <w:rPr>
          <w:rFonts w:ascii="Cambria" w:hAnsi="Cambria"/>
          <w:sz w:val="20"/>
          <w:szCs w:val="20"/>
          <w:lang w:val="en"/>
        </w:rPr>
        <w:t xml:space="preserve"> </w:t>
      </w:r>
      <w:r w:rsidR="002A2561">
        <w:rPr>
          <w:rFonts w:ascii="Cambria" w:hAnsi="Cambria"/>
          <w:sz w:val="20"/>
          <w:szCs w:val="20"/>
          <w:lang w:val="en"/>
        </w:rPr>
        <w:t xml:space="preserve">thus, </w:t>
      </w:r>
      <w:r>
        <w:rPr>
          <w:rFonts w:ascii="Cambria" w:hAnsi="Cambria"/>
          <w:sz w:val="20"/>
          <w:szCs w:val="20"/>
          <w:lang w:val="en"/>
        </w:rPr>
        <w:t xml:space="preserve">the IACHR should not replace the domestic bodies by </w:t>
      </w:r>
      <w:r w:rsidR="00F74267">
        <w:rPr>
          <w:rFonts w:ascii="Cambria" w:hAnsi="Cambria"/>
          <w:sz w:val="20"/>
          <w:szCs w:val="20"/>
          <w:lang w:val="en"/>
        </w:rPr>
        <w:t>conducting</w:t>
      </w:r>
      <w:r>
        <w:rPr>
          <w:rFonts w:ascii="Cambria" w:hAnsi="Cambria"/>
          <w:sz w:val="20"/>
          <w:szCs w:val="20"/>
          <w:lang w:val="en"/>
        </w:rPr>
        <w:t xml:space="preserve"> a new </w:t>
      </w:r>
      <w:r w:rsidR="002A2561">
        <w:rPr>
          <w:rFonts w:ascii="Cambria" w:hAnsi="Cambria"/>
          <w:sz w:val="20"/>
          <w:szCs w:val="20"/>
          <w:lang w:val="en"/>
        </w:rPr>
        <w:t>analysis</w:t>
      </w:r>
      <w:r w:rsidR="008E21D7">
        <w:rPr>
          <w:rFonts w:ascii="Cambria" w:hAnsi="Cambria"/>
          <w:sz w:val="20"/>
          <w:szCs w:val="20"/>
          <w:lang w:val="en"/>
        </w:rPr>
        <w:t xml:space="preserve">. The State </w:t>
      </w:r>
      <w:r>
        <w:rPr>
          <w:rFonts w:ascii="Cambria" w:hAnsi="Cambria"/>
          <w:sz w:val="20"/>
          <w:szCs w:val="20"/>
          <w:lang w:val="en"/>
        </w:rPr>
        <w:t xml:space="preserve">claims that in keeping the domestic rules, this decision was notified </w:t>
      </w:r>
      <w:r w:rsidR="00F667D7">
        <w:rPr>
          <w:rFonts w:ascii="Cambria" w:hAnsi="Cambria"/>
          <w:sz w:val="20"/>
          <w:szCs w:val="20"/>
          <w:lang w:val="en"/>
        </w:rPr>
        <w:t>through</w:t>
      </w:r>
      <w:r>
        <w:rPr>
          <w:rFonts w:ascii="Cambria" w:hAnsi="Cambria"/>
          <w:sz w:val="20"/>
          <w:szCs w:val="20"/>
          <w:lang w:val="en"/>
        </w:rPr>
        <w:t xml:space="preserve"> an edict on April 16, 2010; that, therefore, the alleged victims were able to chal</w:t>
      </w:r>
      <w:r w:rsidR="009F69C7">
        <w:rPr>
          <w:rFonts w:ascii="Cambria" w:hAnsi="Cambria"/>
          <w:sz w:val="20"/>
          <w:szCs w:val="20"/>
          <w:lang w:val="en"/>
        </w:rPr>
        <w:t xml:space="preserve">lenge the judgment. Further, the State </w:t>
      </w:r>
      <w:r>
        <w:rPr>
          <w:rFonts w:ascii="Cambria" w:hAnsi="Cambria"/>
          <w:sz w:val="20"/>
          <w:szCs w:val="20"/>
          <w:lang w:val="en"/>
        </w:rPr>
        <w:t>explains that the Contentious</w:t>
      </w:r>
      <w:r w:rsidR="005B6773">
        <w:rPr>
          <w:rFonts w:ascii="Cambria" w:hAnsi="Cambria"/>
          <w:sz w:val="20"/>
          <w:szCs w:val="20"/>
          <w:lang w:val="en"/>
        </w:rPr>
        <w:t xml:space="preserve"> </w:t>
      </w:r>
      <w:r>
        <w:rPr>
          <w:rFonts w:ascii="Cambria" w:hAnsi="Cambria"/>
          <w:sz w:val="20"/>
          <w:szCs w:val="20"/>
          <w:lang w:val="en"/>
        </w:rPr>
        <w:t xml:space="preserve">Administrative Court of Cauca dismissed the claims for damages presented by some of the alleged victims’ families in well-founded judgments proving the </w:t>
      </w:r>
      <w:r w:rsidR="002A2561">
        <w:rPr>
          <w:rFonts w:ascii="Cambria" w:hAnsi="Cambria"/>
          <w:sz w:val="20"/>
          <w:szCs w:val="20"/>
          <w:lang w:val="en"/>
        </w:rPr>
        <w:t>absence</w:t>
      </w:r>
      <w:r>
        <w:rPr>
          <w:rFonts w:ascii="Cambria" w:hAnsi="Cambria"/>
          <w:sz w:val="20"/>
          <w:szCs w:val="20"/>
          <w:lang w:val="en"/>
        </w:rPr>
        <w:t xml:space="preserve"> of State responsibility, </w:t>
      </w:r>
      <w:r w:rsidR="002A2561">
        <w:rPr>
          <w:rFonts w:ascii="Cambria" w:hAnsi="Cambria"/>
          <w:sz w:val="20"/>
          <w:szCs w:val="20"/>
          <w:lang w:val="en"/>
        </w:rPr>
        <w:t>given</w:t>
      </w:r>
      <w:r>
        <w:rPr>
          <w:rFonts w:ascii="Cambria" w:hAnsi="Cambria"/>
          <w:sz w:val="20"/>
          <w:szCs w:val="20"/>
          <w:lang w:val="en"/>
        </w:rPr>
        <w:t xml:space="preserve"> the </w:t>
      </w:r>
      <w:r w:rsidR="002A2561">
        <w:rPr>
          <w:rFonts w:ascii="Cambria" w:hAnsi="Cambria"/>
          <w:sz w:val="20"/>
          <w:szCs w:val="20"/>
          <w:lang w:val="en"/>
        </w:rPr>
        <w:t>impossibility to</w:t>
      </w:r>
      <w:r>
        <w:rPr>
          <w:rFonts w:ascii="Cambria" w:hAnsi="Cambria"/>
          <w:sz w:val="20"/>
          <w:szCs w:val="20"/>
          <w:lang w:val="en"/>
        </w:rPr>
        <w:t xml:space="preserve"> prevent the facts denounced. Accordingly, the State requests that the petition be declared inadmissible </w:t>
      </w:r>
      <w:r w:rsidR="002A2561">
        <w:rPr>
          <w:rFonts w:ascii="Cambria" w:hAnsi="Cambria"/>
          <w:sz w:val="20"/>
          <w:szCs w:val="20"/>
          <w:lang w:val="en"/>
        </w:rPr>
        <w:t>per</w:t>
      </w:r>
      <w:r>
        <w:rPr>
          <w:rFonts w:ascii="Cambria" w:hAnsi="Cambria"/>
          <w:sz w:val="20"/>
          <w:szCs w:val="20"/>
          <w:lang w:val="en"/>
        </w:rPr>
        <w:t xml:space="preserve"> Article 47.b of the American Convention, </w:t>
      </w:r>
      <w:r w:rsidR="002A2561">
        <w:rPr>
          <w:rFonts w:ascii="Cambria" w:hAnsi="Cambria"/>
          <w:sz w:val="20"/>
          <w:szCs w:val="20"/>
          <w:lang w:val="en"/>
        </w:rPr>
        <w:t>because</w:t>
      </w:r>
      <w:r>
        <w:rPr>
          <w:rFonts w:ascii="Cambria" w:hAnsi="Cambria"/>
          <w:sz w:val="20"/>
          <w:szCs w:val="20"/>
          <w:lang w:val="en"/>
        </w:rPr>
        <w:t xml:space="preserve"> the petitioner expects that the Commission will work as a higher court, in contravention of its subsidiary nature.</w:t>
      </w:r>
      <w:r w:rsidR="00ED30B3">
        <w:rPr>
          <w:rFonts w:ascii="Cambria" w:hAnsi="Cambria"/>
          <w:sz w:val="20"/>
          <w:szCs w:val="20"/>
          <w:lang w:val="en"/>
        </w:rPr>
        <w:t xml:space="preserve"> </w:t>
      </w:r>
    </w:p>
    <w:p w14:paraId="04C7FAB2" w14:textId="6696EED3" w:rsidR="00770F33" w:rsidRPr="00132A3A" w:rsidRDefault="00770F33"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rPr>
      </w:pPr>
      <w:r>
        <w:rPr>
          <w:rFonts w:ascii="Cambria" w:hAnsi="Cambria"/>
          <w:sz w:val="20"/>
          <w:szCs w:val="20"/>
          <w:lang w:val="en"/>
        </w:rPr>
        <w:t>Finally, the State claims the non</w:t>
      </w:r>
      <w:r w:rsidR="002F2CEA">
        <w:rPr>
          <w:rFonts w:ascii="Cambria" w:hAnsi="Cambria"/>
          <w:sz w:val="20"/>
          <w:szCs w:val="20"/>
          <w:lang w:val="en"/>
        </w:rPr>
        <w:t>-</w:t>
      </w:r>
      <w:r>
        <w:rPr>
          <w:rFonts w:ascii="Cambria" w:hAnsi="Cambria"/>
          <w:sz w:val="20"/>
          <w:szCs w:val="20"/>
          <w:lang w:val="en"/>
        </w:rPr>
        <w:t>exhaustion of domestic remedies by the family of alleged victims Rubén Darío Sánchez Urm</w:t>
      </w:r>
      <w:r w:rsidR="00314028">
        <w:rPr>
          <w:rFonts w:ascii="Cambria" w:hAnsi="Cambria"/>
          <w:sz w:val="20"/>
          <w:szCs w:val="20"/>
          <w:lang w:val="en"/>
        </w:rPr>
        <w:t>e</w:t>
      </w:r>
      <w:r>
        <w:rPr>
          <w:rFonts w:ascii="Cambria" w:hAnsi="Cambria"/>
          <w:sz w:val="20"/>
          <w:szCs w:val="20"/>
          <w:lang w:val="en"/>
        </w:rPr>
        <w:t>ndez, Florencio Fl</w:t>
      </w:r>
      <w:r w:rsidR="00774528">
        <w:rPr>
          <w:rFonts w:ascii="Cambria" w:hAnsi="Cambria"/>
          <w:sz w:val="20"/>
          <w:szCs w:val="20"/>
          <w:lang w:val="en"/>
        </w:rPr>
        <w:t>o</w:t>
      </w:r>
      <w:r>
        <w:rPr>
          <w:rFonts w:ascii="Cambria" w:hAnsi="Cambria"/>
          <w:sz w:val="20"/>
          <w:szCs w:val="20"/>
          <w:lang w:val="en"/>
        </w:rPr>
        <w:t xml:space="preserve">rez Mesa, and José Luis Campo Imbachi, </w:t>
      </w:r>
      <w:r w:rsidR="002A2561">
        <w:rPr>
          <w:rFonts w:ascii="Cambria" w:hAnsi="Cambria"/>
          <w:sz w:val="20"/>
          <w:szCs w:val="20"/>
          <w:lang w:val="en"/>
        </w:rPr>
        <w:t xml:space="preserve">because </w:t>
      </w:r>
      <w:r>
        <w:rPr>
          <w:rFonts w:ascii="Cambria" w:hAnsi="Cambria"/>
          <w:sz w:val="20"/>
          <w:szCs w:val="20"/>
          <w:lang w:val="en"/>
        </w:rPr>
        <w:t xml:space="preserve">of the </w:t>
      </w:r>
      <w:r w:rsidR="008E21D7">
        <w:rPr>
          <w:rFonts w:ascii="Cambria" w:hAnsi="Cambria"/>
          <w:sz w:val="20"/>
          <w:szCs w:val="20"/>
          <w:lang w:val="en"/>
        </w:rPr>
        <w:t xml:space="preserve">lack of a claim for damages. The State </w:t>
      </w:r>
      <w:r>
        <w:rPr>
          <w:rFonts w:ascii="Cambria" w:hAnsi="Cambria"/>
          <w:sz w:val="20"/>
          <w:szCs w:val="20"/>
          <w:lang w:val="en"/>
        </w:rPr>
        <w:t xml:space="preserve">considers that this remedy is adequate and effective for determining the State’s responsibility in cases of possible violations of the American Convention; that, consequently, this must be pursued before filing a petition to the IACHR. </w:t>
      </w:r>
    </w:p>
    <w:p w14:paraId="06E93A3C" w14:textId="0ABAAF91" w:rsidR="00770F33" w:rsidRPr="00132A3A" w:rsidRDefault="00770F33" w:rsidP="00770F33">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sidR="006A4B3F">
        <w:rPr>
          <w:rFonts w:asciiTheme="majorHAnsi" w:hAnsiTheme="majorHAnsi"/>
          <w:b/>
          <w:bCs/>
          <w:color w:val="000000"/>
          <w:sz w:val="20"/>
          <w:szCs w:val="20"/>
          <w:u w:color="000000"/>
          <w:lang w:val="en"/>
        </w:rPr>
        <w:t xml:space="preserve">ANALYSIS OF THE </w:t>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14:paraId="3C6BD2C9" w14:textId="2DEAABEA" w:rsidR="00770F33" w:rsidRPr="00132A3A" w:rsidRDefault="001C48FF"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bdr w:val="none" w:sz="0" w:space="0" w:color="auto"/>
          <w:lang w:val="en"/>
        </w:rPr>
        <w:t>The P</w:t>
      </w:r>
      <w:r w:rsidR="00770F33">
        <w:rPr>
          <w:rFonts w:ascii="Cambria" w:hAnsi="Cambria"/>
          <w:sz w:val="20"/>
          <w:szCs w:val="20"/>
          <w:bdr w:val="none" w:sz="0" w:space="0" w:color="auto"/>
          <w:lang w:val="en"/>
        </w:rPr>
        <w:t>etitioner claims that the criminal proceedings held regarding the facts exceeded the reasonable term and that not all the responsible parties have been</w:t>
      </w:r>
      <w:r>
        <w:rPr>
          <w:rFonts w:ascii="Cambria" w:hAnsi="Cambria"/>
          <w:sz w:val="20"/>
          <w:szCs w:val="20"/>
          <w:bdr w:val="none" w:sz="0" w:space="0" w:color="auto"/>
          <w:lang w:val="en"/>
        </w:rPr>
        <w:t xml:space="preserve"> punished so far. Therefore, the Petitioner </w:t>
      </w:r>
      <w:r w:rsidR="00770F33">
        <w:rPr>
          <w:rFonts w:ascii="Cambria" w:hAnsi="Cambria"/>
          <w:sz w:val="20"/>
          <w:szCs w:val="20"/>
          <w:bdr w:val="none" w:sz="0" w:space="0" w:color="auto"/>
          <w:lang w:val="en"/>
        </w:rPr>
        <w:t xml:space="preserve">requests the application of the exception set forth in Article 46.2.c of the American Convention. In turn, the State says that the petition was filed beyond the established deadline and that in the case of the relatives of </w:t>
      </w:r>
      <w:r w:rsidR="00770F33">
        <w:rPr>
          <w:rFonts w:ascii="Cambria" w:hAnsi="Cambria"/>
          <w:sz w:val="20"/>
          <w:szCs w:val="20"/>
          <w:lang w:val="en"/>
        </w:rPr>
        <w:t>Rubén Darío Sánchez Urm</w:t>
      </w:r>
      <w:r w:rsidR="00314028">
        <w:rPr>
          <w:rFonts w:ascii="Cambria" w:hAnsi="Cambria"/>
          <w:sz w:val="20"/>
          <w:szCs w:val="20"/>
          <w:lang w:val="en"/>
        </w:rPr>
        <w:t>e</w:t>
      </w:r>
      <w:r w:rsidR="00770F33">
        <w:rPr>
          <w:rFonts w:ascii="Cambria" w:hAnsi="Cambria"/>
          <w:sz w:val="20"/>
          <w:szCs w:val="20"/>
          <w:lang w:val="en"/>
        </w:rPr>
        <w:t>ndez, Florencio Fl</w:t>
      </w:r>
      <w:r w:rsidR="00774528">
        <w:rPr>
          <w:rFonts w:ascii="Cambria" w:hAnsi="Cambria"/>
          <w:sz w:val="20"/>
          <w:szCs w:val="20"/>
          <w:lang w:val="en"/>
        </w:rPr>
        <w:t>o</w:t>
      </w:r>
      <w:r w:rsidR="00770F33">
        <w:rPr>
          <w:rFonts w:ascii="Cambria" w:hAnsi="Cambria"/>
          <w:sz w:val="20"/>
          <w:szCs w:val="20"/>
          <w:lang w:val="en"/>
        </w:rPr>
        <w:t xml:space="preserve">rez Mesa, and José Luis Campo Imbachi, domestic remedies have not been exhausted because a claim for damages has not been filed. </w:t>
      </w:r>
    </w:p>
    <w:p w14:paraId="0F822B56" w14:textId="6BB89D72" w:rsidR="00770F33" w:rsidRPr="00132A3A" w:rsidRDefault="00770F33"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eastAsia="Times New Roman" w:hAnsi="Cambria"/>
          <w:sz w:val="20"/>
          <w:szCs w:val="20"/>
          <w:bdr w:val="none" w:sz="0" w:space="0" w:color="auto"/>
          <w:lang w:val="en"/>
        </w:rPr>
        <w:t>In this regard, the Commission observes that in petitions involving alleged violations of the rights to life and humane treatment, the domestic remedies to be considered in the admissibility study are those concerning the criminal investigation and punishment of those responsible, and enabling other forms of compensation.</w:t>
      </w:r>
      <w:r>
        <w:rPr>
          <w:rStyle w:val="FootnoteReference"/>
          <w:rFonts w:ascii="Cambria" w:eastAsia="Times New Roman" w:hAnsi="Cambria"/>
          <w:sz w:val="20"/>
          <w:szCs w:val="20"/>
          <w:bdr w:val="none" w:sz="0" w:space="0" w:color="auto"/>
          <w:lang w:val="en"/>
        </w:rPr>
        <w:footnoteReference w:id="6"/>
      </w:r>
      <w:r>
        <w:rPr>
          <w:rFonts w:ascii="Cambria" w:eastAsia="Times New Roman" w:hAnsi="Cambria"/>
          <w:sz w:val="20"/>
          <w:szCs w:val="20"/>
          <w:bdr w:val="none" w:sz="0" w:space="0" w:color="auto"/>
          <w:lang w:val="en"/>
        </w:rPr>
        <w:t xml:space="preserve"> In this case, the Commission observes that regardless of a few final convictions, the information submitted shows that not all of the alleged persons responsible have been investigated or pun</w:t>
      </w:r>
      <w:r w:rsidR="006A4B3F">
        <w:rPr>
          <w:rFonts w:ascii="Cambria" w:eastAsia="Times New Roman" w:hAnsi="Cambria"/>
          <w:sz w:val="20"/>
          <w:szCs w:val="20"/>
          <w:bdr w:val="none" w:sz="0" w:space="0" w:color="auto"/>
          <w:lang w:val="en"/>
        </w:rPr>
        <w:t>ished even though it has been nine</w:t>
      </w:r>
      <w:r w:rsidR="008F4CA0">
        <w:rPr>
          <w:rFonts w:ascii="Cambria" w:eastAsia="Times New Roman" w:hAnsi="Cambria"/>
          <w:sz w:val="20"/>
          <w:szCs w:val="20"/>
          <w:bdr w:val="none" w:sz="0" w:space="0" w:color="auto"/>
          <w:lang w:val="en"/>
        </w:rPr>
        <w:t xml:space="preserve"> </w:t>
      </w:r>
      <w:r w:rsidR="006A4B3F">
        <w:rPr>
          <w:rFonts w:ascii="Cambria" w:eastAsia="Times New Roman" w:hAnsi="Cambria"/>
          <w:sz w:val="20"/>
          <w:szCs w:val="20"/>
          <w:bdr w:val="none" w:sz="0" w:space="0" w:color="auto"/>
          <w:lang w:val="en"/>
        </w:rPr>
        <w:t>teen</w:t>
      </w:r>
      <w:r>
        <w:rPr>
          <w:rFonts w:ascii="Cambria" w:eastAsia="Times New Roman" w:hAnsi="Cambria"/>
          <w:sz w:val="20"/>
          <w:szCs w:val="20"/>
          <w:bdr w:val="none" w:sz="0" w:space="0" w:color="auto"/>
          <w:lang w:val="en"/>
        </w:rPr>
        <w:t xml:space="preserve"> years since the massacre. In view of the foregoing, the IACHR decides to apply in this case the exception to the exhaustion of domestic remedies established in Article 46.2.c of the Convention, as it did in previous petitions alleging situations of partial impunity.</w:t>
      </w:r>
      <w:r>
        <w:rPr>
          <w:rStyle w:val="FootnoteReference"/>
          <w:rFonts w:ascii="Cambria" w:eastAsia="Times New Roman" w:hAnsi="Cambria"/>
          <w:sz w:val="20"/>
          <w:szCs w:val="20"/>
          <w:bdr w:val="none" w:sz="0" w:space="0" w:color="auto"/>
          <w:lang w:val="en"/>
        </w:rPr>
        <w:footnoteReference w:id="7"/>
      </w:r>
      <w:r w:rsidR="005B6773">
        <w:rPr>
          <w:rFonts w:ascii="Cambria" w:eastAsia="Times New Roman" w:hAnsi="Cambria"/>
          <w:sz w:val="20"/>
          <w:szCs w:val="20"/>
          <w:bdr w:val="none" w:sz="0" w:space="0" w:color="auto"/>
          <w:lang w:val="en"/>
        </w:rPr>
        <w:t xml:space="preserve"> </w:t>
      </w:r>
    </w:p>
    <w:p w14:paraId="0FC52C35" w14:textId="36839E38" w:rsidR="00770F33" w:rsidRPr="00132A3A" w:rsidRDefault="00770F33"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eastAsia="Times New Roman" w:hAnsi="Cambria"/>
          <w:sz w:val="20"/>
          <w:szCs w:val="20"/>
          <w:bdr w:val="none" w:sz="0" w:space="0" w:color="auto"/>
          <w:lang w:val="en"/>
        </w:rPr>
        <w:t>The IACHR reiterates that in order to determine the admissibility of a claim such as the one at hand, the claim for damages is not a suitable remedy and need not be exhausted, in that it is inappropriate for providing comprehensive reparation and justice to the family. Additionally, the IACHR has argued that reparations granted by an administrative or judicial body n</w:t>
      </w:r>
      <w:r w:rsidR="0044712F">
        <w:rPr>
          <w:rFonts w:ascii="Cambria" w:eastAsia="Times New Roman" w:hAnsi="Cambria"/>
          <w:sz w:val="20"/>
          <w:szCs w:val="20"/>
          <w:bdr w:val="none" w:sz="0" w:space="0" w:color="auto"/>
          <w:lang w:val="en"/>
        </w:rPr>
        <w:t>either</w:t>
      </w:r>
      <w:r>
        <w:rPr>
          <w:rFonts w:ascii="Cambria" w:eastAsia="Times New Roman" w:hAnsi="Cambria"/>
          <w:sz w:val="20"/>
          <w:szCs w:val="20"/>
          <w:bdr w:val="none" w:sz="0" w:space="0" w:color="auto"/>
          <w:lang w:val="en"/>
        </w:rPr>
        <w:t xml:space="preserve"> exclude other remedies </w:t>
      </w:r>
      <w:r w:rsidR="0044712F">
        <w:rPr>
          <w:rFonts w:ascii="Cambria" w:eastAsia="Times New Roman" w:hAnsi="Cambria"/>
          <w:sz w:val="20"/>
          <w:szCs w:val="20"/>
          <w:bdr w:val="none" w:sz="0" w:space="0" w:color="auto"/>
          <w:lang w:val="en"/>
        </w:rPr>
        <w:t>nor</w:t>
      </w:r>
      <w:r>
        <w:rPr>
          <w:rFonts w:ascii="Cambria" w:eastAsia="Times New Roman" w:hAnsi="Cambria"/>
          <w:sz w:val="20"/>
          <w:szCs w:val="20"/>
          <w:bdr w:val="none" w:sz="0" w:space="0" w:color="auto"/>
          <w:lang w:val="en"/>
        </w:rPr>
        <w:t xml:space="preserve"> exempt the State from its duty to deliver justice for the damage caused.</w:t>
      </w:r>
      <w:r>
        <w:rPr>
          <w:rStyle w:val="FootnoteReference"/>
          <w:rFonts w:ascii="Cambria" w:eastAsia="Times New Roman" w:hAnsi="Cambria"/>
          <w:sz w:val="20"/>
          <w:szCs w:val="20"/>
          <w:bdr w:val="none" w:sz="0" w:space="0" w:color="auto"/>
          <w:lang w:val="en"/>
        </w:rPr>
        <w:footnoteReference w:id="8"/>
      </w:r>
      <w:r w:rsidR="005B6773">
        <w:rPr>
          <w:rFonts w:ascii="Cambria" w:eastAsia="Times New Roman" w:hAnsi="Cambria"/>
          <w:sz w:val="20"/>
          <w:szCs w:val="20"/>
          <w:bdr w:val="none" w:sz="0" w:space="0" w:color="auto"/>
          <w:lang w:val="en"/>
        </w:rPr>
        <w:t xml:space="preserve"> </w:t>
      </w:r>
    </w:p>
    <w:p w14:paraId="1A3D95F1" w14:textId="283A99B7" w:rsidR="00770F33" w:rsidRPr="008E005C" w:rsidRDefault="00770F33"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rPr>
      </w:pPr>
      <w:r>
        <w:rPr>
          <w:rFonts w:ascii="Cambria" w:hAnsi="Cambria"/>
          <w:sz w:val="20"/>
          <w:szCs w:val="20"/>
          <w:bdr w:val="none" w:sz="0" w:space="0" w:color="auto"/>
          <w:lang w:val="en"/>
        </w:rPr>
        <w:t xml:space="preserve">As for the filing of this petition, the IACHR observes that although the alleged facts occurred on January 15, 2001, and it received the petition on </w:t>
      </w:r>
      <w:r>
        <w:rPr>
          <w:rFonts w:ascii="Cambria" w:hAnsi="Cambria"/>
          <w:sz w:val="20"/>
          <w:szCs w:val="20"/>
          <w:lang w:val="en"/>
        </w:rPr>
        <w:t>March 29, 2011</w:t>
      </w:r>
      <w:r>
        <w:rPr>
          <w:rFonts w:ascii="Cambria" w:hAnsi="Cambria"/>
          <w:sz w:val="20"/>
          <w:szCs w:val="20"/>
          <w:bdr w:val="none" w:sz="0" w:space="0" w:color="auto"/>
          <w:lang w:val="en"/>
        </w:rPr>
        <w:t>, some of the effects of these facts appear to persist</w:t>
      </w:r>
      <w:r w:rsidR="008E0387">
        <w:rPr>
          <w:rFonts w:ascii="Cambria" w:hAnsi="Cambria"/>
          <w:sz w:val="20"/>
          <w:szCs w:val="20"/>
          <w:bdr w:val="none" w:sz="0" w:space="0" w:color="auto"/>
          <w:lang w:val="en"/>
        </w:rPr>
        <w:t xml:space="preserve"> in the present</w:t>
      </w:r>
      <w:r>
        <w:rPr>
          <w:rFonts w:ascii="Cambria" w:hAnsi="Cambria"/>
          <w:sz w:val="20"/>
          <w:szCs w:val="20"/>
          <w:bdr w:val="none" w:sz="0" w:space="0" w:color="auto"/>
          <w:lang w:val="en"/>
        </w:rPr>
        <w:t xml:space="preserve">, such as the lack of identification and punishment of those responsible and the lack of reparations for the victims. Thus, having applied the exception set forth in Article 46.2.c of the Convention </w:t>
      </w:r>
      <w:r>
        <w:rPr>
          <w:rFonts w:ascii="Cambria" w:hAnsi="Cambria"/>
          <w:sz w:val="20"/>
          <w:szCs w:val="20"/>
          <w:bdr w:val="none" w:sz="0" w:space="0" w:color="auto"/>
          <w:lang w:val="en"/>
        </w:rPr>
        <w:lastRenderedPageBreak/>
        <w:t xml:space="preserve">and considering the context and the characteristics of the matter at hand, the IACHR concludes that the petition was filed within a reasonable time under Article 32.2 of the IACHR Rules of Procedure. </w:t>
      </w:r>
    </w:p>
    <w:p w14:paraId="47AE0A3A" w14:textId="268A6F93" w:rsidR="00770F33" w:rsidRPr="00132A3A" w:rsidRDefault="00770F33" w:rsidP="00770F33">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r>
      <w:r w:rsidR="00C772B0">
        <w:rPr>
          <w:rFonts w:asciiTheme="majorHAnsi" w:hAnsiTheme="majorHAnsi"/>
          <w:b/>
          <w:bCs/>
          <w:sz w:val="20"/>
          <w:szCs w:val="20"/>
          <w:lang w:val="en"/>
        </w:rPr>
        <w:t xml:space="preserve">ANALYSIS OF </w:t>
      </w:r>
      <w:r>
        <w:rPr>
          <w:rFonts w:asciiTheme="majorHAnsi" w:hAnsiTheme="majorHAnsi"/>
          <w:b/>
          <w:bCs/>
          <w:sz w:val="20"/>
          <w:szCs w:val="20"/>
          <w:lang w:val="en"/>
        </w:rPr>
        <w:t>COLORABLE CLAIM</w:t>
      </w:r>
    </w:p>
    <w:p w14:paraId="7ACB3E70" w14:textId="44C38B4B" w:rsidR="00770F33" w:rsidRPr="008D136E" w:rsidRDefault="00770F33"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rPr>
      </w:pPr>
      <w:r>
        <w:rPr>
          <w:rFonts w:asciiTheme="majorHAnsi" w:hAnsiTheme="majorHAnsi"/>
          <w:sz w:val="20"/>
          <w:szCs w:val="20"/>
          <w:bdr w:val="none" w:sz="0" w:space="0" w:color="auto"/>
          <w:lang w:val="en"/>
        </w:rPr>
        <w:t xml:space="preserve">In view of the available factual and legal elements, the IACHR considers that, if proven, the allegations of a lack of due diligence in the investigation and punishment of all those responsible for the killings and the damage on the alleged victims; their ensuing forced displacement, and the suppression of the families’ community activities all may constitute violations of the rights protected by Articles 4 (life), 5 (humane treatment), </w:t>
      </w:r>
      <w:r>
        <w:rPr>
          <w:rFonts w:asciiTheme="majorHAnsi" w:hAnsiTheme="majorHAnsi"/>
          <w:sz w:val="20"/>
          <w:szCs w:val="20"/>
          <w:lang w:val="en"/>
        </w:rPr>
        <w:t>8 (fair trial), 13 (freedom of thought and expression), 22 (residence and movement), and 25 (judicial protection) of the American Convention.</w:t>
      </w:r>
      <w:r w:rsidR="00ED30B3">
        <w:rPr>
          <w:rFonts w:asciiTheme="majorHAnsi" w:hAnsiTheme="majorHAnsi"/>
          <w:sz w:val="20"/>
          <w:szCs w:val="20"/>
          <w:lang w:val="en"/>
        </w:rPr>
        <w:t xml:space="preserve"> </w:t>
      </w:r>
    </w:p>
    <w:p w14:paraId="62275A0D" w14:textId="0A4D3E4C" w:rsidR="00770F33" w:rsidRPr="008D136E" w:rsidRDefault="00770F33" w:rsidP="00770F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rPr>
      </w:pPr>
      <w:r>
        <w:rPr>
          <w:rFonts w:asciiTheme="majorHAnsi" w:hAnsiTheme="majorHAnsi"/>
          <w:sz w:val="20"/>
          <w:szCs w:val="20"/>
          <w:bdr w:val="none" w:sz="0" w:space="0" w:color="auto"/>
          <w:lang w:val="en"/>
        </w:rPr>
        <w:t>Regarding the allegations by the State of “</w:t>
      </w:r>
      <w:r w:rsidR="008E0387">
        <w:rPr>
          <w:rFonts w:asciiTheme="majorHAnsi" w:hAnsiTheme="majorHAnsi"/>
          <w:sz w:val="20"/>
          <w:szCs w:val="20"/>
          <w:bdr w:val="none" w:sz="0" w:space="0" w:color="auto"/>
          <w:lang w:val="en"/>
        </w:rPr>
        <w:t>the</w:t>
      </w:r>
      <w:r>
        <w:rPr>
          <w:rFonts w:asciiTheme="majorHAnsi" w:hAnsiTheme="majorHAnsi"/>
          <w:sz w:val="20"/>
          <w:szCs w:val="20"/>
          <w:bdr w:val="none" w:sz="0" w:space="0" w:color="auto"/>
          <w:lang w:val="en"/>
        </w:rPr>
        <w:t xml:space="preserve"> fourth ins</w:t>
      </w:r>
      <w:r w:rsidR="008E0387">
        <w:rPr>
          <w:rFonts w:asciiTheme="majorHAnsi" w:hAnsiTheme="majorHAnsi"/>
          <w:sz w:val="20"/>
          <w:szCs w:val="20"/>
          <w:bdr w:val="none" w:sz="0" w:space="0" w:color="auto"/>
          <w:lang w:val="en"/>
        </w:rPr>
        <w:t>tance of jurisdiction</w:t>
      </w:r>
      <w:r>
        <w:rPr>
          <w:rFonts w:asciiTheme="majorHAnsi" w:hAnsiTheme="majorHAnsi"/>
          <w:sz w:val="20"/>
          <w:szCs w:val="20"/>
          <w:bdr w:val="none" w:sz="0" w:space="0" w:color="auto"/>
          <w:lang w:val="en"/>
        </w:rPr>
        <w:t xml:space="preserve">,” </w:t>
      </w:r>
      <w:r>
        <w:rPr>
          <w:rFonts w:asciiTheme="majorHAnsi" w:hAnsiTheme="majorHAnsi"/>
          <w:sz w:val="20"/>
          <w:szCs w:val="20"/>
          <w:lang w:val="en"/>
        </w:rPr>
        <w:t xml:space="preserve">the Commission reiterates that for the purpose of admissibility, it must decide whether the facts alleged could characterize a violation of rights under the provisions of Article 47.b of the American Convention or whether the petition is “manifestly groundless” or “obviously out of order,” pursuant to subparagraph (c) of the said article. The </w:t>
      </w:r>
      <w:r w:rsidR="005B6773">
        <w:rPr>
          <w:rFonts w:asciiTheme="majorHAnsi" w:hAnsiTheme="majorHAnsi"/>
          <w:sz w:val="20"/>
          <w:szCs w:val="20"/>
          <w:lang w:val="en"/>
        </w:rPr>
        <w:t>criterion for evaluating</w:t>
      </w:r>
      <w:r>
        <w:rPr>
          <w:rFonts w:asciiTheme="majorHAnsi" w:hAnsiTheme="majorHAnsi"/>
          <w:sz w:val="20"/>
          <w:szCs w:val="20"/>
          <w:lang w:val="en"/>
        </w:rPr>
        <w:t xml:space="preserve"> these requirements differs from that used for ruling on the merits of a petition. Moreover, within its mandate, the Commission is competent to declare a petition admissible when this concerns domestic legal proceedings that may be in violation of the rights protected by the American Convention. Thus, by declaring a petition admissible, the IACHR does not seek to replace the competence of domestic judicial authorities; however, it is competent to declare a petition admissible and rule on the merits when this involves domestic legal proceedings that may be in violation of the rights protected by the American Convention.</w:t>
      </w:r>
    </w:p>
    <w:p w14:paraId="1AB69F3C" w14:textId="77777777" w:rsidR="00770F33" w:rsidRPr="00132A3A" w:rsidRDefault="00770F33" w:rsidP="00770F33">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6B077399" w14:textId="77777777" w:rsidR="00770F33" w:rsidRPr="00132A3A" w:rsidRDefault="00770F33" w:rsidP="00770F3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 xml:space="preserve">To declare this petition admissible with regard to </w:t>
      </w:r>
      <w:r>
        <w:rPr>
          <w:rFonts w:ascii="Cambria" w:hAnsi="Cambria"/>
          <w:sz w:val="20"/>
          <w:szCs w:val="20"/>
          <w:lang w:val="en"/>
        </w:rPr>
        <w:t xml:space="preserve">Articles 4, 5, 8, 13, 22, and 25 of the American Convention in accordance with Article 1.1 thereof; and </w:t>
      </w:r>
    </w:p>
    <w:p w14:paraId="17EA9445" w14:textId="77777777" w:rsidR="00770F33" w:rsidRDefault="00770F33" w:rsidP="00770F3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p>
    <w:p w14:paraId="3BB05C2C" w14:textId="211ED020" w:rsidR="00BE0EC7" w:rsidRDefault="00BE0EC7" w:rsidP="00BE0EC7">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6</w:t>
      </w:r>
      <w:r w:rsidRPr="00BE0EC7">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day of the month of</w:t>
      </w:r>
      <w:r w:rsidR="004A7D67">
        <w:rPr>
          <w:rFonts w:ascii="Cambria" w:hAnsi="Cambria"/>
          <w:spacing w:val="-2"/>
          <w:sz w:val="20"/>
        </w:rPr>
        <w:t xml:space="preserve"> September</w:t>
      </w:r>
      <w:r>
        <w:rPr>
          <w:rFonts w:ascii="Cambria" w:hAnsi="Cambria"/>
          <w:spacing w:val="-2"/>
          <w:sz w:val="20"/>
        </w:rPr>
        <w: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D46CCE5" w14:textId="77777777" w:rsid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402F3F03" w14:textId="77777777" w:rsid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6F913D6A" w14:textId="77777777"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79211E25" w14:textId="77777777" w:rsidR="00770F33" w:rsidRDefault="00770F33">
      <w:pPr>
        <w:rPr>
          <w:rFonts w:ascii="Cambria" w:eastAsia="Times New Roman" w:hAnsi="Cambria" w:cs="Cambria"/>
          <w:b/>
          <w:bCs/>
          <w:color w:val="000000"/>
          <w:sz w:val="20"/>
          <w:szCs w:val="20"/>
          <w:u w:color="000000"/>
          <w:bdr w:val="none" w:sz="0" w:space="0" w:color="auto"/>
          <w:lang w:val="en" w:eastAsia="es-ES"/>
        </w:rPr>
      </w:pPr>
      <w:r>
        <w:rPr>
          <w:rFonts w:eastAsia="Times New Roman"/>
          <w:b/>
          <w:bCs/>
          <w:sz w:val="20"/>
          <w:szCs w:val="20"/>
          <w:bdr w:val="none" w:sz="0" w:space="0" w:color="auto"/>
          <w:lang w:val="en"/>
        </w:rPr>
        <w:br w:type="page"/>
      </w:r>
    </w:p>
    <w:p w14:paraId="31EDF7DB" w14:textId="19BCC011" w:rsidR="00770F33" w:rsidRPr="00132A3A" w:rsidRDefault="00770F33" w:rsidP="00770F3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lang w:val="en"/>
        </w:rPr>
        <w:lastRenderedPageBreak/>
        <w:t>Annex 1</w:t>
      </w:r>
    </w:p>
    <w:p w14:paraId="114A5937" w14:textId="77777777" w:rsidR="00770F33" w:rsidRPr="00132A3A" w:rsidRDefault="00770F33" w:rsidP="00770F3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rPr>
      </w:pPr>
      <w:r>
        <w:rPr>
          <w:rFonts w:eastAsia="Times New Roman"/>
          <w:b/>
          <w:bCs/>
          <w:sz w:val="20"/>
          <w:szCs w:val="20"/>
          <w:bdr w:val="none" w:sz="0" w:space="0" w:color="auto"/>
          <w:lang w:val="en"/>
        </w:rPr>
        <w:t>Alleged victims</w:t>
      </w:r>
    </w:p>
    <w:p w14:paraId="6C4D3F7C" w14:textId="1F21B96F" w:rsidR="00770F33" w:rsidRPr="00132A3A"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rPr>
      </w:pPr>
      <w:r>
        <w:rPr>
          <w:b/>
          <w:bCs/>
          <w:sz w:val="20"/>
          <w:szCs w:val="20"/>
          <w:lang w:val="en"/>
        </w:rPr>
        <w:t>Over Jos</w:t>
      </w:r>
      <w:r w:rsidR="00E241BE">
        <w:rPr>
          <w:b/>
          <w:bCs/>
          <w:sz w:val="20"/>
          <w:szCs w:val="20"/>
          <w:lang w:val="en"/>
        </w:rPr>
        <w:t>é</w:t>
      </w:r>
      <w:r>
        <w:rPr>
          <w:b/>
          <w:bCs/>
          <w:sz w:val="20"/>
          <w:szCs w:val="20"/>
          <w:lang w:val="en"/>
        </w:rPr>
        <w:t xml:space="preserve"> Quila (injured)</w:t>
      </w:r>
    </w:p>
    <w:p w14:paraId="6A897433" w14:textId="77777777"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b/>
          <w:bCs/>
          <w:sz w:val="20"/>
          <w:szCs w:val="20"/>
        </w:rPr>
      </w:pPr>
    </w:p>
    <w:p w14:paraId="363BC7FB" w14:textId="77777777" w:rsidR="00770F33" w:rsidRPr="00770F33"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770F33">
        <w:rPr>
          <w:b/>
          <w:bCs/>
          <w:sz w:val="20"/>
          <w:szCs w:val="20"/>
          <w:lang w:val="es-ES"/>
        </w:rPr>
        <w:t>Carlos Adolfo Chantre Peña (dead)</w:t>
      </w:r>
    </w:p>
    <w:p w14:paraId="2E73C0E6" w14:textId="77777777"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Next of kin:</w:t>
      </w:r>
    </w:p>
    <w:p w14:paraId="29BC13CB" w14:textId="77777777"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1. Bertha Irene Peña Galvis (mother)</w:t>
      </w:r>
    </w:p>
    <w:p w14:paraId="2F501D3A" w14:textId="77777777"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2. Carlos Adolfo Chantre (father)</w:t>
      </w:r>
    </w:p>
    <w:p w14:paraId="2F7E02AD" w14:textId="7DBEC3A6"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3. María del Socorro Chantre (sister)</w:t>
      </w:r>
    </w:p>
    <w:p w14:paraId="10398111" w14:textId="77777777"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4. Fabio Chantre Peña (brother)</w:t>
      </w:r>
    </w:p>
    <w:p w14:paraId="091910F7" w14:textId="45FC7847"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5. María Consuelo Chantre Peña (sister)</w:t>
      </w:r>
    </w:p>
    <w:p w14:paraId="21AC9884" w14:textId="74FF12A1"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6. Nelsi Amparo Chantre Peña (sister)</w:t>
      </w:r>
    </w:p>
    <w:p w14:paraId="7563D00C" w14:textId="5B02A219" w:rsidR="00770F33" w:rsidRPr="00BE0EC7"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BE0EC7">
        <w:rPr>
          <w:rFonts w:asciiTheme="majorHAnsi" w:hAnsiTheme="majorHAnsi"/>
          <w:sz w:val="20"/>
          <w:szCs w:val="20"/>
        </w:rPr>
        <w:t>7. Soraida Mamian (wife)</w:t>
      </w:r>
    </w:p>
    <w:p w14:paraId="1131633C" w14:textId="764D28A6" w:rsidR="00770F33" w:rsidRPr="00BE0EC7"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BE0EC7">
        <w:rPr>
          <w:rFonts w:asciiTheme="majorHAnsi" w:hAnsiTheme="majorHAnsi"/>
          <w:sz w:val="20"/>
          <w:szCs w:val="20"/>
        </w:rPr>
        <w:t>8. Edith Natalia Chantre Mamian (daughter)</w:t>
      </w:r>
    </w:p>
    <w:p w14:paraId="2EB8A67A" w14:textId="0C742922"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9. Jerson Felipe Chantre Mamian (</w:t>
      </w:r>
      <w:r>
        <w:rPr>
          <w:rFonts w:asciiTheme="majorHAnsi" w:hAnsiTheme="majorHAnsi"/>
          <w:sz w:val="20"/>
          <w:szCs w:val="20"/>
          <w:lang w:val="es-ES"/>
        </w:rPr>
        <w:t>son</w:t>
      </w:r>
      <w:r w:rsidRPr="00770F33">
        <w:rPr>
          <w:rFonts w:asciiTheme="majorHAnsi" w:hAnsiTheme="majorHAnsi"/>
          <w:sz w:val="20"/>
          <w:szCs w:val="20"/>
          <w:lang w:val="es-ES"/>
        </w:rPr>
        <w:t>)</w:t>
      </w:r>
    </w:p>
    <w:p w14:paraId="7CD75A34" w14:textId="77777777"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p>
    <w:p w14:paraId="6CAC6C75" w14:textId="3B3D3DA1" w:rsidR="00770F33" w:rsidRPr="00BE0EC7"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pt-BR"/>
        </w:rPr>
      </w:pPr>
      <w:r w:rsidRPr="00BE0EC7">
        <w:rPr>
          <w:b/>
          <w:bCs/>
          <w:sz w:val="20"/>
          <w:szCs w:val="20"/>
          <w:lang w:val="pt-BR"/>
        </w:rPr>
        <w:t>Rub</w:t>
      </w:r>
      <w:r w:rsidR="00A65512" w:rsidRPr="00BE0EC7">
        <w:rPr>
          <w:b/>
          <w:bCs/>
          <w:sz w:val="20"/>
          <w:szCs w:val="20"/>
          <w:lang w:val="pt-BR"/>
        </w:rPr>
        <w:t>é</w:t>
      </w:r>
      <w:r w:rsidRPr="00BE0EC7">
        <w:rPr>
          <w:b/>
          <w:bCs/>
          <w:sz w:val="20"/>
          <w:szCs w:val="20"/>
          <w:lang w:val="pt-BR"/>
        </w:rPr>
        <w:t>n Dar</w:t>
      </w:r>
      <w:r w:rsidR="00314028" w:rsidRPr="00BE0EC7">
        <w:rPr>
          <w:b/>
          <w:bCs/>
          <w:sz w:val="20"/>
          <w:szCs w:val="20"/>
          <w:lang w:val="pt-BR"/>
        </w:rPr>
        <w:t>í</w:t>
      </w:r>
      <w:r w:rsidRPr="00BE0EC7">
        <w:rPr>
          <w:b/>
          <w:bCs/>
          <w:sz w:val="20"/>
          <w:szCs w:val="20"/>
          <w:lang w:val="pt-BR"/>
        </w:rPr>
        <w:t>o S</w:t>
      </w:r>
      <w:r w:rsidR="00314028" w:rsidRPr="00BE0EC7">
        <w:rPr>
          <w:b/>
          <w:bCs/>
          <w:sz w:val="20"/>
          <w:szCs w:val="20"/>
          <w:lang w:val="pt-BR"/>
        </w:rPr>
        <w:t>á</w:t>
      </w:r>
      <w:r w:rsidRPr="00BE0EC7">
        <w:rPr>
          <w:b/>
          <w:bCs/>
          <w:sz w:val="20"/>
          <w:szCs w:val="20"/>
          <w:lang w:val="pt-BR"/>
        </w:rPr>
        <w:t>nchez Urm</w:t>
      </w:r>
      <w:r w:rsidR="00314028" w:rsidRPr="00BE0EC7">
        <w:rPr>
          <w:b/>
          <w:bCs/>
          <w:sz w:val="20"/>
          <w:szCs w:val="20"/>
          <w:lang w:val="pt-BR"/>
        </w:rPr>
        <w:t>e</w:t>
      </w:r>
      <w:r w:rsidRPr="00BE0EC7">
        <w:rPr>
          <w:b/>
          <w:bCs/>
          <w:sz w:val="20"/>
          <w:szCs w:val="20"/>
          <w:lang w:val="pt-BR"/>
        </w:rPr>
        <w:t>ndez</w:t>
      </w:r>
      <w:r w:rsidR="00A65512" w:rsidRPr="00BE0EC7">
        <w:rPr>
          <w:b/>
          <w:bCs/>
          <w:sz w:val="20"/>
          <w:szCs w:val="20"/>
          <w:lang w:val="pt-BR"/>
        </w:rPr>
        <w:t xml:space="preserve"> (dead)</w:t>
      </w:r>
    </w:p>
    <w:p w14:paraId="2DC9B02D" w14:textId="2A203DFE"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Next of kin:</w:t>
      </w:r>
    </w:p>
    <w:p w14:paraId="2D7888F0" w14:textId="3EC5CF18"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10) Bertha Urm</w:t>
      </w:r>
      <w:r w:rsidR="00314028">
        <w:rPr>
          <w:rFonts w:asciiTheme="majorHAnsi" w:hAnsiTheme="majorHAnsi"/>
          <w:sz w:val="20"/>
          <w:szCs w:val="20"/>
          <w:lang w:val="en"/>
        </w:rPr>
        <w:t>e</w:t>
      </w:r>
      <w:r>
        <w:rPr>
          <w:rFonts w:asciiTheme="majorHAnsi" w:hAnsiTheme="majorHAnsi"/>
          <w:sz w:val="20"/>
          <w:szCs w:val="20"/>
          <w:lang w:val="en"/>
        </w:rPr>
        <w:t>ndez Campo (mother)</w:t>
      </w:r>
    </w:p>
    <w:p w14:paraId="042A29D2" w14:textId="07C4723D"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11) Juna Isidro Sánchez (father)</w:t>
      </w:r>
    </w:p>
    <w:p w14:paraId="60930D77" w14:textId="3AB0D2BA"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12) Juan Andr</w:t>
      </w:r>
      <w:r w:rsidR="00314028">
        <w:rPr>
          <w:rFonts w:asciiTheme="majorHAnsi" w:hAnsiTheme="majorHAnsi"/>
          <w:sz w:val="20"/>
          <w:szCs w:val="20"/>
          <w:lang w:val="en"/>
        </w:rPr>
        <w:t>é</w:t>
      </w:r>
      <w:r>
        <w:rPr>
          <w:rFonts w:asciiTheme="majorHAnsi" w:hAnsiTheme="majorHAnsi"/>
          <w:sz w:val="20"/>
          <w:szCs w:val="20"/>
          <w:lang w:val="en"/>
        </w:rPr>
        <w:t>s Sánchez (brother)</w:t>
      </w:r>
    </w:p>
    <w:p w14:paraId="04788692" w14:textId="140CE78A"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13) Diana Yaneth Sánchez (sister)</w:t>
      </w:r>
    </w:p>
    <w:p w14:paraId="1ECF3794" w14:textId="0881EC68"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14) Luz Minde Sánchez (sister)</w:t>
      </w:r>
    </w:p>
    <w:p w14:paraId="0E93E683" w14:textId="569C4DB0"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15) John Edison Sánchez (brother)</w:t>
      </w:r>
    </w:p>
    <w:p w14:paraId="5AFED67A" w14:textId="24ED3CE5" w:rsidR="00770F33" w:rsidRPr="00BE0EC7"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pt-BR"/>
        </w:rPr>
      </w:pPr>
      <w:r w:rsidRPr="00BE0EC7">
        <w:rPr>
          <w:rFonts w:asciiTheme="majorHAnsi" w:hAnsiTheme="majorHAnsi"/>
          <w:sz w:val="20"/>
          <w:szCs w:val="20"/>
          <w:lang w:val="pt-BR"/>
        </w:rPr>
        <w:t>16) Leidy Patricia Sánchez (sister)</w:t>
      </w:r>
    </w:p>
    <w:p w14:paraId="7D76EA92" w14:textId="62090C40"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fr-FR"/>
        </w:rPr>
      </w:pPr>
      <w:r w:rsidRPr="00770F33">
        <w:rPr>
          <w:rFonts w:asciiTheme="majorHAnsi" w:hAnsiTheme="majorHAnsi"/>
          <w:sz w:val="20"/>
          <w:szCs w:val="20"/>
          <w:lang w:val="fr-FR"/>
        </w:rPr>
        <w:t xml:space="preserve">17) Duber Breiner </w:t>
      </w:r>
      <w:r w:rsidRPr="00BE0EC7">
        <w:rPr>
          <w:rFonts w:asciiTheme="majorHAnsi" w:hAnsiTheme="majorHAnsi"/>
          <w:sz w:val="20"/>
          <w:szCs w:val="20"/>
          <w:lang w:val="pt-BR"/>
        </w:rPr>
        <w:t xml:space="preserve">Sánchez </w:t>
      </w:r>
      <w:r w:rsidRPr="00770F33">
        <w:rPr>
          <w:rFonts w:asciiTheme="majorHAnsi" w:hAnsiTheme="majorHAnsi"/>
          <w:sz w:val="20"/>
          <w:szCs w:val="20"/>
          <w:lang w:val="fr-FR"/>
        </w:rPr>
        <w:t>(brother)</w:t>
      </w:r>
    </w:p>
    <w:p w14:paraId="5611E497" w14:textId="64EA9AE2"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fr-FR"/>
        </w:rPr>
      </w:pPr>
      <w:r w:rsidRPr="00770F33">
        <w:rPr>
          <w:rFonts w:asciiTheme="majorHAnsi" w:hAnsiTheme="majorHAnsi"/>
          <w:sz w:val="20"/>
          <w:szCs w:val="20"/>
          <w:lang w:val="fr-FR"/>
        </w:rPr>
        <w:t xml:space="preserve">18) Lucy Zoraida </w:t>
      </w:r>
      <w:r w:rsidRPr="00BE0EC7">
        <w:rPr>
          <w:rFonts w:asciiTheme="majorHAnsi" w:hAnsiTheme="majorHAnsi"/>
          <w:sz w:val="20"/>
          <w:szCs w:val="20"/>
          <w:lang w:val="pt-BR"/>
        </w:rPr>
        <w:t xml:space="preserve">Sánchez </w:t>
      </w:r>
      <w:r w:rsidRPr="00770F33">
        <w:rPr>
          <w:rFonts w:asciiTheme="majorHAnsi" w:hAnsiTheme="majorHAnsi"/>
          <w:sz w:val="20"/>
          <w:szCs w:val="20"/>
          <w:lang w:val="fr-FR"/>
        </w:rPr>
        <w:t>(sister)</w:t>
      </w:r>
    </w:p>
    <w:p w14:paraId="077B50F2" w14:textId="43D5EA94"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19) Elizabeth Sánchez (sister)</w:t>
      </w:r>
    </w:p>
    <w:p w14:paraId="20DD1075" w14:textId="77777777"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rPr>
      </w:pPr>
    </w:p>
    <w:p w14:paraId="5BCD295A" w14:textId="4B64EB76" w:rsidR="00770F33" w:rsidRPr="00132A3A"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rPr>
      </w:pPr>
      <w:r>
        <w:rPr>
          <w:b/>
          <w:bCs/>
          <w:sz w:val="20"/>
          <w:szCs w:val="20"/>
          <w:lang w:val="en"/>
        </w:rPr>
        <w:t>Hugo Idrobo Ledesma (dead)</w:t>
      </w:r>
    </w:p>
    <w:p w14:paraId="68B83B28" w14:textId="36883A2D"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Next of kin:</w:t>
      </w:r>
    </w:p>
    <w:p w14:paraId="7EC26916" w14:textId="01822292"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20) María Deyane Chate (wife)</w:t>
      </w:r>
    </w:p>
    <w:p w14:paraId="03465EFE" w14:textId="72E8B698"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21) V</w:t>
      </w:r>
      <w:r>
        <w:rPr>
          <w:rFonts w:asciiTheme="majorHAnsi" w:hAnsiTheme="majorHAnsi"/>
          <w:sz w:val="20"/>
          <w:szCs w:val="20"/>
          <w:lang w:val="es-ES"/>
        </w:rPr>
        <w:t>í</w:t>
      </w:r>
      <w:r w:rsidRPr="00770F33">
        <w:rPr>
          <w:rFonts w:asciiTheme="majorHAnsi" w:hAnsiTheme="majorHAnsi"/>
          <w:sz w:val="20"/>
          <w:szCs w:val="20"/>
          <w:lang w:val="es-ES"/>
        </w:rPr>
        <w:t>ctor Hugo Idrobo Chate (</w:t>
      </w:r>
      <w:r>
        <w:rPr>
          <w:rFonts w:asciiTheme="majorHAnsi" w:hAnsiTheme="majorHAnsi"/>
          <w:sz w:val="20"/>
          <w:szCs w:val="20"/>
          <w:lang w:val="es-ES"/>
        </w:rPr>
        <w:t>son</w:t>
      </w:r>
      <w:r w:rsidRPr="00770F33">
        <w:rPr>
          <w:rFonts w:asciiTheme="majorHAnsi" w:hAnsiTheme="majorHAnsi"/>
          <w:sz w:val="20"/>
          <w:szCs w:val="20"/>
          <w:lang w:val="es-ES"/>
        </w:rPr>
        <w:t>)</w:t>
      </w:r>
    </w:p>
    <w:p w14:paraId="3DB6DC43" w14:textId="3676AC14"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22) José Yeison Chate (son)</w:t>
      </w:r>
    </w:p>
    <w:p w14:paraId="2B2CD3B4" w14:textId="77777777"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p>
    <w:p w14:paraId="71C2774E" w14:textId="44BE01A3" w:rsidR="00770F33" w:rsidRPr="00132A3A"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rPr>
      </w:pPr>
      <w:r>
        <w:rPr>
          <w:b/>
          <w:bCs/>
          <w:sz w:val="20"/>
          <w:szCs w:val="20"/>
          <w:lang w:val="en"/>
        </w:rPr>
        <w:t>Absalón Troyano (dead)</w:t>
      </w:r>
    </w:p>
    <w:p w14:paraId="4C67E026" w14:textId="1DD71172"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Next of kin:</w:t>
      </w:r>
    </w:p>
    <w:p w14:paraId="480EF289" w14:textId="76B4F02E"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23) Mar</w:t>
      </w:r>
      <w:r w:rsidR="00314028">
        <w:rPr>
          <w:rFonts w:asciiTheme="majorHAnsi" w:hAnsiTheme="majorHAnsi"/>
          <w:sz w:val="20"/>
          <w:szCs w:val="20"/>
          <w:lang w:val="es-ES"/>
        </w:rPr>
        <w:t>í</w:t>
      </w:r>
      <w:r w:rsidRPr="00770F33">
        <w:rPr>
          <w:rFonts w:asciiTheme="majorHAnsi" w:hAnsiTheme="majorHAnsi"/>
          <w:sz w:val="20"/>
          <w:szCs w:val="20"/>
          <w:lang w:val="es-ES"/>
        </w:rPr>
        <w:t>a Neli Victoria Ante (</w:t>
      </w:r>
      <w:r>
        <w:rPr>
          <w:rFonts w:asciiTheme="majorHAnsi" w:hAnsiTheme="majorHAnsi"/>
          <w:sz w:val="20"/>
          <w:szCs w:val="20"/>
          <w:lang w:val="es-ES"/>
        </w:rPr>
        <w:t>mother</w:t>
      </w:r>
      <w:r w:rsidRPr="00770F33">
        <w:rPr>
          <w:rFonts w:asciiTheme="majorHAnsi" w:hAnsiTheme="majorHAnsi"/>
          <w:sz w:val="20"/>
          <w:szCs w:val="20"/>
          <w:lang w:val="es-ES"/>
        </w:rPr>
        <w:t>)</w:t>
      </w:r>
    </w:p>
    <w:p w14:paraId="007B5EB8" w14:textId="6522DE26"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24) Marceliano Troyano Ordoñez (</w:t>
      </w:r>
      <w:r>
        <w:rPr>
          <w:rFonts w:asciiTheme="majorHAnsi" w:hAnsiTheme="majorHAnsi"/>
          <w:sz w:val="20"/>
          <w:szCs w:val="20"/>
          <w:lang w:val="es-ES"/>
        </w:rPr>
        <w:t>father</w:t>
      </w:r>
      <w:r w:rsidRPr="00770F33">
        <w:rPr>
          <w:rFonts w:asciiTheme="majorHAnsi" w:hAnsiTheme="majorHAnsi"/>
          <w:sz w:val="20"/>
          <w:szCs w:val="20"/>
          <w:lang w:val="es-ES"/>
        </w:rPr>
        <w:t>)</w:t>
      </w:r>
    </w:p>
    <w:p w14:paraId="17ED705E" w14:textId="1C28445C"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25) Diana Marcela Victoria Troyano (</w:t>
      </w:r>
      <w:r>
        <w:rPr>
          <w:rFonts w:asciiTheme="majorHAnsi" w:hAnsiTheme="majorHAnsi"/>
          <w:sz w:val="20"/>
          <w:szCs w:val="20"/>
          <w:lang w:val="es-ES"/>
        </w:rPr>
        <w:t>sister</w:t>
      </w:r>
      <w:r w:rsidRPr="00770F33">
        <w:rPr>
          <w:rFonts w:asciiTheme="majorHAnsi" w:hAnsiTheme="majorHAnsi"/>
          <w:sz w:val="20"/>
          <w:szCs w:val="20"/>
          <w:lang w:val="es-ES"/>
        </w:rPr>
        <w:t>)</w:t>
      </w:r>
    </w:p>
    <w:p w14:paraId="0AFC907B" w14:textId="2406E78C"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26) Luis Carlos Troyano (</w:t>
      </w:r>
      <w:r>
        <w:rPr>
          <w:rFonts w:asciiTheme="majorHAnsi" w:hAnsiTheme="majorHAnsi"/>
          <w:sz w:val="20"/>
          <w:szCs w:val="20"/>
          <w:lang w:val="es-ES"/>
        </w:rPr>
        <w:t>brother</w:t>
      </w:r>
      <w:r w:rsidRPr="00770F33">
        <w:rPr>
          <w:rFonts w:asciiTheme="majorHAnsi" w:hAnsiTheme="majorHAnsi"/>
          <w:sz w:val="20"/>
          <w:szCs w:val="20"/>
          <w:lang w:val="es-ES"/>
        </w:rPr>
        <w:t>)</w:t>
      </w:r>
    </w:p>
    <w:p w14:paraId="163F84DB" w14:textId="190865BA"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 xml:space="preserve">27) Delmira Troyano </w:t>
      </w:r>
      <w:r>
        <w:rPr>
          <w:rFonts w:asciiTheme="majorHAnsi" w:hAnsiTheme="majorHAnsi"/>
          <w:sz w:val="20"/>
          <w:szCs w:val="20"/>
          <w:lang w:val="es-ES"/>
        </w:rPr>
        <w:t>Gómez</w:t>
      </w:r>
      <w:r w:rsidRPr="00770F33">
        <w:rPr>
          <w:rFonts w:asciiTheme="majorHAnsi" w:hAnsiTheme="majorHAnsi"/>
          <w:sz w:val="20"/>
          <w:szCs w:val="20"/>
          <w:lang w:val="es-ES"/>
        </w:rPr>
        <w:t xml:space="preserve"> (</w:t>
      </w:r>
      <w:r>
        <w:rPr>
          <w:rFonts w:asciiTheme="majorHAnsi" w:hAnsiTheme="majorHAnsi"/>
          <w:sz w:val="20"/>
          <w:szCs w:val="20"/>
          <w:lang w:val="es-ES"/>
        </w:rPr>
        <w:t>sister</w:t>
      </w:r>
      <w:r w:rsidRPr="00770F33">
        <w:rPr>
          <w:rFonts w:asciiTheme="majorHAnsi" w:hAnsiTheme="majorHAnsi"/>
          <w:sz w:val="20"/>
          <w:szCs w:val="20"/>
          <w:lang w:val="es-ES"/>
        </w:rPr>
        <w:t>)</w:t>
      </w:r>
    </w:p>
    <w:p w14:paraId="1DD8904D" w14:textId="7AC76C9F"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 xml:space="preserve">28) Marcelo Troyano </w:t>
      </w:r>
      <w:r>
        <w:rPr>
          <w:rFonts w:asciiTheme="majorHAnsi" w:hAnsiTheme="majorHAnsi"/>
          <w:sz w:val="20"/>
          <w:szCs w:val="20"/>
          <w:lang w:val="es-ES"/>
        </w:rPr>
        <w:t>Gómez</w:t>
      </w:r>
      <w:r w:rsidRPr="00770F33">
        <w:rPr>
          <w:rFonts w:asciiTheme="majorHAnsi" w:hAnsiTheme="majorHAnsi"/>
          <w:sz w:val="20"/>
          <w:szCs w:val="20"/>
          <w:lang w:val="es-ES"/>
        </w:rPr>
        <w:t xml:space="preserve"> (</w:t>
      </w:r>
      <w:r>
        <w:rPr>
          <w:rFonts w:asciiTheme="majorHAnsi" w:hAnsiTheme="majorHAnsi"/>
          <w:sz w:val="20"/>
          <w:szCs w:val="20"/>
          <w:lang w:val="es-ES"/>
        </w:rPr>
        <w:t>brother</w:t>
      </w:r>
      <w:r w:rsidRPr="00770F33">
        <w:rPr>
          <w:rFonts w:asciiTheme="majorHAnsi" w:hAnsiTheme="majorHAnsi"/>
          <w:sz w:val="20"/>
          <w:szCs w:val="20"/>
          <w:lang w:val="es-ES"/>
        </w:rPr>
        <w:t>)</w:t>
      </w:r>
    </w:p>
    <w:p w14:paraId="1824A7CA" w14:textId="577FAB90" w:rsidR="00770F33" w:rsidRPr="00BE0EC7"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BE0EC7">
        <w:rPr>
          <w:rFonts w:asciiTheme="majorHAnsi" w:hAnsiTheme="majorHAnsi"/>
          <w:sz w:val="20"/>
          <w:szCs w:val="20"/>
          <w:lang w:val="es-ES"/>
        </w:rPr>
        <w:t>29) Gilberto Troyano Gómez (brother)</w:t>
      </w:r>
    </w:p>
    <w:p w14:paraId="5145A8FE" w14:textId="63939E87" w:rsidR="00770F33" w:rsidRPr="00BE0EC7"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BE0EC7">
        <w:rPr>
          <w:rFonts w:asciiTheme="majorHAnsi" w:hAnsiTheme="majorHAnsi"/>
          <w:sz w:val="20"/>
          <w:szCs w:val="20"/>
          <w:lang w:val="es-ES"/>
        </w:rPr>
        <w:t>30) Alirio Troyano Gómez (brother)</w:t>
      </w:r>
    </w:p>
    <w:p w14:paraId="7870E7BB" w14:textId="436B9AA3" w:rsidR="00770F33" w:rsidRPr="00BE0EC7"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BE0EC7">
        <w:rPr>
          <w:rFonts w:asciiTheme="majorHAnsi" w:hAnsiTheme="majorHAnsi"/>
          <w:sz w:val="20"/>
          <w:szCs w:val="20"/>
          <w:lang w:val="es-ES"/>
        </w:rPr>
        <w:t>31) Humberto Troyano Gómez (brother)</w:t>
      </w:r>
    </w:p>
    <w:p w14:paraId="1E76F629" w14:textId="6FB81807" w:rsidR="00770F33" w:rsidRPr="00BE0EC7"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BE0EC7">
        <w:rPr>
          <w:rFonts w:asciiTheme="majorHAnsi" w:hAnsiTheme="majorHAnsi"/>
          <w:sz w:val="20"/>
          <w:szCs w:val="20"/>
          <w:lang w:val="es-ES"/>
        </w:rPr>
        <w:t xml:space="preserve">32) Hernando Troyano </w:t>
      </w:r>
      <w:r>
        <w:rPr>
          <w:rFonts w:asciiTheme="majorHAnsi" w:hAnsiTheme="majorHAnsi"/>
          <w:sz w:val="20"/>
          <w:szCs w:val="20"/>
          <w:lang w:val="es-ES"/>
        </w:rPr>
        <w:t>Gómez</w:t>
      </w:r>
      <w:r w:rsidRPr="00BE0EC7">
        <w:rPr>
          <w:rFonts w:asciiTheme="majorHAnsi" w:hAnsiTheme="majorHAnsi"/>
          <w:sz w:val="20"/>
          <w:szCs w:val="20"/>
          <w:lang w:val="es-ES"/>
        </w:rPr>
        <w:t xml:space="preserve"> (brother)</w:t>
      </w:r>
    </w:p>
    <w:p w14:paraId="54CE34DF" w14:textId="17AF98B6"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 xml:space="preserve">33) Ramiro Troyano </w:t>
      </w:r>
      <w:r>
        <w:rPr>
          <w:rFonts w:asciiTheme="majorHAnsi" w:hAnsiTheme="majorHAnsi"/>
          <w:sz w:val="20"/>
          <w:szCs w:val="20"/>
          <w:lang w:val="es-ES"/>
        </w:rPr>
        <w:t>Gómez</w:t>
      </w:r>
      <w:r w:rsidRPr="00770F33">
        <w:rPr>
          <w:rFonts w:asciiTheme="majorHAnsi" w:hAnsiTheme="majorHAnsi"/>
          <w:sz w:val="20"/>
          <w:szCs w:val="20"/>
          <w:lang w:val="es-ES"/>
        </w:rPr>
        <w:t xml:space="preserve"> (</w:t>
      </w:r>
      <w:r>
        <w:rPr>
          <w:rFonts w:asciiTheme="majorHAnsi" w:hAnsiTheme="majorHAnsi"/>
          <w:sz w:val="20"/>
          <w:szCs w:val="20"/>
          <w:lang w:val="es-ES"/>
        </w:rPr>
        <w:t>brother</w:t>
      </w:r>
      <w:r w:rsidRPr="00770F33">
        <w:rPr>
          <w:rFonts w:asciiTheme="majorHAnsi" w:hAnsiTheme="majorHAnsi"/>
          <w:sz w:val="20"/>
          <w:szCs w:val="20"/>
          <w:lang w:val="es-ES"/>
        </w:rPr>
        <w:t>)</w:t>
      </w:r>
    </w:p>
    <w:p w14:paraId="05CF2EC6" w14:textId="77777777"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p>
    <w:p w14:paraId="78421AA6" w14:textId="0A7E0198" w:rsidR="00770F33" w:rsidRPr="00132A3A"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rPr>
      </w:pPr>
      <w:r>
        <w:rPr>
          <w:b/>
          <w:bCs/>
          <w:sz w:val="20"/>
          <w:szCs w:val="20"/>
          <w:lang w:val="en"/>
        </w:rPr>
        <w:t>Florencio Fl</w:t>
      </w:r>
      <w:r w:rsidR="00774528">
        <w:rPr>
          <w:b/>
          <w:bCs/>
          <w:sz w:val="20"/>
          <w:szCs w:val="20"/>
          <w:lang w:val="en"/>
        </w:rPr>
        <w:t>o</w:t>
      </w:r>
      <w:r>
        <w:rPr>
          <w:b/>
          <w:bCs/>
          <w:sz w:val="20"/>
          <w:szCs w:val="20"/>
          <w:lang w:val="en"/>
        </w:rPr>
        <w:t>rez Mesa (</w:t>
      </w:r>
      <w:r w:rsidR="00A51201">
        <w:rPr>
          <w:b/>
          <w:bCs/>
          <w:sz w:val="20"/>
          <w:szCs w:val="20"/>
          <w:lang w:val="en"/>
        </w:rPr>
        <w:t>dead</w:t>
      </w:r>
      <w:r>
        <w:rPr>
          <w:b/>
          <w:bCs/>
          <w:sz w:val="20"/>
          <w:szCs w:val="20"/>
          <w:lang w:val="en"/>
        </w:rPr>
        <w:t>)</w:t>
      </w:r>
    </w:p>
    <w:p w14:paraId="1B053F67" w14:textId="741B914A" w:rsidR="00770F33" w:rsidRPr="00132A3A" w:rsidRDefault="00A51201"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Next of kin:</w:t>
      </w:r>
    </w:p>
    <w:p w14:paraId="335E17E1" w14:textId="727EEF3C"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34) Elizabeth Fern</w:t>
      </w:r>
      <w:r w:rsidR="00A51297">
        <w:rPr>
          <w:rFonts w:asciiTheme="majorHAnsi" w:hAnsiTheme="majorHAnsi"/>
          <w:sz w:val="20"/>
          <w:szCs w:val="20"/>
          <w:lang w:val="en"/>
        </w:rPr>
        <w:t>á</w:t>
      </w:r>
      <w:r>
        <w:rPr>
          <w:rFonts w:asciiTheme="majorHAnsi" w:hAnsiTheme="majorHAnsi"/>
          <w:sz w:val="20"/>
          <w:szCs w:val="20"/>
          <w:lang w:val="en"/>
        </w:rPr>
        <w:t>ndez (</w:t>
      </w:r>
      <w:r w:rsidR="00A51201">
        <w:rPr>
          <w:rFonts w:asciiTheme="majorHAnsi" w:hAnsiTheme="majorHAnsi"/>
          <w:sz w:val="20"/>
          <w:szCs w:val="20"/>
          <w:lang w:val="en"/>
        </w:rPr>
        <w:t>wife</w:t>
      </w:r>
      <w:r>
        <w:rPr>
          <w:rFonts w:asciiTheme="majorHAnsi" w:hAnsiTheme="majorHAnsi"/>
          <w:sz w:val="20"/>
          <w:szCs w:val="20"/>
          <w:lang w:val="en"/>
        </w:rPr>
        <w:t>)</w:t>
      </w:r>
    </w:p>
    <w:p w14:paraId="3BC6D4D3" w14:textId="3D31A094"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35) Yeison Duban Fl</w:t>
      </w:r>
      <w:r w:rsidR="00774528">
        <w:rPr>
          <w:rFonts w:asciiTheme="majorHAnsi" w:hAnsiTheme="majorHAnsi"/>
          <w:sz w:val="20"/>
          <w:szCs w:val="20"/>
          <w:lang w:val="es-ES"/>
        </w:rPr>
        <w:t>o</w:t>
      </w:r>
      <w:r w:rsidRPr="00770F33">
        <w:rPr>
          <w:rFonts w:asciiTheme="majorHAnsi" w:hAnsiTheme="majorHAnsi"/>
          <w:sz w:val="20"/>
          <w:szCs w:val="20"/>
          <w:lang w:val="es-ES"/>
        </w:rPr>
        <w:t>re</w:t>
      </w:r>
      <w:r w:rsidR="00314028">
        <w:rPr>
          <w:rFonts w:asciiTheme="majorHAnsi" w:hAnsiTheme="majorHAnsi"/>
          <w:sz w:val="20"/>
          <w:szCs w:val="20"/>
          <w:lang w:val="es-ES"/>
        </w:rPr>
        <w:t>z</w:t>
      </w:r>
      <w:r w:rsidRPr="00770F33">
        <w:rPr>
          <w:rFonts w:asciiTheme="majorHAnsi" w:hAnsiTheme="majorHAnsi"/>
          <w:sz w:val="20"/>
          <w:szCs w:val="20"/>
          <w:lang w:val="es-ES"/>
        </w:rPr>
        <w:t xml:space="preserve"> Fern</w:t>
      </w:r>
      <w:r w:rsidR="00A51297">
        <w:rPr>
          <w:rFonts w:asciiTheme="majorHAnsi" w:hAnsiTheme="majorHAnsi"/>
          <w:sz w:val="20"/>
          <w:szCs w:val="20"/>
          <w:lang w:val="es-ES"/>
        </w:rPr>
        <w:t>á</w:t>
      </w:r>
      <w:r w:rsidRPr="00770F33">
        <w:rPr>
          <w:rFonts w:asciiTheme="majorHAnsi" w:hAnsiTheme="majorHAnsi"/>
          <w:sz w:val="20"/>
          <w:szCs w:val="20"/>
          <w:lang w:val="es-ES"/>
        </w:rPr>
        <w:t>ndez (</w:t>
      </w:r>
      <w:r w:rsidR="00A51201">
        <w:rPr>
          <w:rFonts w:asciiTheme="majorHAnsi" w:hAnsiTheme="majorHAnsi"/>
          <w:sz w:val="20"/>
          <w:szCs w:val="20"/>
          <w:lang w:val="es-ES"/>
        </w:rPr>
        <w:t>son</w:t>
      </w:r>
      <w:r w:rsidRPr="00770F33">
        <w:rPr>
          <w:rFonts w:asciiTheme="majorHAnsi" w:hAnsiTheme="majorHAnsi"/>
          <w:sz w:val="20"/>
          <w:szCs w:val="20"/>
          <w:lang w:val="es-ES"/>
        </w:rPr>
        <w:t>)</w:t>
      </w:r>
    </w:p>
    <w:p w14:paraId="55DF846F" w14:textId="3903F6B9"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36) C</w:t>
      </w:r>
      <w:r w:rsidR="00314028">
        <w:rPr>
          <w:rFonts w:asciiTheme="majorHAnsi" w:hAnsiTheme="majorHAnsi"/>
          <w:sz w:val="20"/>
          <w:szCs w:val="20"/>
          <w:lang w:val="es-ES"/>
        </w:rPr>
        <w:t>é</w:t>
      </w:r>
      <w:r w:rsidRPr="00770F33">
        <w:rPr>
          <w:rFonts w:asciiTheme="majorHAnsi" w:hAnsiTheme="majorHAnsi"/>
          <w:sz w:val="20"/>
          <w:szCs w:val="20"/>
          <w:lang w:val="es-ES"/>
        </w:rPr>
        <w:t>sar Augusto Fl</w:t>
      </w:r>
      <w:r w:rsidR="00774528">
        <w:rPr>
          <w:rFonts w:asciiTheme="majorHAnsi" w:hAnsiTheme="majorHAnsi"/>
          <w:sz w:val="20"/>
          <w:szCs w:val="20"/>
          <w:lang w:val="es-ES"/>
        </w:rPr>
        <w:t>o</w:t>
      </w:r>
      <w:r w:rsidRPr="00770F33">
        <w:rPr>
          <w:rFonts w:asciiTheme="majorHAnsi" w:hAnsiTheme="majorHAnsi"/>
          <w:sz w:val="20"/>
          <w:szCs w:val="20"/>
          <w:lang w:val="es-ES"/>
        </w:rPr>
        <w:t>rez Fern</w:t>
      </w:r>
      <w:r w:rsidR="00A51297">
        <w:rPr>
          <w:rFonts w:asciiTheme="majorHAnsi" w:hAnsiTheme="majorHAnsi"/>
          <w:sz w:val="20"/>
          <w:szCs w:val="20"/>
          <w:lang w:val="es-ES"/>
        </w:rPr>
        <w:t>á</w:t>
      </w:r>
      <w:r w:rsidRPr="00770F33">
        <w:rPr>
          <w:rFonts w:asciiTheme="majorHAnsi" w:hAnsiTheme="majorHAnsi"/>
          <w:sz w:val="20"/>
          <w:szCs w:val="20"/>
          <w:lang w:val="es-ES"/>
        </w:rPr>
        <w:t>ndez (</w:t>
      </w:r>
      <w:r w:rsidR="00A51201">
        <w:rPr>
          <w:rFonts w:asciiTheme="majorHAnsi" w:hAnsiTheme="majorHAnsi"/>
          <w:sz w:val="20"/>
          <w:szCs w:val="20"/>
          <w:lang w:val="es-ES"/>
        </w:rPr>
        <w:t>son</w:t>
      </w:r>
      <w:r w:rsidRPr="00770F33">
        <w:rPr>
          <w:rFonts w:asciiTheme="majorHAnsi" w:hAnsiTheme="majorHAnsi"/>
          <w:sz w:val="20"/>
          <w:szCs w:val="20"/>
          <w:lang w:val="es-ES"/>
        </w:rPr>
        <w:t>)</w:t>
      </w:r>
    </w:p>
    <w:p w14:paraId="7AE871BC" w14:textId="77777777"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p>
    <w:p w14:paraId="42602A37" w14:textId="443EA3B1" w:rsidR="00770F33" w:rsidRPr="00770F33"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770F33">
        <w:rPr>
          <w:b/>
          <w:bCs/>
          <w:sz w:val="20"/>
          <w:szCs w:val="20"/>
          <w:lang w:val="es-ES"/>
        </w:rPr>
        <w:lastRenderedPageBreak/>
        <w:t>José Luis Campo Imbachi (</w:t>
      </w:r>
      <w:r w:rsidR="00A51201">
        <w:rPr>
          <w:b/>
          <w:bCs/>
          <w:sz w:val="20"/>
          <w:szCs w:val="20"/>
          <w:lang w:val="es-ES"/>
        </w:rPr>
        <w:t>dead</w:t>
      </w:r>
      <w:r w:rsidRPr="00770F33">
        <w:rPr>
          <w:b/>
          <w:bCs/>
          <w:sz w:val="20"/>
          <w:szCs w:val="20"/>
          <w:lang w:val="es-ES"/>
        </w:rPr>
        <w:t>)</w:t>
      </w:r>
    </w:p>
    <w:p w14:paraId="7E404FA0" w14:textId="35C1CAA4" w:rsidR="00770F33" w:rsidRPr="00A51201" w:rsidRDefault="00A51201"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n-GB"/>
        </w:rPr>
      </w:pPr>
      <w:r w:rsidRPr="00A51201">
        <w:rPr>
          <w:rFonts w:asciiTheme="majorHAnsi" w:hAnsiTheme="majorHAnsi"/>
          <w:sz w:val="20"/>
          <w:szCs w:val="20"/>
          <w:lang w:val="en-GB"/>
        </w:rPr>
        <w:t>Next of kin:</w:t>
      </w:r>
      <w:r w:rsidR="00770F33" w:rsidRPr="00A51201">
        <w:rPr>
          <w:rFonts w:asciiTheme="majorHAnsi" w:hAnsiTheme="majorHAnsi"/>
          <w:sz w:val="20"/>
          <w:szCs w:val="20"/>
          <w:lang w:val="en-GB"/>
        </w:rPr>
        <w:br/>
        <w:t>37) Jos</w:t>
      </w:r>
      <w:r w:rsidR="00A51297">
        <w:rPr>
          <w:rFonts w:asciiTheme="majorHAnsi" w:hAnsiTheme="majorHAnsi"/>
          <w:sz w:val="20"/>
          <w:szCs w:val="20"/>
          <w:lang w:val="en-GB"/>
        </w:rPr>
        <w:t>é</w:t>
      </w:r>
      <w:r w:rsidR="00770F33" w:rsidRPr="00A51201">
        <w:rPr>
          <w:rFonts w:asciiTheme="majorHAnsi" w:hAnsiTheme="majorHAnsi"/>
          <w:sz w:val="20"/>
          <w:szCs w:val="20"/>
          <w:lang w:val="en-GB"/>
        </w:rPr>
        <w:t xml:space="preserve"> Gildardo Campo Belancazar (</w:t>
      </w:r>
      <w:r w:rsidRPr="00A51201">
        <w:rPr>
          <w:rFonts w:asciiTheme="majorHAnsi" w:hAnsiTheme="majorHAnsi"/>
          <w:sz w:val="20"/>
          <w:szCs w:val="20"/>
          <w:lang w:val="en-GB"/>
        </w:rPr>
        <w:t>father</w:t>
      </w:r>
      <w:r w:rsidR="00770F33" w:rsidRPr="00A51201">
        <w:rPr>
          <w:rFonts w:asciiTheme="majorHAnsi" w:hAnsiTheme="majorHAnsi"/>
          <w:sz w:val="20"/>
          <w:szCs w:val="20"/>
          <w:lang w:val="en-GB"/>
        </w:rPr>
        <w:t>)</w:t>
      </w:r>
    </w:p>
    <w:p w14:paraId="043BB08E" w14:textId="20345D45"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38) Mar</w:t>
      </w:r>
      <w:r w:rsidR="00A51297" w:rsidRPr="00010342">
        <w:rPr>
          <w:rFonts w:asciiTheme="majorHAnsi" w:hAnsiTheme="majorHAnsi"/>
          <w:sz w:val="20"/>
          <w:szCs w:val="20"/>
          <w:lang w:val="es-US"/>
        </w:rPr>
        <w:t>í</w:t>
      </w:r>
      <w:r w:rsidRPr="00010342">
        <w:rPr>
          <w:rFonts w:asciiTheme="majorHAnsi" w:hAnsiTheme="majorHAnsi"/>
          <w:sz w:val="20"/>
          <w:szCs w:val="20"/>
          <w:lang w:val="es-US"/>
        </w:rPr>
        <w:t>a Ilia Ibachi S</w:t>
      </w:r>
      <w:r w:rsidR="00A51297" w:rsidRPr="00010342">
        <w:rPr>
          <w:rFonts w:asciiTheme="majorHAnsi" w:hAnsiTheme="majorHAnsi"/>
          <w:sz w:val="20"/>
          <w:szCs w:val="20"/>
          <w:lang w:val="es-US"/>
        </w:rPr>
        <w:t>á</w:t>
      </w:r>
      <w:r w:rsidRPr="00010342">
        <w:rPr>
          <w:rFonts w:asciiTheme="majorHAnsi" w:hAnsiTheme="majorHAnsi"/>
          <w:sz w:val="20"/>
          <w:szCs w:val="20"/>
          <w:lang w:val="es-US"/>
        </w:rPr>
        <w:t>nchez (</w:t>
      </w:r>
      <w:r w:rsidR="00A51201" w:rsidRPr="00010342">
        <w:rPr>
          <w:rFonts w:asciiTheme="majorHAnsi" w:hAnsiTheme="majorHAnsi"/>
          <w:sz w:val="20"/>
          <w:szCs w:val="20"/>
          <w:lang w:val="es-US"/>
        </w:rPr>
        <w:t>mother</w:t>
      </w:r>
      <w:r w:rsidRPr="00010342">
        <w:rPr>
          <w:rFonts w:asciiTheme="majorHAnsi" w:hAnsiTheme="majorHAnsi"/>
          <w:sz w:val="20"/>
          <w:szCs w:val="20"/>
          <w:lang w:val="es-US"/>
        </w:rPr>
        <w:t>)</w:t>
      </w:r>
    </w:p>
    <w:p w14:paraId="00F0DBC8" w14:textId="733242E1"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39) Ana Milena Campo Imbachi (</w:t>
      </w:r>
      <w:r w:rsidR="00A51201" w:rsidRPr="00010342">
        <w:rPr>
          <w:rFonts w:asciiTheme="majorHAnsi" w:hAnsiTheme="majorHAnsi"/>
          <w:sz w:val="20"/>
          <w:szCs w:val="20"/>
          <w:lang w:val="es-US"/>
        </w:rPr>
        <w:t>sister</w:t>
      </w:r>
      <w:r w:rsidRPr="00010342">
        <w:rPr>
          <w:rFonts w:asciiTheme="majorHAnsi" w:hAnsiTheme="majorHAnsi"/>
          <w:sz w:val="20"/>
          <w:szCs w:val="20"/>
          <w:lang w:val="es-US"/>
        </w:rPr>
        <w:t>)</w:t>
      </w:r>
    </w:p>
    <w:p w14:paraId="332C30DE" w14:textId="2A2C54CD" w:rsidR="00770F33" w:rsidRPr="00BE0EC7"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n-GB"/>
        </w:rPr>
      </w:pPr>
      <w:r w:rsidRPr="00BE0EC7">
        <w:rPr>
          <w:rFonts w:asciiTheme="majorHAnsi" w:hAnsiTheme="majorHAnsi"/>
          <w:sz w:val="20"/>
          <w:szCs w:val="20"/>
          <w:lang w:val="en-GB"/>
        </w:rPr>
        <w:t>40) Jhon Edison Campo Imbachi (</w:t>
      </w:r>
      <w:r w:rsidR="00A51201" w:rsidRPr="00BE0EC7">
        <w:rPr>
          <w:rFonts w:asciiTheme="majorHAnsi" w:hAnsiTheme="majorHAnsi"/>
          <w:sz w:val="20"/>
          <w:szCs w:val="20"/>
          <w:lang w:val="en-GB"/>
        </w:rPr>
        <w:t>brother</w:t>
      </w:r>
      <w:r w:rsidRPr="00BE0EC7">
        <w:rPr>
          <w:rFonts w:asciiTheme="majorHAnsi" w:hAnsiTheme="majorHAnsi"/>
          <w:sz w:val="20"/>
          <w:szCs w:val="20"/>
          <w:lang w:val="en-GB"/>
        </w:rPr>
        <w:t>)</w:t>
      </w:r>
    </w:p>
    <w:p w14:paraId="415B8ABE" w14:textId="7F309B73"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r w:rsidRPr="00010342">
        <w:rPr>
          <w:rFonts w:asciiTheme="majorHAnsi" w:hAnsiTheme="majorHAnsi"/>
          <w:sz w:val="20"/>
          <w:szCs w:val="20"/>
          <w:lang w:val="es-US"/>
        </w:rPr>
        <w:t>41) Edison Ren</w:t>
      </w:r>
      <w:r w:rsidR="00A51297" w:rsidRPr="00010342">
        <w:rPr>
          <w:rFonts w:asciiTheme="majorHAnsi" w:hAnsiTheme="majorHAnsi"/>
          <w:sz w:val="20"/>
          <w:szCs w:val="20"/>
          <w:lang w:val="es-US"/>
        </w:rPr>
        <w:t>é</w:t>
      </w:r>
      <w:r w:rsidRPr="00010342">
        <w:rPr>
          <w:rFonts w:asciiTheme="majorHAnsi" w:hAnsiTheme="majorHAnsi"/>
          <w:sz w:val="20"/>
          <w:szCs w:val="20"/>
          <w:lang w:val="es-US"/>
        </w:rPr>
        <w:t xml:space="preserve"> Quina Campo (</w:t>
      </w:r>
      <w:r w:rsidR="00A51201" w:rsidRPr="00010342">
        <w:rPr>
          <w:rFonts w:asciiTheme="majorHAnsi" w:hAnsiTheme="majorHAnsi"/>
          <w:sz w:val="20"/>
          <w:szCs w:val="20"/>
          <w:lang w:val="es-US"/>
        </w:rPr>
        <w:t>nephew</w:t>
      </w:r>
      <w:r w:rsidRPr="00010342">
        <w:rPr>
          <w:rFonts w:asciiTheme="majorHAnsi" w:hAnsiTheme="majorHAnsi"/>
          <w:sz w:val="20"/>
          <w:szCs w:val="20"/>
          <w:lang w:val="es-US"/>
        </w:rPr>
        <w:t>)</w:t>
      </w:r>
    </w:p>
    <w:p w14:paraId="6FE6750C" w14:textId="77777777"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US"/>
        </w:rPr>
      </w:pPr>
    </w:p>
    <w:p w14:paraId="77254398" w14:textId="663B6F20" w:rsidR="00770F33" w:rsidRPr="00770F33"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770F33">
        <w:rPr>
          <w:b/>
          <w:bCs/>
          <w:sz w:val="20"/>
          <w:szCs w:val="20"/>
          <w:lang w:val="es-ES"/>
        </w:rPr>
        <w:t>Juan Carlos Velasco Orozco (</w:t>
      </w:r>
      <w:r w:rsidR="005B059E">
        <w:rPr>
          <w:b/>
          <w:bCs/>
          <w:sz w:val="20"/>
          <w:szCs w:val="20"/>
          <w:lang w:val="es-ES"/>
        </w:rPr>
        <w:t>dead</w:t>
      </w:r>
      <w:r w:rsidRPr="00770F33">
        <w:rPr>
          <w:b/>
          <w:bCs/>
          <w:sz w:val="20"/>
          <w:szCs w:val="20"/>
          <w:lang w:val="es-ES"/>
        </w:rPr>
        <w:t>)</w:t>
      </w:r>
    </w:p>
    <w:p w14:paraId="6B9F1055" w14:textId="567FA576" w:rsidR="00770F33" w:rsidRPr="005B059E" w:rsidRDefault="005B059E"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n-GB"/>
        </w:rPr>
      </w:pPr>
      <w:r w:rsidRPr="005B059E">
        <w:rPr>
          <w:rFonts w:asciiTheme="majorHAnsi" w:hAnsiTheme="majorHAnsi"/>
          <w:sz w:val="20"/>
          <w:szCs w:val="20"/>
          <w:lang w:val="en-GB"/>
        </w:rPr>
        <w:t>Next of kin:</w:t>
      </w:r>
    </w:p>
    <w:p w14:paraId="50427F4B" w14:textId="573DA8DB" w:rsidR="00770F33" w:rsidRPr="005B059E"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n-GB"/>
        </w:rPr>
      </w:pPr>
      <w:r w:rsidRPr="005B059E">
        <w:rPr>
          <w:rFonts w:asciiTheme="majorHAnsi" w:hAnsiTheme="majorHAnsi"/>
          <w:sz w:val="20"/>
          <w:szCs w:val="20"/>
          <w:lang w:val="en-GB"/>
        </w:rPr>
        <w:t>42) Mar</w:t>
      </w:r>
      <w:r w:rsidR="00A51297">
        <w:rPr>
          <w:rFonts w:asciiTheme="majorHAnsi" w:hAnsiTheme="majorHAnsi"/>
          <w:sz w:val="20"/>
          <w:szCs w:val="20"/>
          <w:lang w:val="en-GB"/>
        </w:rPr>
        <w:t>í</w:t>
      </w:r>
      <w:r w:rsidRPr="005B059E">
        <w:rPr>
          <w:rFonts w:asciiTheme="majorHAnsi" w:hAnsiTheme="majorHAnsi"/>
          <w:sz w:val="20"/>
          <w:szCs w:val="20"/>
          <w:lang w:val="en-GB"/>
        </w:rPr>
        <w:t>a Irene Orozco (</w:t>
      </w:r>
      <w:r w:rsidR="005B059E" w:rsidRPr="005B059E">
        <w:rPr>
          <w:rFonts w:asciiTheme="majorHAnsi" w:hAnsiTheme="majorHAnsi"/>
          <w:sz w:val="20"/>
          <w:szCs w:val="20"/>
          <w:lang w:val="en-GB"/>
        </w:rPr>
        <w:t>mother</w:t>
      </w:r>
      <w:r w:rsidRPr="005B059E">
        <w:rPr>
          <w:rFonts w:asciiTheme="majorHAnsi" w:hAnsiTheme="majorHAnsi"/>
          <w:sz w:val="20"/>
          <w:szCs w:val="20"/>
          <w:lang w:val="en-GB"/>
        </w:rPr>
        <w:t>)</w:t>
      </w:r>
    </w:p>
    <w:p w14:paraId="221A482C" w14:textId="150D954B"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43) Juan Bautista Velasco Zuñiga (</w:t>
      </w:r>
      <w:r w:rsidR="005B059E">
        <w:rPr>
          <w:rFonts w:asciiTheme="majorHAnsi" w:hAnsiTheme="majorHAnsi"/>
          <w:sz w:val="20"/>
          <w:szCs w:val="20"/>
          <w:lang w:val="es-ES"/>
        </w:rPr>
        <w:t>father</w:t>
      </w:r>
      <w:r w:rsidRPr="00770F33">
        <w:rPr>
          <w:rFonts w:asciiTheme="majorHAnsi" w:hAnsiTheme="majorHAnsi"/>
          <w:sz w:val="20"/>
          <w:szCs w:val="20"/>
          <w:lang w:val="es-ES"/>
        </w:rPr>
        <w:t>)</w:t>
      </w:r>
    </w:p>
    <w:p w14:paraId="654F9759" w14:textId="153DA900"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Pr>
          <w:rFonts w:asciiTheme="majorHAnsi" w:hAnsiTheme="majorHAnsi"/>
          <w:sz w:val="20"/>
          <w:szCs w:val="20"/>
          <w:lang w:val="en"/>
        </w:rPr>
        <w:t>44) William Velasco Orozco (</w:t>
      </w:r>
      <w:r w:rsidR="005B059E">
        <w:rPr>
          <w:rFonts w:asciiTheme="majorHAnsi" w:hAnsiTheme="majorHAnsi"/>
          <w:sz w:val="20"/>
          <w:szCs w:val="20"/>
          <w:lang w:val="en"/>
        </w:rPr>
        <w:t>brother</w:t>
      </w:r>
      <w:r>
        <w:rPr>
          <w:rFonts w:asciiTheme="majorHAnsi" w:hAnsiTheme="majorHAnsi"/>
          <w:sz w:val="20"/>
          <w:szCs w:val="20"/>
          <w:lang w:val="en"/>
        </w:rPr>
        <w:t>)</w:t>
      </w:r>
    </w:p>
    <w:p w14:paraId="396E2998" w14:textId="77777777"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rPr>
      </w:pPr>
    </w:p>
    <w:p w14:paraId="523E7426" w14:textId="4CFEAFC6" w:rsidR="00770F33" w:rsidRPr="00770F33"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770F33">
        <w:rPr>
          <w:b/>
          <w:bCs/>
          <w:sz w:val="20"/>
          <w:szCs w:val="20"/>
          <w:lang w:val="es-ES"/>
        </w:rPr>
        <w:t>Jos</w:t>
      </w:r>
      <w:r w:rsidR="000C29BA">
        <w:rPr>
          <w:b/>
          <w:bCs/>
          <w:sz w:val="20"/>
          <w:szCs w:val="20"/>
          <w:lang w:val="es-ES"/>
        </w:rPr>
        <w:t>é</w:t>
      </w:r>
      <w:r w:rsidRPr="00770F33">
        <w:rPr>
          <w:b/>
          <w:bCs/>
          <w:sz w:val="20"/>
          <w:szCs w:val="20"/>
          <w:lang w:val="es-ES"/>
        </w:rPr>
        <w:t xml:space="preserve"> Oveider Mosquera Mosquera (</w:t>
      </w:r>
      <w:r w:rsidR="000A137F">
        <w:rPr>
          <w:b/>
          <w:bCs/>
          <w:sz w:val="20"/>
          <w:szCs w:val="20"/>
          <w:lang w:val="es-ES"/>
        </w:rPr>
        <w:t>dead</w:t>
      </w:r>
      <w:r w:rsidRPr="00770F33">
        <w:rPr>
          <w:b/>
          <w:bCs/>
          <w:sz w:val="20"/>
          <w:szCs w:val="20"/>
          <w:lang w:val="es-ES"/>
        </w:rPr>
        <w:t>)</w:t>
      </w:r>
    </w:p>
    <w:p w14:paraId="40FABE08" w14:textId="1F4BD8C8" w:rsidR="00770F33" w:rsidRPr="00010342" w:rsidRDefault="000A137F"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010342">
        <w:rPr>
          <w:rFonts w:asciiTheme="majorHAnsi" w:hAnsiTheme="majorHAnsi"/>
          <w:sz w:val="20"/>
          <w:szCs w:val="20"/>
        </w:rPr>
        <w:t>Next of kin:</w:t>
      </w:r>
    </w:p>
    <w:p w14:paraId="6E5905C8" w14:textId="5CAC31D0"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010342">
        <w:rPr>
          <w:rFonts w:asciiTheme="majorHAnsi" w:hAnsiTheme="majorHAnsi"/>
          <w:sz w:val="20"/>
          <w:szCs w:val="20"/>
        </w:rPr>
        <w:t>45) Juli</w:t>
      </w:r>
      <w:r w:rsidR="000A137F" w:rsidRPr="00010342">
        <w:rPr>
          <w:rFonts w:asciiTheme="majorHAnsi" w:hAnsiTheme="majorHAnsi"/>
          <w:sz w:val="20"/>
          <w:szCs w:val="20"/>
        </w:rPr>
        <w:t>á</w:t>
      </w:r>
      <w:r w:rsidRPr="00010342">
        <w:rPr>
          <w:rFonts w:asciiTheme="majorHAnsi" w:hAnsiTheme="majorHAnsi"/>
          <w:sz w:val="20"/>
          <w:szCs w:val="20"/>
        </w:rPr>
        <w:t>n Mosquera Rodr</w:t>
      </w:r>
      <w:r w:rsidR="000A137F" w:rsidRPr="00010342">
        <w:rPr>
          <w:rFonts w:asciiTheme="majorHAnsi" w:hAnsiTheme="majorHAnsi"/>
          <w:sz w:val="20"/>
          <w:szCs w:val="20"/>
        </w:rPr>
        <w:t>í</w:t>
      </w:r>
      <w:r w:rsidRPr="00010342">
        <w:rPr>
          <w:rFonts w:asciiTheme="majorHAnsi" w:hAnsiTheme="majorHAnsi"/>
          <w:sz w:val="20"/>
          <w:szCs w:val="20"/>
        </w:rPr>
        <w:t>guez (</w:t>
      </w:r>
      <w:r w:rsidR="000A137F" w:rsidRPr="00010342">
        <w:rPr>
          <w:rFonts w:asciiTheme="majorHAnsi" w:hAnsiTheme="majorHAnsi"/>
          <w:sz w:val="20"/>
          <w:szCs w:val="20"/>
        </w:rPr>
        <w:t>father</w:t>
      </w:r>
      <w:r w:rsidRPr="00010342">
        <w:rPr>
          <w:rFonts w:asciiTheme="majorHAnsi" w:hAnsiTheme="majorHAnsi"/>
          <w:sz w:val="20"/>
          <w:szCs w:val="20"/>
        </w:rPr>
        <w:t>)</w:t>
      </w:r>
    </w:p>
    <w:p w14:paraId="683FB16E" w14:textId="4FF45974"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010342">
        <w:rPr>
          <w:rFonts w:asciiTheme="majorHAnsi" w:hAnsiTheme="majorHAnsi"/>
          <w:sz w:val="20"/>
          <w:szCs w:val="20"/>
        </w:rPr>
        <w:t>46) Mar</w:t>
      </w:r>
      <w:r w:rsidR="00712FB4" w:rsidRPr="00010342">
        <w:rPr>
          <w:rFonts w:asciiTheme="majorHAnsi" w:hAnsiTheme="majorHAnsi"/>
          <w:sz w:val="20"/>
          <w:szCs w:val="20"/>
        </w:rPr>
        <w:t>í</w:t>
      </w:r>
      <w:r w:rsidRPr="00010342">
        <w:rPr>
          <w:rFonts w:asciiTheme="majorHAnsi" w:hAnsiTheme="majorHAnsi"/>
          <w:sz w:val="20"/>
          <w:szCs w:val="20"/>
        </w:rPr>
        <w:t>a Eni Mosquera (</w:t>
      </w:r>
      <w:r w:rsidR="000A137F" w:rsidRPr="00010342">
        <w:rPr>
          <w:rFonts w:asciiTheme="majorHAnsi" w:hAnsiTheme="majorHAnsi"/>
          <w:sz w:val="20"/>
          <w:szCs w:val="20"/>
        </w:rPr>
        <w:t>mother</w:t>
      </w:r>
      <w:r w:rsidRPr="00010342">
        <w:rPr>
          <w:rFonts w:asciiTheme="majorHAnsi" w:hAnsiTheme="majorHAnsi"/>
          <w:sz w:val="20"/>
          <w:szCs w:val="20"/>
        </w:rPr>
        <w:t>)</w:t>
      </w:r>
    </w:p>
    <w:p w14:paraId="6E86B8D4" w14:textId="12B790C7"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010342">
        <w:rPr>
          <w:rFonts w:asciiTheme="majorHAnsi" w:hAnsiTheme="majorHAnsi"/>
          <w:sz w:val="20"/>
          <w:szCs w:val="20"/>
        </w:rPr>
        <w:t>47) Jos</w:t>
      </w:r>
      <w:r w:rsidR="000A137F" w:rsidRPr="00010342">
        <w:rPr>
          <w:rFonts w:asciiTheme="majorHAnsi" w:hAnsiTheme="majorHAnsi"/>
          <w:sz w:val="20"/>
          <w:szCs w:val="20"/>
        </w:rPr>
        <w:t>é</w:t>
      </w:r>
      <w:r w:rsidRPr="00010342">
        <w:rPr>
          <w:rFonts w:asciiTheme="majorHAnsi" w:hAnsiTheme="majorHAnsi"/>
          <w:sz w:val="20"/>
          <w:szCs w:val="20"/>
        </w:rPr>
        <w:t xml:space="preserve"> Ledemir Mosquera (</w:t>
      </w:r>
      <w:r w:rsidR="000A137F" w:rsidRPr="00010342">
        <w:rPr>
          <w:rFonts w:asciiTheme="majorHAnsi" w:hAnsiTheme="majorHAnsi"/>
          <w:sz w:val="20"/>
          <w:szCs w:val="20"/>
        </w:rPr>
        <w:t>brother</w:t>
      </w:r>
      <w:r w:rsidRPr="00010342">
        <w:rPr>
          <w:rFonts w:asciiTheme="majorHAnsi" w:hAnsiTheme="majorHAnsi"/>
          <w:sz w:val="20"/>
          <w:szCs w:val="20"/>
        </w:rPr>
        <w:t>)</w:t>
      </w:r>
    </w:p>
    <w:p w14:paraId="416D7E1F" w14:textId="2FBF7505"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010342">
        <w:rPr>
          <w:rFonts w:asciiTheme="majorHAnsi" w:hAnsiTheme="majorHAnsi"/>
          <w:sz w:val="20"/>
          <w:szCs w:val="20"/>
        </w:rPr>
        <w:t>48) Jos</w:t>
      </w:r>
      <w:r w:rsidR="000A137F" w:rsidRPr="00010342">
        <w:rPr>
          <w:rFonts w:asciiTheme="majorHAnsi" w:hAnsiTheme="majorHAnsi"/>
          <w:sz w:val="20"/>
          <w:szCs w:val="20"/>
        </w:rPr>
        <w:t>é</w:t>
      </w:r>
      <w:r w:rsidRPr="00010342">
        <w:rPr>
          <w:rFonts w:asciiTheme="majorHAnsi" w:hAnsiTheme="majorHAnsi"/>
          <w:sz w:val="20"/>
          <w:szCs w:val="20"/>
        </w:rPr>
        <w:t xml:space="preserve"> Orlidio Mosquera (</w:t>
      </w:r>
      <w:r w:rsidR="000A137F" w:rsidRPr="00010342">
        <w:rPr>
          <w:rFonts w:asciiTheme="majorHAnsi" w:hAnsiTheme="majorHAnsi"/>
          <w:sz w:val="20"/>
          <w:szCs w:val="20"/>
        </w:rPr>
        <w:t>brother</w:t>
      </w:r>
      <w:r w:rsidRPr="00010342">
        <w:rPr>
          <w:rFonts w:asciiTheme="majorHAnsi" w:hAnsiTheme="majorHAnsi"/>
          <w:sz w:val="20"/>
          <w:szCs w:val="20"/>
        </w:rPr>
        <w:t>)</w:t>
      </w:r>
    </w:p>
    <w:p w14:paraId="208C54B0" w14:textId="57DA569C"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010342">
        <w:rPr>
          <w:rFonts w:asciiTheme="majorHAnsi" w:hAnsiTheme="majorHAnsi"/>
          <w:sz w:val="20"/>
          <w:szCs w:val="20"/>
        </w:rPr>
        <w:t>49) Jos</w:t>
      </w:r>
      <w:r w:rsidR="000A137F" w:rsidRPr="00010342">
        <w:rPr>
          <w:rFonts w:asciiTheme="majorHAnsi" w:hAnsiTheme="majorHAnsi"/>
          <w:sz w:val="20"/>
          <w:szCs w:val="20"/>
        </w:rPr>
        <w:t>é</w:t>
      </w:r>
      <w:r w:rsidRPr="00010342">
        <w:rPr>
          <w:rFonts w:asciiTheme="majorHAnsi" w:hAnsiTheme="majorHAnsi"/>
          <w:sz w:val="20"/>
          <w:szCs w:val="20"/>
        </w:rPr>
        <w:t xml:space="preserve"> L</w:t>
      </w:r>
      <w:r w:rsidR="000A137F" w:rsidRPr="00010342">
        <w:rPr>
          <w:rFonts w:asciiTheme="majorHAnsi" w:hAnsiTheme="majorHAnsi"/>
          <w:sz w:val="20"/>
          <w:szCs w:val="20"/>
        </w:rPr>
        <w:t>í</w:t>
      </w:r>
      <w:r w:rsidRPr="00010342">
        <w:rPr>
          <w:rFonts w:asciiTheme="majorHAnsi" w:hAnsiTheme="majorHAnsi"/>
          <w:sz w:val="20"/>
          <w:szCs w:val="20"/>
        </w:rPr>
        <w:t>der Mosquera (</w:t>
      </w:r>
      <w:r w:rsidR="000A137F" w:rsidRPr="00010342">
        <w:rPr>
          <w:rFonts w:asciiTheme="majorHAnsi" w:hAnsiTheme="majorHAnsi"/>
          <w:sz w:val="20"/>
          <w:szCs w:val="20"/>
        </w:rPr>
        <w:t>brother</w:t>
      </w:r>
      <w:r w:rsidRPr="00010342">
        <w:rPr>
          <w:rFonts w:asciiTheme="majorHAnsi" w:hAnsiTheme="majorHAnsi"/>
          <w:sz w:val="20"/>
          <w:szCs w:val="20"/>
        </w:rPr>
        <w:t>)</w:t>
      </w:r>
    </w:p>
    <w:p w14:paraId="4299AD38" w14:textId="59180CB5" w:rsidR="00770F33" w:rsidRPr="00010342"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r w:rsidRPr="00010342">
        <w:rPr>
          <w:rFonts w:asciiTheme="majorHAnsi" w:hAnsiTheme="majorHAnsi"/>
          <w:sz w:val="20"/>
          <w:szCs w:val="20"/>
        </w:rPr>
        <w:t>50) Mar</w:t>
      </w:r>
      <w:r w:rsidR="000A137F" w:rsidRPr="00010342">
        <w:rPr>
          <w:rFonts w:asciiTheme="majorHAnsi" w:hAnsiTheme="majorHAnsi"/>
          <w:sz w:val="20"/>
          <w:szCs w:val="20"/>
        </w:rPr>
        <w:t>í</w:t>
      </w:r>
      <w:r w:rsidRPr="00010342">
        <w:rPr>
          <w:rFonts w:asciiTheme="majorHAnsi" w:hAnsiTheme="majorHAnsi"/>
          <w:sz w:val="20"/>
          <w:szCs w:val="20"/>
        </w:rPr>
        <w:t>a Nelli Mosquera (</w:t>
      </w:r>
      <w:r w:rsidR="000A137F" w:rsidRPr="00010342">
        <w:rPr>
          <w:rFonts w:asciiTheme="majorHAnsi" w:hAnsiTheme="majorHAnsi"/>
          <w:sz w:val="20"/>
          <w:szCs w:val="20"/>
        </w:rPr>
        <w:t>sister</w:t>
      </w:r>
      <w:r w:rsidRPr="00010342">
        <w:rPr>
          <w:rFonts w:asciiTheme="majorHAnsi" w:hAnsiTheme="majorHAnsi"/>
          <w:sz w:val="20"/>
          <w:szCs w:val="20"/>
        </w:rPr>
        <w:t>)</w:t>
      </w:r>
    </w:p>
    <w:p w14:paraId="1C97098C" w14:textId="76532304"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770F33">
        <w:rPr>
          <w:rFonts w:asciiTheme="majorHAnsi" w:hAnsiTheme="majorHAnsi"/>
          <w:sz w:val="20"/>
          <w:szCs w:val="20"/>
          <w:lang w:val="es-ES"/>
        </w:rPr>
        <w:t>51) Leidy Viviana Mosquera (</w:t>
      </w:r>
      <w:r w:rsidR="000A137F">
        <w:rPr>
          <w:rFonts w:asciiTheme="majorHAnsi" w:hAnsiTheme="majorHAnsi"/>
          <w:sz w:val="20"/>
          <w:szCs w:val="20"/>
          <w:lang w:val="es-ES"/>
        </w:rPr>
        <w:t>daughter</w:t>
      </w:r>
      <w:r w:rsidRPr="00770F33">
        <w:rPr>
          <w:rFonts w:asciiTheme="majorHAnsi" w:hAnsiTheme="majorHAnsi"/>
          <w:sz w:val="20"/>
          <w:szCs w:val="20"/>
          <w:lang w:val="es-ES"/>
        </w:rPr>
        <w:t>)</w:t>
      </w:r>
    </w:p>
    <w:p w14:paraId="69560F48" w14:textId="77777777" w:rsidR="00770F33" w:rsidRPr="00770F33"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p>
    <w:p w14:paraId="25952BAD" w14:textId="56DB8D36" w:rsidR="00770F33" w:rsidRPr="00132A3A" w:rsidRDefault="00770F33" w:rsidP="00770F3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rPr>
      </w:pPr>
      <w:r>
        <w:rPr>
          <w:b/>
          <w:bCs/>
          <w:sz w:val="20"/>
          <w:szCs w:val="20"/>
          <w:lang w:val="en"/>
        </w:rPr>
        <w:t>Wilmer Camayo Montenegro (</w:t>
      </w:r>
      <w:r w:rsidR="000C29BA">
        <w:rPr>
          <w:b/>
          <w:bCs/>
          <w:sz w:val="20"/>
          <w:szCs w:val="20"/>
          <w:lang w:val="en"/>
        </w:rPr>
        <w:t>dead</w:t>
      </w:r>
      <w:r>
        <w:rPr>
          <w:b/>
          <w:bCs/>
          <w:sz w:val="20"/>
          <w:szCs w:val="20"/>
          <w:lang w:val="en"/>
        </w:rPr>
        <w:t>)</w:t>
      </w:r>
    </w:p>
    <w:p w14:paraId="66B9629D" w14:textId="77777777" w:rsidR="00770F33" w:rsidRPr="00132A3A" w:rsidRDefault="00770F33" w:rsidP="00770F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rPr>
      </w:pPr>
    </w:p>
    <w:p w14:paraId="710907E9" w14:textId="77777777" w:rsidR="00770F33" w:rsidRPr="00B16987" w:rsidRDefault="00770F33" w:rsidP="00B16987">
      <w:pPr>
        <w:suppressAutoHyphens/>
        <w:spacing w:before="240" w:after="240"/>
        <w:jc w:val="both"/>
        <w:rPr>
          <w:rFonts w:asciiTheme="majorHAnsi" w:hAnsiTheme="majorHAnsi"/>
          <w:b/>
          <w:bCs/>
          <w:sz w:val="20"/>
          <w:szCs w:val="20"/>
        </w:rPr>
      </w:pPr>
    </w:p>
    <w:p w14:paraId="02815E8C" w14:textId="77777777" w:rsidR="00770F33" w:rsidRPr="00B16987" w:rsidRDefault="00770F33" w:rsidP="00770F33">
      <w:pPr>
        <w:tabs>
          <w:tab w:val="center" w:pos="5400"/>
        </w:tabs>
        <w:suppressAutoHyphens/>
        <w:spacing w:line="276" w:lineRule="auto"/>
        <w:rPr>
          <w:rFonts w:asciiTheme="majorHAnsi" w:hAnsiTheme="majorHAnsi"/>
          <w:b/>
          <w:bCs/>
          <w:sz w:val="20"/>
          <w:szCs w:val="20"/>
        </w:rPr>
      </w:pPr>
    </w:p>
    <w:p w14:paraId="3814DFBA" w14:textId="77777777" w:rsidR="00770F33" w:rsidRPr="00B16987" w:rsidRDefault="00770F33" w:rsidP="00770F33">
      <w:pPr>
        <w:tabs>
          <w:tab w:val="center" w:pos="5400"/>
        </w:tabs>
        <w:suppressAutoHyphens/>
        <w:spacing w:line="276" w:lineRule="auto"/>
        <w:rPr>
          <w:rFonts w:asciiTheme="majorHAnsi" w:hAnsiTheme="majorHAnsi"/>
          <w:b/>
          <w:bCs/>
          <w:sz w:val="20"/>
          <w:szCs w:val="20"/>
        </w:rPr>
      </w:pPr>
    </w:p>
    <w:p w14:paraId="42D4A60E" w14:textId="77777777" w:rsidR="00F621C3" w:rsidRPr="00B16987" w:rsidRDefault="00F621C3" w:rsidP="00770F33">
      <w:pPr>
        <w:spacing w:before="120" w:after="120"/>
        <w:jc w:val="both"/>
        <w:rPr>
          <w:rFonts w:asciiTheme="majorHAnsi" w:hAnsiTheme="majorHAnsi"/>
          <w:b/>
          <w:bCs/>
          <w:sz w:val="20"/>
          <w:szCs w:val="20"/>
        </w:rPr>
      </w:pPr>
    </w:p>
    <w:p w14:paraId="72F335FC" w14:textId="77777777" w:rsidR="00F621C3" w:rsidRPr="00B16987" w:rsidRDefault="00F621C3" w:rsidP="00F621C3">
      <w:pPr>
        <w:tabs>
          <w:tab w:val="center" w:pos="5400"/>
        </w:tabs>
        <w:suppressAutoHyphens/>
        <w:spacing w:line="276" w:lineRule="auto"/>
        <w:rPr>
          <w:rFonts w:asciiTheme="majorHAnsi" w:hAnsiTheme="majorHAnsi"/>
          <w:b/>
          <w:bCs/>
          <w:sz w:val="20"/>
          <w:szCs w:val="20"/>
        </w:rPr>
      </w:pPr>
    </w:p>
    <w:p w14:paraId="776AE8A6" w14:textId="77777777" w:rsidR="00F621C3" w:rsidRPr="00B16987" w:rsidRDefault="00F621C3" w:rsidP="00F621C3">
      <w:pPr>
        <w:rPr>
          <w:rFonts w:ascii="Cambria" w:hAnsi="Cambria" w:cs="Calibri"/>
          <w:b/>
          <w:bCs/>
          <w:sz w:val="20"/>
          <w:szCs w:val="20"/>
        </w:rPr>
      </w:pPr>
    </w:p>
    <w:p w14:paraId="5B6C1BEB" w14:textId="77777777" w:rsidR="00C55560" w:rsidRPr="00B16987" w:rsidRDefault="00C55560" w:rsidP="00230163">
      <w:pPr>
        <w:tabs>
          <w:tab w:val="left" w:pos="2820"/>
        </w:tabs>
        <w:suppressAutoHyphens/>
        <w:spacing w:line="276" w:lineRule="auto"/>
        <w:rPr>
          <w:rFonts w:asciiTheme="majorHAnsi" w:hAnsiTheme="majorHAnsi"/>
          <w:b/>
          <w:bCs/>
          <w:sz w:val="20"/>
          <w:szCs w:val="20"/>
        </w:rPr>
      </w:pPr>
    </w:p>
    <w:sectPr w:rsidR="00C55560" w:rsidRPr="00B1698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7187" w14:textId="77777777" w:rsidR="002C628F" w:rsidRDefault="002C628F" w:rsidP="00036A8A">
      <w:r>
        <w:separator/>
      </w:r>
    </w:p>
  </w:endnote>
  <w:endnote w:type="continuationSeparator" w:id="0">
    <w:p w14:paraId="1169EC30" w14:textId="77777777" w:rsidR="002C628F" w:rsidRDefault="002C628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F020" w14:textId="77777777" w:rsidR="00010342" w:rsidRDefault="00010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51133541" w:rsidR="000A6ACC" w:rsidRPr="006311DA" w:rsidRDefault="000A6AC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10342">
          <w:rPr>
            <w:noProof/>
            <w:sz w:val="16"/>
          </w:rPr>
          <w:t>1</w:t>
        </w:r>
        <w:r w:rsidRPr="006311DA">
          <w:rPr>
            <w:noProof/>
            <w:sz w:val="16"/>
          </w:rPr>
          <w:fldChar w:fldCharType="end"/>
        </w:r>
      </w:p>
    </w:sdtContent>
  </w:sdt>
  <w:p w14:paraId="2D483621" w14:textId="77777777" w:rsidR="000A6ACC" w:rsidRDefault="000A6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0A6ACC" w:rsidRDefault="000A6ACC">
    <w:pPr>
      <w:pStyle w:val="Footer"/>
      <w:jc w:val="center"/>
    </w:pPr>
  </w:p>
  <w:p w14:paraId="1AB4180C" w14:textId="77777777" w:rsidR="000A6ACC" w:rsidRDefault="000A6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F18B1" w14:textId="77777777" w:rsidR="002C628F" w:rsidRPr="00036A8A" w:rsidRDefault="002C628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1B5D1C9" w14:textId="77777777" w:rsidR="002C628F" w:rsidRPr="00036A8A" w:rsidRDefault="002C628F" w:rsidP="00036A8A">
      <w:pPr>
        <w:rPr>
          <w:rFonts w:asciiTheme="majorHAnsi" w:hAnsiTheme="majorHAnsi"/>
          <w:sz w:val="16"/>
          <w:szCs w:val="16"/>
        </w:rPr>
      </w:pPr>
      <w:r w:rsidRPr="00036A8A">
        <w:rPr>
          <w:rFonts w:asciiTheme="majorHAnsi" w:hAnsiTheme="majorHAnsi"/>
          <w:sz w:val="16"/>
          <w:szCs w:val="16"/>
        </w:rPr>
        <w:separator/>
      </w:r>
    </w:p>
    <w:p w14:paraId="373DBCCC" w14:textId="77777777" w:rsidR="002C628F" w:rsidRPr="00036A8A" w:rsidRDefault="002C628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48ADD88" w14:textId="77777777" w:rsidR="002C628F" w:rsidRPr="0093441A" w:rsidRDefault="002C628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BA5B590" w14:textId="70377E80" w:rsidR="000A6ACC" w:rsidRPr="007F4653" w:rsidRDefault="000A6ACC" w:rsidP="008F4CA0">
      <w:pPr>
        <w:pStyle w:val="FootnoteText"/>
        <w:ind w:firstLine="720"/>
        <w:jc w:val="both"/>
        <w:rPr>
          <w:rFonts w:asciiTheme="majorHAnsi" w:hAnsiTheme="majorHAnsi"/>
          <w:sz w:val="16"/>
          <w:szCs w:val="16"/>
          <w:lang w:val="en-GB"/>
        </w:rPr>
      </w:pPr>
      <w:r w:rsidRPr="007F4653">
        <w:rPr>
          <w:rStyle w:val="FootnoteReference"/>
          <w:rFonts w:asciiTheme="majorHAnsi" w:hAnsiTheme="majorHAnsi"/>
          <w:sz w:val="16"/>
          <w:szCs w:val="16"/>
        </w:rPr>
        <w:footnoteRef/>
      </w:r>
      <w:r w:rsidRPr="007F4653">
        <w:rPr>
          <w:rFonts w:asciiTheme="majorHAnsi" w:hAnsiTheme="majorHAnsi"/>
          <w:sz w:val="16"/>
          <w:szCs w:val="16"/>
        </w:rPr>
        <w:t xml:space="preserve"> This petition concerns nine people killed, one injured, and fifty-one next-of-kin of the alleged victims, identified in the attachment.</w:t>
      </w:r>
    </w:p>
  </w:footnote>
  <w:footnote w:id="3">
    <w:p w14:paraId="4E604D1E" w14:textId="1DA24C5B" w:rsidR="000A6ACC" w:rsidRPr="007F4653" w:rsidRDefault="000A6ACC" w:rsidP="008F4CA0">
      <w:pPr>
        <w:pStyle w:val="FootnoteText"/>
        <w:ind w:firstLine="720"/>
        <w:jc w:val="both"/>
        <w:rPr>
          <w:rFonts w:asciiTheme="majorHAnsi" w:hAnsiTheme="majorHAnsi"/>
          <w:sz w:val="16"/>
          <w:szCs w:val="16"/>
        </w:rPr>
      </w:pPr>
      <w:r w:rsidRPr="007F4653">
        <w:rPr>
          <w:rStyle w:val="FootnoteReference"/>
          <w:rFonts w:asciiTheme="majorHAnsi" w:hAnsiTheme="majorHAnsi"/>
          <w:sz w:val="16"/>
          <w:szCs w:val="16"/>
        </w:rPr>
        <w:footnoteRef/>
      </w:r>
      <w:r w:rsidRPr="007F4653">
        <w:rPr>
          <w:rFonts w:asciiTheme="majorHAnsi" w:hAnsiTheme="majorHAnsi"/>
          <w:sz w:val="16"/>
          <w:szCs w:val="16"/>
        </w:rPr>
        <w:t xml:space="preserve"> Hereinafter the “American Convention” or “Convention.”</w:t>
      </w:r>
    </w:p>
  </w:footnote>
  <w:footnote w:id="4">
    <w:p w14:paraId="55774E34" w14:textId="16CD966B" w:rsidR="000A6ACC" w:rsidRPr="007F4653" w:rsidRDefault="000A6ACC" w:rsidP="008F4CA0">
      <w:pPr>
        <w:pStyle w:val="FootnoteText"/>
        <w:ind w:firstLine="720"/>
        <w:jc w:val="both"/>
        <w:rPr>
          <w:rFonts w:asciiTheme="majorHAnsi" w:hAnsiTheme="majorHAnsi"/>
          <w:sz w:val="16"/>
          <w:szCs w:val="16"/>
        </w:rPr>
      </w:pPr>
      <w:r w:rsidRPr="007F4653">
        <w:rPr>
          <w:rStyle w:val="FootnoteReference"/>
          <w:rFonts w:asciiTheme="majorHAnsi" w:hAnsiTheme="majorHAnsi"/>
          <w:sz w:val="16"/>
          <w:szCs w:val="16"/>
        </w:rPr>
        <w:footnoteRef/>
      </w:r>
      <w:r w:rsidRPr="007F4653">
        <w:rPr>
          <w:rFonts w:asciiTheme="majorHAnsi" w:hAnsiTheme="majorHAnsi"/>
          <w:sz w:val="16"/>
          <w:szCs w:val="16"/>
        </w:rPr>
        <w:t xml:space="preserve"> The observations submitted by each party were duly transmitted </w:t>
      </w:r>
      <w:r>
        <w:rPr>
          <w:rFonts w:asciiTheme="majorHAnsi" w:hAnsiTheme="majorHAnsi"/>
          <w:sz w:val="16"/>
          <w:szCs w:val="16"/>
        </w:rPr>
        <w:t xml:space="preserve">by the Commission </w:t>
      </w:r>
      <w:r w:rsidRPr="007F4653">
        <w:rPr>
          <w:rFonts w:asciiTheme="majorHAnsi" w:hAnsiTheme="majorHAnsi"/>
          <w:sz w:val="16"/>
          <w:szCs w:val="16"/>
        </w:rPr>
        <w:t>to the opposing party.</w:t>
      </w:r>
    </w:p>
  </w:footnote>
  <w:footnote w:id="5">
    <w:p w14:paraId="52EBB8C8" w14:textId="77777777" w:rsidR="000A6ACC" w:rsidRPr="007F4653" w:rsidRDefault="000A6ACC" w:rsidP="00770F33">
      <w:pPr>
        <w:pStyle w:val="FootnoteText"/>
        <w:ind w:firstLine="720"/>
        <w:rPr>
          <w:rFonts w:asciiTheme="majorHAnsi" w:hAnsiTheme="majorHAnsi"/>
          <w:sz w:val="16"/>
          <w:szCs w:val="16"/>
        </w:rPr>
      </w:pPr>
      <w:r w:rsidRPr="007F4653">
        <w:rPr>
          <w:rStyle w:val="FootnoteReference"/>
          <w:rFonts w:asciiTheme="majorHAnsi" w:hAnsiTheme="majorHAnsi"/>
          <w:sz w:val="16"/>
          <w:szCs w:val="16"/>
          <w:lang w:val="en"/>
        </w:rPr>
        <w:footnoteRef/>
      </w:r>
      <w:r w:rsidRPr="007F4653">
        <w:rPr>
          <w:rFonts w:asciiTheme="majorHAnsi" w:hAnsiTheme="majorHAnsi"/>
          <w:sz w:val="16"/>
          <w:szCs w:val="16"/>
          <w:lang w:val="en"/>
        </w:rPr>
        <w:t xml:space="preserve"> The petitioner refers to the massacres in La Pedregosa and El Carmelo. </w:t>
      </w:r>
    </w:p>
  </w:footnote>
  <w:footnote w:id="6">
    <w:p w14:paraId="381CA866" w14:textId="77777777" w:rsidR="000A6ACC" w:rsidRPr="007F4653" w:rsidRDefault="000A6ACC" w:rsidP="008F4CA0">
      <w:pPr>
        <w:pStyle w:val="FootnoteText"/>
        <w:ind w:firstLine="720"/>
        <w:jc w:val="both"/>
        <w:rPr>
          <w:rFonts w:asciiTheme="majorHAnsi" w:hAnsiTheme="majorHAnsi"/>
          <w:sz w:val="16"/>
          <w:szCs w:val="16"/>
        </w:rPr>
      </w:pPr>
      <w:r w:rsidRPr="007F4653">
        <w:rPr>
          <w:rStyle w:val="FootnoteReference"/>
          <w:rFonts w:asciiTheme="majorHAnsi" w:hAnsiTheme="majorHAnsi"/>
          <w:sz w:val="16"/>
          <w:szCs w:val="16"/>
          <w:lang w:val="en"/>
        </w:rPr>
        <w:footnoteRef/>
      </w:r>
      <w:r w:rsidRPr="007F4653">
        <w:rPr>
          <w:rFonts w:asciiTheme="majorHAnsi" w:hAnsiTheme="majorHAnsi"/>
          <w:sz w:val="16"/>
          <w:szCs w:val="16"/>
          <w:lang w:val="en"/>
        </w:rPr>
        <w:t xml:space="preserve"> IACHR, Report No. 97/18, Petition 1071/07, Admissibility. </w:t>
      </w:r>
      <w:r w:rsidRPr="00BE0EC7">
        <w:rPr>
          <w:rFonts w:asciiTheme="majorHAnsi" w:hAnsiTheme="majorHAnsi"/>
          <w:sz w:val="16"/>
          <w:szCs w:val="16"/>
          <w:lang w:val="es-419"/>
        </w:rPr>
        <w:t xml:space="preserve">Naudin José Fajardo Martínez </w:t>
      </w:r>
      <w:r w:rsidRPr="00BE0EC7">
        <w:rPr>
          <w:rFonts w:asciiTheme="majorHAnsi" w:hAnsiTheme="majorHAnsi"/>
          <w:i/>
          <w:iCs/>
          <w:sz w:val="16"/>
          <w:szCs w:val="16"/>
          <w:lang w:val="es-419"/>
        </w:rPr>
        <w:t>et al.</w:t>
      </w:r>
      <w:r w:rsidRPr="00BE0EC7">
        <w:rPr>
          <w:rFonts w:asciiTheme="majorHAnsi" w:hAnsiTheme="majorHAnsi"/>
          <w:sz w:val="16"/>
          <w:szCs w:val="16"/>
          <w:lang w:val="es-419"/>
        </w:rPr>
        <w:t xml:space="preserve"> </w:t>
      </w:r>
      <w:r w:rsidRPr="007F4653">
        <w:rPr>
          <w:rFonts w:asciiTheme="majorHAnsi" w:hAnsiTheme="majorHAnsi"/>
          <w:sz w:val="16"/>
          <w:szCs w:val="16"/>
          <w:lang w:val="en"/>
        </w:rPr>
        <w:t>(Massacre of the Los Kativos Farm), Colombia, September 6, 2018, par. 9.</w:t>
      </w:r>
    </w:p>
  </w:footnote>
  <w:footnote w:id="7">
    <w:p w14:paraId="3E751F6E" w14:textId="6441169C" w:rsidR="000A6ACC" w:rsidRPr="007F4653" w:rsidRDefault="000A6ACC" w:rsidP="008F4CA0">
      <w:pPr>
        <w:pStyle w:val="FootnoteText"/>
        <w:ind w:firstLine="720"/>
        <w:jc w:val="both"/>
        <w:rPr>
          <w:rFonts w:asciiTheme="majorHAnsi" w:hAnsiTheme="majorHAnsi"/>
          <w:sz w:val="16"/>
          <w:szCs w:val="16"/>
        </w:rPr>
      </w:pPr>
      <w:r w:rsidRPr="007F4653">
        <w:rPr>
          <w:rStyle w:val="FootnoteReference"/>
          <w:rFonts w:asciiTheme="majorHAnsi" w:hAnsiTheme="majorHAnsi"/>
          <w:sz w:val="16"/>
          <w:szCs w:val="16"/>
          <w:lang w:val="en"/>
        </w:rPr>
        <w:footnoteRef/>
      </w:r>
      <w:r w:rsidRPr="007F4653">
        <w:rPr>
          <w:rFonts w:asciiTheme="majorHAnsi" w:hAnsiTheme="majorHAnsi"/>
          <w:sz w:val="16"/>
          <w:szCs w:val="16"/>
          <w:lang w:val="en"/>
        </w:rPr>
        <w:t xml:space="preserve"> See</w:t>
      </w:r>
      <w:r>
        <w:rPr>
          <w:rFonts w:asciiTheme="majorHAnsi" w:hAnsiTheme="majorHAnsi"/>
          <w:sz w:val="16"/>
          <w:szCs w:val="16"/>
          <w:lang w:val="en"/>
        </w:rPr>
        <w:t>,</w:t>
      </w:r>
      <w:r w:rsidRPr="007F4653">
        <w:rPr>
          <w:rFonts w:asciiTheme="majorHAnsi" w:hAnsiTheme="majorHAnsi"/>
          <w:sz w:val="16"/>
          <w:szCs w:val="16"/>
          <w:lang w:val="en"/>
        </w:rPr>
        <w:t xml:space="preserve"> for example IACHR, Report No. 129/18, Petition 1256/07, Admissibility. Cornelio Antonio Isaza Arango </w:t>
      </w:r>
      <w:r w:rsidRPr="007F4653">
        <w:rPr>
          <w:rFonts w:asciiTheme="majorHAnsi" w:hAnsiTheme="majorHAnsi"/>
          <w:i/>
          <w:iCs/>
          <w:sz w:val="16"/>
          <w:szCs w:val="16"/>
          <w:lang w:val="en"/>
        </w:rPr>
        <w:t>et al.</w:t>
      </w:r>
      <w:r w:rsidRPr="007F4653">
        <w:rPr>
          <w:rFonts w:asciiTheme="majorHAnsi" w:hAnsiTheme="majorHAnsi"/>
          <w:sz w:val="16"/>
          <w:szCs w:val="16"/>
          <w:lang w:val="en"/>
        </w:rPr>
        <w:t xml:space="preserve"> (Massacre of the El Retiro Sawmill), Colombia, November 20, 2018; Report No. 104/18, Petition 221/08, Admissibility. Delis Palacio Herrón </w:t>
      </w:r>
      <w:r w:rsidRPr="007F4653">
        <w:rPr>
          <w:rFonts w:asciiTheme="majorHAnsi" w:hAnsiTheme="majorHAnsi"/>
          <w:i/>
          <w:iCs/>
          <w:sz w:val="16"/>
          <w:szCs w:val="16"/>
          <w:lang w:val="en"/>
        </w:rPr>
        <w:t>et al</w:t>
      </w:r>
      <w:r w:rsidRPr="007F4653">
        <w:rPr>
          <w:rFonts w:asciiTheme="majorHAnsi" w:hAnsiTheme="majorHAnsi"/>
          <w:sz w:val="16"/>
          <w:szCs w:val="16"/>
          <w:lang w:val="en"/>
        </w:rPr>
        <w:t>. (Bojayá Massacre), Colombia, September 20, 2018.</w:t>
      </w:r>
    </w:p>
  </w:footnote>
  <w:footnote w:id="8">
    <w:p w14:paraId="2E4398A7" w14:textId="77777777" w:rsidR="000A6ACC" w:rsidRPr="007F4653" w:rsidRDefault="000A6ACC" w:rsidP="008F4CA0">
      <w:pPr>
        <w:pStyle w:val="FootnoteText"/>
        <w:ind w:firstLine="720"/>
        <w:jc w:val="both"/>
        <w:rPr>
          <w:rFonts w:asciiTheme="majorHAnsi" w:hAnsiTheme="majorHAnsi"/>
          <w:sz w:val="16"/>
          <w:szCs w:val="16"/>
        </w:rPr>
      </w:pPr>
      <w:r w:rsidRPr="007F4653">
        <w:rPr>
          <w:rStyle w:val="FootnoteReference"/>
          <w:rFonts w:asciiTheme="majorHAnsi" w:hAnsiTheme="majorHAnsi"/>
          <w:sz w:val="16"/>
          <w:szCs w:val="16"/>
          <w:lang w:val="en"/>
        </w:rPr>
        <w:footnoteRef/>
      </w:r>
      <w:r w:rsidRPr="007F4653">
        <w:rPr>
          <w:rFonts w:asciiTheme="majorHAnsi" w:hAnsiTheme="majorHAnsi"/>
          <w:sz w:val="16"/>
          <w:szCs w:val="16"/>
          <w:lang w:val="en"/>
        </w:rPr>
        <w:t xml:space="preserve"> IACHR, Report No. 129/18, Petition 1256/07, Admissibility. </w:t>
      </w:r>
      <w:r w:rsidRPr="00BE0EC7">
        <w:rPr>
          <w:rFonts w:asciiTheme="majorHAnsi" w:hAnsiTheme="majorHAnsi"/>
          <w:sz w:val="16"/>
          <w:szCs w:val="16"/>
          <w:lang w:val="es-419"/>
        </w:rPr>
        <w:t xml:space="preserve">Cornelio Antonio Isaza Arango </w:t>
      </w:r>
      <w:r w:rsidRPr="00BE0EC7">
        <w:rPr>
          <w:rFonts w:asciiTheme="majorHAnsi" w:hAnsiTheme="majorHAnsi"/>
          <w:i/>
          <w:iCs/>
          <w:sz w:val="16"/>
          <w:szCs w:val="16"/>
          <w:lang w:val="es-419"/>
        </w:rPr>
        <w:t>et al.</w:t>
      </w:r>
      <w:r w:rsidRPr="00BE0EC7">
        <w:rPr>
          <w:rFonts w:asciiTheme="majorHAnsi" w:hAnsiTheme="majorHAnsi"/>
          <w:sz w:val="16"/>
          <w:szCs w:val="16"/>
          <w:lang w:val="es-419"/>
        </w:rPr>
        <w:t xml:space="preserve"> </w:t>
      </w:r>
      <w:r w:rsidRPr="007F4653">
        <w:rPr>
          <w:rFonts w:asciiTheme="majorHAnsi" w:hAnsiTheme="majorHAnsi"/>
          <w:sz w:val="16"/>
          <w:szCs w:val="16"/>
          <w:lang w:val="en"/>
        </w:rPr>
        <w:t>(Massacre of the El Retiro Sawmill), Colombia, November 20, 2018, par. 10.</w:t>
      </w:r>
    </w:p>
    <w:p w14:paraId="72440267" w14:textId="77777777" w:rsidR="000A6ACC" w:rsidRPr="007F4653" w:rsidRDefault="000A6ACC" w:rsidP="00770F33">
      <w:pPr>
        <w:pStyle w:val="FootnoteText"/>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A6ACC" w:rsidRDefault="000A6ACC" w:rsidP="00F00B5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A6ACC" w:rsidRDefault="000A6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0A6ACC" w:rsidRDefault="000A6ACC"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A6ACC" w:rsidRPr="00EC7D62" w:rsidRDefault="002C628F"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3AE6" w14:textId="77777777" w:rsidR="00010342" w:rsidRDefault="00010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9EE5D16"/>
    <w:lvl w:ilvl="0" w:tplc="A6B2A2AC">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C30744E"/>
    <w:multiLevelType w:val="hybridMultilevel"/>
    <w:tmpl w:val="2C1A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5"/>
  </w:num>
  <w:num w:numId="106">
    <w:abstractNumId w:val="31"/>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56"/>
    <w:rsid w:val="000070D7"/>
    <w:rsid w:val="00010342"/>
    <w:rsid w:val="000111A8"/>
    <w:rsid w:val="0001788C"/>
    <w:rsid w:val="00022CF5"/>
    <w:rsid w:val="00036A8A"/>
    <w:rsid w:val="00040C3A"/>
    <w:rsid w:val="00043ABD"/>
    <w:rsid w:val="000460CA"/>
    <w:rsid w:val="00050434"/>
    <w:rsid w:val="000639C0"/>
    <w:rsid w:val="00070F3A"/>
    <w:rsid w:val="000716C5"/>
    <w:rsid w:val="00075E23"/>
    <w:rsid w:val="00092F32"/>
    <w:rsid w:val="0009344A"/>
    <w:rsid w:val="00096DCC"/>
    <w:rsid w:val="000A137F"/>
    <w:rsid w:val="000A575F"/>
    <w:rsid w:val="000A6ACC"/>
    <w:rsid w:val="000C29BA"/>
    <w:rsid w:val="000C4365"/>
    <w:rsid w:val="000D10DB"/>
    <w:rsid w:val="00113A4F"/>
    <w:rsid w:val="00115F41"/>
    <w:rsid w:val="00124116"/>
    <w:rsid w:val="00126E08"/>
    <w:rsid w:val="0013104F"/>
    <w:rsid w:val="00137EBA"/>
    <w:rsid w:val="00145EDC"/>
    <w:rsid w:val="001518BE"/>
    <w:rsid w:val="00153084"/>
    <w:rsid w:val="00167A34"/>
    <w:rsid w:val="001714B4"/>
    <w:rsid w:val="0018037F"/>
    <w:rsid w:val="00182B88"/>
    <w:rsid w:val="00193D82"/>
    <w:rsid w:val="001A5F27"/>
    <w:rsid w:val="001A65E4"/>
    <w:rsid w:val="001A7870"/>
    <w:rsid w:val="001C1B41"/>
    <w:rsid w:val="001C48FF"/>
    <w:rsid w:val="001E366B"/>
    <w:rsid w:val="001F1902"/>
    <w:rsid w:val="002043E0"/>
    <w:rsid w:val="00210E0E"/>
    <w:rsid w:val="00210F4B"/>
    <w:rsid w:val="002241C5"/>
    <w:rsid w:val="00230163"/>
    <w:rsid w:val="0023351C"/>
    <w:rsid w:val="002401AD"/>
    <w:rsid w:val="00247403"/>
    <w:rsid w:val="00247542"/>
    <w:rsid w:val="00257893"/>
    <w:rsid w:val="00261E08"/>
    <w:rsid w:val="00262ADD"/>
    <w:rsid w:val="00263BF5"/>
    <w:rsid w:val="00266092"/>
    <w:rsid w:val="00266B61"/>
    <w:rsid w:val="0026712A"/>
    <w:rsid w:val="002704DB"/>
    <w:rsid w:val="002760CE"/>
    <w:rsid w:val="002826D3"/>
    <w:rsid w:val="00297511"/>
    <w:rsid w:val="002A2561"/>
    <w:rsid w:val="002A6B0C"/>
    <w:rsid w:val="002B7A85"/>
    <w:rsid w:val="002C1641"/>
    <w:rsid w:val="002C628F"/>
    <w:rsid w:val="002D7EA2"/>
    <w:rsid w:val="002E15DF"/>
    <w:rsid w:val="002E187C"/>
    <w:rsid w:val="002E6E57"/>
    <w:rsid w:val="002F2697"/>
    <w:rsid w:val="002F2CEA"/>
    <w:rsid w:val="00301075"/>
    <w:rsid w:val="00302733"/>
    <w:rsid w:val="003053BF"/>
    <w:rsid w:val="00311A4F"/>
    <w:rsid w:val="00314028"/>
    <w:rsid w:val="00314078"/>
    <w:rsid w:val="00315387"/>
    <w:rsid w:val="00321AFD"/>
    <w:rsid w:val="00322450"/>
    <w:rsid w:val="003246B5"/>
    <w:rsid w:val="0033169F"/>
    <w:rsid w:val="003414AC"/>
    <w:rsid w:val="00351660"/>
    <w:rsid w:val="00356185"/>
    <w:rsid w:val="00360380"/>
    <w:rsid w:val="003771A3"/>
    <w:rsid w:val="00386CF0"/>
    <w:rsid w:val="003A4348"/>
    <w:rsid w:val="003A5566"/>
    <w:rsid w:val="003C32BC"/>
    <w:rsid w:val="003C76BB"/>
    <w:rsid w:val="003D179B"/>
    <w:rsid w:val="003D1E33"/>
    <w:rsid w:val="003D6EE0"/>
    <w:rsid w:val="003E1CF5"/>
    <w:rsid w:val="003E3E03"/>
    <w:rsid w:val="003F1BBF"/>
    <w:rsid w:val="004162B1"/>
    <w:rsid w:val="004165C2"/>
    <w:rsid w:val="0042497B"/>
    <w:rsid w:val="00433117"/>
    <w:rsid w:val="0043489C"/>
    <w:rsid w:val="004434A5"/>
    <w:rsid w:val="0044712F"/>
    <w:rsid w:val="00450A4A"/>
    <w:rsid w:val="00461B30"/>
    <w:rsid w:val="004666FB"/>
    <w:rsid w:val="00466D0B"/>
    <w:rsid w:val="00467B7E"/>
    <w:rsid w:val="0049227B"/>
    <w:rsid w:val="0049419D"/>
    <w:rsid w:val="004A1DA1"/>
    <w:rsid w:val="004A7BA7"/>
    <w:rsid w:val="004A7D67"/>
    <w:rsid w:val="004B2762"/>
    <w:rsid w:val="004B7EB6"/>
    <w:rsid w:val="004C41DE"/>
    <w:rsid w:val="004C4B62"/>
    <w:rsid w:val="004D6025"/>
    <w:rsid w:val="004D72BC"/>
    <w:rsid w:val="004F6B67"/>
    <w:rsid w:val="00501399"/>
    <w:rsid w:val="00507BC4"/>
    <w:rsid w:val="005128E4"/>
    <w:rsid w:val="005243C2"/>
    <w:rsid w:val="00525560"/>
    <w:rsid w:val="0053127B"/>
    <w:rsid w:val="005357A6"/>
    <w:rsid w:val="00544C49"/>
    <w:rsid w:val="0057402A"/>
    <w:rsid w:val="005771D0"/>
    <w:rsid w:val="005816E5"/>
    <w:rsid w:val="00581ED2"/>
    <w:rsid w:val="0059191A"/>
    <w:rsid w:val="005921FF"/>
    <w:rsid w:val="00592718"/>
    <w:rsid w:val="00595D0A"/>
    <w:rsid w:val="005A6D0E"/>
    <w:rsid w:val="005B059E"/>
    <w:rsid w:val="005B222D"/>
    <w:rsid w:val="005B256A"/>
    <w:rsid w:val="005B52B0"/>
    <w:rsid w:val="005B6773"/>
    <w:rsid w:val="005B6806"/>
    <w:rsid w:val="005C00F9"/>
    <w:rsid w:val="005C4225"/>
    <w:rsid w:val="005D2EF7"/>
    <w:rsid w:val="005F0F33"/>
    <w:rsid w:val="005F3E64"/>
    <w:rsid w:val="00600DEB"/>
    <w:rsid w:val="00603966"/>
    <w:rsid w:val="00613027"/>
    <w:rsid w:val="00615C0B"/>
    <w:rsid w:val="00616FFA"/>
    <w:rsid w:val="00627C9F"/>
    <w:rsid w:val="006311DA"/>
    <w:rsid w:val="006311E9"/>
    <w:rsid w:val="006318B2"/>
    <w:rsid w:val="00632354"/>
    <w:rsid w:val="00642810"/>
    <w:rsid w:val="00644DEB"/>
    <w:rsid w:val="00652333"/>
    <w:rsid w:val="00653EA6"/>
    <w:rsid w:val="00657264"/>
    <w:rsid w:val="0068009E"/>
    <w:rsid w:val="006A17D2"/>
    <w:rsid w:val="006A4B3F"/>
    <w:rsid w:val="006A73E6"/>
    <w:rsid w:val="006B2D5C"/>
    <w:rsid w:val="006C4EB1"/>
    <w:rsid w:val="006D4707"/>
    <w:rsid w:val="006E0166"/>
    <w:rsid w:val="006E270D"/>
    <w:rsid w:val="006E7B34"/>
    <w:rsid w:val="00701B24"/>
    <w:rsid w:val="00706858"/>
    <w:rsid w:val="00712FB4"/>
    <w:rsid w:val="00713AED"/>
    <w:rsid w:val="0071495F"/>
    <w:rsid w:val="0073798E"/>
    <w:rsid w:val="00740872"/>
    <w:rsid w:val="00745899"/>
    <w:rsid w:val="00752D34"/>
    <w:rsid w:val="007607C4"/>
    <w:rsid w:val="0076643F"/>
    <w:rsid w:val="00770F33"/>
    <w:rsid w:val="00774528"/>
    <w:rsid w:val="00781653"/>
    <w:rsid w:val="007A2082"/>
    <w:rsid w:val="007A2F70"/>
    <w:rsid w:val="007C3334"/>
    <w:rsid w:val="007C52BB"/>
    <w:rsid w:val="007D2B98"/>
    <w:rsid w:val="007D4713"/>
    <w:rsid w:val="007F4653"/>
    <w:rsid w:val="007F6DE9"/>
    <w:rsid w:val="007F7980"/>
    <w:rsid w:val="00803F1C"/>
    <w:rsid w:val="0080600E"/>
    <w:rsid w:val="00817612"/>
    <w:rsid w:val="00823FDD"/>
    <w:rsid w:val="008258D7"/>
    <w:rsid w:val="00837C45"/>
    <w:rsid w:val="00853419"/>
    <w:rsid w:val="008546E5"/>
    <w:rsid w:val="008801F8"/>
    <w:rsid w:val="00897E12"/>
    <w:rsid w:val="008A3560"/>
    <w:rsid w:val="008C2373"/>
    <w:rsid w:val="008D43BA"/>
    <w:rsid w:val="008E0387"/>
    <w:rsid w:val="008E21D7"/>
    <w:rsid w:val="008E3759"/>
    <w:rsid w:val="008E40F5"/>
    <w:rsid w:val="008E4EEF"/>
    <w:rsid w:val="008F4CA0"/>
    <w:rsid w:val="008F7DB7"/>
    <w:rsid w:val="0090260A"/>
    <w:rsid w:val="009041DC"/>
    <w:rsid w:val="009104B4"/>
    <w:rsid w:val="009228DA"/>
    <w:rsid w:val="00925FCD"/>
    <w:rsid w:val="0093316C"/>
    <w:rsid w:val="0093441A"/>
    <w:rsid w:val="00936805"/>
    <w:rsid w:val="00954BF7"/>
    <w:rsid w:val="0096706E"/>
    <w:rsid w:val="00981FBA"/>
    <w:rsid w:val="00985FEF"/>
    <w:rsid w:val="0098783D"/>
    <w:rsid w:val="00991530"/>
    <w:rsid w:val="009B306D"/>
    <w:rsid w:val="009B381B"/>
    <w:rsid w:val="009D59D2"/>
    <w:rsid w:val="009D7611"/>
    <w:rsid w:val="009E53DE"/>
    <w:rsid w:val="009E566A"/>
    <w:rsid w:val="009F69C7"/>
    <w:rsid w:val="00A0523B"/>
    <w:rsid w:val="00A12DBC"/>
    <w:rsid w:val="00A2467F"/>
    <w:rsid w:val="00A43458"/>
    <w:rsid w:val="00A51201"/>
    <w:rsid w:val="00A51297"/>
    <w:rsid w:val="00A528D1"/>
    <w:rsid w:val="00A65512"/>
    <w:rsid w:val="00A66BE5"/>
    <w:rsid w:val="00AA1A44"/>
    <w:rsid w:val="00AB4FA4"/>
    <w:rsid w:val="00AC2FE8"/>
    <w:rsid w:val="00AD37C1"/>
    <w:rsid w:val="00AE2C03"/>
    <w:rsid w:val="00AE66EC"/>
    <w:rsid w:val="00AE6F91"/>
    <w:rsid w:val="00AF5571"/>
    <w:rsid w:val="00B06BB7"/>
    <w:rsid w:val="00B06F3D"/>
    <w:rsid w:val="00B167E9"/>
    <w:rsid w:val="00B16987"/>
    <w:rsid w:val="00B179ED"/>
    <w:rsid w:val="00B243DF"/>
    <w:rsid w:val="00B314DB"/>
    <w:rsid w:val="00B31EBE"/>
    <w:rsid w:val="00B3718B"/>
    <w:rsid w:val="00B44B23"/>
    <w:rsid w:val="00B4632A"/>
    <w:rsid w:val="00B92E49"/>
    <w:rsid w:val="00B978F3"/>
    <w:rsid w:val="00BA276C"/>
    <w:rsid w:val="00BB306F"/>
    <w:rsid w:val="00BD232B"/>
    <w:rsid w:val="00BD2E42"/>
    <w:rsid w:val="00BD4B89"/>
    <w:rsid w:val="00BE0EC7"/>
    <w:rsid w:val="00BE6657"/>
    <w:rsid w:val="00BF7006"/>
    <w:rsid w:val="00C02721"/>
    <w:rsid w:val="00C21762"/>
    <w:rsid w:val="00C24543"/>
    <w:rsid w:val="00C256A2"/>
    <w:rsid w:val="00C3492D"/>
    <w:rsid w:val="00C355B4"/>
    <w:rsid w:val="00C479DF"/>
    <w:rsid w:val="00C55560"/>
    <w:rsid w:val="00C63D21"/>
    <w:rsid w:val="00C66B72"/>
    <w:rsid w:val="00C772B0"/>
    <w:rsid w:val="00C77713"/>
    <w:rsid w:val="00C87C57"/>
    <w:rsid w:val="00C9567A"/>
    <w:rsid w:val="00C962B2"/>
    <w:rsid w:val="00CA6577"/>
    <w:rsid w:val="00CB2660"/>
    <w:rsid w:val="00CB5264"/>
    <w:rsid w:val="00CC5E90"/>
    <w:rsid w:val="00CD046C"/>
    <w:rsid w:val="00CE5199"/>
    <w:rsid w:val="00CE66D5"/>
    <w:rsid w:val="00D000D3"/>
    <w:rsid w:val="00D219EA"/>
    <w:rsid w:val="00D27068"/>
    <w:rsid w:val="00D27652"/>
    <w:rsid w:val="00D34786"/>
    <w:rsid w:val="00D40A1E"/>
    <w:rsid w:val="00D533C0"/>
    <w:rsid w:val="00D56BC3"/>
    <w:rsid w:val="00D65C04"/>
    <w:rsid w:val="00D66D3C"/>
    <w:rsid w:val="00D707F4"/>
    <w:rsid w:val="00D712D3"/>
    <w:rsid w:val="00D71422"/>
    <w:rsid w:val="00D7145E"/>
    <w:rsid w:val="00D75084"/>
    <w:rsid w:val="00D7558D"/>
    <w:rsid w:val="00D81D92"/>
    <w:rsid w:val="00D93446"/>
    <w:rsid w:val="00DA7B5F"/>
    <w:rsid w:val="00DC7B91"/>
    <w:rsid w:val="00DF078B"/>
    <w:rsid w:val="00DF11BF"/>
    <w:rsid w:val="00DF350D"/>
    <w:rsid w:val="00E227C1"/>
    <w:rsid w:val="00E241BE"/>
    <w:rsid w:val="00E43157"/>
    <w:rsid w:val="00E47F3D"/>
    <w:rsid w:val="00E533FF"/>
    <w:rsid w:val="00E709B3"/>
    <w:rsid w:val="00E7588C"/>
    <w:rsid w:val="00E76E74"/>
    <w:rsid w:val="00E7797F"/>
    <w:rsid w:val="00E850B6"/>
    <w:rsid w:val="00E8789F"/>
    <w:rsid w:val="00E932A0"/>
    <w:rsid w:val="00E97B71"/>
    <w:rsid w:val="00EB454D"/>
    <w:rsid w:val="00ED0D1B"/>
    <w:rsid w:val="00ED30B3"/>
    <w:rsid w:val="00ED5FB1"/>
    <w:rsid w:val="00EE3522"/>
    <w:rsid w:val="00EF619B"/>
    <w:rsid w:val="00F00B55"/>
    <w:rsid w:val="00F00B5F"/>
    <w:rsid w:val="00F1380F"/>
    <w:rsid w:val="00F14F0E"/>
    <w:rsid w:val="00F15A3B"/>
    <w:rsid w:val="00F20DAF"/>
    <w:rsid w:val="00F24C29"/>
    <w:rsid w:val="00F253CC"/>
    <w:rsid w:val="00F42B71"/>
    <w:rsid w:val="00F455FB"/>
    <w:rsid w:val="00F56BA5"/>
    <w:rsid w:val="00F61333"/>
    <w:rsid w:val="00F621C3"/>
    <w:rsid w:val="00F644E6"/>
    <w:rsid w:val="00F667D7"/>
    <w:rsid w:val="00F66AD3"/>
    <w:rsid w:val="00F74267"/>
    <w:rsid w:val="00F869D6"/>
    <w:rsid w:val="00F9653B"/>
    <w:rsid w:val="00FB2DCE"/>
    <w:rsid w:val="00FB62CF"/>
    <w:rsid w:val="00FC3EB4"/>
    <w:rsid w:val="00FC6C58"/>
    <w:rsid w:val="00FE6B45"/>
    <w:rsid w:val="00FF09B8"/>
    <w:rsid w:val="00FF13B6"/>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F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character" w:customStyle="1" w:styleId="Heading2Char">
    <w:name w:val="Heading 2 Char"/>
    <w:basedOn w:val="DefaultParagraphFont"/>
    <w:link w:val="Heading2"/>
    <w:uiPriority w:val="9"/>
    <w:rsid w:val="00985FEF"/>
    <w:rPr>
      <w:rFonts w:asciiTheme="majorHAnsi" w:eastAsiaTheme="majorEastAsia" w:hAnsiTheme="majorHAnsi" w:cstheme="majorBidi"/>
      <w:b/>
      <w:bCs/>
      <w:color w:val="4F81BD" w:themeColor="accent1"/>
      <w:sz w:val="26"/>
      <w:szCs w:val="26"/>
      <w:lang w:val="en-US" w:eastAsia="en-US"/>
    </w:rPr>
  </w:style>
  <w:style w:type="paragraph" w:customStyle="1" w:styleId="Body">
    <w:name w:val="Body"/>
    <w:rsid w:val="007D4713"/>
    <w:rPr>
      <w:rFont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13263</Characters>
  <Application>Microsoft Office Word</Application>
  <DocSecurity>0</DocSecurity>
  <Lines>236</Lines>
  <Paragraphs>60</Paragraphs>
  <ScaleCrop>false</ScaleCrop>
  <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240/20</dc:title>
  <dc:creator/>
  <cp:lastModifiedBy/>
  <cp:revision>1</cp:revision>
  <dcterms:created xsi:type="dcterms:W3CDTF">2020-10-20T18:00:00Z</dcterms:created>
  <dcterms:modified xsi:type="dcterms:W3CDTF">2020-10-20T18:01:00Z</dcterms:modified>
</cp:coreProperties>
</file>