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EA64" w14:textId="77777777" w:rsidR="00583C84" w:rsidRPr="00DD1E2F" w:rsidRDefault="00583C84" w:rsidP="0045789B">
      <w:pPr>
        <w:pStyle w:val="LightGrid-Accent31"/>
        <w:spacing w:after="0" w:line="240" w:lineRule="auto"/>
        <w:jc w:val="both"/>
        <w:rPr>
          <w:rFonts w:ascii="Cambria" w:hAnsi="Cambria"/>
          <w:color w:val="000000"/>
        </w:rPr>
      </w:pPr>
    </w:p>
    <w:p w14:paraId="1FC7C2E4" w14:textId="77777777" w:rsidR="00583C84" w:rsidRPr="00DD1E2F" w:rsidRDefault="00583C84" w:rsidP="0045789B">
      <w:pPr>
        <w:spacing w:after="0" w:line="240" w:lineRule="auto"/>
        <w:contextualSpacing/>
        <w:jc w:val="both"/>
        <w:rPr>
          <w:rFonts w:ascii="Cambria" w:hAnsi="Cambria"/>
          <w:color w:val="000000"/>
        </w:rPr>
      </w:pPr>
    </w:p>
    <w:p w14:paraId="4D8C6005"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1D4C8CB1" w14:textId="77777777" w:rsidR="00583C84" w:rsidRPr="00DD1E2F" w:rsidRDefault="00583C84" w:rsidP="0045789B">
      <w:pPr>
        <w:spacing w:after="0" w:line="240" w:lineRule="auto"/>
        <w:jc w:val="center"/>
        <w:rPr>
          <w:rFonts w:ascii="Cambria" w:hAnsi="Cambria"/>
          <w:b/>
          <w:bCs/>
          <w:color w:val="000000"/>
        </w:rPr>
      </w:pPr>
      <w:r w:rsidRPr="00DD1E2F">
        <w:rPr>
          <w:rFonts w:ascii="Cambria" w:hAnsi="Cambria"/>
          <w:b/>
          <w:color w:val="000000"/>
        </w:rPr>
        <w:t>CASE 12.394 JOAQUÍN HERNÁNDEZ ALVARADO, MARLON LOOR ARGOTE Y HUGO LARA PINOS</w:t>
      </w:r>
    </w:p>
    <w:p w14:paraId="1CBE12DB" w14:textId="77777777" w:rsidR="00583C84" w:rsidRPr="00DD1E2F" w:rsidRDefault="00583C84" w:rsidP="0045789B">
      <w:pPr>
        <w:pStyle w:val="MediumGrid2-Accent11"/>
        <w:jc w:val="center"/>
        <w:rPr>
          <w:rFonts w:ascii="Cambria" w:hAnsi="Cambria" w:cs="Calibri"/>
          <w:b/>
          <w:bCs/>
          <w:color w:val="000000"/>
          <w:lang w:val="en-US"/>
        </w:rPr>
      </w:pP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65/03</w:t>
      </w:r>
    </w:p>
    <w:p w14:paraId="42E62A02"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12E66F63" w14:textId="77777777" w:rsidR="00583C84" w:rsidRPr="00DD1E2F" w:rsidRDefault="00D26B92" w:rsidP="0045789B">
      <w:pPr>
        <w:pStyle w:val="MediumGrid2-Accent11"/>
        <w:jc w:val="center"/>
        <w:rPr>
          <w:rFonts w:ascii="Cambria" w:hAnsi="Cambria"/>
          <w:b/>
          <w:color w:val="000000"/>
          <w:lang w:val="es-CO"/>
        </w:rPr>
      </w:pPr>
      <w:r w:rsidRPr="00DD1E2F">
        <w:rPr>
          <w:rFonts w:ascii="Cambria" w:hAnsi="Cambria"/>
          <w:b/>
          <w:color w:val="000000"/>
          <w:lang w:val="es-CO"/>
        </w:rPr>
        <w:t>(ECUADOR</w:t>
      </w:r>
      <w:r w:rsidR="00583C84" w:rsidRPr="00DD1E2F">
        <w:rPr>
          <w:rFonts w:ascii="Cambria" w:hAnsi="Cambria"/>
          <w:b/>
          <w:color w:val="000000"/>
          <w:lang w:val="es-CO"/>
        </w:rPr>
        <w:t>)</w:t>
      </w:r>
    </w:p>
    <w:p w14:paraId="2D4BE895" w14:textId="77777777" w:rsidR="00583C84" w:rsidRPr="00DD1E2F" w:rsidRDefault="00583C84" w:rsidP="0045789B">
      <w:pPr>
        <w:spacing w:after="0" w:line="240" w:lineRule="auto"/>
        <w:jc w:val="center"/>
        <w:rPr>
          <w:rFonts w:ascii="Cambria" w:hAnsi="Cambria"/>
          <w:b/>
          <w:color w:val="000000"/>
        </w:rPr>
      </w:pPr>
    </w:p>
    <w:p w14:paraId="542657C5" w14:textId="77777777" w:rsidR="00583C84" w:rsidRPr="00DD1E2F" w:rsidRDefault="00583C84" w:rsidP="00AD711F">
      <w:pPr>
        <w:numPr>
          <w:ilvl w:val="0"/>
          <w:numId w:val="73"/>
        </w:numPr>
        <w:spacing w:after="0" w:line="240" w:lineRule="auto"/>
        <w:ind w:left="-142" w:firstLine="851"/>
        <w:rPr>
          <w:rFonts w:ascii="Cambria" w:hAnsi="Cambria" w:cs="Calibri Light"/>
          <w:b/>
          <w:color w:val="000000"/>
        </w:rPr>
      </w:pPr>
      <w:r w:rsidRPr="00DD1E2F">
        <w:rPr>
          <w:rFonts w:ascii="Cambria" w:hAnsi="Cambria" w:cs="Calibri Light"/>
          <w:b/>
          <w:color w:val="000000"/>
        </w:rPr>
        <w:t xml:space="preserve">SUMMARY OF THE CASE </w:t>
      </w:r>
    </w:p>
    <w:p w14:paraId="5E0210E2" w14:textId="77777777" w:rsidR="00583C84" w:rsidRPr="00DD1E2F" w:rsidRDefault="00583C84" w:rsidP="0045789B">
      <w:pPr>
        <w:spacing w:after="0" w:line="240" w:lineRule="auto"/>
        <w:ind w:left="72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023092DA" w14:textId="77777777" w:rsidTr="00C359F1">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04E92A9"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Victim(s)</w:t>
            </w:r>
            <w:r w:rsidRPr="00DD1E2F">
              <w:rPr>
                <w:rFonts w:ascii="Cambria" w:hAnsi="Cambria"/>
                <w:color w:val="000000"/>
              </w:rPr>
              <w:t>: Joaquín Hernández Alvarado, Marlon Loor Argote, and Hugo Lara Pinos</w:t>
            </w:r>
          </w:p>
          <w:p w14:paraId="315D07BB"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Petitioner(s)</w:t>
            </w:r>
            <w:r w:rsidRPr="00DD1E2F">
              <w:rPr>
                <w:rFonts w:ascii="Cambria" w:hAnsi="Cambria"/>
                <w:color w:val="000000"/>
              </w:rPr>
              <w:t>:</w:t>
            </w:r>
            <w:r w:rsidRPr="00DD1E2F">
              <w:rPr>
                <w:rFonts w:ascii="Cambria" w:hAnsi="Cambria"/>
                <w:b/>
                <w:color w:val="000000"/>
              </w:rPr>
              <w:t xml:space="preserve"> </w:t>
            </w:r>
            <w:r w:rsidRPr="00DD1E2F">
              <w:rPr>
                <w:rFonts w:ascii="Cambria" w:hAnsi="Cambria"/>
                <w:color w:val="000000"/>
              </w:rPr>
              <w:t>Joaquín Hernández Alvarado, Marlon Loor Argote, and Hugo Lara Pinos</w:t>
            </w:r>
          </w:p>
          <w:p w14:paraId="58FE5C76"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State</w:t>
            </w:r>
            <w:r w:rsidRPr="00DD1E2F">
              <w:rPr>
                <w:rFonts w:ascii="Cambria" w:hAnsi="Cambria"/>
                <w:color w:val="000000"/>
              </w:rPr>
              <w:t>: Ecuador</w:t>
            </w:r>
          </w:p>
          <w:p w14:paraId="312DF84E" w14:textId="77777777" w:rsidR="00583C84" w:rsidRPr="00DD1E2F" w:rsidRDefault="00583C84" w:rsidP="0045789B">
            <w:pPr>
              <w:pStyle w:val="MediumGrid21"/>
              <w:tabs>
                <w:tab w:val="left" w:pos="9270"/>
              </w:tabs>
              <w:jc w:val="both"/>
              <w:rPr>
                <w:rFonts w:ascii="Cambria" w:hAnsi="Cambria"/>
                <w:b/>
                <w:bCs/>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July 22, 2002</w:t>
            </w:r>
          </w:p>
          <w:p w14:paraId="4B9B8F38"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November 26, 2002 / December 16, 2002</w:t>
            </w:r>
          </w:p>
          <w:p w14:paraId="29D22ABE"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 xml:space="preserve">Report on Friendly Settlement Agreement No. </w:t>
            </w:r>
            <w:hyperlink r:id="rId12" w:history="1">
              <w:r w:rsidRPr="00DD1E2F">
                <w:rPr>
                  <w:rStyle w:val="Hyperlink"/>
                  <w:rFonts w:ascii="Cambria" w:hAnsi="Cambria"/>
                  <w:b/>
                  <w:color w:val="000000"/>
                </w:rPr>
                <w:t>65/03</w:t>
              </w:r>
            </w:hyperlink>
            <w:r w:rsidRPr="00DD1E2F">
              <w:rPr>
                <w:rFonts w:ascii="Cambria" w:hAnsi="Cambria"/>
                <w:color w:val="000000"/>
              </w:rPr>
              <w:t>, published on October 10, 2003</w:t>
            </w:r>
          </w:p>
          <w:p w14:paraId="7EBE74DD"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Estimated length of the negotiation phase: </w:t>
            </w:r>
            <w:r w:rsidRPr="00DD1E2F">
              <w:rPr>
                <w:rFonts w:ascii="Cambria" w:hAnsi="Cambria"/>
                <w:bCs/>
                <w:color w:val="000000"/>
              </w:rPr>
              <w:t>3 months</w:t>
            </w:r>
          </w:p>
          <w:p w14:paraId="6B964B2D"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Rapporteurship involved:</w:t>
            </w:r>
            <w:r w:rsidRPr="00DD1E2F">
              <w:rPr>
                <w:rFonts w:ascii="Cambria" w:hAnsi="Cambria"/>
                <w:color w:val="000000"/>
              </w:rPr>
              <w:t xml:space="preserve"> Persons Deprived of Liberty</w:t>
            </w:r>
          </w:p>
          <w:p w14:paraId="7FCEF827"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Topics</w:t>
            </w:r>
            <w:r w:rsidRPr="00DD1E2F">
              <w:rPr>
                <w:rFonts w:ascii="Cambria" w:hAnsi="Cambria"/>
                <w:color w:val="000000"/>
              </w:rPr>
              <w:t>:</w:t>
            </w:r>
            <w:r w:rsidRPr="00DD1E2F">
              <w:rPr>
                <w:rFonts w:ascii="Cambria" w:hAnsi="Cambria"/>
                <w:b/>
                <w:color w:val="000000"/>
              </w:rPr>
              <w:t xml:space="preserve"> </w:t>
            </w:r>
            <w:r w:rsidRPr="00DD1E2F">
              <w:rPr>
                <w:rFonts w:ascii="Cambria" w:hAnsi="Cambria"/>
                <w:color w:val="000000"/>
              </w:rPr>
              <w:t>Humane treatment/fair trial/judicial protection/investigation</w:t>
            </w:r>
            <w:r w:rsidRPr="00DD1E2F">
              <w:rPr>
                <w:rFonts w:ascii="Cambria" w:hAnsi="Cambria"/>
                <w:b/>
                <w:color w:val="000000"/>
              </w:rPr>
              <w:t xml:space="preserve"> </w:t>
            </w:r>
          </w:p>
          <w:p w14:paraId="4212E548" w14:textId="77777777" w:rsidR="00583C84" w:rsidRPr="00DD1E2F" w:rsidRDefault="00583C84" w:rsidP="0045789B">
            <w:pPr>
              <w:spacing w:after="0" w:line="240" w:lineRule="auto"/>
              <w:jc w:val="both"/>
              <w:rPr>
                <w:rFonts w:ascii="Cambria" w:hAnsi="Cambria"/>
                <w:color w:val="000000"/>
              </w:rPr>
            </w:pPr>
          </w:p>
          <w:p w14:paraId="69F2D165" w14:textId="77777777" w:rsidR="00583C84" w:rsidRPr="00DD1E2F" w:rsidRDefault="00583C84" w:rsidP="0045789B">
            <w:pPr>
              <w:spacing w:after="0" w:line="240" w:lineRule="auto"/>
              <w:jc w:val="both"/>
              <w:rPr>
                <w:rFonts w:ascii="Cambria" w:hAnsi="Cambria" w:cs="Cambria"/>
                <w:color w:val="000000"/>
                <w:lang w:eastAsia="pt-BR"/>
              </w:rPr>
            </w:pPr>
            <w:r w:rsidRPr="00DD1E2F">
              <w:rPr>
                <w:rFonts w:ascii="Cambria" w:hAnsi="Cambria"/>
                <w:b/>
                <w:color w:val="000000"/>
              </w:rPr>
              <w:t>Facts</w:t>
            </w:r>
            <w:r w:rsidRPr="00DD1E2F">
              <w:rPr>
                <w:rFonts w:ascii="Cambria" w:hAnsi="Cambria"/>
                <w:color w:val="000000"/>
              </w:rPr>
              <w:t xml:space="preserve">: On May 7, 2001, the Commission received a petition in which the petitioner alleged that on May 22, 1999, </w:t>
            </w:r>
            <w:r w:rsidRPr="00DD1E2F">
              <w:rPr>
                <w:rFonts w:ascii="Cambria" w:hAnsi="Cambria" w:cs="Cambria"/>
                <w:color w:val="000000"/>
                <w:lang w:eastAsia="pt-BR"/>
              </w:rPr>
              <w:t xml:space="preserve">Hernández Alvarado, Loor Argote, and Lara Pinos were victims of an attack by agents of the National Police. They denounced the Ecuadorian courts’ delay in prosecuting and punishing the perpetrators of these attacks. The State alleged failure to exhaust domestic remedies. </w:t>
            </w:r>
          </w:p>
          <w:p w14:paraId="23581285" w14:textId="77777777" w:rsidR="00583C84" w:rsidRPr="00DD1E2F" w:rsidRDefault="00583C84" w:rsidP="0045789B">
            <w:pPr>
              <w:spacing w:after="0" w:line="240" w:lineRule="auto"/>
              <w:jc w:val="both"/>
              <w:rPr>
                <w:rFonts w:ascii="Cambria" w:hAnsi="Cambria"/>
                <w:color w:val="000000"/>
              </w:rPr>
            </w:pPr>
          </w:p>
          <w:p w14:paraId="04CB3157"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Rights alleged</w:t>
            </w:r>
            <w:r w:rsidRPr="00DD1E2F">
              <w:rPr>
                <w:rFonts w:ascii="Cambria" w:hAnsi="Cambria"/>
                <w:color w:val="000000"/>
              </w:rPr>
              <w:t xml:space="preserve">: The petitioners alleged the responsibility of the Republic of Ecuador for violations of the rights provided for under Articles 5 (humane treatment), 8 (fair trial), and 25 (judicial protection) of the American Convention on Human Rights, all in connection with Article 1(1) thereof, to the detriment of Joaquín Hernández Alvarado, Marlon Loor Argote, and Hugo Lara Pinos. </w:t>
            </w:r>
          </w:p>
        </w:tc>
      </w:tr>
    </w:tbl>
    <w:p w14:paraId="1C7E6A2C" w14:textId="77777777" w:rsidR="00583C84" w:rsidRPr="00DD1E2F" w:rsidRDefault="00583C84" w:rsidP="0045789B">
      <w:pPr>
        <w:spacing w:after="0" w:line="240" w:lineRule="auto"/>
        <w:ind w:left="1080"/>
        <w:contextualSpacing/>
        <w:jc w:val="both"/>
        <w:rPr>
          <w:rFonts w:ascii="Cambria" w:hAnsi="Cambria" w:cs="Calibri Light"/>
          <w:b/>
          <w:color w:val="000000"/>
        </w:rPr>
      </w:pPr>
    </w:p>
    <w:p w14:paraId="38BBDD93" w14:textId="77777777" w:rsidR="00583C84" w:rsidRPr="00DD1E2F" w:rsidRDefault="00583C84" w:rsidP="00AD711F">
      <w:pPr>
        <w:numPr>
          <w:ilvl w:val="0"/>
          <w:numId w:val="74"/>
        </w:numPr>
        <w:spacing w:after="0" w:line="240" w:lineRule="auto"/>
        <w:ind w:left="0" w:firstLine="720"/>
        <w:contextualSpacing/>
        <w:jc w:val="both"/>
        <w:rPr>
          <w:rFonts w:ascii="Cambria" w:hAnsi="Cambria" w:cs="Calibri Light"/>
          <w:b/>
          <w:color w:val="000000"/>
        </w:rPr>
      </w:pPr>
      <w:r w:rsidRPr="00DD1E2F">
        <w:rPr>
          <w:rFonts w:ascii="Cambria" w:hAnsi="Cambria"/>
          <w:b/>
          <w:color w:val="000000"/>
        </w:rPr>
        <w:t>PROCEDURAL ACTIVITY</w:t>
      </w:r>
    </w:p>
    <w:p w14:paraId="1A3014BD" w14:textId="77777777" w:rsidR="00583C84" w:rsidRPr="00DD1E2F" w:rsidRDefault="00583C84" w:rsidP="0045789B">
      <w:pPr>
        <w:spacing w:after="0" w:line="240" w:lineRule="auto"/>
        <w:ind w:firstLine="720"/>
        <w:contextualSpacing/>
        <w:jc w:val="both"/>
        <w:rPr>
          <w:rFonts w:ascii="Cambria" w:hAnsi="Cambria" w:cs="Calibri Light"/>
          <w:b/>
          <w:color w:val="000000"/>
        </w:rPr>
      </w:pPr>
    </w:p>
    <w:p w14:paraId="41986350" w14:textId="77777777" w:rsidR="00583C84" w:rsidRPr="00DD1E2F" w:rsidRDefault="00583C84" w:rsidP="00AD711F">
      <w:pPr>
        <w:pStyle w:val="LightGrid-Accent31"/>
        <w:numPr>
          <w:ilvl w:val="0"/>
          <w:numId w:val="76"/>
        </w:numPr>
        <w:spacing w:after="0" w:line="240" w:lineRule="auto"/>
        <w:ind w:left="0" w:firstLine="720"/>
        <w:contextualSpacing w:val="0"/>
        <w:jc w:val="both"/>
        <w:rPr>
          <w:rFonts w:ascii="Cambria" w:hAnsi="Cambria" w:cs="Calibri Light"/>
          <w:bCs/>
          <w:color w:val="000000"/>
        </w:rPr>
      </w:pPr>
      <w:r w:rsidRPr="00DD1E2F">
        <w:rPr>
          <w:rFonts w:ascii="Cambria" w:hAnsi="Cambria" w:cs="Calibri Light"/>
          <w:bCs/>
          <w:color w:val="000000"/>
        </w:rPr>
        <w:t xml:space="preserve">On November 26, </w:t>
      </w:r>
      <w:r w:rsidR="008C09FD" w:rsidRPr="00DD1E2F">
        <w:rPr>
          <w:rFonts w:ascii="Cambria" w:hAnsi="Cambria" w:cs="Calibri Light"/>
          <w:bCs/>
          <w:color w:val="000000"/>
        </w:rPr>
        <w:t>2002,</w:t>
      </w:r>
      <w:r w:rsidRPr="00DD1E2F">
        <w:rPr>
          <w:rFonts w:ascii="Cambria" w:hAnsi="Cambria" w:cs="Calibri Light"/>
          <w:bCs/>
          <w:color w:val="000000"/>
        </w:rPr>
        <w:t xml:space="preserve"> and December 16, </w:t>
      </w:r>
      <w:r w:rsidR="000E2820" w:rsidRPr="00DD1E2F">
        <w:rPr>
          <w:rFonts w:ascii="Cambria" w:hAnsi="Cambria" w:cs="Calibri Light"/>
          <w:bCs/>
          <w:color w:val="000000"/>
        </w:rPr>
        <w:t>2002,</w:t>
      </w:r>
      <w:r w:rsidRPr="00DD1E2F">
        <w:rPr>
          <w:rFonts w:ascii="Cambria" w:hAnsi="Cambria" w:cs="Calibri Light"/>
          <w:bCs/>
          <w:color w:val="000000"/>
        </w:rPr>
        <w:t xml:space="preserve"> the parties signed the friendly settlement agreement.</w:t>
      </w:r>
    </w:p>
    <w:p w14:paraId="0E26C6F0" w14:textId="77777777" w:rsidR="00583C84" w:rsidRPr="00DD1E2F" w:rsidRDefault="00583C84" w:rsidP="0045789B">
      <w:pPr>
        <w:pStyle w:val="LightGrid-Accent31"/>
        <w:spacing w:after="0" w:line="240" w:lineRule="auto"/>
        <w:ind w:left="0" w:firstLine="720"/>
        <w:contextualSpacing w:val="0"/>
        <w:jc w:val="both"/>
        <w:rPr>
          <w:rFonts w:ascii="Cambria" w:hAnsi="Cambria" w:cs="Calibri Light"/>
          <w:bCs/>
          <w:color w:val="000000"/>
        </w:rPr>
      </w:pPr>
    </w:p>
    <w:p w14:paraId="00AA949F" w14:textId="77777777" w:rsidR="00583C84" w:rsidRPr="00DD1E2F" w:rsidRDefault="00583C84" w:rsidP="00AD711F">
      <w:pPr>
        <w:pStyle w:val="LightGrid-Accent31"/>
        <w:numPr>
          <w:ilvl w:val="0"/>
          <w:numId w:val="76"/>
        </w:numPr>
        <w:spacing w:after="0" w:line="240" w:lineRule="auto"/>
        <w:ind w:left="0" w:firstLine="720"/>
        <w:contextualSpacing w:val="0"/>
        <w:jc w:val="both"/>
        <w:rPr>
          <w:rFonts w:ascii="Cambria" w:hAnsi="Cambria" w:cs="Calibri Light"/>
          <w:bCs/>
          <w:color w:val="000000"/>
        </w:rPr>
      </w:pPr>
      <w:r w:rsidRPr="00DD1E2F">
        <w:rPr>
          <w:rFonts w:ascii="Cambria" w:hAnsi="Cambria" w:cs="Calibri Light"/>
          <w:bCs/>
          <w:color w:val="000000"/>
        </w:rPr>
        <w:t>On October 10, 2003, the Commission approved the friendly settlement agreement by report No. 65/03.</w:t>
      </w:r>
    </w:p>
    <w:p w14:paraId="2B144A6A" w14:textId="77777777" w:rsidR="00583C84" w:rsidRPr="00DD1E2F" w:rsidRDefault="00583C84" w:rsidP="0045789B">
      <w:pPr>
        <w:spacing w:after="0" w:line="240" w:lineRule="auto"/>
        <w:jc w:val="both"/>
        <w:rPr>
          <w:rFonts w:ascii="Cambria" w:hAnsi="Cambria" w:cs="Calibri Light"/>
          <w:color w:val="000000"/>
        </w:rPr>
      </w:pPr>
    </w:p>
    <w:p w14:paraId="44779641" w14:textId="77777777" w:rsidR="00583C84" w:rsidRPr="00DD1E2F" w:rsidRDefault="00583C84" w:rsidP="00AD711F">
      <w:pPr>
        <w:numPr>
          <w:ilvl w:val="0"/>
          <w:numId w:val="74"/>
        </w:numPr>
        <w:spacing w:after="0" w:line="240" w:lineRule="auto"/>
        <w:ind w:left="0" w:firstLine="720"/>
        <w:contextualSpacing/>
        <w:jc w:val="both"/>
        <w:rPr>
          <w:rFonts w:ascii="Cambria" w:hAnsi="Cambria" w:cs="Calibri Light"/>
          <w:b/>
          <w:color w:val="000000"/>
        </w:rPr>
      </w:pPr>
      <w:r w:rsidRPr="00DD1E2F">
        <w:rPr>
          <w:rFonts w:ascii="Cambria" w:hAnsi="Cambria" w:cs="Calibri Light"/>
          <w:b/>
          <w:color w:val="000000"/>
        </w:rPr>
        <w:t xml:space="preserve">ANALYSIS OF COMPLIANCE WITH THE CLAUSES OF THE FRIENDLY SETTLEMENT AGREEMENT </w:t>
      </w:r>
    </w:p>
    <w:p w14:paraId="3ACC2779" w14:textId="77777777" w:rsidR="00583C84" w:rsidRPr="00DD1E2F" w:rsidRDefault="00583C84" w:rsidP="0045789B">
      <w:pPr>
        <w:spacing w:after="0" w:line="240" w:lineRule="auto"/>
        <w:contextualSpacing/>
        <w:jc w:val="both"/>
        <w:rPr>
          <w:rFonts w:ascii="Cambria" w:hAnsi="Cambria" w:cs="Calibri Light"/>
          <w:b/>
          <w:color w:val="000000"/>
          <w:shd w:val="clear" w:color="auto" w:fill="FFFF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3F262C" w:rsidRPr="00DD1E2F" w14:paraId="2D966AB0" w14:textId="77777777" w:rsidTr="00DA4368">
        <w:trPr>
          <w:jc w:val="center"/>
        </w:trPr>
        <w:tc>
          <w:tcPr>
            <w:tcW w:w="6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325AC" w14:textId="77777777" w:rsidR="003F262C" w:rsidRPr="00DD1E2F" w:rsidRDefault="003F262C"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9913BA" w14:textId="77777777" w:rsidR="003F262C" w:rsidRPr="00DD1E2F" w:rsidRDefault="003F262C"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0E2820" w:rsidRPr="00DD1E2F" w14:paraId="4B4CD3D4" w14:textId="77777777" w:rsidTr="00DA4368">
        <w:trPr>
          <w:jc w:val="center"/>
        </w:trPr>
        <w:tc>
          <w:tcPr>
            <w:tcW w:w="6804" w:type="dxa"/>
            <w:tcBorders>
              <w:top w:val="single" w:sz="4" w:space="0" w:color="auto"/>
              <w:left w:val="single" w:sz="4" w:space="0" w:color="auto"/>
              <w:bottom w:val="single" w:sz="4" w:space="0" w:color="auto"/>
              <w:right w:val="single" w:sz="4" w:space="0" w:color="auto"/>
            </w:tcBorders>
            <w:vAlign w:val="center"/>
          </w:tcPr>
          <w:p w14:paraId="7E87AA8A"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III.         STATE RESPONSIBILITY AND ACCEPTANCE</w:t>
            </w:r>
          </w:p>
          <w:p w14:paraId="35A670B6" w14:textId="77777777" w:rsidR="000E2820" w:rsidRPr="00DD1E2F" w:rsidRDefault="000E2820" w:rsidP="000E2820">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The Ecuadorian State recognizes its international responsibility for having violated the human rights of Mr. Joaquín Hernández Alvarado </w:t>
            </w:r>
            <w:r w:rsidRPr="00DD1E2F">
              <w:rPr>
                <w:rFonts w:ascii="Cambria" w:eastAsia="Times New Roman" w:hAnsi="Cambria"/>
                <w:color w:val="000000"/>
              </w:rPr>
              <w:lastRenderedPageBreak/>
              <w:t>[of Mr. Marlon Iván Loor Argote] [of Mr. Hugo Jhoe Lara Pinos] as enshrined in Article 5 (Right to Humane Treatment), Article 7 (Right to Personal Liberty), Article 8 (Right to a Fair Trial), and Article 25 (Judicial Protection) of the American Convention on Human Rights, in conjunction with the general obligation contained in Article 1(1) thereof, and in other international instruments, since the violations were committed by State agents and could not be disproved by the State, thus giving rise to State responsibility.</w:t>
            </w:r>
          </w:p>
          <w:p w14:paraId="4D3EC444" w14:textId="77777777" w:rsidR="000E2820" w:rsidRPr="00DD1E2F" w:rsidRDefault="000E2820" w:rsidP="000E2820">
            <w:pPr>
              <w:spacing w:after="0" w:line="240" w:lineRule="auto"/>
              <w:ind w:left="72"/>
              <w:jc w:val="both"/>
              <w:rPr>
                <w:rFonts w:ascii="Cambria" w:eastAsia="Times New Roman" w:hAnsi="Cambria"/>
                <w:color w:val="000000"/>
              </w:rPr>
            </w:pPr>
          </w:p>
          <w:p w14:paraId="7BFC4FD9"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color w:val="000000"/>
              </w:rPr>
              <w:t>Given the above, the Ecuadorian State accepts the facts in case No. 12.394 now before the Inter-American Commission on Human Rights and agrees to undertake the necessary reparatory steps to compensate the victims, or their successors, for the damages caused by those violations.</w:t>
            </w:r>
          </w:p>
        </w:tc>
        <w:tc>
          <w:tcPr>
            <w:tcW w:w="2552" w:type="dxa"/>
            <w:tcBorders>
              <w:top w:val="single" w:sz="4" w:space="0" w:color="auto"/>
              <w:left w:val="single" w:sz="4" w:space="0" w:color="auto"/>
              <w:bottom w:val="single" w:sz="4" w:space="0" w:color="auto"/>
              <w:right w:val="single" w:sz="4" w:space="0" w:color="auto"/>
            </w:tcBorders>
            <w:vAlign w:val="center"/>
          </w:tcPr>
          <w:p w14:paraId="19902E4C" w14:textId="77777777" w:rsidR="000E2820" w:rsidRPr="00DD1E2F" w:rsidRDefault="000E2820" w:rsidP="0045789B">
            <w:pPr>
              <w:spacing w:after="0" w:line="240" w:lineRule="auto"/>
              <w:jc w:val="center"/>
              <w:rPr>
                <w:rFonts w:ascii="Cambria" w:hAnsi="Cambria"/>
                <w:b/>
                <w:color w:val="000000"/>
              </w:rPr>
            </w:pPr>
            <w:r w:rsidRPr="00DD1E2F">
              <w:rPr>
                <w:rFonts w:ascii="Cambria" w:hAnsi="Cambria"/>
                <w:b/>
                <w:color w:val="000000"/>
              </w:rPr>
              <w:lastRenderedPageBreak/>
              <w:t>Declarative</w:t>
            </w:r>
          </w:p>
        </w:tc>
      </w:tr>
      <w:tr w:rsidR="00583C84" w:rsidRPr="00DD1E2F" w14:paraId="12D74EDF" w14:textId="77777777" w:rsidTr="00DA4368">
        <w:trPr>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5D674B06" w14:textId="77777777" w:rsidR="00583C84" w:rsidRPr="00DD1E2F" w:rsidRDefault="00583C84" w:rsidP="0045789B">
            <w:pPr>
              <w:spacing w:after="0" w:line="240" w:lineRule="auto"/>
              <w:ind w:left="72"/>
              <w:jc w:val="both"/>
              <w:rPr>
                <w:rFonts w:ascii="Cambria" w:eastAsia="Times New Roman" w:hAnsi="Cambria"/>
                <w:b/>
                <w:bCs/>
                <w:color w:val="000000"/>
              </w:rPr>
            </w:pPr>
            <w:r w:rsidRPr="00DD1E2F">
              <w:rPr>
                <w:rFonts w:ascii="Cambria" w:eastAsia="Times New Roman" w:hAnsi="Cambria"/>
                <w:b/>
                <w:bCs/>
                <w:color w:val="000000"/>
              </w:rPr>
              <w:t>IV.    COMPENSATION</w:t>
            </w:r>
          </w:p>
          <w:p w14:paraId="5EB60B4E" w14:textId="77777777" w:rsidR="00583C84" w:rsidRPr="00DD1E2F" w:rsidRDefault="00583C84" w:rsidP="0045789B">
            <w:pPr>
              <w:spacing w:after="0" w:line="240" w:lineRule="auto"/>
              <w:ind w:left="72"/>
              <w:jc w:val="both"/>
              <w:rPr>
                <w:rFonts w:ascii="Cambria" w:eastAsia="Times New Roman" w:hAnsi="Cambria"/>
                <w:color w:val="000000"/>
              </w:rPr>
            </w:pPr>
            <w:r w:rsidRPr="00DD1E2F">
              <w:rPr>
                <w:rFonts w:ascii="Cambria" w:eastAsia="Times New Roman" w:hAnsi="Cambria"/>
                <w:color w:val="000000"/>
              </w:rPr>
              <w:t>In view of the foregoing, the Ecuadorian State, through the Attorney General, as the sole judicial representative of the Ecuadorian State, according to Article 215 of the Constitution of Ecuador, promulgated in Official Register No. 1, and in force since August 11, 1998, is awarding Mr. Joaquín Hernández Alvarado, citizenship document No. 1703265866 [Mr. Marlon Iván Loor Argote, citizenship document No. 090766661-4] [Mr. Hugo Jhoe Lara Pinos, citizenship document No. 020161760-2] lump sum compensatory damages of one hundred thousand [three hundred thousand] [fifty thousand] United States dollars (USD $100,000.00) [(USD $300,000.00)] [(USD $50,000.00)], to be paid from the National Budget.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DC9F48"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Fonts w:ascii="Cambria" w:hAnsi="Cambria"/>
                <w:color w:val="000000"/>
                <w:vertAlign w:val="superscript"/>
              </w:rPr>
              <w:footnoteReference w:id="1"/>
            </w:r>
          </w:p>
        </w:tc>
      </w:tr>
      <w:tr w:rsidR="00572284" w:rsidRPr="00DD1E2F" w14:paraId="4B2CD016" w14:textId="77777777" w:rsidTr="00DA4368">
        <w:trPr>
          <w:trHeight w:val="350"/>
          <w:jc w:val="center"/>
        </w:trPr>
        <w:tc>
          <w:tcPr>
            <w:tcW w:w="6804" w:type="dxa"/>
            <w:tcBorders>
              <w:top w:val="single" w:sz="4" w:space="0" w:color="auto"/>
              <w:left w:val="single" w:sz="4" w:space="0" w:color="auto"/>
              <w:bottom w:val="single" w:sz="4" w:space="0" w:color="auto"/>
              <w:right w:val="single" w:sz="4" w:space="0" w:color="auto"/>
            </w:tcBorders>
            <w:hideMark/>
          </w:tcPr>
          <w:p w14:paraId="68F97FF3" w14:textId="77777777" w:rsidR="00572284" w:rsidRPr="00DD1E2F" w:rsidRDefault="005722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 xml:space="preserve">V. </w:t>
            </w:r>
            <w:r w:rsidRPr="00DD1E2F">
              <w:rPr>
                <w:rFonts w:ascii="Cambria" w:eastAsia="Times New Roman" w:hAnsi="Cambria"/>
                <w:b/>
                <w:bCs/>
                <w:color w:val="000000"/>
              </w:rPr>
              <w:t>PUNISHMENT OF THOSE RESPONSIBLE</w:t>
            </w:r>
          </w:p>
          <w:p w14:paraId="46AE7D4C" w14:textId="77777777" w:rsidR="00572284" w:rsidRPr="00DD1E2F" w:rsidRDefault="005722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Ecuadorian State undertakes, to the extent possible, to bring both civil and criminal proceedings and to pursue administrative sanctions against those persons who, in the course of their official duties or the exercise of public power, are presumed to have participated in the reported violations. </w:t>
            </w:r>
          </w:p>
          <w:p w14:paraId="2F09954B" w14:textId="77777777" w:rsidR="00572284" w:rsidRPr="00DD1E2F" w:rsidRDefault="005722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w:t>
            </w:r>
          </w:p>
          <w:p w14:paraId="1DB11911" w14:textId="77777777" w:rsidR="00572284" w:rsidRPr="00DD1E2F" w:rsidRDefault="005722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office of the Attorney General undertakes to encourage the Public Prosecutor of the State, the competent judicial organs, and the competent public or private agencies to provide legal evidence to determine the responsibility of those persons. If appropriate, prosecution will be pursued in accordance with the constitutional and legal framework of the Ecuadorian State. </w:t>
            </w:r>
          </w:p>
          <w:p w14:paraId="2E1B6B35" w14:textId="77777777" w:rsidR="00572284" w:rsidRPr="00DD1E2F" w:rsidRDefault="00572284" w:rsidP="0045789B">
            <w:pPr>
              <w:spacing w:after="0" w:line="240" w:lineRule="auto"/>
              <w:ind w:hanging="18"/>
              <w:jc w:val="both"/>
              <w:rPr>
                <w:rFonts w:ascii="Cambria" w:eastAsia="Times New Roman" w:hAnsi="Cambria"/>
                <w:color w:val="00000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CEC9569" w14:textId="77777777" w:rsidR="00572284" w:rsidRPr="00DD1E2F" w:rsidRDefault="000E2820" w:rsidP="0045789B">
            <w:pPr>
              <w:spacing w:after="0" w:line="240" w:lineRule="auto"/>
              <w:jc w:val="center"/>
              <w:rPr>
                <w:rFonts w:ascii="Cambria" w:eastAsia="Batang" w:hAnsi="Cambria"/>
                <w:bCs/>
                <w:color w:val="000000"/>
              </w:rPr>
            </w:pPr>
            <w:r w:rsidRPr="00DD1E2F">
              <w:rPr>
                <w:rFonts w:ascii="Cambria" w:eastAsia="MS Mincho" w:hAnsi="Cambria"/>
                <w:b/>
                <w:bCs/>
                <w:color w:val="000000"/>
              </w:rPr>
              <w:t>Noncompliance</w:t>
            </w:r>
            <w:r w:rsidR="00572284" w:rsidRPr="00DD1E2F">
              <w:rPr>
                <w:rStyle w:val="FootnoteReference"/>
                <w:rFonts w:ascii="Cambria" w:eastAsia="MS Mincho" w:hAnsi="Cambria"/>
                <w:b/>
                <w:bCs/>
                <w:color w:val="000000"/>
              </w:rPr>
              <w:footnoteReference w:id="2"/>
            </w:r>
          </w:p>
        </w:tc>
      </w:tr>
    </w:tbl>
    <w:p w14:paraId="1137A80C" w14:textId="77777777" w:rsidR="00583C84" w:rsidRPr="00DD1E2F" w:rsidRDefault="00583C84" w:rsidP="0045789B">
      <w:pPr>
        <w:autoSpaceDE w:val="0"/>
        <w:autoSpaceDN w:val="0"/>
        <w:adjustRightInd w:val="0"/>
        <w:spacing w:after="0" w:line="240" w:lineRule="auto"/>
        <w:jc w:val="both"/>
        <w:rPr>
          <w:rFonts w:ascii="Cambria" w:hAnsi="Cambria"/>
          <w:color w:val="000000"/>
        </w:rPr>
      </w:pPr>
    </w:p>
    <w:p w14:paraId="1F3695D9" w14:textId="77777777" w:rsidR="00583C84" w:rsidRPr="00DD1E2F" w:rsidRDefault="00583C84" w:rsidP="00AD711F">
      <w:pPr>
        <w:numPr>
          <w:ilvl w:val="0"/>
          <w:numId w:val="74"/>
        </w:numPr>
        <w:autoSpaceDE w:val="0"/>
        <w:autoSpaceDN w:val="0"/>
        <w:adjustRightInd w:val="0"/>
        <w:spacing w:after="0" w:line="240" w:lineRule="auto"/>
        <w:ind w:left="1440"/>
        <w:jc w:val="both"/>
        <w:rPr>
          <w:rFonts w:ascii="Cambria" w:hAnsi="Cambria"/>
          <w:color w:val="000000"/>
        </w:rPr>
      </w:pPr>
      <w:r w:rsidRPr="00DD1E2F">
        <w:rPr>
          <w:rFonts w:ascii="Cambria" w:hAnsi="Cambria" w:cs="Calibri Light"/>
          <w:b/>
          <w:color w:val="000000"/>
        </w:rPr>
        <w:t>LEVEL OF COMPLIANCE OF THE CASE</w:t>
      </w:r>
    </w:p>
    <w:p w14:paraId="0C1F763C" w14:textId="77777777" w:rsidR="00583C84" w:rsidRPr="00DD1E2F" w:rsidRDefault="00583C84" w:rsidP="0045789B">
      <w:pPr>
        <w:autoSpaceDE w:val="0"/>
        <w:autoSpaceDN w:val="0"/>
        <w:adjustRightInd w:val="0"/>
        <w:spacing w:after="0" w:line="240" w:lineRule="auto"/>
        <w:ind w:left="-142" w:firstLine="851"/>
        <w:jc w:val="both"/>
        <w:rPr>
          <w:rFonts w:ascii="Cambria" w:hAnsi="Cambria"/>
          <w:color w:val="000000"/>
        </w:rPr>
      </w:pPr>
    </w:p>
    <w:p w14:paraId="2E078B74" w14:textId="77777777" w:rsidR="003F262C" w:rsidRPr="00DD1E2F" w:rsidRDefault="002944EB" w:rsidP="00AD711F">
      <w:pPr>
        <w:numPr>
          <w:ilvl w:val="0"/>
          <w:numId w:val="76"/>
        </w:numPr>
        <w:autoSpaceDE w:val="0"/>
        <w:autoSpaceDN w:val="0"/>
        <w:adjustRightInd w:val="0"/>
        <w:spacing w:after="0" w:line="240" w:lineRule="auto"/>
        <w:ind w:left="-142" w:firstLine="851"/>
        <w:jc w:val="both"/>
        <w:rPr>
          <w:rFonts w:ascii="Cambria" w:hAnsi="Cambria"/>
          <w:color w:val="000000"/>
        </w:rPr>
      </w:pPr>
      <w:r w:rsidRPr="00DD1E2F">
        <w:rPr>
          <w:rFonts w:ascii="Cambria" w:hAnsi="Cambria"/>
          <w:color w:val="000000"/>
        </w:rPr>
        <w:t>The Commission noted</w:t>
      </w:r>
      <w:r w:rsidR="003F262C" w:rsidRPr="00DD1E2F">
        <w:rPr>
          <w:rFonts w:ascii="Cambria" w:hAnsi="Cambria"/>
          <w:color w:val="000000"/>
        </w:rPr>
        <w:t xml:space="preserve"> that th</w:t>
      </w:r>
      <w:r w:rsidR="00675F22" w:rsidRPr="00DD1E2F">
        <w:rPr>
          <w:rFonts w:ascii="Cambria" w:hAnsi="Cambria"/>
          <w:color w:val="000000"/>
        </w:rPr>
        <w:t>e petitioners did not submit</w:t>
      </w:r>
      <w:r w:rsidR="003F262C" w:rsidRPr="00DD1E2F">
        <w:rPr>
          <w:rFonts w:ascii="Cambria" w:hAnsi="Cambria"/>
          <w:color w:val="000000"/>
        </w:rPr>
        <w:t xml:space="preserve"> updated information since the friendly settlement agreement was published in 2000. </w:t>
      </w:r>
      <w:r w:rsidR="00675F22" w:rsidRPr="00DD1E2F">
        <w:rPr>
          <w:rFonts w:ascii="Cambria" w:hAnsi="Cambria"/>
          <w:color w:val="000000"/>
        </w:rPr>
        <w:t>It further noted</w:t>
      </w:r>
      <w:r w:rsidR="003F262C" w:rsidRPr="00DD1E2F">
        <w:rPr>
          <w:rFonts w:ascii="Cambria" w:hAnsi="Cambria"/>
          <w:color w:val="000000"/>
        </w:rPr>
        <w:t xml:space="preserve"> that since publicati</w:t>
      </w:r>
      <w:r w:rsidR="00675F22" w:rsidRPr="00DD1E2F">
        <w:rPr>
          <w:rFonts w:ascii="Cambria" w:hAnsi="Cambria"/>
          <w:color w:val="000000"/>
        </w:rPr>
        <w:t>on of the FSA, the Commission</w:t>
      </w:r>
      <w:r w:rsidR="003F262C" w:rsidRPr="00DD1E2F">
        <w:rPr>
          <w:rFonts w:ascii="Cambria" w:hAnsi="Cambria"/>
          <w:color w:val="000000"/>
        </w:rPr>
        <w:t xml:space="preserve"> followed up on compliance with the clauses agreed upon by the parties in Chapter II G of the Annual Report, submitted to the OAS General Assembly. </w:t>
      </w:r>
      <w:r w:rsidR="00503957" w:rsidRPr="00DD1E2F">
        <w:rPr>
          <w:rFonts w:ascii="Cambria" w:hAnsi="Cambria"/>
        </w:rPr>
        <w:t xml:space="preserve">As part of </w:t>
      </w:r>
      <w:r w:rsidR="00503957" w:rsidRPr="00DD1E2F">
        <w:rPr>
          <w:rFonts w:ascii="Cambria" w:hAnsi="Cambria"/>
        </w:rPr>
        <w:lastRenderedPageBreak/>
        <w:t>this follow-up, the petitioning party was requested updated information each year, granting them a reasonable period of time to submit the information they deem necessary.</w:t>
      </w:r>
    </w:p>
    <w:p w14:paraId="727DA8B2" w14:textId="77777777" w:rsidR="00675F22" w:rsidRPr="00DD1E2F" w:rsidRDefault="00675F22" w:rsidP="0045789B">
      <w:pPr>
        <w:autoSpaceDE w:val="0"/>
        <w:autoSpaceDN w:val="0"/>
        <w:adjustRightInd w:val="0"/>
        <w:spacing w:after="0" w:line="240" w:lineRule="auto"/>
        <w:ind w:left="709"/>
        <w:jc w:val="both"/>
        <w:rPr>
          <w:rFonts w:ascii="Cambria" w:hAnsi="Cambria"/>
          <w:color w:val="000000"/>
        </w:rPr>
      </w:pPr>
    </w:p>
    <w:p w14:paraId="59BDA069" w14:textId="77777777" w:rsidR="00583C84" w:rsidRPr="00DD1E2F" w:rsidRDefault="00675F22" w:rsidP="00AD711F">
      <w:pPr>
        <w:numPr>
          <w:ilvl w:val="0"/>
          <w:numId w:val="76"/>
        </w:numPr>
        <w:autoSpaceDE w:val="0"/>
        <w:autoSpaceDN w:val="0"/>
        <w:adjustRightInd w:val="0"/>
        <w:spacing w:after="0" w:line="240" w:lineRule="auto"/>
        <w:ind w:left="-142" w:firstLine="851"/>
        <w:jc w:val="both"/>
        <w:rPr>
          <w:rFonts w:ascii="Cambria" w:hAnsi="Cambria"/>
          <w:color w:val="000000"/>
        </w:rPr>
      </w:pPr>
      <w:r w:rsidRPr="00DD1E2F">
        <w:rPr>
          <w:rFonts w:ascii="Cambria" w:hAnsi="Cambria"/>
          <w:color w:val="000000"/>
        </w:rPr>
        <w:t>Based on the foregoing and t</w:t>
      </w:r>
      <w:r w:rsidR="00583C84" w:rsidRPr="00DD1E2F">
        <w:rPr>
          <w:rFonts w:ascii="Cambria" w:hAnsi="Cambria"/>
          <w:color w:val="000000"/>
        </w:rPr>
        <w:t>aking into consideration that the petitioners did not submit the comprehensive report requested by the IACHR on February 11, 2020 and in view of the unjustified procedural inactivity of the petitioners, which constitutes a serious indication of disinterest in the follow-up on</w:t>
      </w:r>
      <w:r w:rsidRPr="00DD1E2F">
        <w:rPr>
          <w:rFonts w:ascii="Cambria" w:hAnsi="Cambria"/>
          <w:color w:val="000000"/>
        </w:rPr>
        <w:t xml:space="preserve"> the FSA, the Commission decided</w:t>
      </w:r>
      <w:r w:rsidR="00583C84" w:rsidRPr="00DD1E2F">
        <w:rPr>
          <w:rFonts w:ascii="Cambria" w:hAnsi="Cambria"/>
          <w:color w:val="000000"/>
        </w:rPr>
        <w:t xml:space="preserve"> to archive the case </w:t>
      </w:r>
      <w:r w:rsidRPr="00DD1E2F">
        <w:rPr>
          <w:rFonts w:ascii="Cambria" w:hAnsi="Cambria"/>
          <w:color w:val="000000"/>
        </w:rPr>
        <w:t>in accordance with Articles 42 and 48 of its Rules of Procedure, to cease  follow-up on compliance with the friendly settlement agreement and close the matter noting on the record in its Annual Report to the General Assembly of the Organization of American States that there has been partial compliance with the friendly settlement agreement.</w:t>
      </w:r>
    </w:p>
    <w:p w14:paraId="5ABFBDC6" w14:textId="77777777" w:rsidR="00675F22" w:rsidRPr="00DD1E2F" w:rsidRDefault="00675F22" w:rsidP="0045789B">
      <w:pPr>
        <w:autoSpaceDE w:val="0"/>
        <w:autoSpaceDN w:val="0"/>
        <w:adjustRightInd w:val="0"/>
        <w:spacing w:after="0" w:line="240" w:lineRule="auto"/>
        <w:jc w:val="both"/>
        <w:rPr>
          <w:rFonts w:ascii="Cambria" w:hAnsi="Cambria"/>
          <w:color w:val="000000"/>
        </w:rPr>
      </w:pPr>
    </w:p>
    <w:p w14:paraId="08E048C6" w14:textId="77777777" w:rsidR="003F262C" w:rsidRPr="00DD1E2F" w:rsidRDefault="003F262C" w:rsidP="00AD711F">
      <w:pPr>
        <w:numPr>
          <w:ilvl w:val="0"/>
          <w:numId w:val="76"/>
        </w:numPr>
        <w:autoSpaceDE w:val="0"/>
        <w:autoSpaceDN w:val="0"/>
        <w:adjustRightInd w:val="0"/>
        <w:spacing w:after="0" w:line="240" w:lineRule="auto"/>
        <w:ind w:left="-142" w:firstLine="851"/>
        <w:jc w:val="both"/>
        <w:rPr>
          <w:rFonts w:ascii="Cambria" w:hAnsi="Cambria"/>
          <w:color w:val="000000"/>
        </w:rPr>
      </w:pPr>
      <w:r w:rsidRPr="00DD1E2F">
        <w:rPr>
          <w:rFonts w:ascii="Cambria" w:hAnsi="Cambria"/>
          <w:color w:val="000000"/>
        </w:rPr>
        <w:t>Consequently, the Commission decide</w:t>
      </w:r>
      <w:r w:rsidR="00503957" w:rsidRPr="00DD1E2F">
        <w:rPr>
          <w:rFonts w:ascii="Cambria" w:hAnsi="Cambria"/>
          <w:color w:val="000000"/>
        </w:rPr>
        <w:t>d</w:t>
      </w:r>
      <w:r w:rsidRPr="00DD1E2F">
        <w:rPr>
          <w:rFonts w:ascii="Cambria" w:hAnsi="Cambria"/>
          <w:color w:val="000000"/>
        </w:rPr>
        <w:t xml:space="preserve"> to cease follow-up on compliance with the friendly settlement agreement and archive the matter. </w:t>
      </w:r>
    </w:p>
    <w:p w14:paraId="1F54805D" w14:textId="77777777" w:rsidR="003F262C" w:rsidRPr="00DD1E2F" w:rsidRDefault="003F262C" w:rsidP="0045789B">
      <w:pPr>
        <w:autoSpaceDE w:val="0"/>
        <w:autoSpaceDN w:val="0"/>
        <w:adjustRightInd w:val="0"/>
        <w:spacing w:after="0" w:line="240" w:lineRule="auto"/>
        <w:jc w:val="both"/>
        <w:rPr>
          <w:rFonts w:ascii="Cambria" w:hAnsi="Cambria"/>
          <w:color w:val="000000"/>
        </w:rPr>
      </w:pPr>
    </w:p>
    <w:p w14:paraId="07CD3E9D" w14:textId="77777777" w:rsidR="00583C84" w:rsidRPr="00DD1E2F" w:rsidRDefault="00583C84" w:rsidP="00AD711F">
      <w:pPr>
        <w:numPr>
          <w:ilvl w:val="0"/>
          <w:numId w:val="74"/>
        </w:numPr>
        <w:spacing w:after="0" w:line="240" w:lineRule="auto"/>
        <w:ind w:left="1440"/>
        <w:contextualSpacing/>
        <w:jc w:val="both"/>
        <w:rPr>
          <w:rFonts w:ascii="Cambria" w:hAnsi="Cambria" w:cs="Calibri Light"/>
          <w:b/>
          <w:color w:val="000000"/>
        </w:rPr>
      </w:pPr>
      <w:r w:rsidRPr="00DD1E2F">
        <w:rPr>
          <w:rFonts w:ascii="Cambria" w:hAnsi="Cambria" w:cs="Calibri Light"/>
          <w:b/>
          <w:color w:val="000000"/>
        </w:rPr>
        <w:t xml:space="preserve">INDIVIDUAL AND STRUCTURAL OUTCOMES OF THE CASE </w:t>
      </w:r>
    </w:p>
    <w:p w14:paraId="67E7C3CE" w14:textId="77777777" w:rsidR="00583C84" w:rsidRPr="00DD1E2F" w:rsidRDefault="00583C84" w:rsidP="0045789B">
      <w:pPr>
        <w:spacing w:after="0" w:line="240" w:lineRule="auto"/>
        <w:ind w:left="1080"/>
        <w:contextualSpacing/>
        <w:jc w:val="both"/>
        <w:rPr>
          <w:rFonts w:ascii="Cambria" w:hAnsi="Cambria" w:cs="Calibri Light"/>
          <w:b/>
          <w:color w:val="000000"/>
        </w:rPr>
      </w:pPr>
    </w:p>
    <w:p w14:paraId="414FAD92" w14:textId="77777777" w:rsidR="00583C84" w:rsidRPr="00DD1E2F" w:rsidRDefault="003F262C" w:rsidP="00AD711F">
      <w:pPr>
        <w:numPr>
          <w:ilvl w:val="0"/>
          <w:numId w:val="75"/>
        </w:numPr>
        <w:spacing w:after="0" w:line="240" w:lineRule="auto"/>
        <w:ind w:left="1440" w:hanging="720"/>
        <w:contextualSpacing/>
        <w:jc w:val="both"/>
        <w:rPr>
          <w:rFonts w:ascii="Cambria" w:hAnsi="Cambria" w:cs="Calibri Light"/>
          <w:b/>
          <w:color w:val="000000"/>
        </w:rPr>
      </w:pPr>
      <w:r w:rsidRPr="00DD1E2F">
        <w:rPr>
          <w:rFonts w:ascii="Cambria" w:hAnsi="Cambria" w:cs="Calibri Light"/>
          <w:b/>
          <w:color w:val="000000"/>
        </w:rPr>
        <w:t>Individual outcomes of the case</w:t>
      </w:r>
    </w:p>
    <w:p w14:paraId="28C29DEC" w14:textId="77777777" w:rsidR="00583C84" w:rsidRPr="00DD1E2F" w:rsidRDefault="00583C84" w:rsidP="0045789B">
      <w:pPr>
        <w:spacing w:after="0" w:line="240" w:lineRule="auto"/>
        <w:ind w:firstLine="720"/>
        <w:contextualSpacing/>
        <w:jc w:val="both"/>
        <w:rPr>
          <w:rFonts w:ascii="Cambria" w:hAnsi="Cambria"/>
          <w:color w:val="000000"/>
        </w:rPr>
      </w:pPr>
    </w:p>
    <w:p w14:paraId="4D311F14" w14:textId="77777777" w:rsidR="00C931AE" w:rsidRPr="00DD1E2F" w:rsidRDefault="00583C84" w:rsidP="0045789B">
      <w:pPr>
        <w:numPr>
          <w:ilvl w:val="0"/>
          <w:numId w:val="3"/>
        </w:numPr>
        <w:spacing w:after="0" w:line="240" w:lineRule="auto"/>
        <w:ind w:firstLine="0"/>
        <w:contextualSpacing/>
        <w:jc w:val="both"/>
        <w:rPr>
          <w:rFonts w:ascii="Cambria" w:hAnsi="Cambria"/>
          <w:color w:val="000000"/>
        </w:rPr>
      </w:pPr>
      <w:r w:rsidRPr="00DD1E2F">
        <w:rPr>
          <w:rFonts w:ascii="Cambria" w:hAnsi="Cambria"/>
          <w:color w:val="000000"/>
        </w:rPr>
        <w:t>The State paid financial compensation, a</w:t>
      </w:r>
      <w:r w:rsidR="0073273B" w:rsidRPr="00DD1E2F">
        <w:rPr>
          <w:rFonts w:ascii="Cambria" w:hAnsi="Cambria"/>
          <w:color w:val="000000"/>
        </w:rPr>
        <w:t>s set forth under the agreement.</w:t>
      </w:r>
    </w:p>
    <w:p w14:paraId="708232E1" w14:textId="77777777" w:rsidR="00572284" w:rsidRDefault="00572284" w:rsidP="00A31319">
      <w:pPr>
        <w:spacing w:after="0" w:line="240" w:lineRule="auto"/>
        <w:contextualSpacing/>
        <w:jc w:val="both"/>
        <w:rPr>
          <w:rFonts w:ascii="Cambria" w:hAnsi="Cambria"/>
          <w:color w:val="000000"/>
        </w:rPr>
      </w:pPr>
    </w:p>
    <w:p w14:paraId="4DE6E22A" w14:textId="77777777" w:rsidR="00F74974" w:rsidRPr="00DD1E2F" w:rsidRDefault="00F74974" w:rsidP="00A31319">
      <w:pPr>
        <w:spacing w:after="0" w:line="240" w:lineRule="auto"/>
        <w:jc w:val="center"/>
        <w:rPr>
          <w:rFonts w:ascii="Cambria" w:hAnsi="Cambria"/>
          <w:color w:val="000000"/>
        </w:rPr>
      </w:pPr>
    </w:p>
    <w:sectPr w:rsidR="00F74974" w:rsidRPr="00DD1E2F"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9494" w14:textId="77777777" w:rsidR="00720844" w:rsidRDefault="00720844" w:rsidP="00A343FF">
      <w:pPr>
        <w:spacing w:after="0" w:line="240" w:lineRule="auto"/>
      </w:pPr>
      <w:r>
        <w:separator/>
      </w:r>
    </w:p>
  </w:endnote>
  <w:endnote w:type="continuationSeparator" w:id="0">
    <w:p w14:paraId="66729C40" w14:textId="77777777" w:rsidR="00720844" w:rsidRDefault="0072084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97EE"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36CF"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04C69FA9"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E177" w14:textId="77777777" w:rsidR="006D7134" w:rsidRDefault="00914704" w:rsidP="008F2248">
    <w:pPr>
      <w:pStyle w:val="Footer"/>
      <w:spacing w:line="360" w:lineRule="auto"/>
    </w:pPr>
    <w:r>
      <w:pict w14:anchorId="340D3272">
        <v:rect id="_x0000_i1028" style="width:0;height:1.5pt" o:hralign="center" o:hrstd="t" o:hr="t" fillcolor="#a0a0a0" stroked="f"/>
      </w:pict>
    </w:r>
  </w:p>
  <w:p w14:paraId="00134868" w14:textId="77777777" w:rsidR="006D7134" w:rsidRDefault="00914704" w:rsidP="006E2BD8">
    <w:pPr>
      <w:pStyle w:val="Footer"/>
      <w:jc w:val="center"/>
    </w:pPr>
    <w:r>
      <w:pict w14:anchorId="79550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4BFC" w14:textId="77777777" w:rsidR="00720844" w:rsidRDefault="00720844" w:rsidP="00A343FF">
      <w:pPr>
        <w:spacing w:after="0" w:line="240" w:lineRule="auto"/>
      </w:pPr>
      <w:r>
        <w:separator/>
      </w:r>
    </w:p>
  </w:footnote>
  <w:footnote w:type="continuationSeparator" w:id="0">
    <w:p w14:paraId="2848B1B3" w14:textId="77777777" w:rsidR="00720844" w:rsidRDefault="00720844" w:rsidP="00A343FF">
      <w:pPr>
        <w:spacing w:after="0" w:line="240" w:lineRule="auto"/>
      </w:pPr>
      <w:r>
        <w:continuationSeparator/>
      </w:r>
    </w:p>
  </w:footnote>
  <w:footnote w:id="1">
    <w:p w14:paraId="4D9D47FB" w14:textId="77777777" w:rsidR="006D7134" w:rsidRPr="00BE591F" w:rsidRDefault="006D7134" w:rsidP="00583C84">
      <w:pPr>
        <w:pStyle w:val="FootnoteText"/>
        <w:ind w:firstLine="720"/>
        <w:jc w:val="both"/>
        <w:rPr>
          <w:rFonts w:ascii="Cambria" w:hAnsi="Cambria"/>
          <w:color w:val="000000"/>
          <w:sz w:val="16"/>
          <w:szCs w:val="16"/>
          <w:lang w:val="es-VE"/>
        </w:rPr>
      </w:pPr>
      <w:r w:rsidRPr="00BE591F">
        <w:rPr>
          <w:rStyle w:val="FootnoteReference"/>
          <w:rFonts w:ascii="Cambria" w:hAnsi="Cambria"/>
          <w:color w:val="000000"/>
          <w:sz w:val="16"/>
          <w:szCs w:val="16"/>
        </w:rPr>
        <w:footnoteRef/>
      </w:r>
      <w:r w:rsidRPr="00BE591F">
        <w:rPr>
          <w:rFonts w:ascii="Cambria" w:hAnsi="Cambria"/>
          <w:color w:val="000000"/>
          <w:sz w:val="16"/>
          <w:szCs w:val="16"/>
          <w:lang w:val="es-VE"/>
        </w:rPr>
        <w:t xml:space="preserve"> Report No. 65/03, Case 12.394, Joaquín Hernández Alvarado, Marlon Loor Argote y Hugo Lara Pinos</w:t>
      </w:r>
      <w:r w:rsidRPr="00BE591F">
        <w:rPr>
          <w:rFonts w:ascii="Cambria" w:hAnsi="Cambria"/>
          <w:color w:val="000000"/>
          <w:sz w:val="16"/>
          <w:szCs w:val="16"/>
          <w:lang w:val="es-ES"/>
        </w:rPr>
        <w:t>, October</w:t>
      </w:r>
      <w:r w:rsidRPr="00BE591F">
        <w:rPr>
          <w:rFonts w:ascii="Cambria" w:hAnsi="Cambria"/>
          <w:color w:val="000000"/>
          <w:sz w:val="16"/>
          <w:szCs w:val="16"/>
          <w:lang w:val="es-VE"/>
        </w:rPr>
        <w:t xml:space="preserve"> 10, 2003</w:t>
      </w:r>
    </w:p>
  </w:footnote>
  <w:footnote w:id="2">
    <w:p w14:paraId="25DF343D" w14:textId="77777777" w:rsidR="006D7134" w:rsidRPr="003F186E" w:rsidRDefault="006D7134" w:rsidP="00583C84">
      <w:pPr>
        <w:pStyle w:val="FootnoteText"/>
        <w:ind w:firstLine="720"/>
        <w:jc w:val="both"/>
        <w:rPr>
          <w:rFonts w:ascii="Cambria" w:hAnsi="Cambria"/>
          <w:sz w:val="16"/>
          <w:szCs w:val="16"/>
        </w:rPr>
      </w:pPr>
      <w:r w:rsidRPr="003F186E">
        <w:rPr>
          <w:rStyle w:val="FootnoteReference"/>
          <w:rFonts w:ascii="Cambria" w:hAnsi="Cambria"/>
          <w:sz w:val="16"/>
          <w:szCs w:val="16"/>
        </w:rPr>
        <w:footnoteRef/>
      </w:r>
      <w:r w:rsidRPr="003F186E">
        <w:rPr>
          <w:rFonts w:ascii="Cambria" w:hAnsi="Cambria"/>
          <w:sz w:val="16"/>
          <w:szCs w:val="16"/>
        </w:rPr>
        <w:t xml:space="preserve"> See IACHR, Annual Report 2020, Chapter II, Section G. Friendly Settlements. Available at: </w:t>
      </w:r>
      <w:hyperlink r:id="rId1" w:history="1">
        <w:r w:rsidRPr="003F186E">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F060"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B425" w14:textId="77777777" w:rsidR="006D7134" w:rsidRDefault="00914704" w:rsidP="00DC7C8F">
    <w:pPr>
      <w:pStyle w:val="Header"/>
      <w:jc w:val="center"/>
    </w:pPr>
    <w:r>
      <w:pict w14:anchorId="4F5F8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4ADBDF89" w14:textId="77777777" w:rsidR="006D7134" w:rsidRDefault="00914704">
    <w:pPr>
      <w:pStyle w:val="Header"/>
    </w:pPr>
    <w:r>
      <w:pict w14:anchorId="1F01EFA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3537" w14:textId="77777777" w:rsidR="006D7134" w:rsidRDefault="00914704" w:rsidP="00A61B5E">
    <w:pPr>
      <w:pStyle w:val="Header"/>
    </w:pPr>
    <w:r>
      <w:rPr>
        <w:noProof/>
      </w:rPr>
      <w:pict w14:anchorId="2852B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092EFD20">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7AB43A78" w14:textId="77777777" w:rsidR="006D7134" w:rsidRDefault="006D7134" w:rsidP="00A61B5E">
    <w:pPr>
      <w:pStyle w:val="Header"/>
    </w:pPr>
  </w:p>
  <w:p w14:paraId="6F341656" w14:textId="77777777" w:rsidR="006D7134" w:rsidRDefault="006D7134" w:rsidP="00A61B5E">
    <w:pPr>
      <w:pStyle w:val="Header"/>
    </w:pPr>
  </w:p>
  <w:p w14:paraId="3C49CE1D" w14:textId="77777777" w:rsidR="006D7134" w:rsidRDefault="00914704" w:rsidP="00A61B5E">
    <w:pPr>
      <w:pStyle w:val="Header"/>
    </w:pPr>
    <w:r>
      <w:pict w14:anchorId="6AB16F71">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1661842">
    <w:abstractNumId w:val="78"/>
  </w:num>
  <w:num w:numId="2" w16cid:durableId="1355616651">
    <w:abstractNumId w:val="59"/>
  </w:num>
  <w:num w:numId="3" w16cid:durableId="1149710336">
    <w:abstractNumId w:val="21"/>
  </w:num>
  <w:num w:numId="4" w16cid:durableId="568536046">
    <w:abstractNumId w:val="52"/>
  </w:num>
  <w:num w:numId="5" w16cid:durableId="21976337">
    <w:abstractNumId w:val="3"/>
  </w:num>
  <w:num w:numId="6" w16cid:durableId="808017958">
    <w:abstractNumId w:val="44"/>
  </w:num>
  <w:num w:numId="7" w16cid:durableId="1485388804">
    <w:abstractNumId w:val="104"/>
  </w:num>
  <w:num w:numId="8" w16cid:durableId="436217904">
    <w:abstractNumId w:val="36"/>
  </w:num>
  <w:num w:numId="9" w16cid:durableId="39328387">
    <w:abstractNumId w:val="0"/>
  </w:num>
  <w:num w:numId="10" w16cid:durableId="983196533">
    <w:abstractNumId w:val="30"/>
  </w:num>
  <w:num w:numId="11" w16cid:durableId="1108114796">
    <w:abstractNumId w:val="65"/>
  </w:num>
  <w:num w:numId="12" w16cid:durableId="1690452173">
    <w:abstractNumId w:val="68"/>
  </w:num>
  <w:num w:numId="13" w16cid:durableId="672300177">
    <w:abstractNumId w:val="51"/>
  </w:num>
  <w:num w:numId="14" w16cid:durableId="617562673">
    <w:abstractNumId w:val="1"/>
  </w:num>
  <w:num w:numId="15" w16cid:durableId="221256643">
    <w:abstractNumId w:val="47"/>
  </w:num>
  <w:num w:numId="16" w16cid:durableId="1194490723">
    <w:abstractNumId w:val="67"/>
  </w:num>
  <w:num w:numId="17" w16cid:durableId="1209492390">
    <w:abstractNumId w:val="48"/>
  </w:num>
  <w:num w:numId="18" w16cid:durableId="525291985">
    <w:abstractNumId w:val="100"/>
  </w:num>
  <w:num w:numId="19" w16cid:durableId="1944534017">
    <w:abstractNumId w:val="70"/>
  </w:num>
  <w:num w:numId="20" w16cid:durableId="1097562263">
    <w:abstractNumId w:val="31"/>
  </w:num>
  <w:num w:numId="21" w16cid:durableId="182204683">
    <w:abstractNumId w:val="9"/>
  </w:num>
  <w:num w:numId="22" w16cid:durableId="719742899">
    <w:abstractNumId w:val="32"/>
  </w:num>
  <w:num w:numId="23" w16cid:durableId="255754072">
    <w:abstractNumId w:val="2"/>
  </w:num>
  <w:num w:numId="24" w16cid:durableId="562258337">
    <w:abstractNumId w:val="81"/>
  </w:num>
  <w:num w:numId="25" w16cid:durableId="916325724">
    <w:abstractNumId w:val="92"/>
  </w:num>
  <w:num w:numId="26" w16cid:durableId="1109201838">
    <w:abstractNumId w:val="98"/>
  </w:num>
  <w:num w:numId="27" w16cid:durableId="9700879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8173252">
    <w:abstractNumId w:val="76"/>
  </w:num>
  <w:num w:numId="29" w16cid:durableId="2045597857">
    <w:abstractNumId w:val="16"/>
  </w:num>
  <w:num w:numId="30" w16cid:durableId="1445803111">
    <w:abstractNumId w:val="13"/>
  </w:num>
  <w:num w:numId="31" w16cid:durableId="289894872">
    <w:abstractNumId w:val="63"/>
  </w:num>
  <w:num w:numId="32" w16cid:durableId="1234657582">
    <w:abstractNumId w:val="23"/>
  </w:num>
  <w:num w:numId="33" w16cid:durableId="1869829705">
    <w:abstractNumId w:val="11"/>
  </w:num>
  <w:num w:numId="34" w16cid:durableId="1699163092">
    <w:abstractNumId w:val="66"/>
  </w:num>
  <w:num w:numId="35" w16cid:durableId="421493002">
    <w:abstractNumId w:val="5"/>
  </w:num>
  <w:num w:numId="36" w16cid:durableId="1303466928">
    <w:abstractNumId w:val="7"/>
  </w:num>
  <w:num w:numId="37" w16cid:durableId="1428579231">
    <w:abstractNumId w:val="53"/>
  </w:num>
  <w:num w:numId="38" w16cid:durableId="659893196">
    <w:abstractNumId w:val="54"/>
  </w:num>
  <w:num w:numId="39" w16cid:durableId="2101220171">
    <w:abstractNumId w:val="27"/>
  </w:num>
  <w:num w:numId="40" w16cid:durableId="1554193875">
    <w:abstractNumId w:val="35"/>
  </w:num>
  <w:num w:numId="41" w16cid:durableId="1628926211">
    <w:abstractNumId w:val="77"/>
  </w:num>
  <w:num w:numId="42" w16cid:durableId="1168595842">
    <w:abstractNumId w:val="22"/>
  </w:num>
  <w:num w:numId="43" w16cid:durableId="1443265459">
    <w:abstractNumId w:val="64"/>
  </w:num>
  <w:num w:numId="44" w16cid:durableId="1660183762">
    <w:abstractNumId w:val="24"/>
  </w:num>
  <w:num w:numId="45" w16cid:durableId="218907960">
    <w:abstractNumId w:val="87"/>
  </w:num>
  <w:num w:numId="46" w16cid:durableId="950090201">
    <w:abstractNumId w:val="42"/>
  </w:num>
  <w:num w:numId="47" w16cid:durableId="2075657314">
    <w:abstractNumId w:val="61"/>
  </w:num>
  <w:num w:numId="48" w16cid:durableId="1447386797">
    <w:abstractNumId w:val="99"/>
  </w:num>
  <w:num w:numId="49" w16cid:durableId="1671249119">
    <w:abstractNumId w:val="90"/>
  </w:num>
  <w:num w:numId="50" w16cid:durableId="1918123965">
    <w:abstractNumId w:val="40"/>
  </w:num>
  <w:num w:numId="51" w16cid:durableId="2006665910">
    <w:abstractNumId w:val="93"/>
  </w:num>
  <w:num w:numId="52" w16cid:durableId="1610895078">
    <w:abstractNumId w:val="49"/>
  </w:num>
  <w:num w:numId="53" w16cid:durableId="579367518">
    <w:abstractNumId w:val="83"/>
  </w:num>
  <w:num w:numId="54" w16cid:durableId="1307398271">
    <w:abstractNumId w:val="33"/>
  </w:num>
  <w:num w:numId="55" w16cid:durableId="1375420879">
    <w:abstractNumId w:val="4"/>
  </w:num>
  <w:num w:numId="56" w16cid:durableId="1626810619">
    <w:abstractNumId w:val="28"/>
  </w:num>
  <w:num w:numId="57" w16cid:durableId="1923290488">
    <w:abstractNumId w:val="10"/>
  </w:num>
  <w:num w:numId="58" w16cid:durableId="1343122979">
    <w:abstractNumId w:val="75"/>
  </w:num>
  <w:num w:numId="59" w16cid:durableId="303052080">
    <w:abstractNumId w:val="55"/>
  </w:num>
  <w:num w:numId="60" w16cid:durableId="622998362">
    <w:abstractNumId w:val="73"/>
  </w:num>
  <w:num w:numId="61" w16cid:durableId="12337357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82292435">
    <w:abstractNumId w:val="102"/>
  </w:num>
  <w:num w:numId="63" w16cid:durableId="400836436">
    <w:abstractNumId w:val="82"/>
  </w:num>
  <w:num w:numId="64" w16cid:durableId="633604468">
    <w:abstractNumId w:val="26"/>
  </w:num>
  <w:num w:numId="65" w16cid:durableId="16295090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1557234">
    <w:abstractNumId w:val="95"/>
  </w:num>
  <w:num w:numId="67" w16cid:durableId="1831217395">
    <w:abstractNumId w:val="19"/>
  </w:num>
  <w:num w:numId="68" w16cid:durableId="956567045">
    <w:abstractNumId w:val="20"/>
  </w:num>
  <w:num w:numId="69" w16cid:durableId="349989554">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410336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681471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74481979">
    <w:abstractNumId w:val="60"/>
  </w:num>
  <w:num w:numId="73" w16cid:durableId="193555475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8163733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3555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00652449">
    <w:abstractNumId w:val="88"/>
  </w:num>
  <w:num w:numId="77" w16cid:durableId="17627973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00945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23373547">
    <w:abstractNumId w:val="72"/>
  </w:num>
  <w:num w:numId="80" w16cid:durableId="1468474674">
    <w:abstractNumId w:val="6"/>
  </w:num>
  <w:num w:numId="81" w16cid:durableId="517624315">
    <w:abstractNumId w:val="86"/>
  </w:num>
  <w:num w:numId="82" w16cid:durableId="1417433282">
    <w:abstractNumId w:val="71"/>
  </w:num>
  <w:num w:numId="83" w16cid:durableId="1794204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79501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89181542">
    <w:abstractNumId w:val="79"/>
  </w:num>
  <w:num w:numId="86" w16cid:durableId="1566179428">
    <w:abstractNumId w:val="17"/>
  </w:num>
  <w:num w:numId="87" w16cid:durableId="755857659">
    <w:abstractNumId w:val="85"/>
  </w:num>
  <w:num w:numId="88" w16cid:durableId="2132241585">
    <w:abstractNumId w:val="15"/>
  </w:num>
  <w:num w:numId="89" w16cid:durableId="439959941">
    <w:abstractNumId w:val="69"/>
  </w:num>
  <w:num w:numId="90" w16cid:durableId="997146991">
    <w:abstractNumId w:val="46"/>
  </w:num>
  <w:num w:numId="91" w16cid:durableId="332532512">
    <w:abstractNumId w:val="91"/>
  </w:num>
  <w:num w:numId="92" w16cid:durableId="1863785803">
    <w:abstractNumId w:val="43"/>
  </w:num>
  <w:num w:numId="93" w16cid:durableId="31736284">
    <w:abstractNumId w:val="8"/>
  </w:num>
  <w:num w:numId="94" w16cid:durableId="1296525754">
    <w:abstractNumId w:val="37"/>
  </w:num>
  <w:num w:numId="95" w16cid:durableId="1200779643">
    <w:abstractNumId w:val="38"/>
  </w:num>
  <w:num w:numId="96" w16cid:durableId="1556813723">
    <w:abstractNumId w:val="39"/>
  </w:num>
  <w:num w:numId="97" w16cid:durableId="1362366360">
    <w:abstractNumId w:val="12"/>
  </w:num>
  <w:num w:numId="98" w16cid:durableId="1971327691">
    <w:abstractNumId w:val="89"/>
  </w:num>
  <w:num w:numId="99" w16cid:durableId="957644546">
    <w:abstractNumId w:val="74"/>
  </w:num>
  <w:num w:numId="100" w16cid:durableId="1148286555">
    <w:abstractNumId w:val="29"/>
  </w:num>
  <w:num w:numId="101" w16cid:durableId="1236938660">
    <w:abstractNumId w:val="103"/>
  </w:num>
  <w:num w:numId="102" w16cid:durableId="1521970254">
    <w:abstractNumId w:val="80"/>
  </w:num>
  <w:num w:numId="103" w16cid:durableId="839269574">
    <w:abstractNumId w:val="41"/>
  </w:num>
  <w:num w:numId="104" w16cid:durableId="1257783304">
    <w:abstractNumId w:val="84"/>
  </w:num>
  <w:num w:numId="105" w16cid:durableId="1152671443">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96F88"/>
    <w:rsid w:val="000B0076"/>
    <w:rsid w:val="000D228E"/>
    <w:rsid w:val="000E1242"/>
    <w:rsid w:val="000E2820"/>
    <w:rsid w:val="000E3F0D"/>
    <w:rsid w:val="000F3F0F"/>
    <w:rsid w:val="00106326"/>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20844"/>
    <w:rsid w:val="0073273B"/>
    <w:rsid w:val="00736A43"/>
    <w:rsid w:val="007609D9"/>
    <w:rsid w:val="0076210E"/>
    <w:rsid w:val="00772E3C"/>
    <w:rsid w:val="00792456"/>
    <w:rsid w:val="007B0327"/>
    <w:rsid w:val="007B7762"/>
    <w:rsid w:val="007C2CC3"/>
    <w:rsid w:val="007C351D"/>
    <w:rsid w:val="007E0F1C"/>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14704"/>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1319"/>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69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3eng/Ecuador.12394.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357686AD-0792-4941-BD24-2093F94028CE}">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Links>
    <vt:vector size="12" baseType="variant">
      <vt:variant>
        <vt:i4>3276852</vt:i4>
      </vt:variant>
      <vt:variant>
        <vt:i4>0</vt:i4>
      </vt:variant>
      <vt:variant>
        <vt:i4>0</vt:i4>
      </vt:variant>
      <vt:variant>
        <vt:i4>5</vt:i4>
      </vt:variant>
      <vt:variant>
        <vt:lpwstr>http://cidh.org/annualrep/2003eng/Ecuador.12394.htm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