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6B4D" w:rsidRPr="00006B74" w:rsidRDefault="000514F9"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F8A5DB"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Default="00565F1C"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359881" cy="55689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7">
                                            <a:extLst>
                                              <a:ext uri="{28A0092B-C50C-407E-A947-70E740481C1C}">
                                                <a14:useLocalDpi xmlns:a14="http://schemas.microsoft.com/office/drawing/2010/main" val="0"/>
                                              </a:ext>
                                            </a:extLst>
                                          </a:blip>
                                          <a:stretch>
                                            <a:fillRect/>
                                          </a:stretch>
                                        </pic:blipFill>
                                        <pic:spPr>
                                          <a:xfrm>
                                            <a:off x="0" y="0"/>
                                            <a:ext cx="2384649" cy="562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E46B4D" w:rsidRDefault="00565F1C"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359881" cy="55689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chr-en.jpg"/>
                                    <pic:cNvPicPr/>
                                  </pic:nvPicPr>
                                  <pic:blipFill>
                                    <a:blip r:embed="rId7">
                                      <a:extLst>
                                        <a:ext uri="{28A0092B-C50C-407E-A947-70E740481C1C}">
                                          <a14:useLocalDpi xmlns:a14="http://schemas.microsoft.com/office/drawing/2010/main" val="0"/>
                                        </a:ext>
                                      </a:extLst>
                                    </a:blip>
                                    <a:stretch>
                                      <a:fillRect/>
                                    </a:stretch>
                                  </pic:blipFill>
                                  <pic:spPr>
                                    <a:xfrm>
                                      <a:off x="0" y="0"/>
                                      <a:ext cx="2384649" cy="562740"/>
                                    </a:xfrm>
                                    <a:prstGeom prst="rect">
                                      <a:avLst/>
                                    </a:prstGeom>
                                  </pic:spPr>
                                </pic:pic>
                              </a:graphicData>
                            </a:graphic>
                          </wp:inline>
                        </w:drawing>
                      </w:r>
                    </w:p>
                  </w:txbxContent>
                </v:textbox>
              </v:shape>
            </w:pict>
          </mc:Fallback>
        </mc:AlternateContent>
      </w: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E46B4D" w:rsidRPr="00006B74" w:rsidRDefault="00E46B4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0514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Pr="00296832" w:rsidRDefault="00E46B4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296832">
                              <w:rPr>
                                <w:rFonts w:ascii="Cambria" w:hAnsi="Cambria" w:cs="Arial"/>
                                <w:b/>
                                <w:bCs/>
                                <w:color w:val="0D0D0D"/>
                                <w:sz w:val="36"/>
                                <w:szCs w:val="22"/>
                              </w:rPr>
                              <w:t xml:space="preserve">REPORT </w:t>
                            </w:r>
                            <w:r w:rsidRPr="00296832">
                              <w:rPr>
                                <w:rFonts w:ascii="Cambria" w:hAnsi="Cambria" w:cs="Arial"/>
                                <w:b/>
                                <w:bCs/>
                                <w:color w:val="0D0D0D"/>
                                <w:sz w:val="36"/>
                                <w:szCs w:val="40"/>
                              </w:rPr>
                              <w:t>No.</w:t>
                            </w:r>
                            <w:r w:rsidRPr="00296832">
                              <w:rPr>
                                <w:rFonts w:ascii="Cambria" w:hAnsi="Cambria" w:cs="Arial"/>
                                <w:b/>
                                <w:bCs/>
                                <w:color w:val="0D0D0D"/>
                                <w:sz w:val="36"/>
                                <w:szCs w:val="22"/>
                              </w:rPr>
                              <w:t xml:space="preserve"> </w:t>
                            </w:r>
                            <w:r w:rsidR="00565F1C">
                              <w:rPr>
                                <w:rFonts w:ascii="Cambria" w:hAnsi="Cambria" w:cs="Arial"/>
                                <w:b/>
                                <w:bCs/>
                                <w:color w:val="0D0D0D"/>
                                <w:sz w:val="36"/>
                                <w:szCs w:val="22"/>
                              </w:rPr>
                              <w:t>79</w:t>
                            </w:r>
                            <w:r w:rsidRPr="00296832">
                              <w:rPr>
                                <w:rFonts w:ascii="Cambria" w:hAnsi="Cambria" w:cs="Arial"/>
                                <w:b/>
                                <w:bCs/>
                                <w:color w:val="0D0D0D"/>
                                <w:sz w:val="36"/>
                                <w:szCs w:val="22"/>
                              </w:rPr>
                              <w:t>/20</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296832">
                              <w:rPr>
                                <w:rFonts w:ascii="Cambria" w:hAnsi="Cambria" w:cs="Arial"/>
                                <w:b/>
                                <w:color w:val="0D0D0D"/>
                                <w:sz w:val="36"/>
                                <w:szCs w:val="22"/>
                              </w:rPr>
                              <w:t>PETICION 347-09</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96832">
                              <w:rPr>
                                <w:rFonts w:ascii="Cambria" w:hAnsi="Cambria" w:cs="Arial"/>
                                <w:color w:val="0D0D0D"/>
                                <w:szCs w:val="22"/>
                              </w:rPr>
                              <w:t xml:space="preserve">ADMISSIBILITY REPORT </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E46B4D" w:rsidRPr="003A27F0"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SANDRA JU</w:t>
                            </w:r>
                            <w:r w:rsidRPr="003A27F0">
                              <w:rPr>
                                <w:rFonts w:ascii="Cambria" w:hAnsi="Cambria" w:cs="Arial"/>
                                <w:color w:val="0D0D0D"/>
                                <w:szCs w:val="22"/>
                                <w:lang w:val="es-PA"/>
                              </w:rPr>
                              <w:t>Á</w:t>
                            </w:r>
                            <w:r w:rsidRPr="003A27F0">
                              <w:rPr>
                                <w:rFonts w:ascii="Cambria" w:hAnsi="Cambria" w:cs="Arial"/>
                                <w:color w:val="0D0D0D"/>
                                <w:szCs w:val="22"/>
                                <w:lang w:val="es-ES_tradnl"/>
                              </w:rPr>
                              <w:t xml:space="preserve">REZ DOMÍNGUEZ </w:t>
                            </w:r>
                          </w:p>
                          <w:bookmarkEnd w:id="1"/>
                          <w:p w:rsidR="00E46B4D" w:rsidRPr="003A27F0"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A27F0">
                              <w:rPr>
                                <w:rFonts w:ascii="Cambria" w:hAnsi="Cambria" w:cs="Arial"/>
                                <w:color w:val="0D0D0D"/>
                                <w:szCs w:val="22"/>
                                <w:lang w:val="es-ES_tradnl"/>
                              </w:rPr>
                              <w:t>M</w:t>
                            </w:r>
                            <w:r>
                              <w:rPr>
                                <w:rFonts w:ascii="Cambria" w:hAnsi="Cambria" w:cs="Arial"/>
                                <w:color w:val="0D0D0D"/>
                                <w:szCs w:val="22"/>
                                <w:lang w:val="es-ES_tradnl"/>
                              </w:rPr>
                              <w:t>E</w:t>
                            </w:r>
                            <w:r w:rsidRPr="003A27F0">
                              <w:rPr>
                                <w:rFonts w:ascii="Cambria" w:hAnsi="Cambria" w:cs="Arial"/>
                                <w:color w:val="0D0D0D"/>
                                <w:szCs w:val="22"/>
                                <w:lang w:val="es-ES_tradnl"/>
                              </w:rPr>
                              <w:t>XICO</w:t>
                            </w:r>
                            <w:r w:rsidRPr="003A27F0">
                              <w:rPr>
                                <w:rFonts w:ascii="Cambria" w:hAnsi="Cambria" w:cs="Arial"/>
                                <w:color w:val="0D0D0D"/>
                                <w:szCs w:val="22"/>
                                <w:lang w:val="es-ES_tradnl"/>
                              </w:rPr>
                              <w:tab/>
                            </w:r>
                          </w:p>
                          <w:p w:rsidR="00E46B4D" w:rsidRPr="003A27F0" w:rsidRDefault="00E46B4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E46B4D" w:rsidRPr="00296832" w:rsidRDefault="00E46B4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296832">
                        <w:rPr>
                          <w:rFonts w:ascii="Cambria" w:hAnsi="Cambria" w:cs="Arial"/>
                          <w:b/>
                          <w:bCs/>
                          <w:color w:val="0D0D0D"/>
                          <w:sz w:val="36"/>
                          <w:szCs w:val="22"/>
                        </w:rPr>
                        <w:t xml:space="preserve">REPORT </w:t>
                      </w:r>
                      <w:r w:rsidRPr="00296832">
                        <w:rPr>
                          <w:rFonts w:ascii="Cambria" w:hAnsi="Cambria" w:cs="Arial"/>
                          <w:b/>
                          <w:bCs/>
                          <w:color w:val="0D0D0D"/>
                          <w:sz w:val="36"/>
                          <w:szCs w:val="40"/>
                        </w:rPr>
                        <w:t>No.</w:t>
                      </w:r>
                      <w:r w:rsidRPr="00296832">
                        <w:rPr>
                          <w:rFonts w:ascii="Cambria" w:hAnsi="Cambria" w:cs="Arial"/>
                          <w:b/>
                          <w:bCs/>
                          <w:color w:val="0D0D0D"/>
                          <w:sz w:val="36"/>
                          <w:szCs w:val="22"/>
                        </w:rPr>
                        <w:t xml:space="preserve"> </w:t>
                      </w:r>
                      <w:r w:rsidR="00565F1C">
                        <w:rPr>
                          <w:rFonts w:ascii="Cambria" w:hAnsi="Cambria" w:cs="Arial"/>
                          <w:b/>
                          <w:bCs/>
                          <w:color w:val="0D0D0D"/>
                          <w:sz w:val="36"/>
                          <w:szCs w:val="22"/>
                        </w:rPr>
                        <w:t>79</w:t>
                      </w:r>
                      <w:r w:rsidRPr="00296832">
                        <w:rPr>
                          <w:rFonts w:ascii="Cambria" w:hAnsi="Cambria" w:cs="Arial"/>
                          <w:b/>
                          <w:bCs/>
                          <w:color w:val="0D0D0D"/>
                          <w:sz w:val="36"/>
                          <w:szCs w:val="22"/>
                        </w:rPr>
                        <w:t>/20</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296832">
                        <w:rPr>
                          <w:rFonts w:ascii="Cambria" w:hAnsi="Cambria" w:cs="Arial"/>
                          <w:b/>
                          <w:color w:val="0D0D0D"/>
                          <w:sz w:val="36"/>
                          <w:szCs w:val="22"/>
                        </w:rPr>
                        <w:t>PETICION 347-09</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96832">
                        <w:rPr>
                          <w:rFonts w:ascii="Cambria" w:hAnsi="Cambria" w:cs="Arial"/>
                          <w:color w:val="0D0D0D"/>
                          <w:szCs w:val="22"/>
                        </w:rPr>
                        <w:t xml:space="preserve">ADMISSIBILITY REPORT </w:t>
                      </w:r>
                    </w:p>
                    <w:p w:rsidR="00E46B4D" w:rsidRPr="00296832"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p w:rsidR="00E46B4D" w:rsidRPr="003A27F0"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SANDRA JU</w:t>
                      </w:r>
                      <w:r w:rsidRPr="003A27F0">
                        <w:rPr>
                          <w:rFonts w:ascii="Cambria" w:hAnsi="Cambria" w:cs="Arial"/>
                          <w:color w:val="0D0D0D"/>
                          <w:szCs w:val="22"/>
                          <w:lang w:val="es-PA"/>
                        </w:rPr>
                        <w:t>Á</w:t>
                      </w:r>
                      <w:r w:rsidRPr="003A27F0">
                        <w:rPr>
                          <w:rFonts w:ascii="Cambria" w:hAnsi="Cambria" w:cs="Arial"/>
                          <w:color w:val="0D0D0D"/>
                          <w:szCs w:val="22"/>
                          <w:lang w:val="es-ES_tradnl"/>
                        </w:rPr>
                        <w:t xml:space="preserve">REZ DOMÍNGUEZ </w:t>
                      </w:r>
                    </w:p>
                    <w:bookmarkEnd w:id="2"/>
                    <w:p w:rsidR="00E46B4D" w:rsidRPr="003A27F0" w:rsidRDefault="00E46B4D"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A27F0">
                        <w:rPr>
                          <w:rFonts w:ascii="Cambria" w:hAnsi="Cambria" w:cs="Arial"/>
                          <w:color w:val="0D0D0D"/>
                          <w:szCs w:val="22"/>
                          <w:lang w:val="es-ES_tradnl"/>
                        </w:rPr>
                        <w:t>M</w:t>
                      </w:r>
                      <w:r>
                        <w:rPr>
                          <w:rFonts w:ascii="Cambria" w:hAnsi="Cambria" w:cs="Arial"/>
                          <w:color w:val="0D0D0D"/>
                          <w:szCs w:val="22"/>
                          <w:lang w:val="es-ES_tradnl"/>
                        </w:rPr>
                        <w:t>E</w:t>
                      </w:r>
                      <w:r w:rsidRPr="003A27F0">
                        <w:rPr>
                          <w:rFonts w:ascii="Cambria" w:hAnsi="Cambria" w:cs="Arial"/>
                          <w:color w:val="0D0D0D"/>
                          <w:szCs w:val="22"/>
                          <w:lang w:val="es-ES_tradnl"/>
                        </w:rPr>
                        <w:t>XICO</w:t>
                      </w:r>
                      <w:r w:rsidRPr="003A27F0">
                        <w:rPr>
                          <w:rFonts w:ascii="Cambria" w:hAnsi="Cambria" w:cs="Arial"/>
                          <w:color w:val="0D0D0D"/>
                          <w:szCs w:val="22"/>
                          <w:lang w:val="es-ES_tradnl"/>
                        </w:rPr>
                        <w:tab/>
                      </w:r>
                    </w:p>
                    <w:p w:rsidR="00E46B4D" w:rsidRPr="003A27F0" w:rsidRDefault="00E46B4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Pr="003A27F0"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A27F0">
                              <w:rPr>
                                <w:rFonts w:ascii="Calibri" w:hAnsi="Calibri"/>
                                <w:color w:val="FFFFFF"/>
                                <w:sz w:val="22"/>
                                <w:lang w:val="pt-BR"/>
                              </w:rPr>
                              <w:t>OA</w:t>
                            </w:r>
                            <w:r>
                              <w:rPr>
                                <w:rFonts w:ascii="Calibri" w:hAnsi="Calibri"/>
                                <w:color w:val="FFFFFF"/>
                                <w:sz w:val="22"/>
                                <w:lang w:val="pt-BR"/>
                              </w:rPr>
                              <w:t>S</w:t>
                            </w:r>
                            <w:r w:rsidRPr="003A27F0">
                              <w:rPr>
                                <w:rFonts w:ascii="Calibri" w:hAnsi="Calibri"/>
                                <w:color w:val="FFFFFF"/>
                                <w:sz w:val="22"/>
                                <w:lang w:val="pt-BR"/>
                              </w:rPr>
                              <w:t>/Ser.L/V/II.</w:t>
                            </w:r>
                          </w:p>
                          <w:p w:rsidR="00E46B4D" w:rsidRPr="00D55071"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55071">
                              <w:rPr>
                                <w:rFonts w:ascii="Calibri" w:hAnsi="Calibri"/>
                                <w:color w:val="FFFFFF"/>
                                <w:sz w:val="22"/>
                              </w:rPr>
                              <w:t xml:space="preserve">Doc. </w:t>
                            </w:r>
                            <w:r w:rsidR="00565F1C">
                              <w:rPr>
                                <w:rFonts w:ascii="Calibri" w:hAnsi="Calibri"/>
                                <w:color w:val="FFFFFF"/>
                                <w:sz w:val="22"/>
                              </w:rPr>
                              <w:t>89</w:t>
                            </w:r>
                          </w:p>
                          <w:p w:rsidR="00E46B4D" w:rsidRPr="00D55071" w:rsidRDefault="00565F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 xml:space="preserve">24 </w:t>
                            </w:r>
                            <w:r w:rsidR="00164AE0">
                              <w:rPr>
                                <w:rFonts w:ascii="Calibri" w:hAnsi="Calibri"/>
                                <w:color w:val="FFFFFF"/>
                                <w:sz w:val="22"/>
                              </w:rPr>
                              <w:t>April</w:t>
                            </w:r>
                            <w:r w:rsidR="00164AE0" w:rsidRPr="00D55071">
                              <w:rPr>
                                <w:rFonts w:ascii="Calibri" w:hAnsi="Calibri"/>
                                <w:color w:val="FFFFFF"/>
                                <w:sz w:val="22"/>
                              </w:rPr>
                              <w:t xml:space="preserve"> 2020</w:t>
                            </w:r>
                          </w:p>
                          <w:p w:rsidR="00E46B4D" w:rsidRPr="00D55071"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55071">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E46B4D" w:rsidRPr="003A27F0"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3A27F0">
                        <w:rPr>
                          <w:rFonts w:ascii="Calibri" w:hAnsi="Calibri"/>
                          <w:color w:val="FFFFFF"/>
                          <w:sz w:val="22"/>
                          <w:lang w:val="pt-BR"/>
                        </w:rPr>
                        <w:t>OA</w:t>
                      </w:r>
                      <w:r>
                        <w:rPr>
                          <w:rFonts w:ascii="Calibri" w:hAnsi="Calibri"/>
                          <w:color w:val="FFFFFF"/>
                          <w:sz w:val="22"/>
                          <w:lang w:val="pt-BR"/>
                        </w:rPr>
                        <w:t>S</w:t>
                      </w:r>
                      <w:r w:rsidRPr="003A27F0">
                        <w:rPr>
                          <w:rFonts w:ascii="Calibri" w:hAnsi="Calibri"/>
                          <w:color w:val="FFFFFF"/>
                          <w:sz w:val="22"/>
                          <w:lang w:val="pt-BR"/>
                        </w:rPr>
                        <w:t>/Ser.L/V/II.</w:t>
                      </w:r>
                    </w:p>
                    <w:p w:rsidR="00E46B4D" w:rsidRPr="00D55071"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55071">
                        <w:rPr>
                          <w:rFonts w:ascii="Calibri" w:hAnsi="Calibri"/>
                          <w:color w:val="FFFFFF"/>
                          <w:sz w:val="22"/>
                        </w:rPr>
                        <w:t xml:space="preserve">Doc. </w:t>
                      </w:r>
                      <w:r w:rsidR="00565F1C">
                        <w:rPr>
                          <w:rFonts w:ascii="Calibri" w:hAnsi="Calibri"/>
                          <w:color w:val="FFFFFF"/>
                          <w:sz w:val="22"/>
                        </w:rPr>
                        <w:t>89</w:t>
                      </w:r>
                    </w:p>
                    <w:p w:rsidR="00E46B4D" w:rsidRPr="00D55071" w:rsidRDefault="00565F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 xml:space="preserve">24 </w:t>
                      </w:r>
                      <w:r w:rsidR="00164AE0">
                        <w:rPr>
                          <w:rFonts w:ascii="Calibri" w:hAnsi="Calibri"/>
                          <w:color w:val="FFFFFF"/>
                          <w:sz w:val="22"/>
                        </w:rPr>
                        <w:t>April</w:t>
                      </w:r>
                      <w:r w:rsidR="00164AE0" w:rsidRPr="00D55071">
                        <w:rPr>
                          <w:rFonts w:ascii="Calibri" w:hAnsi="Calibri"/>
                          <w:color w:val="FFFFFF"/>
                          <w:sz w:val="22"/>
                        </w:rPr>
                        <w:t xml:space="preserve"> 2020</w:t>
                      </w:r>
                    </w:p>
                    <w:p w:rsidR="00E46B4D" w:rsidRPr="00D55071" w:rsidRDefault="00E46B4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D55071">
                        <w:rPr>
                          <w:rFonts w:ascii="Calibri" w:hAnsi="Calibri"/>
                          <w:color w:val="FFFFFF"/>
                          <w:sz w:val="22"/>
                        </w:rPr>
                        <w:t>Original: Spanish</w:t>
                      </w:r>
                    </w:p>
                  </w:txbxContent>
                </v:textbox>
              </v:shape>
            </w:pict>
          </mc:Fallback>
        </mc:AlternateContent>
      </w: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0514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Pr="00A604F4" w:rsidRDefault="00E46B4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rPr>
                            </w:pPr>
                            <w:r w:rsidRPr="00A604F4">
                              <w:rPr>
                                <w:rFonts w:ascii="Cambria" w:hAnsi="Cambria"/>
                                <w:color w:val="0D0D0D"/>
                                <w:sz w:val="18"/>
                                <w:szCs w:val="20"/>
                              </w:rPr>
                              <w:t xml:space="preserve">Approved </w:t>
                            </w:r>
                            <w:r w:rsidR="00565F1C">
                              <w:rPr>
                                <w:rFonts w:ascii="Cambria" w:hAnsi="Cambria"/>
                                <w:color w:val="0D0D0D"/>
                                <w:sz w:val="18"/>
                                <w:szCs w:val="20"/>
                              </w:rPr>
                              <w:t xml:space="preserve">electronically </w:t>
                            </w:r>
                            <w:r w:rsidRPr="00A604F4">
                              <w:rPr>
                                <w:rFonts w:ascii="Cambria" w:hAnsi="Cambria"/>
                                <w:color w:val="0D0D0D"/>
                                <w:sz w:val="18"/>
                                <w:szCs w:val="20"/>
                              </w:rPr>
                              <w:t xml:space="preserve">by the Commission on </w:t>
                            </w:r>
                            <w:r w:rsidR="00565F1C">
                              <w:rPr>
                                <w:rFonts w:ascii="Cambria" w:hAnsi="Cambria"/>
                                <w:color w:val="0D0D0D"/>
                                <w:sz w:val="18"/>
                                <w:szCs w:val="20"/>
                              </w:rPr>
                              <w:t>April 24</w:t>
                            </w:r>
                            <w:r w:rsidRPr="00A604F4">
                              <w:rPr>
                                <w:rFonts w:ascii="Cambria" w:hAnsi="Cambria"/>
                                <w:color w:val="0D0D0D"/>
                                <w:sz w:val="18"/>
                                <w:szCs w:val="20"/>
                              </w:rPr>
                              <w:t>, 2020</w:t>
                            </w:r>
                            <w:r w:rsidR="00565F1C">
                              <w:rPr>
                                <w:rFonts w:ascii="Cambria" w:hAnsi="Cambria"/>
                                <w:color w:val="0D0D0D"/>
                                <w:sz w:val="18"/>
                                <w:szCs w:val="20"/>
                              </w:rPr>
                              <w:t>.</w:t>
                            </w:r>
                          </w:p>
                          <w:p w:rsidR="00E46B4D" w:rsidRPr="00296832" w:rsidRDefault="00E46B4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E46B4D" w:rsidRPr="00296832" w:rsidRDefault="00E46B4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E46B4D" w:rsidRPr="00A604F4" w:rsidRDefault="00E46B4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rPr>
                      </w:pPr>
                      <w:r w:rsidRPr="00A604F4">
                        <w:rPr>
                          <w:rFonts w:ascii="Cambria" w:hAnsi="Cambria"/>
                          <w:color w:val="0D0D0D"/>
                          <w:sz w:val="18"/>
                          <w:szCs w:val="20"/>
                        </w:rPr>
                        <w:t xml:space="preserve">Approved </w:t>
                      </w:r>
                      <w:r w:rsidR="00565F1C">
                        <w:rPr>
                          <w:rFonts w:ascii="Cambria" w:hAnsi="Cambria"/>
                          <w:color w:val="0D0D0D"/>
                          <w:sz w:val="18"/>
                          <w:szCs w:val="20"/>
                        </w:rPr>
                        <w:t xml:space="preserve">electronically </w:t>
                      </w:r>
                      <w:r w:rsidRPr="00A604F4">
                        <w:rPr>
                          <w:rFonts w:ascii="Cambria" w:hAnsi="Cambria"/>
                          <w:color w:val="0D0D0D"/>
                          <w:sz w:val="18"/>
                          <w:szCs w:val="20"/>
                        </w:rPr>
                        <w:t xml:space="preserve">by the Commission on </w:t>
                      </w:r>
                      <w:r w:rsidR="00565F1C">
                        <w:rPr>
                          <w:rFonts w:ascii="Cambria" w:hAnsi="Cambria"/>
                          <w:color w:val="0D0D0D"/>
                          <w:sz w:val="18"/>
                          <w:szCs w:val="20"/>
                        </w:rPr>
                        <w:t>April 24</w:t>
                      </w:r>
                      <w:r w:rsidRPr="00A604F4">
                        <w:rPr>
                          <w:rFonts w:ascii="Cambria" w:hAnsi="Cambria"/>
                          <w:color w:val="0D0D0D"/>
                          <w:sz w:val="18"/>
                          <w:szCs w:val="20"/>
                        </w:rPr>
                        <w:t>, 2020</w:t>
                      </w:r>
                      <w:r w:rsidR="00565F1C">
                        <w:rPr>
                          <w:rFonts w:ascii="Cambria" w:hAnsi="Cambria"/>
                          <w:color w:val="0D0D0D"/>
                          <w:sz w:val="18"/>
                          <w:szCs w:val="20"/>
                        </w:rPr>
                        <w:t>.</w:t>
                      </w:r>
                    </w:p>
                    <w:p w:rsidR="00E46B4D" w:rsidRPr="00296832" w:rsidRDefault="00E46B4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E46B4D" w:rsidRPr="00296832" w:rsidRDefault="00E46B4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0514F9"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Pr="00565F1C" w:rsidRDefault="00E46B4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A604F4">
                              <w:rPr>
                                <w:rFonts w:ascii="Cambria" w:hAnsi="Cambria"/>
                                <w:b/>
                                <w:color w:val="595959"/>
                                <w:sz w:val="18"/>
                                <w:szCs w:val="18"/>
                              </w:rPr>
                              <w:t>Cite as:</w:t>
                            </w:r>
                            <w:r w:rsidRPr="00A604F4">
                              <w:rPr>
                                <w:rFonts w:ascii="Cambria" w:hAnsi="Cambria"/>
                                <w:color w:val="595959"/>
                                <w:sz w:val="18"/>
                                <w:szCs w:val="18"/>
                              </w:rPr>
                              <w:t xml:space="preserve"> IACHR, Report No. </w:t>
                            </w:r>
                            <w:r w:rsidR="00565F1C">
                              <w:rPr>
                                <w:rFonts w:ascii="Cambria" w:hAnsi="Cambria"/>
                                <w:color w:val="595959"/>
                                <w:sz w:val="18"/>
                                <w:szCs w:val="18"/>
                                <w:lang w:val="pt-BR"/>
                              </w:rPr>
                              <w:t>7920</w:t>
                            </w:r>
                            <w:r w:rsidRPr="00D55071">
                              <w:rPr>
                                <w:rFonts w:ascii="Cambria" w:hAnsi="Cambria"/>
                                <w:color w:val="595959"/>
                                <w:sz w:val="18"/>
                                <w:szCs w:val="18"/>
                                <w:lang w:val="pt-BR"/>
                              </w:rPr>
                              <w:t>.</w:t>
                            </w:r>
                            <w:r w:rsidR="00565F1C">
                              <w:rPr>
                                <w:rFonts w:ascii="Cambria" w:hAnsi="Cambria"/>
                                <w:color w:val="595959"/>
                                <w:sz w:val="18"/>
                                <w:szCs w:val="18"/>
                                <w:lang w:val="pt-BR"/>
                              </w:rPr>
                              <w:t xml:space="preserve"> </w:t>
                            </w:r>
                            <w:r w:rsidR="00565F1C">
                              <w:rPr>
                                <w:rFonts w:ascii="Cambria" w:hAnsi="Cambria"/>
                                <w:color w:val="595959"/>
                                <w:sz w:val="18"/>
                                <w:szCs w:val="18"/>
                                <w:lang w:val="pt-BR"/>
                              </w:rPr>
                              <w:t xml:space="preserve">Petition 347-09. </w:t>
                            </w:r>
                            <w:r w:rsidRPr="00D55071">
                              <w:rPr>
                                <w:rFonts w:ascii="Cambria" w:hAnsi="Cambria"/>
                                <w:color w:val="595959"/>
                                <w:sz w:val="18"/>
                                <w:szCs w:val="18"/>
                                <w:lang w:val="pt-BR"/>
                              </w:rPr>
                              <w:t>Admissibility</w:t>
                            </w:r>
                            <w:r w:rsidR="00565F1C">
                              <w:rPr>
                                <w:rFonts w:ascii="Cambria" w:hAnsi="Cambria"/>
                                <w:color w:val="595959"/>
                                <w:sz w:val="18"/>
                                <w:szCs w:val="18"/>
                                <w:lang w:val="pt-BR"/>
                              </w:rPr>
                              <w:t>. Sandra Juárez Domínguez</w:t>
                            </w:r>
                            <w:r w:rsidRPr="00D55071">
                              <w:rPr>
                                <w:rFonts w:ascii="Cambria" w:hAnsi="Cambria"/>
                                <w:color w:val="595959"/>
                                <w:sz w:val="18"/>
                                <w:szCs w:val="18"/>
                                <w:lang w:val="pt-BR"/>
                              </w:rPr>
                              <w:t xml:space="preserve">. </w:t>
                            </w:r>
                            <w:proofErr w:type="spellStart"/>
                            <w:r w:rsidRPr="00565F1C">
                              <w:rPr>
                                <w:rFonts w:ascii="Cambria" w:hAnsi="Cambria"/>
                                <w:color w:val="595959"/>
                                <w:sz w:val="18"/>
                                <w:szCs w:val="18"/>
                                <w:lang w:val="es-US"/>
                              </w:rPr>
                              <w:t>Mexico</w:t>
                            </w:r>
                            <w:proofErr w:type="spellEnd"/>
                            <w:r w:rsidRPr="00565F1C">
                              <w:rPr>
                                <w:rFonts w:ascii="Cambria" w:hAnsi="Cambria"/>
                                <w:color w:val="595959"/>
                                <w:sz w:val="18"/>
                                <w:szCs w:val="18"/>
                                <w:lang w:val="es-US"/>
                              </w:rPr>
                              <w:t>.</w:t>
                            </w:r>
                            <w:r w:rsidR="00565F1C">
                              <w:rPr>
                                <w:rFonts w:ascii="Cambria" w:hAnsi="Cambria"/>
                                <w:color w:val="595959"/>
                                <w:sz w:val="18"/>
                                <w:szCs w:val="18"/>
                              </w:rPr>
                              <w:t xml:space="preserve"> April 24, 2020</w:t>
                            </w:r>
                            <w:r w:rsidRPr="00565F1C">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E46B4D" w:rsidRPr="00565F1C" w:rsidRDefault="00E46B4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A604F4">
                        <w:rPr>
                          <w:rFonts w:ascii="Cambria" w:hAnsi="Cambria"/>
                          <w:b/>
                          <w:color w:val="595959"/>
                          <w:sz w:val="18"/>
                          <w:szCs w:val="18"/>
                        </w:rPr>
                        <w:t>Cite as:</w:t>
                      </w:r>
                      <w:r w:rsidRPr="00A604F4">
                        <w:rPr>
                          <w:rFonts w:ascii="Cambria" w:hAnsi="Cambria"/>
                          <w:color w:val="595959"/>
                          <w:sz w:val="18"/>
                          <w:szCs w:val="18"/>
                        </w:rPr>
                        <w:t xml:space="preserve"> IACHR, Report No. </w:t>
                      </w:r>
                      <w:r w:rsidR="00565F1C">
                        <w:rPr>
                          <w:rFonts w:ascii="Cambria" w:hAnsi="Cambria"/>
                          <w:color w:val="595959"/>
                          <w:sz w:val="18"/>
                          <w:szCs w:val="18"/>
                          <w:lang w:val="pt-BR"/>
                        </w:rPr>
                        <w:t>7920</w:t>
                      </w:r>
                      <w:r w:rsidRPr="00D55071">
                        <w:rPr>
                          <w:rFonts w:ascii="Cambria" w:hAnsi="Cambria"/>
                          <w:color w:val="595959"/>
                          <w:sz w:val="18"/>
                          <w:szCs w:val="18"/>
                          <w:lang w:val="pt-BR"/>
                        </w:rPr>
                        <w:t>.</w:t>
                      </w:r>
                      <w:r w:rsidR="00565F1C">
                        <w:rPr>
                          <w:rFonts w:ascii="Cambria" w:hAnsi="Cambria"/>
                          <w:color w:val="595959"/>
                          <w:sz w:val="18"/>
                          <w:szCs w:val="18"/>
                          <w:lang w:val="pt-BR"/>
                        </w:rPr>
                        <w:t xml:space="preserve"> </w:t>
                      </w:r>
                      <w:r w:rsidR="00565F1C">
                        <w:rPr>
                          <w:rFonts w:ascii="Cambria" w:hAnsi="Cambria"/>
                          <w:color w:val="595959"/>
                          <w:sz w:val="18"/>
                          <w:szCs w:val="18"/>
                          <w:lang w:val="pt-BR"/>
                        </w:rPr>
                        <w:t xml:space="preserve">Petition 347-09. </w:t>
                      </w:r>
                      <w:r w:rsidRPr="00D55071">
                        <w:rPr>
                          <w:rFonts w:ascii="Cambria" w:hAnsi="Cambria"/>
                          <w:color w:val="595959"/>
                          <w:sz w:val="18"/>
                          <w:szCs w:val="18"/>
                          <w:lang w:val="pt-BR"/>
                        </w:rPr>
                        <w:t>Admissibility</w:t>
                      </w:r>
                      <w:r w:rsidR="00565F1C">
                        <w:rPr>
                          <w:rFonts w:ascii="Cambria" w:hAnsi="Cambria"/>
                          <w:color w:val="595959"/>
                          <w:sz w:val="18"/>
                          <w:szCs w:val="18"/>
                          <w:lang w:val="pt-BR"/>
                        </w:rPr>
                        <w:t>. Sandra Juárez Domínguez</w:t>
                      </w:r>
                      <w:r w:rsidRPr="00D55071">
                        <w:rPr>
                          <w:rFonts w:ascii="Cambria" w:hAnsi="Cambria"/>
                          <w:color w:val="595959"/>
                          <w:sz w:val="18"/>
                          <w:szCs w:val="18"/>
                          <w:lang w:val="pt-BR"/>
                        </w:rPr>
                        <w:t xml:space="preserve">. </w:t>
                      </w:r>
                      <w:proofErr w:type="spellStart"/>
                      <w:r w:rsidRPr="00565F1C">
                        <w:rPr>
                          <w:rFonts w:ascii="Cambria" w:hAnsi="Cambria"/>
                          <w:color w:val="595959"/>
                          <w:sz w:val="18"/>
                          <w:szCs w:val="18"/>
                          <w:lang w:val="es-US"/>
                        </w:rPr>
                        <w:t>Mexico</w:t>
                      </w:r>
                      <w:proofErr w:type="spellEnd"/>
                      <w:r w:rsidRPr="00565F1C">
                        <w:rPr>
                          <w:rFonts w:ascii="Cambria" w:hAnsi="Cambria"/>
                          <w:color w:val="595959"/>
                          <w:sz w:val="18"/>
                          <w:szCs w:val="18"/>
                          <w:lang w:val="es-US"/>
                        </w:rPr>
                        <w:t>.</w:t>
                      </w:r>
                      <w:r w:rsidR="00565F1C">
                        <w:rPr>
                          <w:rFonts w:ascii="Cambria" w:hAnsi="Cambria"/>
                          <w:color w:val="595959"/>
                          <w:sz w:val="18"/>
                          <w:szCs w:val="18"/>
                        </w:rPr>
                        <w:t xml:space="preserve"> April 24, 2020</w:t>
                      </w:r>
                      <w:r w:rsidRPr="00565F1C">
                        <w:rPr>
                          <w:rFonts w:ascii="Cambria" w:hAnsi="Cambria"/>
                          <w:color w:val="595959"/>
                          <w:sz w:val="18"/>
                          <w:szCs w:val="18"/>
                        </w:rPr>
                        <w:t>.</w:t>
                      </w:r>
                    </w:p>
                  </w:txbxContent>
                </v:textbox>
              </v:shape>
            </w:pict>
          </mc:Fallback>
        </mc:AlternateContent>
      </w:r>
    </w:p>
    <w:p w:rsidR="00E46B4D" w:rsidRPr="00006B74" w:rsidRDefault="00E46B4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E46B4D" w:rsidRPr="00006B74" w:rsidRDefault="000514F9"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6B4D" w:rsidRPr="003A27F0" w:rsidRDefault="00565F1C"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7905AF47" wp14:editId="6A222144">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E46B4D" w:rsidRPr="003A27F0" w:rsidRDefault="00565F1C"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7905AF47" wp14:editId="6A222144">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6B4D" w:rsidRPr="003A27F0" w:rsidRDefault="00E46B4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A27F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E46B4D" w:rsidRPr="003A27F0" w:rsidRDefault="00E46B4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A27F0">
                        <w:rPr>
                          <w:rFonts w:ascii="Calibri" w:hAnsi="Calibri"/>
                          <w:b/>
                          <w:color w:val="FFFFFF"/>
                          <w:lang w:val="pt-BR"/>
                        </w:rPr>
                        <w:t>www.cidh.org</w:t>
                      </w:r>
                    </w:p>
                  </w:txbxContent>
                </v:textbox>
              </v:shape>
            </w:pict>
          </mc:Fallback>
        </mc:AlternateContent>
      </w:r>
    </w:p>
    <w:p w:rsidR="00E46B4D" w:rsidRPr="00006B74" w:rsidRDefault="00E46B4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E46B4D"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E46B4D" w:rsidRPr="000202D4" w:rsidRDefault="00E46B4D"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rPr>
      </w:pPr>
      <w:r w:rsidRPr="000202D4">
        <w:rPr>
          <w:rFonts w:ascii="Cambria" w:hAnsi="Cambria"/>
          <w:b/>
          <w:bCs/>
          <w:sz w:val="20"/>
          <w:szCs w:val="20"/>
        </w:rPr>
        <w:lastRenderedPageBreak/>
        <w:t>I.</w:t>
      </w:r>
      <w:r w:rsidRPr="000202D4">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E46B4D" w:rsidRPr="000202D4" w:rsidTr="00D55071">
        <w:tc>
          <w:tcPr>
            <w:tcW w:w="2790" w:type="dxa"/>
            <w:tcBorders>
              <w:top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color w:val="FFFFFF"/>
                <w:sz w:val="19"/>
                <w:szCs w:val="19"/>
              </w:rPr>
              <w:t>Petitioner</w:t>
            </w:r>
          </w:p>
        </w:tc>
        <w:tc>
          <w:tcPr>
            <w:tcW w:w="6570" w:type="dxa"/>
            <w:tcBorders>
              <w:top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0202D4">
              <w:rPr>
                <w:rFonts w:ascii="Cambria" w:hAnsi="Cambria"/>
                <w:bCs/>
                <w:sz w:val="20"/>
                <w:szCs w:val="20"/>
              </w:rPr>
              <w:t>Sandra Juárez Domínguez</w:t>
            </w:r>
          </w:p>
        </w:tc>
      </w:tr>
      <w:tr w:rsidR="00E46B4D" w:rsidRPr="000202D4" w:rsidTr="00D55071">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color w:val="FFFFFF"/>
                <w:sz w:val="19"/>
                <w:szCs w:val="19"/>
              </w:rPr>
              <w:t>Alleged Victim</w:t>
            </w:r>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0202D4">
              <w:rPr>
                <w:rFonts w:ascii="Cambria" w:hAnsi="Cambria"/>
                <w:bCs/>
                <w:sz w:val="20"/>
                <w:szCs w:val="20"/>
              </w:rPr>
              <w:t>Sandra Juárez Domínguez</w:t>
            </w:r>
          </w:p>
        </w:tc>
      </w:tr>
      <w:tr w:rsidR="00E46B4D" w:rsidRPr="000202D4" w:rsidTr="00D55071">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smartTag w:uri="urn:schemas-microsoft-com:office:smarttags" w:element="place">
              <w:smartTag w:uri="urn:schemas-microsoft-com:office:smarttags" w:element="PlaceName">
                <w:r w:rsidRPr="000202D4">
                  <w:rPr>
                    <w:rFonts w:ascii="Cambria" w:hAnsi="Cambria"/>
                    <w:bCs/>
                    <w:color w:val="FFFFFF"/>
                    <w:sz w:val="19"/>
                    <w:szCs w:val="19"/>
                  </w:rPr>
                  <w:t>Respondent</w:t>
                </w:r>
              </w:smartTag>
              <w:r w:rsidRPr="000202D4">
                <w:rPr>
                  <w:rFonts w:ascii="Cambria" w:hAnsi="Cambria"/>
                  <w:bCs/>
                  <w:color w:val="FFFFFF"/>
                  <w:sz w:val="19"/>
                  <w:szCs w:val="19"/>
                </w:rPr>
                <w:t xml:space="preserve"> </w:t>
              </w:r>
              <w:smartTag w:uri="urn:schemas-microsoft-com:office:smarttags" w:element="PlaceType">
                <w:r w:rsidRPr="000202D4">
                  <w:rPr>
                    <w:rFonts w:ascii="Cambria" w:hAnsi="Cambria"/>
                    <w:bCs/>
                    <w:color w:val="FFFFFF"/>
                    <w:sz w:val="19"/>
                    <w:szCs w:val="19"/>
                  </w:rPr>
                  <w:t>State</w:t>
                </w:r>
              </w:smartTag>
            </w:smartTag>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smartTag w:uri="urn:schemas-microsoft-com:office:smarttags" w:element="place">
              <w:smartTag w:uri="urn:schemas-microsoft-com:office:smarttags" w:element="country-region">
                <w:r w:rsidRPr="000202D4">
                  <w:rPr>
                    <w:rFonts w:ascii="Cambria" w:hAnsi="Cambria"/>
                    <w:bCs/>
                    <w:sz w:val="19"/>
                    <w:szCs w:val="19"/>
                  </w:rPr>
                  <w:t>Mexico</w:t>
                </w:r>
              </w:smartTag>
            </w:smartTag>
          </w:p>
        </w:tc>
      </w:tr>
      <w:tr w:rsidR="00E46B4D" w:rsidRPr="000202D4" w:rsidTr="00D55071">
        <w:tc>
          <w:tcPr>
            <w:tcW w:w="2790" w:type="dxa"/>
            <w:tcBorders>
              <w:bottom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color w:val="FFFFFF"/>
                <w:sz w:val="19"/>
                <w:szCs w:val="19"/>
              </w:rPr>
              <w:t>Rights invoked</w:t>
            </w:r>
          </w:p>
        </w:tc>
        <w:tc>
          <w:tcPr>
            <w:tcW w:w="6570" w:type="dxa"/>
            <w:tcBorders>
              <w:bottom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0202D4">
              <w:rPr>
                <w:rFonts w:ascii="Cambria" w:hAnsi="Cambria"/>
                <w:bCs/>
                <w:sz w:val="19"/>
                <w:szCs w:val="19"/>
              </w:rPr>
              <w:t>Article 8 (fair trial), 9 (freedom from ex post facto laws), 11 (privacy), 24 (equal protection) and 25 (judicial protection) of the American Convention on Human Rights</w:t>
            </w:r>
            <w:r w:rsidRPr="000202D4">
              <w:rPr>
                <w:rStyle w:val="FootnoteReference"/>
                <w:rFonts w:ascii="Cambria" w:hAnsi="Cambria"/>
                <w:bCs/>
                <w:sz w:val="19"/>
                <w:szCs w:val="19"/>
              </w:rPr>
              <w:footnoteReference w:id="2"/>
            </w:r>
            <w:r w:rsidRPr="000202D4">
              <w:rPr>
                <w:rFonts w:ascii="Cambria" w:hAnsi="Cambria"/>
                <w:bCs/>
                <w:sz w:val="19"/>
                <w:szCs w:val="19"/>
              </w:rPr>
              <w:t xml:space="preserve"> in relation to Article 1.1 (obligation to respect rights).</w:t>
            </w:r>
          </w:p>
        </w:tc>
      </w:tr>
    </w:tbl>
    <w:p w:rsidR="00E46B4D" w:rsidRPr="000202D4" w:rsidRDefault="00E46B4D"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0202D4">
        <w:rPr>
          <w:rFonts w:ascii="Cambria" w:hAnsi="Cambria"/>
          <w:b/>
          <w:bCs/>
          <w:sz w:val="20"/>
          <w:szCs w:val="20"/>
        </w:rPr>
        <w:t>II.</w:t>
      </w:r>
      <w:r w:rsidRPr="000202D4">
        <w:rPr>
          <w:rFonts w:ascii="Cambria" w:hAnsi="Cambria"/>
          <w:b/>
          <w:bCs/>
          <w:sz w:val="20"/>
          <w:szCs w:val="20"/>
        </w:rPr>
        <w:tab/>
      </w:r>
      <w:r>
        <w:rPr>
          <w:rFonts w:ascii="Cambria" w:hAnsi="Cambria"/>
          <w:b/>
          <w:bCs/>
          <w:sz w:val="20"/>
          <w:szCs w:val="20"/>
        </w:rPr>
        <w:t>PROCEEDINGS BEFORE THE IACHR</w:t>
      </w:r>
      <w:r w:rsidRPr="000202D4">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E46B4D" w:rsidRPr="000202D4" w:rsidTr="00D55071">
        <w:tc>
          <w:tcPr>
            <w:tcW w:w="2790" w:type="dxa"/>
            <w:tcBorders>
              <w:top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bCs/>
                <w:color w:val="FFFFFF"/>
                <w:sz w:val="19"/>
                <w:szCs w:val="19"/>
              </w:rPr>
              <w:t>Date of filing</w:t>
            </w:r>
          </w:p>
        </w:tc>
        <w:tc>
          <w:tcPr>
            <w:tcW w:w="6570" w:type="dxa"/>
            <w:tcBorders>
              <w:top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 xml:space="preserve">March 25, </w:t>
            </w:r>
            <w:r w:rsidRPr="000202D4">
              <w:rPr>
                <w:rFonts w:ascii="Cambria" w:hAnsi="Cambria"/>
                <w:bCs/>
                <w:sz w:val="19"/>
                <w:szCs w:val="19"/>
              </w:rPr>
              <w:t xml:space="preserve"> 2009</w:t>
            </w:r>
          </w:p>
        </w:tc>
      </w:tr>
      <w:tr w:rsidR="00E46B4D" w:rsidRPr="000202D4" w:rsidTr="00D55071">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bCs/>
                <w:color w:val="FFFFFF"/>
                <w:sz w:val="19"/>
                <w:szCs w:val="19"/>
              </w:rPr>
              <w:t>Additional information received during the study phase</w:t>
            </w:r>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 xml:space="preserve">October 17, </w:t>
            </w:r>
            <w:r w:rsidRPr="000202D4">
              <w:rPr>
                <w:rFonts w:ascii="Cambria" w:hAnsi="Cambria"/>
                <w:bCs/>
                <w:sz w:val="19"/>
                <w:szCs w:val="19"/>
              </w:rPr>
              <w:t>2016</w:t>
            </w:r>
          </w:p>
        </w:tc>
      </w:tr>
      <w:tr w:rsidR="00E46B4D" w:rsidRPr="000202D4" w:rsidTr="00D55071">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color w:val="FFFFFF"/>
                <w:sz w:val="19"/>
                <w:szCs w:val="19"/>
              </w:rPr>
              <w:t>Notifica</w:t>
            </w:r>
            <w:r>
              <w:rPr>
                <w:rFonts w:ascii="Cambria" w:hAnsi="Cambria"/>
                <w:color w:val="FFFFFF"/>
                <w:sz w:val="19"/>
                <w:szCs w:val="19"/>
              </w:rPr>
              <w:t>tion of the petition</w:t>
            </w:r>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 xml:space="preserve">October 25, </w:t>
            </w:r>
            <w:r w:rsidRPr="000202D4">
              <w:rPr>
                <w:rFonts w:ascii="Cambria" w:hAnsi="Cambria"/>
                <w:bCs/>
                <w:sz w:val="19"/>
                <w:szCs w:val="19"/>
              </w:rPr>
              <w:t>2016</w:t>
            </w:r>
          </w:p>
        </w:tc>
      </w:tr>
      <w:tr w:rsidR="00E46B4D" w:rsidRPr="000202D4" w:rsidTr="00D55071">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color w:val="FFFFFF"/>
                <w:sz w:val="19"/>
                <w:szCs w:val="19"/>
              </w:rPr>
              <w:t>State’s first response</w:t>
            </w:r>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 xml:space="preserve">June 6, </w:t>
            </w:r>
            <w:r w:rsidRPr="000202D4">
              <w:rPr>
                <w:rFonts w:ascii="Cambria" w:hAnsi="Cambria"/>
                <w:bCs/>
                <w:sz w:val="19"/>
                <w:szCs w:val="19"/>
              </w:rPr>
              <w:t>2017</w:t>
            </w:r>
          </w:p>
        </w:tc>
      </w:tr>
      <w:tr w:rsidR="00E46B4D" w:rsidRPr="000202D4" w:rsidTr="00D55071">
        <w:tc>
          <w:tcPr>
            <w:tcW w:w="2790" w:type="dxa"/>
            <w:tcBorders>
              <w:bottom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bCs/>
                <w:color w:val="FFFFFF"/>
                <w:sz w:val="19"/>
                <w:szCs w:val="19"/>
              </w:rPr>
              <w:t>Additional observations from the petitioner</w:t>
            </w:r>
          </w:p>
        </w:tc>
        <w:tc>
          <w:tcPr>
            <w:tcW w:w="6570" w:type="dxa"/>
            <w:tcBorders>
              <w:bottom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November 29,</w:t>
            </w:r>
            <w:r w:rsidRPr="000202D4">
              <w:rPr>
                <w:rFonts w:ascii="Cambria" w:hAnsi="Cambria"/>
                <w:bCs/>
                <w:sz w:val="19"/>
                <w:szCs w:val="19"/>
              </w:rPr>
              <w:t xml:space="preserve"> 2017</w:t>
            </w:r>
          </w:p>
        </w:tc>
      </w:tr>
    </w:tbl>
    <w:p w:rsidR="00E46B4D" w:rsidRPr="000202D4" w:rsidRDefault="00E46B4D"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0202D4">
        <w:rPr>
          <w:rFonts w:ascii="Cambria" w:hAnsi="Cambria"/>
          <w:b/>
          <w:bCs/>
          <w:sz w:val="20"/>
          <w:szCs w:val="20"/>
        </w:rPr>
        <w:t xml:space="preserve">III. </w:t>
      </w:r>
      <w:r w:rsidRPr="000202D4">
        <w:rPr>
          <w:rFonts w:ascii="Cambria" w:hAnsi="Cambria"/>
          <w:b/>
          <w:bCs/>
          <w:sz w:val="20"/>
          <w:szCs w:val="20"/>
        </w:rPr>
        <w:tab/>
        <w:t>COMPETENC</w:t>
      </w:r>
      <w:r>
        <w:rPr>
          <w:rFonts w:ascii="Cambria" w:hAnsi="Cambria"/>
          <w:b/>
          <w:bCs/>
          <w:sz w:val="20"/>
          <w:szCs w:val="20"/>
        </w:rPr>
        <w:t>E</w:t>
      </w:r>
      <w:r w:rsidRPr="000202D4">
        <w:rPr>
          <w:rFonts w:ascii="Cambria" w:hAnsi="Cambria"/>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E46B4D" w:rsidRPr="000202D4" w:rsidTr="00D55071">
        <w:trPr>
          <w:cantSplit/>
        </w:trPr>
        <w:tc>
          <w:tcPr>
            <w:tcW w:w="2790" w:type="dxa"/>
            <w:tcBorders>
              <w:top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r w:rsidRPr="000202D4">
              <w:rPr>
                <w:rFonts w:ascii="Cambria" w:hAnsi="Cambria"/>
                <w:bCs/>
                <w:i/>
                <w:color w:val="FFFFFF"/>
                <w:sz w:val="19"/>
                <w:szCs w:val="19"/>
              </w:rPr>
              <w:t>Ratione personae</w:t>
            </w:r>
          </w:p>
        </w:tc>
        <w:tc>
          <w:tcPr>
            <w:tcW w:w="6570" w:type="dxa"/>
            <w:tcBorders>
              <w:top w:val="single" w:sz="4" w:space="0" w:color="auto"/>
            </w:tcBorders>
            <w:vAlign w:val="center"/>
          </w:tcPr>
          <w:p w:rsidR="00E46B4D" w:rsidRPr="000202D4" w:rsidRDefault="00E46B4D"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bCs/>
                <w:sz w:val="19"/>
                <w:szCs w:val="19"/>
              </w:rPr>
              <w:t>Yes</w:t>
            </w:r>
          </w:p>
        </w:tc>
      </w:tr>
      <w:tr w:rsidR="00E46B4D" w:rsidRPr="000202D4" w:rsidTr="00D55071">
        <w:trPr>
          <w:cantSplit/>
        </w:trPr>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i/>
                <w:color w:val="FFFFFF"/>
                <w:sz w:val="19"/>
                <w:szCs w:val="19"/>
              </w:rPr>
              <w:t>Ratione loci</w:t>
            </w:r>
          </w:p>
        </w:tc>
        <w:tc>
          <w:tcPr>
            <w:tcW w:w="6570" w:type="dxa"/>
            <w:vAlign w:val="center"/>
          </w:tcPr>
          <w:p w:rsidR="00E46B4D" w:rsidRPr="000202D4" w:rsidRDefault="00E46B4D"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bCs/>
                <w:sz w:val="19"/>
                <w:szCs w:val="19"/>
              </w:rPr>
              <w:t>Yes</w:t>
            </w:r>
          </w:p>
        </w:tc>
      </w:tr>
      <w:tr w:rsidR="00E46B4D" w:rsidRPr="000202D4" w:rsidTr="00D55071">
        <w:trPr>
          <w:cantSplit/>
        </w:trPr>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i/>
                <w:color w:val="FFFFFF"/>
                <w:sz w:val="19"/>
                <w:szCs w:val="19"/>
              </w:rPr>
              <w:t>Ratione temporis</w:t>
            </w:r>
          </w:p>
        </w:tc>
        <w:tc>
          <w:tcPr>
            <w:tcW w:w="6570" w:type="dxa"/>
            <w:vAlign w:val="center"/>
          </w:tcPr>
          <w:p w:rsidR="00E46B4D" w:rsidRPr="000202D4" w:rsidRDefault="00E46B4D"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bCs/>
                <w:sz w:val="19"/>
                <w:szCs w:val="19"/>
              </w:rPr>
              <w:t>Yes</w:t>
            </w:r>
          </w:p>
        </w:tc>
      </w:tr>
      <w:tr w:rsidR="00E46B4D" w:rsidRPr="000202D4" w:rsidTr="00D55071">
        <w:trPr>
          <w:cantSplit/>
        </w:trPr>
        <w:tc>
          <w:tcPr>
            <w:tcW w:w="2790" w:type="dxa"/>
            <w:tcBorders>
              <w:bottom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i/>
                <w:color w:val="FFFFFF"/>
                <w:sz w:val="19"/>
                <w:szCs w:val="19"/>
              </w:rPr>
              <w:t>Ratione materiae</w:t>
            </w:r>
          </w:p>
        </w:tc>
        <w:tc>
          <w:tcPr>
            <w:tcW w:w="6570" w:type="dxa"/>
            <w:tcBorders>
              <w:bottom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Yes</w:t>
            </w:r>
            <w:r w:rsidRPr="000202D4">
              <w:rPr>
                <w:rFonts w:ascii="Cambria" w:hAnsi="Cambria"/>
                <w:bCs/>
                <w:sz w:val="19"/>
                <w:szCs w:val="19"/>
              </w:rPr>
              <w:t xml:space="preserve">, </w:t>
            </w:r>
            <w:r>
              <w:rPr>
                <w:rFonts w:ascii="Cambria" w:hAnsi="Cambria"/>
                <w:bCs/>
                <w:sz w:val="19"/>
                <w:szCs w:val="19"/>
              </w:rPr>
              <w:t xml:space="preserve">American Convention on Human Rights (deposit of instrument of ratification on March 24, </w:t>
            </w:r>
            <w:r w:rsidRPr="000202D4">
              <w:rPr>
                <w:rFonts w:ascii="Cambria" w:hAnsi="Cambria"/>
                <w:bCs/>
                <w:sz w:val="19"/>
                <w:szCs w:val="19"/>
              </w:rPr>
              <w:t>1981)</w:t>
            </w:r>
          </w:p>
        </w:tc>
      </w:tr>
    </w:tbl>
    <w:p w:rsidR="00E46B4D" w:rsidRPr="000202D4" w:rsidRDefault="00E46B4D"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rPr>
      </w:pPr>
      <w:r w:rsidRPr="000202D4">
        <w:rPr>
          <w:rFonts w:ascii="Cambria" w:hAnsi="Cambria"/>
          <w:b/>
          <w:bCs/>
          <w:sz w:val="20"/>
          <w:szCs w:val="20"/>
        </w:rPr>
        <w:t xml:space="preserve">IV. </w:t>
      </w:r>
      <w:r w:rsidRPr="000202D4">
        <w:rPr>
          <w:rFonts w:ascii="Cambria" w:hAnsi="Cambria"/>
          <w:b/>
          <w:bCs/>
          <w:sz w:val="20"/>
          <w:szCs w:val="20"/>
        </w:rPr>
        <w:tab/>
      </w:r>
      <w:r w:rsidRPr="003A5566">
        <w:rPr>
          <w:rFonts w:ascii="Cambria" w:hAnsi="Cambria"/>
          <w:b/>
          <w:bCs/>
          <w:sz w:val="19"/>
          <w:szCs w:val="19"/>
        </w:rPr>
        <w:t xml:space="preserve">DUPLICATION OF PROCEDURES AND INTERNATIONAL </w:t>
      </w:r>
      <w:r w:rsidRPr="003A5566">
        <w:rPr>
          <w:rFonts w:ascii="Cambria" w:hAnsi="Cambria"/>
          <w:b/>
          <w:bCs/>
          <w:i/>
          <w:sz w:val="19"/>
          <w:szCs w:val="19"/>
        </w:rPr>
        <w:t>RES JUDICATA</w:t>
      </w:r>
      <w:r w:rsidRPr="003A5566">
        <w:rPr>
          <w:rFonts w:ascii="Cambria" w:hAnsi="Cambria"/>
          <w:b/>
          <w:bCs/>
          <w:sz w:val="19"/>
          <w:szCs w:val="19"/>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E46B4D" w:rsidRPr="000202D4" w:rsidTr="00D55071">
        <w:trPr>
          <w:cantSplit/>
        </w:trPr>
        <w:tc>
          <w:tcPr>
            <w:tcW w:w="2790" w:type="dxa"/>
            <w:tcBorders>
              <w:top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0202D4">
              <w:rPr>
                <w:rFonts w:ascii="Cambria" w:hAnsi="Cambria"/>
                <w:bCs/>
                <w:color w:val="FFFFFF"/>
                <w:sz w:val="19"/>
                <w:szCs w:val="19"/>
              </w:rPr>
              <w:t>Duplica</w:t>
            </w:r>
            <w:r>
              <w:rPr>
                <w:rFonts w:ascii="Cambria" w:hAnsi="Cambria"/>
                <w:bCs/>
                <w:color w:val="FFFFFF"/>
                <w:sz w:val="19"/>
                <w:szCs w:val="19"/>
              </w:rPr>
              <w:t xml:space="preserve">tion of procedures and international </w:t>
            </w:r>
            <w:r>
              <w:rPr>
                <w:rFonts w:ascii="Cambria" w:hAnsi="Cambria"/>
                <w:bCs/>
                <w:i/>
                <w:iCs/>
                <w:color w:val="FFFFFF"/>
                <w:sz w:val="19"/>
                <w:szCs w:val="19"/>
              </w:rPr>
              <w:t>res judicata</w:t>
            </w:r>
          </w:p>
        </w:tc>
        <w:tc>
          <w:tcPr>
            <w:tcW w:w="6570" w:type="dxa"/>
            <w:tcBorders>
              <w:top w:val="single" w:sz="4" w:space="0" w:color="auto"/>
            </w:tcBorders>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0202D4">
              <w:rPr>
                <w:rFonts w:ascii="Cambria" w:hAnsi="Cambria"/>
                <w:bCs/>
                <w:sz w:val="19"/>
                <w:szCs w:val="19"/>
              </w:rPr>
              <w:t>No</w:t>
            </w:r>
          </w:p>
        </w:tc>
      </w:tr>
      <w:tr w:rsidR="00E46B4D" w:rsidRPr="000202D4" w:rsidTr="00D55071">
        <w:trPr>
          <w:cantSplit/>
        </w:trPr>
        <w:tc>
          <w:tcPr>
            <w:tcW w:w="2790" w:type="dxa"/>
            <w:tcBorders>
              <w:top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r>
              <w:rPr>
                <w:rFonts w:ascii="Cambria" w:hAnsi="Cambria"/>
                <w:bCs/>
                <w:color w:val="FFFFFF"/>
                <w:sz w:val="19"/>
                <w:szCs w:val="19"/>
              </w:rPr>
              <w:t>Rights declared admissible</w:t>
            </w:r>
          </w:p>
        </w:tc>
        <w:tc>
          <w:tcPr>
            <w:tcW w:w="6570" w:type="dxa"/>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rFonts w:ascii="Cambria" w:hAnsi="Cambria"/>
                <w:bCs/>
                <w:sz w:val="19"/>
                <w:szCs w:val="19"/>
              </w:rPr>
              <w:t>Article</w:t>
            </w:r>
            <w:r w:rsidRPr="000202D4">
              <w:rPr>
                <w:rFonts w:ascii="Cambria" w:hAnsi="Cambria"/>
                <w:bCs/>
                <w:sz w:val="19"/>
                <w:szCs w:val="19"/>
              </w:rPr>
              <w:t xml:space="preserve"> 8 (</w:t>
            </w:r>
            <w:r>
              <w:rPr>
                <w:rFonts w:ascii="Cambria" w:hAnsi="Cambria"/>
                <w:bCs/>
                <w:sz w:val="19"/>
                <w:szCs w:val="19"/>
              </w:rPr>
              <w:t>fair trial</w:t>
            </w:r>
            <w:r w:rsidRPr="000202D4">
              <w:rPr>
                <w:rFonts w:ascii="Cambria" w:hAnsi="Cambria"/>
                <w:bCs/>
                <w:sz w:val="19"/>
                <w:szCs w:val="19"/>
              </w:rPr>
              <w:t>), 9 (</w:t>
            </w:r>
            <w:r>
              <w:rPr>
                <w:rFonts w:ascii="Cambria" w:hAnsi="Cambria"/>
                <w:bCs/>
                <w:sz w:val="19"/>
                <w:szCs w:val="19"/>
              </w:rPr>
              <w:t>freedom from ex post facto laws</w:t>
            </w:r>
            <w:r w:rsidRPr="000202D4">
              <w:rPr>
                <w:rFonts w:ascii="Cambria" w:hAnsi="Cambria"/>
                <w:bCs/>
                <w:sz w:val="19"/>
                <w:szCs w:val="19"/>
              </w:rPr>
              <w:t>), 21 (</w:t>
            </w:r>
            <w:r>
              <w:rPr>
                <w:rFonts w:ascii="Cambria" w:hAnsi="Cambria"/>
                <w:bCs/>
                <w:sz w:val="19"/>
                <w:szCs w:val="19"/>
              </w:rPr>
              <w:t>right to property</w:t>
            </w:r>
            <w:r w:rsidRPr="000202D4">
              <w:rPr>
                <w:rFonts w:ascii="Cambria" w:hAnsi="Cambria"/>
                <w:bCs/>
                <w:sz w:val="19"/>
                <w:szCs w:val="19"/>
              </w:rPr>
              <w:t>), 23 (</w:t>
            </w:r>
            <w:r>
              <w:rPr>
                <w:rFonts w:ascii="Cambria" w:hAnsi="Cambria"/>
                <w:bCs/>
                <w:sz w:val="19"/>
                <w:szCs w:val="19"/>
              </w:rPr>
              <w:t>right to participate in government</w:t>
            </w:r>
            <w:r w:rsidRPr="000202D4">
              <w:rPr>
                <w:rFonts w:ascii="Cambria" w:hAnsi="Cambria"/>
                <w:bCs/>
                <w:sz w:val="19"/>
                <w:szCs w:val="19"/>
              </w:rPr>
              <w:t>), 24 (</w:t>
            </w:r>
            <w:r>
              <w:rPr>
                <w:rFonts w:ascii="Cambria" w:hAnsi="Cambria"/>
                <w:bCs/>
                <w:sz w:val="19"/>
                <w:szCs w:val="19"/>
              </w:rPr>
              <w:t>equal protection</w:t>
            </w:r>
            <w:r w:rsidRPr="000202D4">
              <w:rPr>
                <w:rFonts w:ascii="Cambria" w:hAnsi="Cambria"/>
                <w:bCs/>
                <w:sz w:val="19"/>
                <w:szCs w:val="19"/>
              </w:rPr>
              <w:t>), 25 (</w:t>
            </w:r>
            <w:r>
              <w:rPr>
                <w:rFonts w:ascii="Cambria" w:hAnsi="Cambria"/>
                <w:bCs/>
                <w:sz w:val="19"/>
                <w:szCs w:val="19"/>
              </w:rPr>
              <w:t>judicial protection</w:t>
            </w:r>
            <w:r w:rsidRPr="000202D4">
              <w:rPr>
                <w:rFonts w:ascii="Cambria" w:hAnsi="Cambria"/>
                <w:bCs/>
                <w:sz w:val="19"/>
                <w:szCs w:val="19"/>
              </w:rPr>
              <w:t xml:space="preserve">) </w:t>
            </w:r>
            <w:r>
              <w:rPr>
                <w:rFonts w:ascii="Cambria" w:hAnsi="Cambria"/>
                <w:bCs/>
                <w:sz w:val="19"/>
                <w:szCs w:val="19"/>
              </w:rPr>
              <w:t>and</w:t>
            </w:r>
            <w:r w:rsidRPr="000202D4">
              <w:rPr>
                <w:rFonts w:ascii="Cambria" w:hAnsi="Cambria"/>
                <w:bCs/>
                <w:sz w:val="19"/>
                <w:szCs w:val="19"/>
              </w:rPr>
              <w:t xml:space="preserve"> </w:t>
            </w:r>
            <w:r w:rsidRPr="00296832">
              <w:rPr>
                <w:rFonts w:ascii="Cambria" w:hAnsi="Cambria"/>
                <w:bCs/>
                <w:sz w:val="19"/>
                <w:szCs w:val="19"/>
              </w:rPr>
              <w:t>26 (economic, social, and cultural rights) of the American Convention</w:t>
            </w:r>
            <w:r w:rsidRPr="000202D4">
              <w:rPr>
                <w:rFonts w:ascii="Cambria" w:hAnsi="Cambria"/>
                <w:bCs/>
                <w:sz w:val="19"/>
                <w:szCs w:val="19"/>
              </w:rPr>
              <w:t xml:space="preserve"> </w:t>
            </w:r>
            <w:r>
              <w:rPr>
                <w:rFonts w:ascii="Cambria" w:hAnsi="Cambria"/>
                <w:bCs/>
                <w:sz w:val="19"/>
                <w:szCs w:val="19"/>
              </w:rPr>
              <w:t>in relation to Articles</w:t>
            </w:r>
            <w:r w:rsidRPr="000202D4">
              <w:rPr>
                <w:rFonts w:ascii="Cambria" w:hAnsi="Cambria"/>
                <w:bCs/>
                <w:sz w:val="19"/>
                <w:szCs w:val="19"/>
              </w:rPr>
              <w:t xml:space="preserve"> 1.1 (obliga</w:t>
            </w:r>
            <w:r>
              <w:rPr>
                <w:rFonts w:ascii="Cambria" w:hAnsi="Cambria"/>
                <w:bCs/>
                <w:sz w:val="19"/>
                <w:szCs w:val="19"/>
              </w:rPr>
              <w:t>tion to respect rights</w:t>
            </w:r>
            <w:r w:rsidRPr="000202D4">
              <w:rPr>
                <w:rFonts w:ascii="Cambria" w:hAnsi="Cambria"/>
                <w:bCs/>
                <w:sz w:val="19"/>
                <w:szCs w:val="19"/>
              </w:rPr>
              <w:t xml:space="preserve">) </w:t>
            </w:r>
            <w:r>
              <w:rPr>
                <w:rFonts w:ascii="Cambria" w:hAnsi="Cambria"/>
                <w:bCs/>
                <w:sz w:val="19"/>
                <w:szCs w:val="19"/>
              </w:rPr>
              <w:t>and</w:t>
            </w:r>
            <w:r w:rsidRPr="000202D4">
              <w:rPr>
                <w:rFonts w:ascii="Cambria" w:hAnsi="Cambria"/>
                <w:bCs/>
                <w:sz w:val="19"/>
                <w:szCs w:val="19"/>
              </w:rPr>
              <w:t xml:space="preserve"> 2 (</w:t>
            </w:r>
            <w:r>
              <w:rPr>
                <w:rFonts w:ascii="Cambria" w:hAnsi="Cambria"/>
                <w:bCs/>
                <w:sz w:val="19"/>
                <w:szCs w:val="19"/>
              </w:rPr>
              <w:t>domestic legal effects</w:t>
            </w:r>
            <w:r w:rsidRPr="000202D4">
              <w:rPr>
                <w:rFonts w:ascii="Cambria" w:hAnsi="Cambria"/>
                <w:bCs/>
                <w:sz w:val="19"/>
                <w:szCs w:val="19"/>
              </w:rPr>
              <w:t>)</w:t>
            </w:r>
            <w:r>
              <w:rPr>
                <w:rFonts w:ascii="Cambria" w:hAnsi="Cambria"/>
                <w:bCs/>
                <w:sz w:val="19"/>
                <w:szCs w:val="19"/>
              </w:rPr>
              <w:t>.</w:t>
            </w:r>
            <w:r w:rsidRPr="000202D4">
              <w:rPr>
                <w:rFonts w:ascii="Cambria" w:hAnsi="Cambria"/>
                <w:bCs/>
                <w:sz w:val="19"/>
                <w:szCs w:val="19"/>
              </w:rPr>
              <w:t xml:space="preserve">  </w:t>
            </w:r>
          </w:p>
        </w:tc>
      </w:tr>
      <w:tr w:rsidR="00E46B4D" w:rsidRPr="000202D4" w:rsidTr="00D55071">
        <w:trPr>
          <w:cantSplit/>
        </w:trPr>
        <w:tc>
          <w:tcPr>
            <w:tcW w:w="2790" w:type="dxa"/>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bCs/>
                <w:color w:val="FFFFFF"/>
                <w:sz w:val="19"/>
                <w:szCs w:val="19"/>
              </w:rPr>
              <w:t xml:space="preserve">Exhaustion of domestic remedies or </w:t>
            </w:r>
            <w:r w:rsidRPr="000202D4">
              <w:rPr>
                <w:rFonts w:ascii="Cambria" w:hAnsi="Cambria"/>
                <w:bCs/>
                <w:color w:val="FFFFFF"/>
                <w:sz w:val="19"/>
                <w:szCs w:val="19"/>
              </w:rPr>
              <w:t xml:space="preserve"> </w:t>
            </w:r>
            <w:r>
              <w:rPr>
                <w:rFonts w:ascii="Cambria" w:hAnsi="Cambria"/>
                <w:bCs/>
                <w:color w:val="FFFFFF"/>
                <w:sz w:val="19"/>
                <w:szCs w:val="19"/>
              </w:rPr>
              <w:t>applicability of an exception to the rule</w:t>
            </w:r>
          </w:p>
        </w:tc>
        <w:tc>
          <w:tcPr>
            <w:tcW w:w="6570" w:type="dxa"/>
            <w:vAlign w:val="center"/>
          </w:tcPr>
          <w:p w:rsidR="00E46B4D" w:rsidRPr="000202D4" w:rsidRDefault="00E46B4D" w:rsidP="004262B7">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Pr>
                <w:rFonts w:ascii="Cambria" w:hAnsi="Cambria"/>
                <w:bCs/>
                <w:sz w:val="19"/>
                <w:szCs w:val="19"/>
              </w:rPr>
              <w:t xml:space="preserve">Yes, May 23, </w:t>
            </w:r>
            <w:r w:rsidRPr="000202D4">
              <w:rPr>
                <w:rFonts w:ascii="Cambria" w:hAnsi="Cambria"/>
                <w:bCs/>
                <w:sz w:val="19"/>
                <w:szCs w:val="19"/>
              </w:rPr>
              <w:t>2012</w:t>
            </w:r>
          </w:p>
        </w:tc>
      </w:tr>
      <w:tr w:rsidR="00E46B4D" w:rsidRPr="000202D4" w:rsidTr="00D55071">
        <w:trPr>
          <w:cantSplit/>
        </w:trPr>
        <w:tc>
          <w:tcPr>
            <w:tcW w:w="2790" w:type="dxa"/>
            <w:tcBorders>
              <w:bottom w:val="single" w:sz="4" w:space="0" w:color="auto"/>
            </w:tcBorders>
            <w:shd w:val="clear" w:color="auto" w:fill="67AE3C"/>
            <w:vAlign w:val="center"/>
          </w:tcPr>
          <w:p w:rsidR="00E46B4D" w:rsidRPr="000202D4" w:rsidRDefault="00E46B4D"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Pr>
                <w:rFonts w:ascii="Cambria" w:hAnsi="Cambria"/>
                <w:bCs/>
                <w:color w:val="FFFFFF"/>
                <w:sz w:val="19"/>
                <w:szCs w:val="19"/>
              </w:rPr>
              <w:t>Timeliness of the petition</w:t>
            </w:r>
          </w:p>
        </w:tc>
        <w:tc>
          <w:tcPr>
            <w:tcW w:w="6570" w:type="dxa"/>
            <w:tcBorders>
              <w:bottom w:val="single" w:sz="4" w:space="0" w:color="auto"/>
            </w:tcBorders>
            <w:vAlign w:val="center"/>
          </w:tcPr>
          <w:p w:rsidR="00E46B4D" w:rsidRPr="000202D4" w:rsidRDefault="00E46B4D" w:rsidP="004262B7">
            <w:pPr>
              <w:pBdr>
                <w:top w:val="none" w:sz="0" w:space="0" w:color="auto"/>
                <w:left w:val="none" w:sz="0" w:space="0" w:color="auto"/>
                <w:bottom w:val="none" w:sz="0" w:space="0" w:color="auto"/>
                <w:right w:val="none" w:sz="0" w:space="0" w:color="auto"/>
                <w:bar w:val="none" w:sz="0" w:color="auto"/>
              </w:pBdr>
              <w:rPr>
                <w:rFonts w:ascii="Cambria" w:hAnsi="Cambria"/>
                <w:bCs/>
                <w:sz w:val="16"/>
                <w:szCs w:val="16"/>
              </w:rPr>
            </w:pPr>
            <w:r>
              <w:rPr>
                <w:rFonts w:ascii="Cambria" w:hAnsi="Cambria"/>
                <w:bCs/>
                <w:sz w:val="19"/>
                <w:szCs w:val="19"/>
              </w:rPr>
              <w:t>Yes, March 25, 2009</w:t>
            </w:r>
          </w:p>
        </w:tc>
      </w:tr>
    </w:tbl>
    <w:p w:rsidR="00E46B4D" w:rsidRPr="000202D4" w:rsidRDefault="00E46B4D"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rPr>
      </w:pPr>
      <w:r w:rsidRPr="000202D4">
        <w:rPr>
          <w:rFonts w:ascii="Cambria" w:hAnsi="Cambria"/>
          <w:b/>
          <w:sz w:val="20"/>
          <w:szCs w:val="20"/>
        </w:rPr>
        <w:t xml:space="preserve">V. </w:t>
      </w:r>
      <w:r w:rsidRPr="000202D4">
        <w:rPr>
          <w:rFonts w:ascii="Cambria" w:hAnsi="Cambria"/>
          <w:b/>
          <w:sz w:val="20"/>
          <w:szCs w:val="20"/>
        </w:rPr>
        <w:tab/>
      </w:r>
      <w:r>
        <w:rPr>
          <w:rFonts w:ascii="Cambria" w:hAnsi="Cambria"/>
          <w:b/>
          <w:sz w:val="20"/>
          <w:szCs w:val="20"/>
        </w:rPr>
        <w:t>SUMMARY OF ALLEGED FACTS</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0202D4">
        <w:rPr>
          <w:rFonts w:ascii="Cambria" w:hAnsi="Cambria"/>
          <w:sz w:val="20"/>
          <w:szCs w:val="20"/>
        </w:rPr>
        <w:t>Sandra Juárez Domínguez (</w:t>
      </w:r>
      <w:r>
        <w:rPr>
          <w:rFonts w:ascii="Cambria" w:hAnsi="Cambria"/>
          <w:sz w:val="20"/>
          <w:szCs w:val="20"/>
        </w:rPr>
        <w:t>hereinafter “the petitioner”</w:t>
      </w:r>
      <w:r w:rsidRPr="000202D4">
        <w:rPr>
          <w:rFonts w:ascii="Cambria" w:hAnsi="Cambria"/>
          <w:sz w:val="20"/>
          <w:szCs w:val="20"/>
        </w:rPr>
        <w:t xml:space="preserve">) </w:t>
      </w:r>
      <w:r>
        <w:rPr>
          <w:rFonts w:ascii="Cambria" w:hAnsi="Cambria"/>
          <w:sz w:val="20"/>
          <w:szCs w:val="20"/>
        </w:rPr>
        <w:t xml:space="preserve">reports alleged violations of her human rights, alleging that she was removed from the position of Magistrate of the Superior Court of Justice of the State of </w:t>
      </w:r>
      <w:r w:rsidRPr="000202D4">
        <w:rPr>
          <w:rFonts w:ascii="Cambria" w:hAnsi="Cambria"/>
          <w:sz w:val="20"/>
          <w:szCs w:val="20"/>
        </w:rPr>
        <w:t xml:space="preserve">Tlaxcala </w:t>
      </w:r>
      <w:r>
        <w:rPr>
          <w:rFonts w:ascii="Cambria" w:hAnsi="Cambria"/>
          <w:sz w:val="20"/>
          <w:szCs w:val="20"/>
        </w:rPr>
        <w:t xml:space="preserve">through a process not previously established, despite her having met the conditions for her tacit confirmation in the position. She also reports that in the process political evaluations were made of which she was not notified so she could participate in the judicial proceedings affecting her, that the rules governing the evaluation process against her were not adhered to, and that an </w:t>
      </w:r>
      <w:r w:rsidRPr="003E00DD">
        <w:rPr>
          <w:rFonts w:ascii="Cambria" w:hAnsi="Cambria"/>
          <w:i/>
          <w:iCs/>
          <w:sz w:val="20"/>
          <w:szCs w:val="20"/>
        </w:rPr>
        <w:t>amparo</w:t>
      </w:r>
      <w:r>
        <w:rPr>
          <w:rFonts w:ascii="Cambria" w:hAnsi="Cambria"/>
          <w:sz w:val="20"/>
          <w:szCs w:val="20"/>
        </w:rPr>
        <w:t xml:space="preserve"> appeal (seeking protection of constitutional rights) she filed was not resolved within a reasonable period of time</w:t>
      </w:r>
      <w:r w:rsidRPr="000202D4">
        <w:rPr>
          <w:rFonts w:ascii="Cambria" w:hAnsi="Cambria"/>
          <w:sz w:val="20"/>
          <w:szCs w:val="20"/>
        </w:rPr>
        <w:t>.</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petitioner reports that on January 31, </w:t>
      </w:r>
      <w:r w:rsidRPr="000202D4">
        <w:rPr>
          <w:rFonts w:ascii="Cambria" w:hAnsi="Cambria"/>
          <w:sz w:val="20"/>
          <w:szCs w:val="20"/>
        </w:rPr>
        <w:t xml:space="preserve">1999 </w:t>
      </w:r>
      <w:r>
        <w:rPr>
          <w:rFonts w:ascii="Cambria" w:hAnsi="Cambria"/>
          <w:sz w:val="20"/>
          <w:szCs w:val="20"/>
        </w:rPr>
        <w:t xml:space="preserve">she was appointed Magistrate of the Superior Court of Justice of the State of </w:t>
      </w:r>
      <w:smartTag w:uri="urn:schemas-microsoft-com:office:smarttags" w:element="State">
        <w:r w:rsidRPr="000202D4">
          <w:rPr>
            <w:rFonts w:ascii="Cambria" w:hAnsi="Cambria"/>
            <w:sz w:val="20"/>
            <w:szCs w:val="20"/>
          </w:rPr>
          <w:t>Tlaxcala</w:t>
        </w:r>
      </w:smartTag>
      <w:r w:rsidRPr="000202D4">
        <w:rPr>
          <w:rFonts w:ascii="Cambria" w:hAnsi="Cambria"/>
          <w:sz w:val="20"/>
          <w:szCs w:val="20"/>
        </w:rPr>
        <w:t xml:space="preserve"> </w:t>
      </w:r>
      <w:r>
        <w:rPr>
          <w:rFonts w:ascii="Cambria" w:hAnsi="Cambria"/>
          <w:sz w:val="20"/>
          <w:szCs w:val="20"/>
        </w:rPr>
        <w:t xml:space="preserve">for a period that ended on January 31, </w:t>
      </w:r>
      <w:r w:rsidRPr="000202D4">
        <w:rPr>
          <w:rFonts w:ascii="Cambria" w:hAnsi="Cambria"/>
          <w:sz w:val="20"/>
          <w:szCs w:val="20"/>
        </w:rPr>
        <w:t xml:space="preserve">2005. </w:t>
      </w:r>
      <w:r>
        <w:rPr>
          <w:rFonts w:ascii="Cambria" w:hAnsi="Cambria"/>
          <w:sz w:val="20"/>
          <w:szCs w:val="20"/>
        </w:rPr>
        <w:t xml:space="preserve">She states that Article 116 of the Mexican Constitution was amended in </w:t>
      </w:r>
      <w:smartTag w:uri="urn:schemas-microsoft-com:office:smarttags" w:element="State">
        <w:r w:rsidRPr="000202D4">
          <w:rPr>
            <w:rFonts w:ascii="Cambria" w:hAnsi="Cambria"/>
            <w:sz w:val="20"/>
            <w:szCs w:val="20"/>
          </w:rPr>
          <w:t xml:space="preserve">1987 </w:t>
        </w:r>
        <w:r>
          <w:rPr>
            <w:rFonts w:ascii="Cambria" w:hAnsi="Cambria"/>
            <w:sz w:val="20"/>
            <w:szCs w:val="20"/>
          </w:rPr>
          <w:t>in</w:t>
        </w:r>
      </w:smartTag>
      <w:r>
        <w:rPr>
          <w:rFonts w:ascii="Cambria" w:hAnsi="Cambria"/>
          <w:sz w:val="20"/>
          <w:szCs w:val="20"/>
        </w:rPr>
        <w:t xml:space="preserve"> order to promote judicial independence, establishing in paragraph III of the article that “Magistrates shall remain in their position for the time indicated by local constitutions and may be reelected to that position and, if so, may only be deprived of their positions under the </w:t>
      </w:r>
      <w:r>
        <w:rPr>
          <w:rFonts w:ascii="Cambria" w:hAnsi="Cambria"/>
          <w:sz w:val="20"/>
          <w:szCs w:val="20"/>
        </w:rPr>
        <w:lastRenderedPageBreak/>
        <w:t>terms determined by the constitutions and laws on the responsibilities of public servants.</w:t>
      </w:r>
      <w:r w:rsidRPr="000202D4">
        <w:rPr>
          <w:rFonts w:ascii="Cambria" w:hAnsi="Cambria"/>
          <w:sz w:val="20"/>
          <w:szCs w:val="20"/>
        </w:rPr>
        <w:t>…”</w:t>
      </w:r>
      <w:r>
        <w:rPr>
          <w:rFonts w:ascii="Cambria" w:hAnsi="Cambria"/>
          <w:sz w:val="20"/>
          <w:szCs w:val="20"/>
        </w:rPr>
        <w:t xml:space="preserve"> She alleges that it was not until </w:t>
      </w:r>
      <w:r w:rsidRPr="000202D4">
        <w:rPr>
          <w:rFonts w:ascii="Cambria" w:hAnsi="Cambria"/>
          <w:sz w:val="20"/>
          <w:szCs w:val="20"/>
        </w:rPr>
        <w:t xml:space="preserve">2008 </w:t>
      </w:r>
      <w:r>
        <w:rPr>
          <w:rFonts w:ascii="Cambria" w:hAnsi="Cambria"/>
          <w:sz w:val="20"/>
          <w:szCs w:val="20"/>
        </w:rPr>
        <w:t xml:space="preserve">that the State of </w:t>
      </w:r>
      <w:smartTag w:uri="urn:schemas-microsoft-com:office:smarttags" w:element="State">
        <w:r w:rsidRPr="000202D4">
          <w:rPr>
            <w:rFonts w:ascii="Cambria" w:hAnsi="Cambria"/>
            <w:sz w:val="20"/>
            <w:szCs w:val="20"/>
          </w:rPr>
          <w:t>Tlaxcala</w:t>
        </w:r>
      </w:smartTag>
      <w:r>
        <w:rPr>
          <w:rFonts w:ascii="Cambria" w:hAnsi="Cambria"/>
          <w:sz w:val="20"/>
          <w:szCs w:val="20"/>
        </w:rPr>
        <w:t xml:space="preserve"> complied with its obligation to adapt its regulations to the mandate of the constitutional reform of </w:t>
      </w:r>
      <w:r w:rsidRPr="000202D4">
        <w:rPr>
          <w:rFonts w:ascii="Cambria" w:hAnsi="Cambria"/>
          <w:sz w:val="20"/>
          <w:szCs w:val="20"/>
        </w:rPr>
        <w:t xml:space="preserve">1987. </w:t>
      </w:r>
      <w:r>
        <w:rPr>
          <w:rFonts w:ascii="Cambria" w:hAnsi="Cambria"/>
          <w:sz w:val="20"/>
          <w:szCs w:val="20"/>
        </w:rPr>
        <w:t>For this reason, upon the completion of the period of her appointment in</w:t>
      </w:r>
      <w:r w:rsidRPr="000202D4">
        <w:rPr>
          <w:rFonts w:ascii="Cambria" w:hAnsi="Cambria"/>
          <w:sz w:val="20"/>
          <w:szCs w:val="20"/>
        </w:rPr>
        <w:t xml:space="preserve"> 2005</w:t>
      </w:r>
      <w:r>
        <w:rPr>
          <w:rFonts w:ascii="Cambria" w:hAnsi="Cambria"/>
          <w:sz w:val="20"/>
          <w:szCs w:val="20"/>
        </w:rPr>
        <w:t xml:space="preserve">, </w:t>
      </w:r>
      <w:r w:rsidRPr="000202D4">
        <w:rPr>
          <w:rFonts w:ascii="Cambria" w:hAnsi="Cambria"/>
          <w:sz w:val="20"/>
          <w:szCs w:val="20"/>
        </w:rPr>
        <w:t xml:space="preserve">Tlaxcala </w:t>
      </w:r>
      <w:r>
        <w:rPr>
          <w:rFonts w:ascii="Cambria" w:hAnsi="Cambria"/>
          <w:sz w:val="20"/>
          <w:szCs w:val="20"/>
        </w:rPr>
        <w:t>had no established procedure for the evaluation and confirmation of magistrates</w:t>
      </w:r>
      <w:r w:rsidRPr="000202D4">
        <w:rPr>
          <w:rFonts w:ascii="Cambria" w:hAnsi="Cambria"/>
          <w:sz w:val="20"/>
          <w:szCs w:val="20"/>
        </w:rPr>
        <w:t xml:space="preserve">. </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0202D4">
        <w:rPr>
          <w:rFonts w:ascii="Cambria" w:hAnsi="Cambria"/>
          <w:sz w:val="20"/>
          <w:szCs w:val="20"/>
        </w:rPr>
        <w:t xml:space="preserve"> </w:t>
      </w:r>
      <w:r>
        <w:rPr>
          <w:rFonts w:ascii="Cambria" w:hAnsi="Cambria"/>
          <w:sz w:val="20"/>
          <w:szCs w:val="20"/>
        </w:rPr>
        <w:t>She states that, while she was carrying out her position, the representatives of the Congress of the State of</w:t>
      </w:r>
      <w:r w:rsidRPr="000202D4">
        <w:rPr>
          <w:rFonts w:ascii="Cambria" w:hAnsi="Cambria"/>
          <w:sz w:val="20"/>
          <w:szCs w:val="20"/>
        </w:rPr>
        <w:t xml:space="preserve"> Tlaxcala </w:t>
      </w:r>
      <w:r>
        <w:rPr>
          <w:rFonts w:ascii="Cambria" w:hAnsi="Cambria"/>
          <w:sz w:val="20"/>
          <w:szCs w:val="20"/>
        </w:rPr>
        <w:t xml:space="preserve">conducted a surprise evaluation of the people who were holding magistrate positions, which was later invalidated by the Supreme Court of Justice of the Nation when it resolved a constitutional dispute filed by the Superior Court of Justice of the State of </w:t>
      </w:r>
      <w:r w:rsidRPr="000202D4">
        <w:rPr>
          <w:rFonts w:ascii="Cambria" w:hAnsi="Cambria"/>
          <w:sz w:val="20"/>
          <w:szCs w:val="20"/>
        </w:rPr>
        <w:t xml:space="preserve">Tlaxcala. </w:t>
      </w:r>
      <w:r>
        <w:rPr>
          <w:rFonts w:ascii="Cambria" w:hAnsi="Cambria"/>
          <w:sz w:val="20"/>
          <w:szCs w:val="20"/>
        </w:rPr>
        <w:t>She reports that she was neither informed of or called upon to participate in this process despite the fact that it affected her rights. She maintains that, given that there was no valid evaluation of her performance at the time the period of her appointment concluded,</w:t>
      </w:r>
      <w:r w:rsidRPr="000202D4">
        <w:rPr>
          <w:rFonts w:ascii="Cambria" w:hAnsi="Cambria"/>
          <w:sz w:val="20"/>
          <w:szCs w:val="20"/>
        </w:rPr>
        <w:t xml:space="preserve"> </w:t>
      </w:r>
      <w:r>
        <w:rPr>
          <w:rFonts w:ascii="Cambria" w:hAnsi="Cambria"/>
          <w:sz w:val="20"/>
          <w:szCs w:val="20"/>
        </w:rPr>
        <w:t>what was appropriate according to the jurisprudence of the Supreme Court of Justice of the Nation was that she be tacitly confirmed.</w:t>
      </w:r>
      <w:r w:rsidRPr="000202D4">
        <w:rPr>
          <w:rStyle w:val="FootnoteReference"/>
          <w:rFonts w:ascii="Cambria" w:hAnsi="Cambria"/>
          <w:sz w:val="20"/>
          <w:szCs w:val="20"/>
        </w:rPr>
        <w:footnoteReference w:id="4"/>
      </w:r>
      <w:r w:rsidRPr="000202D4">
        <w:rPr>
          <w:rFonts w:ascii="Cambria" w:hAnsi="Cambria"/>
          <w:sz w:val="20"/>
          <w:szCs w:val="20"/>
        </w:rPr>
        <w:t xml:space="preserve"> </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She states that on April 26, </w:t>
      </w:r>
      <w:r w:rsidRPr="000202D4">
        <w:rPr>
          <w:rFonts w:ascii="Cambria" w:hAnsi="Cambria"/>
          <w:sz w:val="20"/>
          <w:szCs w:val="20"/>
        </w:rPr>
        <w:t xml:space="preserve">2006 </w:t>
      </w:r>
      <w:r>
        <w:rPr>
          <w:rFonts w:ascii="Cambria" w:hAnsi="Cambria"/>
          <w:sz w:val="20"/>
          <w:szCs w:val="20"/>
        </w:rPr>
        <w:t xml:space="preserve">the Congress of </w:t>
      </w:r>
      <w:r w:rsidRPr="000202D4">
        <w:rPr>
          <w:rFonts w:ascii="Cambria" w:hAnsi="Cambria"/>
          <w:sz w:val="20"/>
          <w:szCs w:val="20"/>
        </w:rPr>
        <w:t xml:space="preserve">Tlaxcala </w:t>
      </w:r>
      <w:r>
        <w:rPr>
          <w:rFonts w:ascii="Cambria" w:hAnsi="Cambria"/>
          <w:sz w:val="20"/>
          <w:szCs w:val="20"/>
        </w:rPr>
        <w:t>issued an agreement approving “the procedure for evaluating Completed Term Magistrates,” the validity of which was confirmed by the Supreme Court of Justice of the Nation in a proceeding in which she did not participate. Later, on March 24,</w:t>
      </w:r>
      <w:r w:rsidRPr="000202D4">
        <w:rPr>
          <w:rFonts w:ascii="Cambria" w:hAnsi="Cambria"/>
          <w:sz w:val="20"/>
          <w:szCs w:val="20"/>
        </w:rPr>
        <w:t xml:space="preserve"> 2007</w:t>
      </w:r>
      <w:r>
        <w:rPr>
          <w:rFonts w:ascii="Cambria" w:hAnsi="Cambria"/>
          <w:sz w:val="20"/>
          <w:szCs w:val="20"/>
        </w:rPr>
        <w:t xml:space="preserve">, the Congress of the State of </w:t>
      </w:r>
      <w:r w:rsidRPr="000202D4">
        <w:rPr>
          <w:rFonts w:ascii="Cambria" w:hAnsi="Cambria"/>
          <w:sz w:val="20"/>
          <w:szCs w:val="20"/>
        </w:rPr>
        <w:t xml:space="preserve">Tlaxcala </w:t>
      </w:r>
      <w:r>
        <w:rPr>
          <w:rFonts w:ascii="Cambria" w:hAnsi="Cambria"/>
          <w:sz w:val="20"/>
          <w:szCs w:val="20"/>
        </w:rPr>
        <w:t>issued an opinion that she should not be confirmed in her position, following a process unregulated by any legal provision and that left the specific rules for rating the evaluation totally to the discretion of the State Congress. She alleges that in order to recommend that she not be confirmed, the Congress based its opinion on her not having delivered a report on her performance, despite there being no provision that would require her to submit said report. She emphasizes that she noted that the Congress could evaluate her based on the reports submitted annually by the Chief Justice of the Superior Court of Justice, which was available at the premises of the Congress. However, the Congress failed to do this, violating its own agreement providing that the Congress should “avail itself” of all means at its disposal for performing the evaluation. She believes that having delivered the report they requested of her would have represented an endorsement of the illegal procedure to which she was subject</w:t>
      </w:r>
      <w:r w:rsidRPr="000202D4">
        <w:rPr>
          <w:rFonts w:ascii="Cambria" w:hAnsi="Cambria"/>
          <w:sz w:val="20"/>
          <w:szCs w:val="20"/>
        </w:rPr>
        <w:t>.</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She continues by reporting that in </w:t>
      </w:r>
      <w:r w:rsidRPr="000202D4">
        <w:rPr>
          <w:rFonts w:ascii="Cambria" w:hAnsi="Cambria"/>
          <w:sz w:val="20"/>
          <w:szCs w:val="20"/>
        </w:rPr>
        <w:t xml:space="preserve">2007 </w:t>
      </w:r>
      <w:r>
        <w:rPr>
          <w:rFonts w:ascii="Cambria" w:hAnsi="Cambria"/>
          <w:sz w:val="20"/>
          <w:szCs w:val="20"/>
        </w:rPr>
        <w:t xml:space="preserve">she challenged the resolution that ordered that she not be confirmed by means of  an indirect </w:t>
      </w:r>
      <w:r>
        <w:rPr>
          <w:rFonts w:ascii="Cambria" w:hAnsi="Cambria"/>
          <w:i/>
          <w:iCs/>
          <w:sz w:val="20"/>
          <w:szCs w:val="20"/>
        </w:rPr>
        <w:t xml:space="preserve">amparo </w:t>
      </w:r>
      <w:r>
        <w:rPr>
          <w:rFonts w:ascii="Cambria" w:hAnsi="Cambria"/>
          <w:sz w:val="20"/>
          <w:szCs w:val="20"/>
        </w:rPr>
        <w:t>appeal. She reports that the appeal was not resolved until September 17,</w:t>
      </w:r>
      <w:r w:rsidRPr="000202D4">
        <w:rPr>
          <w:rFonts w:ascii="Cambria" w:hAnsi="Cambria"/>
          <w:sz w:val="20"/>
          <w:szCs w:val="20"/>
        </w:rPr>
        <w:t xml:space="preserve"> 2009 (</w:t>
      </w:r>
      <w:r>
        <w:rPr>
          <w:rFonts w:ascii="Cambria" w:hAnsi="Cambria"/>
          <w:sz w:val="20"/>
          <w:szCs w:val="20"/>
        </w:rPr>
        <w:t>which she feels exceeded the reasonable timeframe</w:t>
      </w:r>
      <w:r w:rsidRPr="000202D4">
        <w:rPr>
          <w:rFonts w:ascii="Cambria" w:hAnsi="Cambria"/>
          <w:sz w:val="20"/>
          <w:szCs w:val="20"/>
        </w:rPr>
        <w:t xml:space="preserve">) </w:t>
      </w:r>
      <w:r>
        <w:rPr>
          <w:rFonts w:ascii="Cambria" w:hAnsi="Cambria"/>
          <w:sz w:val="20"/>
          <w:szCs w:val="20"/>
        </w:rPr>
        <w:t>and that, unlike other magistrates who filed appeals for the same reasons, she was not granted suspension of the action being challenged, thus violating her right to equality before the law. She states that the appeal was</w:t>
      </w:r>
      <w:r w:rsidRPr="000202D4">
        <w:rPr>
          <w:rFonts w:ascii="Cambria" w:hAnsi="Cambria"/>
          <w:sz w:val="20"/>
          <w:szCs w:val="20"/>
        </w:rPr>
        <w:t xml:space="preserve"> </w:t>
      </w:r>
      <w:r>
        <w:rPr>
          <w:rFonts w:ascii="Cambria" w:hAnsi="Cambria"/>
          <w:sz w:val="20"/>
          <w:szCs w:val="20"/>
        </w:rPr>
        <w:t>partially dismissed without entering into the merits of the matter, but ruled as groundless the resolution that determined not to confirm her and ordered that the Congress and the evaluation Commission issue a new well-founded decision on suitable grounds, following certain guidelines such as “availing itself” of all means at its disposal for the evaluation</w:t>
      </w:r>
      <w:r w:rsidRPr="000202D4">
        <w:rPr>
          <w:rFonts w:ascii="Cambria" w:hAnsi="Cambria"/>
          <w:sz w:val="20"/>
          <w:szCs w:val="20"/>
        </w:rPr>
        <w:t xml:space="preserve">. </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She states that on September 29, </w:t>
      </w:r>
      <w:r w:rsidRPr="000202D4">
        <w:rPr>
          <w:rFonts w:ascii="Cambria" w:hAnsi="Cambria"/>
          <w:sz w:val="20"/>
          <w:szCs w:val="20"/>
        </w:rPr>
        <w:t>2011</w:t>
      </w:r>
      <w:r>
        <w:rPr>
          <w:rFonts w:ascii="Cambria" w:hAnsi="Cambria"/>
          <w:sz w:val="20"/>
          <w:szCs w:val="20"/>
        </w:rPr>
        <w:t xml:space="preserve">, the full Congress of the State of </w:t>
      </w:r>
      <w:smartTag w:uri="urn:schemas-microsoft-com:office:smarttags" w:element="State">
        <w:r w:rsidRPr="000202D4">
          <w:rPr>
            <w:rFonts w:ascii="Cambria" w:hAnsi="Cambria"/>
            <w:sz w:val="20"/>
            <w:szCs w:val="20"/>
          </w:rPr>
          <w:t>Tlaxcala</w:t>
        </w:r>
      </w:smartTag>
      <w:r w:rsidRPr="000202D4">
        <w:rPr>
          <w:rFonts w:ascii="Cambria" w:hAnsi="Cambria"/>
          <w:sz w:val="20"/>
          <w:szCs w:val="20"/>
        </w:rPr>
        <w:t xml:space="preserve"> </w:t>
      </w:r>
      <w:r>
        <w:rPr>
          <w:rFonts w:ascii="Cambria" w:hAnsi="Cambria"/>
          <w:sz w:val="20"/>
          <w:szCs w:val="20"/>
        </w:rPr>
        <w:t>issued a new opinion, again deciding not to confirm her. She alleges that this new opinion did not comply with  the appeal judge’s order as the Congress again ignored the reports of the Chief Justice of the Superior Court of Justice and utilized her refusal to submit the report as an argument on which to base its decision</w:t>
      </w:r>
      <w:r w:rsidRPr="000202D4">
        <w:rPr>
          <w:rFonts w:ascii="Cambria" w:hAnsi="Cambria"/>
          <w:sz w:val="20"/>
          <w:szCs w:val="20"/>
        </w:rPr>
        <w:t xml:space="preserve">. </w:t>
      </w:r>
      <w:r>
        <w:rPr>
          <w:rFonts w:ascii="Cambria" w:hAnsi="Cambria"/>
          <w:sz w:val="20"/>
          <w:szCs w:val="20"/>
        </w:rPr>
        <w:t xml:space="preserve">She also reports that in its report the Congress criticized her having voted in favor of the reelection of the Chief Justice of the Superior Court of Justice of the State of </w:t>
      </w:r>
      <w:r w:rsidRPr="000202D4">
        <w:rPr>
          <w:rFonts w:ascii="Cambria" w:hAnsi="Cambria"/>
          <w:sz w:val="20"/>
          <w:szCs w:val="20"/>
        </w:rPr>
        <w:t xml:space="preserve">Tlaxcala, </w:t>
      </w:r>
      <w:r>
        <w:rPr>
          <w:rFonts w:ascii="Cambria" w:hAnsi="Cambria"/>
          <w:sz w:val="20"/>
          <w:szCs w:val="20"/>
        </w:rPr>
        <w:t xml:space="preserve">alleging that she acted illegally by voting in the absence of a quorum, ignoring the fact that she had been legally convened to attend the session and that the Supreme Court of Justice of the Nation had already issued its opinion concluding that the reelection of the Chief Justice had not been illegal. Similarly, she stated that the Congress felt that she and her colleagues had abused their power by promoting  a constitutional protection case to prevent the evaluation of magistrates before the full court of the Judicial Branch; that case was admitted for processing by the Chief Justice of the Branch and granted by an </w:t>
      </w:r>
      <w:r>
        <w:rPr>
          <w:rFonts w:ascii="Cambria" w:hAnsi="Cambria"/>
          <w:sz w:val="20"/>
          <w:szCs w:val="20"/>
        </w:rPr>
        <w:lastRenderedPageBreak/>
        <w:t>examining magistrate appointed for the purpose</w:t>
      </w:r>
      <w:r w:rsidRPr="000202D4">
        <w:rPr>
          <w:rFonts w:ascii="Cambria" w:hAnsi="Cambria"/>
          <w:sz w:val="20"/>
          <w:szCs w:val="20"/>
        </w:rPr>
        <w:t xml:space="preserve">. </w:t>
      </w:r>
      <w:r>
        <w:rPr>
          <w:rFonts w:ascii="Cambria" w:hAnsi="Cambria"/>
          <w:sz w:val="20"/>
          <w:szCs w:val="20"/>
        </w:rPr>
        <w:t>She alleges that the real interest of the Congress was to be able to install a magistrate that proved to be convenient for their political purposes.</w:t>
      </w:r>
      <w:r w:rsidRPr="000202D4">
        <w:rPr>
          <w:rStyle w:val="FootnoteReference"/>
          <w:rFonts w:ascii="Cambria" w:hAnsi="Cambria"/>
          <w:sz w:val="20"/>
          <w:szCs w:val="20"/>
        </w:rPr>
        <w:footnoteReference w:id="5"/>
      </w:r>
      <w:r w:rsidRPr="000202D4">
        <w:rPr>
          <w:rFonts w:ascii="Cambria" w:hAnsi="Cambria"/>
          <w:sz w:val="20"/>
          <w:szCs w:val="20"/>
        </w:rPr>
        <w:t xml:space="preserve"> </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Additionally, she states that the opinion ordering that she not be confirmed also ordered that she be paid an indemnity. However, when she sought that indemnity, the new Chief Justice of the Superior Court of Justice of the State of</w:t>
      </w:r>
      <w:r w:rsidRPr="000202D4">
        <w:rPr>
          <w:rFonts w:ascii="Cambria" w:hAnsi="Cambria"/>
          <w:sz w:val="20"/>
          <w:szCs w:val="20"/>
        </w:rPr>
        <w:t xml:space="preserve"> </w:t>
      </w:r>
      <w:smartTag w:uri="urn:schemas-microsoft-com:office:smarttags" w:element="State">
        <w:r w:rsidRPr="000202D4">
          <w:rPr>
            <w:rFonts w:ascii="Cambria" w:hAnsi="Cambria"/>
            <w:sz w:val="20"/>
            <w:szCs w:val="20"/>
          </w:rPr>
          <w:t>Tlaxcala</w:t>
        </w:r>
      </w:smartTag>
      <w:r w:rsidRPr="000202D4">
        <w:rPr>
          <w:rFonts w:ascii="Cambria" w:hAnsi="Cambria"/>
          <w:sz w:val="20"/>
          <w:szCs w:val="20"/>
        </w:rPr>
        <w:t xml:space="preserve"> </w:t>
      </w:r>
      <w:r>
        <w:rPr>
          <w:rFonts w:ascii="Cambria" w:hAnsi="Cambria"/>
          <w:sz w:val="20"/>
          <w:szCs w:val="20"/>
        </w:rPr>
        <w:t>refused, indicating that said point in the opinion had been invalidated with the resolution of a constitutional dispute in a proceeding in which she did not participate</w:t>
      </w:r>
      <w:r w:rsidRPr="000202D4">
        <w:rPr>
          <w:rFonts w:ascii="Cambria" w:hAnsi="Cambria"/>
          <w:sz w:val="20"/>
          <w:szCs w:val="20"/>
        </w:rPr>
        <w:t xml:space="preserve">. </w:t>
      </w:r>
      <w:r>
        <w:rPr>
          <w:rFonts w:ascii="Cambria" w:hAnsi="Cambria"/>
          <w:sz w:val="20"/>
          <w:szCs w:val="20"/>
        </w:rPr>
        <w:t>She states that after several judicial appeals and petitions she finally obtained payment five years after her non-confirmation became final, causing her economic damages due to the delay and because the payment was made with devaluated currency</w:t>
      </w:r>
      <w:r w:rsidRPr="000202D4">
        <w:rPr>
          <w:rFonts w:ascii="Cambria" w:hAnsi="Cambria"/>
          <w:sz w:val="20"/>
          <w:szCs w:val="20"/>
        </w:rPr>
        <w:t xml:space="preserve">. </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for its part, considers that the petition should be ruled inadmissible based on Article </w:t>
      </w:r>
      <w:r w:rsidRPr="000202D4">
        <w:rPr>
          <w:rFonts w:ascii="Cambria" w:hAnsi="Cambria"/>
          <w:sz w:val="20"/>
          <w:szCs w:val="20"/>
        </w:rPr>
        <w:t xml:space="preserve"> 46 </w:t>
      </w:r>
      <w:r>
        <w:rPr>
          <w:rFonts w:ascii="Cambria" w:hAnsi="Cambria"/>
          <w:sz w:val="20"/>
          <w:szCs w:val="20"/>
        </w:rPr>
        <w:t>of the American Convention in that the petitioner had not exhausted the domestic remedies available under the Mexican Constitution at the time she submitted her petition</w:t>
      </w:r>
      <w:r w:rsidRPr="000202D4">
        <w:rPr>
          <w:rFonts w:ascii="Cambria" w:hAnsi="Cambria"/>
          <w:sz w:val="20"/>
          <w:szCs w:val="20"/>
        </w:rPr>
        <w:t xml:space="preserve">. </w:t>
      </w:r>
      <w:r>
        <w:rPr>
          <w:rFonts w:ascii="Cambria" w:hAnsi="Cambria"/>
          <w:sz w:val="20"/>
          <w:szCs w:val="20"/>
        </w:rPr>
        <w:t xml:space="preserve">It emphasizes that at the time the petition was submitted, resolution of the </w:t>
      </w:r>
      <w:r>
        <w:rPr>
          <w:rFonts w:ascii="Cambria" w:hAnsi="Cambria"/>
          <w:i/>
          <w:iCs/>
          <w:sz w:val="20"/>
          <w:szCs w:val="20"/>
        </w:rPr>
        <w:t xml:space="preserve">amparo </w:t>
      </w:r>
      <w:r>
        <w:rPr>
          <w:rFonts w:ascii="Cambria" w:hAnsi="Cambria"/>
          <w:sz w:val="20"/>
          <w:szCs w:val="20"/>
        </w:rPr>
        <w:t xml:space="preserve">action that was ultimately favorable to the petitioner’s interests was still pending. It also points out that on November 24, </w:t>
      </w:r>
      <w:r w:rsidRPr="000202D4">
        <w:rPr>
          <w:rFonts w:ascii="Cambria" w:hAnsi="Cambria"/>
          <w:sz w:val="20"/>
          <w:szCs w:val="20"/>
        </w:rPr>
        <w:t xml:space="preserve">2011 </w:t>
      </w:r>
      <w:r>
        <w:rPr>
          <w:rFonts w:ascii="Cambria" w:hAnsi="Cambria"/>
          <w:sz w:val="20"/>
          <w:szCs w:val="20"/>
        </w:rPr>
        <w:t xml:space="preserve">the First District Court of the Twentieth Circuit concluded that the new agreement issued by the Congress of </w:t>
      </w:r>
      <w:r w:rsidRPr="000202D4">
        <w:rPr>
          <w:rFonts w:ascii="Cambria" w:hAnsi="Cambria"/>
          <w:sz w:val="20"/>
          <w:szCs w:val="20"/>
        </w:rPr>
        <w:t xml:space="preserve">Tlaxcala </w:t>
      </w:r>
      <w:r>
        <w:rPr>
          <w:rFonts w:ascii="Cambria" w:hAnsi="Cambria"/>
          <w:sz w:val="20"/>
          <w:szCs w:val="20"/>
        </w:rPr>
        <w:t xml:space="preserve">complied with the requirements of the </w:t>
      </w:r>
      <w:r>
        <w:rPr>
          <w:rFonts w:ascii="Cambria" w:hAnsi="Cambria"/>
          <w:i/>
          <w:iCs/>
          <w:sz w:val="20"/>
          <w:szCs w:val="20"/>
        </w:rPr>
        <w:t xml:space="preserve">amparo </w:t>
      </w:r>
      <w:r>
        <w:rPr>
          <w:rFonts w:ascii="Cambria" w:hAnsi="Cambria"/>
          <w:sz w:val="20"/>
          <w:szCs w:val="20"/>
        </w:rPr>
        <w:t>decision. It states that the petitioner filed a challenge disputing this decision, which was declared groundless on May 4,</w:t>
      </w:r>
      <w:r w:rsidRPr="000202D4">
        <w:rPr>
          <w:rFonts w:ascii="Cambria" w:hAnsi="Cambria"/>
          <w:sz w:val="20"/>
          <w:szCs w:val="20"/>
        </w:rPr>
        <w:t xml:space="preserve"> 2012</w:t>
      </w:r>
      <w:r>
        <w:rPr>
          <w:rFonts w:ascii="Cambria" w:hAnsi="Cambria"/>
          <w:sz w:val="20"/>
          <w:szCs w:val="20"/>
        </w:rPr>
        <w:t xml:space="preserve">, resulting in the archiving of the case on May 23, </w:t>
      </w:r>
      <w:r w:rsidRPr="000202D4">
        <w:rPr>
          <w:rFonts w:ascii="Cambria" w:hAnsi="Cambria"/>
          <w:sz w:val="20"/>
          <w:szCs w:val="20"/>
        </w:rPr>
        <w:t>2102</w:t>
      </w:r>
      <w:r>
        <w:rPr>
          <w:rFonts w:ascii="Cambria" w:hAnsi="Cambria"/>
          <w:sz w:val="20"/>
          <w:szCs w:val="20"/>
        </w:rPr>
        <w:t>,</w:t>
      </w:r>
      <w:r w:rsidRPr="000202D4">
        <w:rPr>
          <w:rFonts w:ascii="Cambria" w:hAnsi="Cambria"/>
          <w:sz w:val="20"/>
          <w:szCs w:val="20"/>
        </w:rPr>
        <w:t xml:space="preserve"> </w:t>
      </w:r>
      <w:r>
        <w:rPr>
          <w:rFonts w:ascii="Cambria" w:hAnsi="Cambria"/>
          <w:sz w:val="20"/>
          <w:szCs w:val="20"/>
        </w:rPr>
        <w:t xml:space="preserve">given that the </w:t>
      </w:r>
      <w:r>
        <w:rPr>
          <w:rFonts w:ascii="Cambria" w:hAnsi="Cambria"/>
          <w:i/>
          <w:iCs/>
          <w:sz w:val="20"/>
          <w:szCs w:val="20"/>
        </w:rPr>
        <w:t xml:space="preserve">amparo </w:t>
      </w:r>
      <w:r>
        <w:rPr>
          <w:rFonts w:ascii="Cambria" w:hAnsi="Cambria"/>
          <w:sz w:val="20"/>
          <w:szCs w:val="20"/>
        </w:rPr>
        <w:t>decision only ordered analysis and issuance of a new confirmation agreement, which could be negative or affirmative</w:t>
      </w:r>
      <w:r w:rsidRPr="000202D4">
        <w:rPr>
          <w:rFonts w:ascii="Cambria" w:hAnsi="Cambria"/>
          <w:sz w:val="20"/>
          <w:szCs w:val="20"/>
        </w:rPr>
        <w:t>.</w:t>
      </w:r>
    </w:p>
    <w:p w:rsidR="00E46B4D" w:rsidRPr="000202D4" w:rsidRDefault="00E46B4D"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alleges that the petitioner’s intent is for the Commission to act as a fourth instance of jurisdiction in order to challenge the courts’ interpretation of the law as well as the relevant proceedings, issues that belong to the domestic jurisdiction. With regard to alleged delay in the resolution of the </w:t>
      </w:r>
      <w:r>
        <w:rPr>
          <w:rFonts w:ascii="Cambria" w:hAnsi="Cambria"/>
          <w:i/>
          <w:iCs/>
          <w:sz w:val="20"/>
          <w:szCs w:val="20"/>
        </w:rPr>
        <w:t xml:space="preserve">amparo </w:t>
      </w:r>
      <w:r>
        <w:rPr>
          <w:rFonts w:ascii="Cambria" w:hAnsi="Cambria"/>
          <w:sz w:val="20"/>
          <w:szCs w:val="20"/>
        </w:rPr>
        <w:t>case filed by the petitioner, the State indicates that the delay was because the file was not properly constituted and the petitioner filed several extensions to the action</w:t>
      </w:r>
      <w:r w:rsidRPr="000202D4">
        <w:rPr>
          <w:rFonts w:ascii="Cambria" w:hAnsi="Cambria"/>
          <w:sz w:val="20"/>
          <w:szCs w:val="20"/>
        </w:rPr>
        <w:t xml:space="preserve">. </w:t>
      </w:r>
      <w:r>
        <w:rPr>
          <w:rFonts w:ascii="Cambria" w:hAnsi="Cambria"/>
          <w:sz w:val="20"/>
          <w:szCs w:val="20"/>
        </w:rPr>
        <w:t>It maintains that the fact that the petitioner was not confirmed does not entail a violation of her human rights, emphasizing that the Supreme Court of Justice of the Nation has recognized the constitutionality of the confirmation procedures. The State feels that the non-confirmation of the petitioner was a sovereign act of the Congress of the State of</w:t>
      </w:r>
      <w:r w:rsidRPr="000202D4">
        <w:rPr>
          <w:rFonts w:ascii="Cambria" w:hAnsi="Cambria"/>
          <w:sz w:val="20"/>
          <w:szCs w:val="20"/>
        </w:rPr>
        <w:t xml:space="preserve"> Tlaxcala </w:t>
      </w:r>
      <w:r>
        <w:rPr>
          <w:rFonts w:ascii="Cambria" w:hAnsi="Cambria"/>
          <w:sz w:val="20"/>
          <w:szCs w:val="20"/>
        </w:rPr>
        <w:t>that does not entail a violation of her rights.</w:t>
      </w:r>
      <w:r w:rsidRPr="000202D4">
        <w:rPr>
          <w:rStyle w:val="FootnoteReference"/>
          <w:rFonts w:ascii="Cambria" w:hAnsi="Cambria"/>
          <w:sz w:val="20"/>
          <w:szCs w:val="20"/>
        </w:rPr>
        <w:footnoteReference w:id="6"/>
      </w:r>
    </w:p>
    <w:p w:rsidR="00E46B4D" w:rsidRPr="000202D4" w:rsidRDefault="00E46B4D" w:rsidP="000B73F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0202D4">
        <w:rPr>
          <w:b/>
          <w:bCs/>
          <w:sz w:val="20"/>
          <w:szCs w:val="20"/>
        </w:rPr>
        <w:t xml:space="preserve">VI. </w:t>
      </w:r>
      <w:r w:rsidRPr="000202D4">
        <w:rPr>
          <w:b/>
          <w:bCs/>
          <w:sz w:val="20"/>
          <w:szCs w:val="20"/>
        </w:rPr>
        <w:tab/>
      </w:r>
      <w:r>
        <w:rPr>
          <w:b/>
          <w:bCs/>
          <w:sz w:val="20"/>
          <w:szCs w:val="20"/>
        </w:rPr>
        <w:t>EXHAUSTION OF DOMESTIC REMEDIES AND TIMELINESS OF THE PETITION</w:t>
      </w:r>
    </w:p>
    <w:p w:rsidR="00E46B4D" w:rsidRPr="000202D4" w:rsidRDefault="00E46B4D" w:rsidP="00DF18FC">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contextualSpacing/>
        <w:jc w:val="both"/>
        <w:rPr>
          <w:rFonts w:cs="Calibri"/>
          <w:sz w:val="20"/>
          <w:szCs w:val="20"/>
        </w:rPr>
      </w:pPr>
      <w:r>
        <w:rPr>
          <w:rFonts w:cs="Calibri"/>
          <w:sz w:val="20"/>
          <w:szCs w:val="20"/>
        </w:rPr>
        <w:t>With respect to the State’s question regarding the fact that exhaustion of domestic remedies occurred after submission of the petition, the IACHR reiterates its</w:t>
      </w:r>
      <w:r w:rsidRPr="000202D4">
        <w:rPr>
          <w:rFonts w:cs="Calibri"/>
          <w:sz w:val="20"/>
          <w:szCs w:val="20"/>
        </w:rPr>
        <w:t xml:space="preserve"> </w:t>
      </w:r>
      <w:r>
        <w:rPr>
          <w:rFonts w:cs="Calibri"/>
          <w:sz w:val="20"/>
          <w:szCs w:val="20"/>
        </w:rPr>
        <w:t xml:space="preserve">longstanding position according to which the situation that should be taken into account to establish whether domestic jurisdiction remedies have been exhausted is the situation existing when the decision is made on admissibility. The Commission notes that the State has not indicated that, after the final challenge filed by the petitioner was archived, there were still unexhausted domestic remedies that might have been suitable for addressing the petitioner’s claims at the domestic level. In view of this, the Commission concludes that the domestic remedies were exhausted on May 23, </w:t>
      </w:r>
      <w:r w:rsidRPr="000202D4">
        <w:rPr>
          <w:rFonts w:cs="Calibri"/>
          <w:sz w:val="20"/>
          <w:szCs w:val="20"/>
        </w:rPr>
        <w:t xml:space="preserve">2012 </w:t>
      </w:r>
      <w:r>
        <w:rPr>
          <w:rFonts w:cs="Calibri"/>
          <w:sz w:val="20"/>
          <w:szCs w:val="20"/>
        </w:rPr>
        <w:t>when the petitioner’s challenge was archived. Therefore, and given that the petition was submitted on March</w:t>
      </w:r>
      <w:r w:rsidRPr="000202D4">
        <w:rPr>
          <w:rFonts w:cs="Calibri"/>
          <w:sz w:val="20"/>
          <w:szCs w:val="20"/>
        </w:rPr>
        <w:t xml:space="preserve"> 25</w:t>
      </w:r>
      <w:r>
        <w:rPr>
          <w:rFonts w:cs="Calibri"/>
          <w:sz w:val="20"/>
          <w:szCs w:val="20"/>
        </w:rPr>
        <w:t xml:space="preserve">, </w:t>
      </w:r>
      <w:r w:rsidRPr="000202D4">
        <w:rPr>
          <w:rFonts w:cs="Calibri"/>
          <w:sz w:val="20"/>
          <w:szCs w:val="20"/>
        </w:rPr>
        <w:t>2009</w:t>
      </w:r>
      <w:r>
        <w:rPr>
          <w:rFonts w:cs="Calibri"/>
          <w:sz w:val="20"/>
          <w:szCs w:val="20"/>
        </w:rPr>
        <w:t>,</w:t>
      </w:r>
      <w:r w:rsidRPr="000202D4">
        <w:rPr>
          <w:rFonts w:cs="Calibri"/>
          <w:sz w:val="20"/>
          <w:szCs w:val="20"/>
        </w:rPr>
        <w:t xml:space="preserve"> </w:t>
      </w:r>
      <w:r>
        <w:rPr>
          <w:rFonts w:cs="Calibri"/>
          <w:sz w:val="20"/>
          <w:szCs w:val="20"/>
        </w:rPr>
        <w:t xml:space="preserve">the petition complies with the requirements of Article </w:t>
      </w:r>
      <w:r w:rsidRPr="000202D4">
        <w:rPr>
          <w:rFonts w:cs="Calibri"/>
          <w:sz w:val="20"/>
          <w:szCs w:val="20"/>
        </w:rPr>
        <w:t xml:space="preserve">46.1(a) </w:t>
      </w:r>
      <w:r>
        <w:rPr>
          <w:rFonts w:cs="Calibri"/>
          <w:sz w:val="20"/>
          <w:szCs w:val="20"/>
        </w:rPr>
        <w:t>and</w:t>
      </w:r>
      <w:r w:rsidRPr="000202D4">
        <w:rPr>
          <w:rFonts w:cs="Calibri"/>
          <w:sz w:val="20"/>
          <w:szCs w:val="20"/>
        </w:rPr>
        <w:t xml:space="preserve"> (b) </w:t>
      </w:r>
      <w:r>
        <w:rPr>
          <w:rFonts w:cs="Calibri"/>
          <w:sz w:val="20"/>
          <w:szCs w:val="20"/>
        </w:rPr>
        <w:t>of the American Convention</w:t>
      </w:r>
      <w:r w:rsidRPr="000202D4">
        <w:rPr>
          <w:rFonts w:cs="Calibri"/>
          <w:sz w:val="20"/>
          <w:szCs w:val="20"/>
        </w:rPr>
        <w:t xml:space="preserve">. </w:t>
      </w:r>
    </w:p>
    <w:p w:rsidR="00E46B4D" w:rsidRPr="000202D4" w:rsidRDefault="00E46B4D" w:rsidP="00DF18FC">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p>
    <w:p w:rsidR="00E46B4D" w:rsidRPr="000202D4" w:rsidRDefault="00E46B4D"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0202D4">
        <w:rPr>
          <w:b/>
          <w:bCs/>
          <w:sz w:val="20"/>
          <w:szCs w:val="20"/>
        </w:rPr>
        <w:t xml:space="preserve">VII. </w:t>
      </w:r>
      <w:r w:rsidRPr="000202D4">
        <w:rPr>
          <w:b/>
          <w:bCs/>
          <w:sz w:val="20"/>
          <w:szCs w:val="20"/>
        </w:rPr>
        <w:tab/>
        <w:t>C</w:t>
      </w:r>
      <w:r>
        <w:rPr>
          <w:b/>
          <w:bCs/>
          <w:sz w:val="20"/>
          <w:szCs w:val="20"/>
        </w:rPr>
        <w:t>OLORABLE CLAIM</w:t>
      </w:r>
    </w:p>
    <w:p w:rsidR="00E46B4D" w:rsidRDefault="00E46B4D" w:rsidP="00AB533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r>
        <w:rPr>
          <w:rFonts w:ascii="Cambria" w:hAnsi="Cambria"/>
          <w:sz w:val="20"/>
          <w:szCs w:val="20"/>
        </w:rPr>
        <w:t>The Commission observes that this petition includes allegations to the effect that the petitioner was subjected to an evaluation and confirmation process that was not previously regulated and that evaluated aspects such as her vote in favor of the reelection of a chief justice of the court and her filing of judicial appeals against acts of the Congress; that decisions were adopted that affected her rights without her participation; and that she was affected economically by an unjustified delay in the payment of her indemnity and because she did not receive compensation for the devaluation of the currency</w:t>
      </w:r>
      <w:r w:rsidRPr="000202D4">
        <w:rPr>
          <w:rFonts w:ascii="Cambria" w:hAnsi="Cambria"/>
          <w:sz w:val="20"/>
          <w:szCs w:val="20"/>
        </w:rPr>
        <w:t>.</w:t>
      </w:r>
    </w:p>
    <w:p w:rsidR="00E46B4D" w:rsidRPr="000202D4" w:rsidRDefault="00E46B4D" w:rsidP="00591B9F">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E46B4D" w:rsidRPr="000202D4" w:rsidRDefault="00E46B4D" w:rsidP="0057265C">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r>
        <w:rPr>
          <w:rFonts w:ascii="Cambria" w:hAnsi="Cambria"/>
          <w:sz w:val="20"/>
          <w:szCs w:val="20"/>
        </w:rPr>
        <w:t>With regard to these allegations</w:t>
      </w:r>
      <w:proofErr w:type="gramStart"/>
      <w:r>
        <w:rPr>
          <w:rFonts w:ascii="Cambria" w:hAnsi="Cambria"/>
          <w:sz w:val="20"/>
          <w:szCs w:val="20"/>
        </w:rPr>
        <w:t xml:space="preserve">, </w:t>
      </w:r>
      <w:r w:rsidRPr="000202D4">
        <w:rPr>
          <w:rFonts w:ascii="Cambria" w:hAnsi="Cambria"/>
          <w:sz w:val="20"/>
          <w:szCs w:val="20"/>
        </w:rPr>
        <w:t xml:space="preserve"> </w:t>
      </w:r>
      <w:r>
        <w:rPr>
          <w:rFonts w:ascii="Cambria" w:hAnsi="Cambria"/>
          <w:sz w:val="20"/>
          <w:szCs w:val="20"/>
        </w:rPr>
        <w:t>the</w:t>
      </w:r>
      <w:proofErr w:type="gramEnd"/>
      <w:r>
        <w:rPr>
          <w:rFonts w:ascii="Cambria" w:hAnsi="Cambria"/>
          <w:sz w:val="20"/>
          <w:szCs w:val="20"/>
        </w:rPr>
        <w:t xml:space="preserve"> IACHR considers it relevant to recall that it has already stated that in the case of justice operators the principle of freedom from </w:t>
      </w:r>
      <w:r>
        <w:rPr>
          <w:rFonts w:ascii="Cambria" w:hAnsi="Cambria"/>
          <w:i/>
          <w:iCs/>
          <w:sz w:val="20"/>
          <w:szCs w:val="20"/>
        </w:rPr>
        <w:t xml:space="preserve">ex post facto </w:t>
      </w:r>
      <w:r>
        <w:rPr>
          <w:rFonts w:ascii="Cambria" w:hAnsi="Cambria"/>
          <w:sz w:val="20"/>
          <w:szCs w:val="20"/>
        </w:rPr>
        <w:t>laws  implies “that the disciplinary system must be established by pre-existing law and be predictable as regards the procedures to be followed and the authorities in charge of their enforcement.</w:t>
      </w:r>
      <w:r w:rsidRPr="000202D4">
        <w:rPr>
          <w:rFonts w:ascii="Cambria" w:hAnsi="Cambria"/>
          <w:sz w:val="20"/>
          <w:szCs w:val="20"/>
        </w:rPr>
        <w:t>”</w:t>
      </w:r>
      <w:r w:rsidRPr="000202D4">
        <w:rPr>
          <w:rStyle w:val="FootnoteReference"/>
          <w:rFonts w:ascii="Cambria" w:hAnsi="Cambria"/>
          <w:sz w:val="20"/>
          <w:szCs w:val="20"/>
        </w:rPr>
        <w:footnoteReference w:id="7"/>
      </w:r>
      <w:r>
        <w:rPr>
          <w:rFonts w:ascii="Cambria" w:hAnsi="Cambria"/>
          <w:sz w:val="20"/>
          <w:szCs w:val="20"/>
        </w:rPr>
        <w:t xml:space="preserve"> Similarly, the Inter-American Court has determined that</w:t>
      </w:r>
      <w:r w:rsidRPr="000202D4">
        <w:rPr>
          <w:rFonts w:ascii="Cambria" w:hAnsi="Cambria"/>
          <w:sz w:val="20"/>
          <w:szCs w:val="20"/>
        </w:rPr>
        <w:t xml:space="preserve"> “</w:t>
      </w:r>
      <w:r>
        <w:rPr>
          <w:rFonts w:ascii="Cambria" w:hAnsi="Cambria"/>
          <w:sz w:val="20"/>
          <w:szCs w:val="20"/>
        </w:rPr>
        <w:t>the dimensions of judicial independence result in the subjective right of the judge that his removal from office is exclusively for the causes permitted</w:t>
      </w:r>
      <w:r w:rsidRPr="000202D4">
        <w:t>”</w:t>
      </w:r>
      <w:r w:rsidRPr="000202D4">
        <w:rPr>
          <w:rStyle w:val="FootnoteReference"/>
          <w:sz w:val="20"/>
          <w:szCs w:val="20"/>
        </w:rPr>
        <w:footnoteReference w:id="8"/>
      </w:r>
      <w:r w:rsidRPr="000202D4">
        <w:rPr>
          <w:rFonts w:ascii="Cambria" w:hAnsi="Cambria"/>
          <w:sz w:val="20"/>
          <w:szCs w:val="20"/>
        </w:rPr>
        <w:t xml:space="preserve"> </w:t>
      </w:r>
      <w:r>
        <w:rPr>
          <w:rFonts w:ascii="Cambria" w:hAnsi="Cambria"/>
          <w:sz w:val="20"/>
          <w:szCs w:val="20"/>
        </w:rPr>
        <w:t xml:space="preserve">and the Commission has noted that </w:t>
      </w:r>
      <w:r w:rsidRPr="000202D4">
        <w:rPr>
          <w:rFonts w:ascii="Cambria" w:hAnsi="Cambria"/>
          <w:sz w:val="20"/>
          <w:szCs w:val="20"/>
        </w:rPr>
        <w:t>“</w:t>
      </w:r>
      <w:r>
        <w:rPr>
          <w:rFonts w:ascii="Cambria" w:hAnsi="Cambria"/>
          <w:sz w:val="20"/>
          <w:szCs w:val="20"/>
        </w:rPr>
        <w:t>the selection of the chairperson by other branches or organs of government can mean interference in the courts, affecting the ability of judges to perform their functions independently.</w:t>
      </w:r>
      <w:r w:rsidRPr="000202D4">
        <w:rPr>
          <w:rFonts w:ascii="Cambria" w:hAnsi="Cambria"/>
          <w:sz w:val="20"/>
          <w:szCs w:val="20"/>
        </w:rPr>
        <w:t>”</w:t>
      </w:r>
      <w:r w:rsidRPr="000202D4">
        <w:rPr>
          <w:rStyle w:val="FootnoteReference"/>
          <w:rFonts w:ascii="Cambria" w:hAnsi="Cambria"/>
          <w:sz w:val="20"/>
          <w:szCs w:val="20"/>
        </w:rPr>
        <w:footnoteReference w:id="9"/>
      </w:r>
      <w:r w:rsidRPr="000202D4">
        <w:rPr>
          <w:rFonts w:ascii="Cambria" w:hAnsi="Cambria"/>
          <w:sz w:val="20"/>
          <w:szCs w:val="20"/>
        </w:rPr>
        <w:t xml:space="preserve"> </w:t>
      </w:r>
      <w:r>
        <w:rPr>
          <w:rFonts w:ascii="Cambria" w:hAnsi="Cambria"/>
          <w:sz w:val="20"/>
          <w:szCs w:val="20"/>
        </w:rPr>
        <w:t xml:space="preserve">The Commission has also recognized that </w:t>
      </w:r>
      <w:r w:rsidRPr="000202D4">
        <w:rPr>
          <w:rFonts w:ascii="Cambria" w:hAnsi="Cambria"/>
          <w:sz w:val="20"/>
          <w:szCs w:val="20"/>
        </w:rPr>
        <w:t>“</w:t>
      </w:r>
      <w:r>
        <w:rPr>
          <w:rFonts w:ascii="Cambria" w:hAnsi="Cambria"/>
          <w:sz w:val="20"/>
          <w:szCs w:val="20"/>
        </w:rPr>
        <w:t>at times, decisions that are formally valid are not used as legitimate resources in the administration of justice; instead they are used to accomplish unstated ends that are not obvious at first sight, and are intended to be an “implicit” sanction, serving a purpose other than the purpose prescribed by law.</w:t>
      </w:r>
      <w:r w:rsidRPr="000202D4">
        <w:rPr>
          <w:rFonts w:ascii="Cambria" w:hAnsi="Cambria"/>
          <w:sz w:val="20"/>
          <w:szCs w:val="20"/>
        </w:rPr>
        <w:t>”</w:t>
      </w:r>
      <w:r w:rsidRPr="000202D4">
        <w:rPr>
          <w:rStyle w:val="FootnoteReference"/>
          <w:rFonts w:ascii="Cambria" w:hAnsi="Cambria"/>
          <w:sz w:val="20"/>
          <w:szCs w:val="20"/>
        </w:rPr>
        <w:footnoteReference w:id="10"/>
      </w:r>
      <w:r>
        <w:rPr>
          <w:rFonts w:ascii="Cambria" w:hAnsi="Cambria"/>
          <w:sz w:val="20"/>
          <w:szCs w:val="20"/>
        </w:rPr>
        <w:t xml:space="preserve"> In addition, the Commission appreciates that the European Court of Human Rights has deemed that delays in the payment of compensation that render it inadequate due to monetary depreciation may entail a violation of the right to property.</w:t>
      </w:r>
      <w:r w:rsidRPr="000202D4">
        <w:rPr>
          <w:rStyle w:val="FootnoteReference"/>
          <w:rFonts w:ascii="Cambria" w:hAnsi="Cambria"/>
          <w:sz w:val="20"/>
          <w:szCs w:val="20"/>
        </w:rPr>
        <w:footnoteReference w:id="11"/>
      </w:r>
    </w:p>
    <w:p w:rsidR="00E46B4D" w:rsidRPr="000202D4" w:rsidRDefault="00E46B4D" w:rsidP="0057265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E46B4D" w:rsidRPr="000202D4" w:rsidRDefault="00E46B4D" w:rsidP="005A55F0">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r>
        <w:rPr>
          <w:rFonts w:ascii="Cambria" w:hAnsi="Cambria"/>
          <w:sz w:val="20"/>
          <w:szCs w:val="20"/>
        </w:rPr>
        <w:t>In view of these considerations and after examining the factual and legal elements presented by the parties, the Commission deems that the allegations made by the petitioner are not manifestly groundless and require a study of the merits in that should the alleged facts be corroborated as true they could characterize violations of Articles</w:t>
      </w:r>
      <w:r w:rsidRPr="000202D4">
        <w:rPr>
          <w:rFonts w:ascii="Cambria" w:hAnsi="Cambria"/>
          <w:sz w:val="20"/>
          <w:szCs w:val="20"/>
        </w:rPr>
        <w:t xml:space="preserve">  </w:t>
      </w:r>
      <w:r w:rsidRPr="000202D4">
        <w:rPr>
          <w:rFonts w:ascii="Cambria" w:hAnsi="Cambria"/>
          <w:bCs/>
          <w:sz w:val="20"/>
          <w:szCs w:val="20"/>
        </w:rPr>
        <w:t>8 (</w:t>
      </w:r>
      <w:r>
        <w:rPr>
          <w:rFonts w:ascii="Cambria" w:hAnsi="Cambria"/>
          <w:bCs/>
          <w:sz w:val="20"/>
          <w:szCs w:val="20"/>
        </w:rPr>
        <w:t>right to a fair trial</w:t>
      </w:r>
      <w:r w:rsidRPr="000202D4">
        <w:rPr>
          <w:rFonts w:ascii="Cambria" w:hAnsi="Cambria"/>
          <w:bCs/>
          <w:sz w:val="20"/>
          <w:szCs w:val="20"/>
        </w:rPr>
        <w:t>), 9 (</w:t>
      </w:r>
      <w:r>
        <w:rPr>
          <w:rFonts w:ascii="Cambria" w:hAnsi="Cambria"/>
          <w:bCs/>
          <w:sz w:val="20"/>
          <w:szCs w:val="20"/>
        </w:rPr>
        <w:t xml:space="preserve">right to freedom from </w:t>
      </w:r>
      <w:r>
        <w:rPr>
          <w:rFonts w:ascii="Cambria" w:hAnsi="Cambria"/>
          <w:bCs/>
          <w:i/>
          <w:iCs/>
          <w:sz w:val="20"/>
          <w:szCs w:val="20"/>
        </w:rPr>
        <w:t xml:space="preserve">ex post facto </w:t>
      </w:r>
      <w:r>
        <w:rPr>
          <w:rFonts w:ascii="Cambria" w:hAnsi="Cambria"/>
          <w:bCs/>
          <w:sz w:val="20"/>
          <w:szCs w:val="20"/>
        </w:rPr>
        <w:t>laws</w:t>
      </w:r>
      <w:r w:rsidRPr="000202D4">
        <w:rPr>
          <w:rFonts w:ascii="Cambria" w:hAnsi="Cambria"/>
          <w:bCs/>
          <w:sz w:val="20"/>
          <w:szCs w:val="20"/>
        </w:rPr>
        <w:t>), 21 (</w:t>
      </w:r>
      <w:r>
        <w:rPr>
          <w:rFonts w:ascii="Cambria" w:hAnsi="Cambria"/>
          <w:bCs/>
          <w:sz w:val="20"/>
          <w:szCs w:val="20"/>
        </w:rPr>
        <w:t>right to property</w:t>
      </w:r>
      <w:r w:rsidRPr="000202D4">
        <w:rPr>
          <w:rFonts w:ascii="Cambria" w:hAnsi="Cambria"/>
          <w:bCs/>
          <w:sz w:val="20"/>
          <w:szCs w:val="20"/>
        </w:rPr>
        <w:t>), 23 (</w:t>
      </w:r>
      <w:r>
        <w:rPr>
          <w:rFonts w:ascii="Cambria" w:hAnsi="Cambria"/>
          <w:bCs/>
          <w:sz w:val="20"/>
          <w:szCs w:val="20"/>
        </w:rPr>
        <w:t>political rights</w:t>
      </w:r>
      <w:r w:rsidRPr="000202D4">
        <w:rPr>
          <w:rFonts w:ascii="Cambria" w:hAnsi="Cambria"/>
          <w:bCs/>
          <w:sz w:val="20"/>
          <w:szCs w:val="20"/>
        </w:rPr>
        <w:t>), 24 (</w:t>
      </w:r>
      <w:r>
        <w:rPr>
          <w:rFonts w:ascii="Cambria" w:hAnsi="Cambria"/>
          <w:bCs/>
          <w:sz w:val="20"/>
          <w:szCs w:val="20"/>
        </w:rPr>
        <w:t>equality before the law</w:t>
      </w:r>
      <w:r w:rsidRPr="000202D4">
        <w:rPr>
          <w:rFonts w:ascii="Cambria" w:hAnsi="Cambria"/>
          <w:bCs/>
          <w:sz w:val="20"/>
          <w:szCs w:val="20"/>
        </w:rPr>
        <w:t>), 25 (judicial</w:t>
      </w:r>
      <w:r>
        <w:rPr>
          <w:rFonts w:ascii="Cambria" w:hAnsi="Cambria"/>
          <w:bCs/>
          <w:sz w:val="20"/>
          <w:szCs w:val="20"/>
        </w:rPr>
        <w:t xml:space="preserve"> protection</w:t>
      </w:r>
      <w:r w:rsidRPr="000202D4">
        <w:rPr>
          <w:rFonts w:ascii="Cambria" w:hAnsi="Cambria"/>
          <w:bCs/>
          <w:sz w:val="20"/>
          <w:szCs w:val="20"/>
        </w:rPr>
        <w:t xml:space="preserve">) </w:t>
      </w:r>
      <w:r>
        <w:rPr>
          <w:rFonts w:ascii="Cambria" w:hAnsi="Cambria"/>
          <w:bCs/>
          <w:sz w:val="20"/>
          <w:szCs w:val="20"/>
        </w:rPr>
        <w:t>and</w:t>
      </w:r>
      <w:r w:rsidRPr="000202D4">
        <w:rPr>
          <w:rFonts w:ascii="Cambria" w:hAnsi="Cambria"/>
          <w:bCs/>
          <w:sz w:val="20"/>
          <w:szCs w:val="20"/>
        </w:rPr>
        <w:t xml:space="preserve"> 26 (</w:t>
      </w:r>
      <w:r>
        <w:rPr>
          <w:rFonts w:ascii="Cambria" w:hAnsi="Cambria"/>
          <w:bCs/>
          <w:sz w:val="20"/>
          <w:szCs w:val="20"/>
        </w:rPr>
        <w:t>economic, social and cultural rights</w:t>
      </w:r>
      <w:r w:rsidRPr="000202D4">
        <w:rPr>
          <w:rFonts w:ascii="Cambria" w:hAnsi="Cambria"/>
          <w:bCs/>
          <w:sz w:val="20"/>
          <w:szCs w:val="20"/>
        </w:rPr>
        <w:t xml:space="preserve">) </w:t>
      </w:r>
      <w:r>
        <w:rPr>
          <w:rFonts w:ascii="Cambria" w:hAnsi="Cambria"/>
          <w:bCs/>
          <w:sz w:val="20"/>
          <w:szCs w:val="20"/>
        </w:rPr>
        <w:t>of the American Convention</w:t>
      </w:r>
      <w:r w:rsidRPr="000202D4">
        <w:rPr>
          <w:rFonts w:ascii="Cambria" w:hAnsi="Cambria"/>
          <w:bCs/>
          <w:sz w:val="20"/>
          <w:szCs w:val="20"/>
        </w:rPr>
        <w:t xml:space="preserve"> </w:t>
      </w:r>
      <w:r>
        <w:rPr>
          <w:rFonts w:ascii="Cambria" w:hAnsi="Cambria"/>
          <w:bCs/>
          <w:sz w:val="20"/>
          <w:szCs w:val="20"/>
        </w:rPr>
        <w:t xml:space="preserve">in relation to Articles </w:t>
      </w:r>
      <w:r w:rsidRPr="000202D4">
        <w:rPr>
          <w:rFonts w:ascii="Cambria" w:hAnsi="Cambria"/>
          <w:bCs/>
          <w:sz w:val="20"/>
          <w:szCs w:val="20"/>
        </w:rPr>
        <w:t>1.1 (obliga</w:t>
      </w:r>
      <w:r>
        <w:rPr>
          <w:rFonts w:ascii="Cambria" w:hAnsi="Cambria"/>
          <w:bCs/>
          <w:sz w:val="20"/>
          <w:szCs w:val="20"/>
        </w:rPr>
        <w:t>tion to respect rights</w:t>
      </w:r>
      <w:r w:rsidRPr="000202D4">
        <w:rPr>
          <w:rFonts w:ascii="Cambria" w:hAnsi="Cambria"/>
          <w:bCs/>
          <w:sz w:val="20"/>
          <w:szCs w:val="20"/>
        </w:rPr>
        <w:t xml:space="preserve">) </w:t>
      </w:r>
      <w:r>
        <w:rPr>
          <w:rFonts w:ascii="Cambria" w:hAnsi="Cambria"/>
          <w:bCs/>
          <w:sz w:val="20"/>
          <w:szCs w:val="20"/>
        </w:rPr>
        <w:t>and</w:t>
      </w:r>
      <w:r w:rsidRPr="000202D4">
        <w:rPr>
          <w:rFonts w:ascii="Cambria" w:hAnsi="Cambria"/>
          <w:bCs/>
          <w:sz w:val="20"/>
          <w:szCs w:val="20"/>
        </w:rPr>
        <w:t xml:space="preserve"> 2 (</w:t>
      </w:r>
      <w:r>
        <w:rPr>
          <w:rFonts w:ascii="Cambria" w:hAnsi="Cambria"/>
          <w:bCs/>
          <w:sz w:val="20"/>
          <w:szCs w:val="20"/>
        </w:rPr>
        <w:t>domestic legal effects</w:t>
      </w:r>
      <w:r w:rsidRPr="000202D4">
        <w:rPr>
          <w:rFonts w:ascii="Cambria" w:hAnsi="Cambria"/>
          <w:bCs/>
          <w:sz w:val="20"/>
          <w:szCs w:val="20"/>
        </w:rPr>
        <w:t xml:space="preserve">).  </w:t>
      </w:r>
    </w:p>
    <w:p w:rsidR="00E46B4D" w:rsidRPr="000202D4" w:rsidRDefault="00E46B4D" w:rsidP="0009678E">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E46B4D" w:rsidRPr="000202D4" w:rsidRDefault="00E46B4D" w:rsidP="00D81DC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alleged violations of Article </w:t>
      </w:r>
      <w:r w:rsidRPr="000202D4">
        <w:rPr>
          <w:rFonts w:ascii="Cambria" w:hAnsi="Cambria"/>
          <w:sz w:val="20"/>
          <w:szCs w:val="20"/>
        </w:rPr>
        <w:t>11 (</w:t>
      </w:r>
      <w:r>
        <w:rPr>
          <w:rFonts w:ascii="Cambria" w:hAnsi="Cambria"/>
          <w:sz w:val="20"/>
          <w:szCs w:val="20"/>
        </w:rPr>
        <w:t>right to privacy</w:t>
      </w:r>
      <w:r w:rsidRPr="000202D4">
        <w:rPr>
          <w:rFonts w:ascii="Cambria" w:hAnsi="Cambria"/>
          <w:sz w:val="20"/>
          <w:szCs w:val="20"/>
        </w:rPr>
        <w:t xml:space="preserve">) </w:t>
      </w:r>
      <w:r>
        <w:rPr>
          <w:rFonts w:ascii="Cambria" w:hAnsi="Cambria"/>
          <w:sz w:val="20"/>
          <w:szCs w:val="20"/>
        </w:rPr>
        <w:t xml:space="preserve">of the American Convention, the Commission deems that the petitioner has not provided nor does the case file provide elements or supports that would allow the Commission to consider, on even a </w:t>
      </w:r>
      <w:r>
        <w:rPr>
          <w:rFonts w:ascii="Cambria" w:hAnsi="Cambria"/>
          <w:i/>
          <w:iCs/>
          <w:sz w:val="20"/>
          <w:szCs w:val="20"/>
        </w:rPr>
        <w:t xml:space="preserve">prima facie </w:t>
      </w:r>
      <w:r>
        <w:rPr>
          <w:rFonts w:ascii="Cambria" w:hAnsi="Cambria"/>
          <w:sz w:val="20"/>
          <w:szCs w:val="20"/>
        </w:rPr>
        <w:t>basis, the possibility of its violation.</w:t>
      </w:r>
      <w:r w:rsidRPr="000202D4">
        <w:rPr>
          <w:rFonts w:ascii="Cambria" w:hAnsi="Cambria"/>
          <w:sz w:val="20"/>
          <w:szCs w:val="20"/>
        </w:rPr>
        <w:t xml:space="preserve"> </w:t>
      </w:r>
    </w:p>
    <w:p w:rsidR="00E46B4D" w:rsidRPr="000202D4" w:rsidRDefault="00E46B4D" w:rsidP="005A55F0">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contextualSpacing/>
        <w:jc w:val="both"/>
        <w:rPr>
          <w:rFonts w:cs="Calibri"/>
          <w:sz w:val="20"/>
          <w:szCs w:val="20"/>
        </w:rPr>
      </w:pPr>
      <w:r w:rsidRPr="000202D4">
        <w:rPr>
          <w:rFonts w:cs="Calibri"/>
          <w:sz w:val="20"/>
          <w:szCs w:val="20"/>
        </w:rPr>
        <w:t>Re</w:t>
      </w:r>
      <w:r>
        <w:rPr>
          <w:rFonts w:cs="Calibri"/>
          <w:sz w:val="20"/>
          <w:szCs w:val="20"/>
        </w:rPr>
        <w:t>garding the State’s allegations referring to the fourth instance formula, the Commission reiterates that within the framework of its mandate it is in fact competent to declare a petition admissible and rule on its merits when that petition refers to domestic processes that could be in violation of rights guaranteed by the American Convention</w:t>
      </w:r>
      <w:r w:rsidRPr="000202D4">
        <w:rPr>
          <w:rFonts w:cs="Calibri"/>
          <w:sz w:val="20"/>
          <w:szCs w:val="20"/>
        </w:rPr>
        <w:t>.</w:t>
      </w:r>
    </w:p>
    <w:p w:rsidR="00E46B4D" w:rsidRPr="000202D4" w:rsidRDefault="00E46B4D" w:rsidP="005A55F0">
      <w:pPr>
        <w:pStyle w:val="ListParagraph"/>
        <w:pBdr>
          <w:top w:val="none" w:sz="0" w:space="0" w:color="auto"/>
          <w:left w:val="none" w:sz="0" w:space="0" w:color="auto"/>
          <w:bottom w:val="none" w:sz="0" w:space="0" w:color="auto"/>
          <w:right w:val="none" w:sz="0" w:space="0" w:color="auto"/>
          <w:bar w:val="none" w:sz="0" w:color="auto"/>
        </w:pBdr>
        <w:contextualSpacing/>
        <w:jc w:val="both"/>
        <w:rPr>
          <w:rFonts w:cs="Calibri"/>
          <w:sz w:val="20"/>
          <w:szCs w:val="20"/>
        </w:rPr>
      </w:pPr>
    </w:p>
    <w:p w:rsidR="00E46B4D" w:rsidRPr="000202D4" w:rsidRDefault="00E46B4D"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rPr>
      </w:pPr>
      <w:r w:rsidRPr="000202D4">
        <w:rPr>
          <w:rFonts w:ascii="Cambria" w:hAnsi="Cambria"/>
          <w:b/>
          <w:bCs/>
          <w:sz w:val="20"/>
          <w:szCs w:val="20"/>
        </w:rPr>
        <w:t xml:space="preserve">VIII. </w:t>
      </w:r>
      <w:r w:rsidRPr="000202D4">
        <w:rPr>
          <w:rFonts w:ascii="Cambria" w:hAnsi="Cambria"/>
          <w:b/>
          <w:bCs/>
          <w:sz w:val="20"/>
          <w:szCs w:val="20"/>
        </w:rPr>
        <w:tab/>
        <w:t>DECISI</w:t>
      </w:r>
      <w:r>
        <w:rPr>
          <w:rFonts w:ascii="Cambria" w:hAnsi="Cambria"/>
          <w:b/>
          <w:bCs/>
          <w:sz w:val="20"/>
          <w:szCs w:val="20"/>
        </w:rPr>
        <w:t>O</w:t>
      </w:r>
      <w:r w:rsidRPr="000202D4">
        <w:rPr>
          <w:rFonts w:ascii="Cambria" w:hAnsi="Cambria"/>
          <w:b/>
          <w:bCs/>
          <w:sz w:val="20"/>
          <w:szCs w:val="20"/>
        </w:rPr>
        <w:t>N</w:t>
      </w:r>
    </w:p>
    <w:p w:rsidR="00E46B4D" w:rsidRPr="000202D4" w:rsidRDefault="00E46B4D"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To declare this petition admissible with regard to Articles </w:t>
      </w:r>
      <w:r w:rsidRPr="000202D4">
        <w:rPr>
          <w:rFonts w:ascii="Cambria" w:hAnsi="Cambria"/>
          <w:sz w:val="20"/>
          <w:szCs w:val="20"/>
        </w:rPr>
        <w:t>8, 9, 21, 23, 24, 25</w:t>
      </w:r>
      <w:r>
        <w:rPr>
          <w:rFonts w:ascii="Cambria" w:hAnsi="Cambria"/>
          <w:sz w:val="20"/>
          <w:szCs w:val="20"/>
        </w:rPr>
        <w:t>, and</w:t>
      </w:r>
      <w:r w:rsidRPr="000202D4">
        <w:rPr>
          <w:rFonts w:ascii="Cambria" w:hAnsi="Cambria"/>
          <w:sz w:val="20"/>
          <w:szCs w:val="20"/>
        </w:rPr>
        <w:t xml:space="preserve"> 26 </w:t>
      </w:r>
      <w:r>
        <w:rPr>
          <w:rFonts w:ascii="Cambria" w:hAnsi="Cambria"/>
          <w:sz w:val="20"/>
          <w:szCs w:val="20"/>
        </w:rPr>
        <w:t xml:space="preserve">of the American Convention in relation to Articles </w:t>
      </w:r>
      <w:r w:rsidRPr="000202D4">
        <w:rPr>
          <w:rFonts w:ascii="Cambria" w:hAnsi="Cambria"/>
          <w:sz w:val="20"/>
          <w:szCs w:val="20"/>
        </w:rPr>
        <w:t>1.1</w:t>
      </w:r>
      <w:r>
        <w:rPr>
          <w:rFonts w:ascii="Cambria" w:hAnsi="Cambria"/>
          <w:sz w:val="20"/>
          <w:szCs w:val="20"/>
        </w:rPr>
        <w:t xml:space="preserve"> and</w:t>
      </w:r>
      <w:r w:rsidRPr="000202D4">
        <w:rPr>
          <w:rFonts w:ascii="Cambria" w:hAnsi="Cambria"/>
          <w:sz w:val="20"/>
          <w:szCs w:val="20"/>
        </w:rPr>
        <w:t xml:space="preserve"> 2</w:t>
      </w:r>
      <w:r>
        <w:rPr>
          <w:rFonts w:ascii="Cambria" w:hAnsi="Cambria"/>
          <w:sz w:val="20"/>
          <w:szCs w:val="20"/>
        </w:rPr>
        <w:t xml:space="preserve"> thereof</w:t>
      </w:r>
      <w:r w:rsidRPr="000202D4">
        <w:rPr>
          <w:rFonts w:ascii="Cambria" w:hAnsi="Cambria"/>
          <w:sz w:val="20"/>
          <w:szCs w:val="20"/>
        </w:rPr>
        <w:t>;</w:t>
      </w:r>
    </w:p>
    <w:p w:rsidR="00E46B4D" w:rsidRPr="000202D4" w:rsidRDefault="00E46B4D"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To declare this petition inadmissible with regard to Article </w:t>
      </w:r>
      <w:r w:rsidRPr="000202D4">
        <w:rPr>
          <w:rFonts w:ascii="Cambria" w:hAnsi="Cambria"/>
          <w:sz w:val="20"/>
          <w:szCs w:val="20"/>
        </w:rPr>
        <w:t xml:space="preserve">11 </w:t>
      </w:r>
      <w:r>
        <w:rPr>
          <w:rFonts w:ascii="Cambria" w:hAnsi="Cambria"/>
          <w:sz w:val="20"/>
          <w:szCs w:val="20"/>
        </w:rPr>
        <w:t>of the American Convention</w:t>
      </w:r>
    </w:p>
    <w:p w:rsidR="00E46B4D" w:rsidRPr="00D55071" w:rsidRDefault="00E46B4D" w:rsidP="008439B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olor w:val="FF0000"/>
          <w:sz w:val="20"/>
          <w:szCs w:val="20"/>
        </w:rPr>
      </w:pPr>
      <w:r>
        <w:rPr>
          <w:rFonts w:ascii="Cambria" w:hAnsi="Cambria"/>
          <w:sz w:val="20"/>
          <w:szCs w:val="20"/>
        </w:rPr>
        <w:t>To notify the parties of this decision; continue with analysis of the merits of the case; and publish this decision and include it in its Annual Report to the General Assembly of the Organization of American States</w:t>
      </w:r>
      <w:r w:rsidRPr="00296832">
        <w:rPr>
          <w:rFonts w:ascii="Cambria" w:hAnsi="Cambria"/>
          <w:sz w:val="20"/>
          <w:szCs w:val="20"/>
        </w:rPr>
        <w:t>.</w:t>
      </w:r>
    </w:p>
    <w:p w:rsidR="00D55071" w:rsidRPr="00D55071" w:rsidRDefault="00D55071" w:rsidP="0021319E">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D5507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21319E">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D55071" w:rsidRPr="00296832" w:rsidRDefault="00D55071" w:rsidP="00D5507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color w:val="FF0000"/>
          <w:sz w:val="20"/>
          <w:szCs w:val="20"/>
        </w:rPr>
      </w:pPr>
    </w:p>
    <w:sectPr w:rsidR="00D55071" w:rsidRPr="00296832"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1B" w:rsidRDefault="00255E1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55E1B" w:rsidRDefault="00255E1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44" w:rsidRDefault="00ED7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4D" w:rsidRPr="00934A2C" w:rsidRDefault="00E46B4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D7D44">
      <w:rPr>
        <w:noProof/>
        <w:sz w:val="16"/>
        <w:szCs w:val="22"/>
      </w:rPr>
      <w:t>3</w:t>
    </w:r>
    <w:r w:rsidRPr="00934A2C">
      <w:rPr>
        <w:sz w:val="16"/>
        <w:szCs w:val="22"/>
      </w:rPr>
      <w:fldChar w:fldCharType="end"/>
    </w:r>
  </w:p>
  <w:p w:rsidR="00E46B4D" w:rsidRDefault="00E46B4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4D" w:rsidRPr="00934A2C" w:rsidRDefault="00E46B4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E46B4D" w:rsidRDefault="00E46B4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1B" w:rsidRPr="000F35ED" w:rsidRDefault="00255E1B">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255E1B" w:rsidRPr="000F35ED" w:rsidRDefault="00255E1B"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255E1B" w:rsidRPr="000F35ED" w:rsidRDefault="00255E1B"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w:t>
      </w:r>
      <w:r>
        <w:rPr>
          <w:sz w:val="16"/>
          <w:szCs w:val="16"/>
        </w:rPr>
        <w:t>ed</w:t>
      </w:r>
      <w:r w:rsidRPr="000F35ED">
        <w:rPr>
          <w:sz w:val="16"/>
          <w:szCs w:val="16"/>
        </w:rPr>
        <w:t>ón</w:t>
      </w:r>
      <w:proofErr w:type="spellEnd"/>
      <w:proofErr w:type="gramEnd"/>
      <w:r>
        <w:rPr>
          <w:sz w:val="16"/>
          <w:szCs w:val="16"/>
        </w:rPr>
        <w:t>]</w:t>
      </w:r>
    </w:p>
  </w:footnote>
  <w:footnote w:type="continuationNotice" w:id="1">
    <w:p w:rsidR="00255E1B" w:rsidRPr="000F35ED" w:rsidRDefault="00255E1B"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E46B4D" w:rsidRDefault="00E46B4D" w:rsidP="00FF061F">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sidRPr="000202D4">
        <w:rPr>
          <w:rFonts w:ascii="Cambria" w:hAnsi="Cambria"/>
          <w:sz w:val="16"/>
          <w:szCs w:val="16"/>
        </w:rPr>
        <w:t xml:space="preserve"> </w:t>
      </w:r>
      <w:r>
        <w:rPr>
          <w:rFonts w:ascii="Cambria" w:hAnsi="Cambria"/>
          <w:sz w:val="16"/>
          <w:szCs w:val="16"/>
        </w:rPr>
        <w:t>Hereinafter “the American Convention”</w:t>
      </w:r>
    </w:p>
  </w:footnote>
  <w:footnote w:id="3">
    <w:p w:rsidR="00E46B4D" w:rsidRDefault="00E46B4D" w:rsidP="00FF061F">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sidRPr="000202D4">
        <w:rPr>
          <w:rFonts w:ascii="Cambria" w:hAnsi="Cambria"/>
          <w:sz w:val="16"/>
          <w:szCs w:val="16"/>
        </w:rPr>
        <w:t xml:space="preserve"> </w:t>
      </w:r>
      <w:r>
        <w:rPr>
          <w:rFonts w:ascii="Cambria" w:hAnsi="Cambria"/>
          <w:sz w:val="16"/>
          <w:szCs w:val="16"/>
        </w:rPr>
        <w:t>The observations made by each party were duly forwarded to the opposing party</w:t>
      </w:r>
      <w:r w:rsidRPr="000202D4">
        <w:rPr>
          <w:rFonts w:ascii="Cambria" w:hAnsi="Cambria"/>
          <w:sz w:val="16"/>
          <w:szCs w:val="16"/>
        </w:rPr>
        <w:t>.</w:t>
      </w:r>
    </w:p>
  </w:footnote>
  <w:footnote w:id="4">
    <w:p w:rsidR="00E46B4D" w:rsidRDefault="00E46B4D" w:rsidP="00BE35BA">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sidRPr="000202D4">
        <w:rPr>
          <w:rFonts w:ascii="Cambria" w:hAnsi="Cambria"/>
          <w:sz w:val="16"/>
          <w:szCs w:val="16"/>
        </w:rPr>
        <w:t xml:space="preserve"> </w:t>
      </w:r>
      <w:r>
        <w:rPr>
          <w:rFonts w:ascii="Cambria" w:hAnsi="Cambria"/>
          <w:sz w:val="16"/>
          <w:szCs w:val="16"/>
        </w:rPr>
        <w:t xml:space="preserve">She cites the relevant appeal decision in review </w:t>
      </w:r>
      <w:r w:rsidRPr="000202D4">
        <w:rPr>
          <w:rFonts w:ascii="Cambria" w:hAnsi="Cambria"/>
          <w:sz w:val="16"/>
          <w:szCs w:val="16"/>
        </w:rPr>
        <w:t xml:space="preserve">2021/99 </w:t>
      </w:r>
      <w:r>
        <w:rPr>
          <w:rFonts w:ascii="Cambria" w:hAnsi="Cambria"/>
          <w:sz w:val="16"/>
          <w:szCs w:val="16"/>
        </w:rPr>
        <w:t xml:space="preserve">of September 11, </w:t>
      </w:r>
      <w:r w:rsidRPr="000202D4">
        <w:rPr>
          <w:rFonts w:ascii="Cambria" w:hAnsi="Cambria"/>
          <w:sz w:val="16"/>
          <w:szCs w:val="16"/>
        </w:rPr>
        <w:t xml:space="preserve">2000 </w:t>
      </w:r>
      <w:r>
        <w:rPr>
          <w:rFonts w:ascii="Cambria" w:hAnsi="Cambria"/>
          <w:sz w:val="16"/>
          <w:szCs w:val="16"/>
        </w:rPr>
        <w:t>indicating that</w:t>
      </w:r>
      <w:r w:rsidRPr="000202D4">
        <w:rPr>
          <w:rFonts w:ascii="Cambria" w:hAnsi="Cambria"/>
          <w:sz w:val="16"/>
          <w:szCs w:val="16"/>
        </w:rPr>
        <w:t xml:space="preserve"> “</w:t>
      </w:r>
      <w:r>
        <w:rPr>
          <w:rFonts w:ascii="Cambria" w:hAnsi="Cambria"/>
          <w:sz w:val="16"/>
          <w:szCs w:val="16"/>
        </w:rPr>
        <w:t>the assumptions for the operation of tacit confirmation of the Magistrates of the Superior Courts of Justice of the States are</w:t>
      </w:r>
      <w:r w:rsidRPr="000202D4">
        <w:rPr>
          <w:rFonts w:ascii="Cambria" w:hAnsi="Cambria"/>
          <w:sz w:val="16"/>
          <w:szCs w:val="16"/>
        </w:rPr>
        <w:t xml:space="preserve"> : 1) </w:t>
      </w:r>
      <w:r>
        <w:rPr>
          <w:rFonts w:ascii="Cambria" w:hAnsi="Cambria"/>
          <w:sz w:val="16"/>
          <w:szCs w:val="16"/>
        </w:rPr>
        <w:t xml:space="preserve">that the position has been carried out for the period provided in the respective Local Constitution; and </w:t>
      </w:r>
      <w:r w:rsidRPr="000202D4">
        <w:rPr>
          <w:rFonts w:ascii="Cambria" w:hAnsi="Cambria"/>
          <w:sz w:val="16"/>
          <w:szCs w:val="16"/>
        </w:rPr>
        <w:t xml:space="preserve">2) </w:t>
      </w:r>
      <w:r>
        <w:rPr>
          <w:rFonts w:ascii="Cambria" w:hAnsi="Cambria"/>
          <w:sz w:val="16"/>
          <w:szCs w:val="16"/>
        </w:rPr>
        <w:t>that upon completion of the period, no evaluation opinion has been issued, by the bodies or bodies charged with proposing and approving confirmation, in which the conclusion regarding confirmation is negative</w:t>
      </w:r>
      <w:r w:rsidRPr="000202D4">
        <w:rPr>
          <w:rFonts w:ascii="Cambria" w:hAnsi="Cambria"/>
          <w:sz w:val="16"/>
          <w:szCs w:val="16"/>
        </w:rPr>
        <w:t xml:space="preserve">.    </w:t>
      </w:r>
    </w:p>
  </w:footnote>
  <w:footnote w:id="5">
    <w:p w:rsidR="00E46B4D" w:rsidRDefault="00E46B4D" w:rsidP="00E5619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color w:val="auto"/>
          <w:sz w:val="16"/>
          <w:szCs w:val="16"/>
        </w:rPr>
        <w:footnoteRef/>
      </w:r>
      <w:r w:rsidRPr="000202D4">
        <w:rPr>
          <w:rFonts w:ascii="Cambria" w:hAnsi="Cambria"/>
          <w:color w:val="auto"/>
          <w:sz w:val="16"/>
          <w:szCs w:val="16"/>
        </w:rPr>
        <w:t xml:space="preserve"> </w:t>
      </w:r>
      <w:r>
        <w:rPr>
          <w:rFonts w:ascii="Cambria" w:hAnsi="Cambria"/>
          <w:color w:val="auto"/>
          <w:sz w:val="16"/>
          <w:szCs w:val="16"/>
        </w:rPr>
        <w:t>She also reports that the failure to confirm her left her without funds to cover daily living expenses and affected her honor and dignity in that the opinion attributed characteristics to her that did not apply such as a lack of honesty and professionalism</w:t>
      </w:r>
    </w:p>
  </w:footnote>
  <w:footnote w:id="6">
    <w:p w:rsidR="00E46B4D" w:rsidRPr="00565F1C" w:rsidRDefault="00E46B4D" w:rsidP="00E5619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0202D4">
        <w:rPr>
          <w:rStyle w:val="FootnoteReference"/>
          <w:rFonts w:ascii="Cambria" w:hAnsi="Cambria"/>
          <w:color w:val="auto"/>
          <w:sz w:val="16"/>
          <w:szCs w:val="16"/>
        </w:rPr>
        <w:footnoteRef/>
      </w:r>
      <w:r w:rsidRPr="000202D4">
        <w:rPr>
          <w:rFonts w:ascii="Cambria" w:hAnsi="Cambria"/>
          <w:color w:val="auto"/>
          <w:sz w:val="16"/>
          <w:szCs w:val="16"/>
        </w:rPr>
        <w:t xml:space="preserve"> </w:t>
      </w:r>
      <w:r>
        <w:rPr>
          <w:rFonts w:ascii="Cambria" w:hAnsi="Cambria"/>
          <w:color w:val="auto"/>
          <w:sz w:val="16"/>
          <w:szCs w:val="16"/>
        </w:rPr>
        <w:t xml:space="preserve">In support of this argument, she cites the precedent in </w:t>
      </w:r>
      <w:proofErr w:type="gramStart"/>
      <w:r>
        <w:rPr>
          <w:rFonts w:ascii="Cambria" w:hAnsi="Cambria"/>
          <w:color w:val="auto"/>
          <w:sz w:val="16"/>
          <w:szCs w:val="16"/>
        </w:rPr>
        <w:t>IACHR  Report</w:t>
      </w:r>
      <w:proofErr w:type="gramEnd"/>
      <w:r w:rsidRPr="000202D4">
        <w:rPr>
          <w:rFonts w:ascii="Cambria" w:hAnsi="Cambria"/>
          <w:color w:val="auto"/>
          <w:sz w:val="16"/>
          <w:szCs w:val="16"/>
        </w:rPr>
        <w:t xml:space="preserve"> No. 67/14, Peti</w:t>
      </w:r>
      <w:r>
        <w:rPr>
          <w:rFonts w:ascii="Cambria" w:hAnsi="Cambria"/>
          <w:color w:val="auto"/>
          <w:sz w:val="16"/>
          <w:szCs w:val="16"/>
        </w:rPr>
        <w:t>tion</w:t>
      </w:r>
      <w:r w:rsidRPr="000202D4">
        <w:rPr>
          <w:rFonts w:ascii="Cambria" w:hAnsi="Cambria"/>
          <w:color w:val="auto"/>
          <w:sz w:val="16"/>
          <w:szCs w:val="16"/>
        </w:rPr>
        <w:t xml:space="preserve"> 1352-06 </w:t>
      </w:r>
      <w:r>
        <w:rPr>
          <w:rFonts w:ascii="Cambria" w:hAnsi="Cambria"/>
          <w:color w:val="auto"/>
          <w:sz w:val="16"/>
          <w:szCs w:val="16"/>
        </w:rPr>
        <w:t>and</w:t>
      </w:r>
      <w:r w:rsidRPr="000202D4">
        <w:rPr>
          <w:rFonts w:ascii="Cambria" w:hAnsi="Cambria"/>
          <w:color w:val="auto"/>
          <w:sz w:val="16"/>
          <w:szCs w:val="16"/>
        </w:rPr>
        <w:t xml:space="preserve"> 580-07. </w:t>
      </w:r>
      <w:proofErr w:type="spellStart"/>
      <w:r w:rsidRPr="00565F1C">
        <w:rPr>
          <w:rFonts w:ascii="Cambria" w:hAnsi="Cambria"/>
          <w:color w:val="auto"/>
          <w:sz w:val="16"/>
          <w:szCs w:val="16"/>
          <w:lang w:val="es-US"/>
        </w:rPr>
        <w:t>Inadmissibility</w:t>
      </w:r>
      <w:proofErr w:type="spellEnd"/>
      <w:r w:rsidRPr="00565F1C">
        <w:rPr>
          <w:rFonts w:ascii="Cambria" w:hAnsi="Cambria"/>
          <w:color w:val="auto"/>
          <w:sz w:val="16"/>
          <w:szCs w:val="16"/>
          <w:lang w:val="es-US"/>
        </w:rPr>
        <w:t xml:space="preserve">. Bernardo Romero Vázquez and Raymundo Gil Rendón. </w:t>
      </w:r>
      <w:proofErr w:type="spellStart"/>
      <w:r w:rsidRPr="00565F1C">
        <w:rPr>
          <w:rFonts w:ascii="Cambria" w:hAnsi="Cambria"/>
          <w:color w:val="auto"/>
          <w:sz w:val="16"/>
          <w:szCs w:val="16"/>
          <w:lang w:val="es-US"/>
        </w:rPr>
        <w:t>Mexico</w:t>
      </w:r>
      <w:proofErr w:type="spellEnd"/>
      <w:r w:rsidRPr="00565F1C">
        <w:rPr>
          <w:rFonts w:ascii="Cambria" w:hAnsi="Cambria"/>
          <w:color w:val="auto"/>
          <w:sz w:val="16"/>
          <w:szCs w:val="16"/>
          <w:lang w:val="es-US"/>
        </w:rPr>
        <w:t xml:space="preserve">. </w:t>
      </w:r>
      <w:proofErr w:type="spellStart"/>
      <w:r w:rsidRPr="00565F1C">
        <w:rPr>
          <w:rFonts w:ascii="Cambria" w:hAnsi="Cambria"/>
          <w:color w:val="auto"/>
          <w:sz w:val="16"/>
          <w:szCs w:val="16"/>
          <w:lang w:val="es-US"/>
        </w:rPr>
        <w:t>July</w:t>
      </w:r>
      <w:proofErr w:type="spellEnd"/>
      <w:r w:rsidRPr="00565F1C">
        <w:rPr>
          <w:rFonts w:ascii="Cambria" w:hAnsi="Cambria"/>
          <w:color w:val="auto"/>
          <w:sz w:val="16"/>
          <w:szCs w:val="16"/>
          <w:lang w:val="es-US"/>
        </w:rPr>
        <w:t xml:space="preserve"> 25, 2014.</w:t>
      </w:r>
    </w:p>
  </w:footnote>
  <w:footnote w:id="7">
    <w:p w:rsidR="00E46B4D" w:rsidRDefault="00E46B4D" w:rsidP="0057265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color w:val="auto"/>
          <w:sz w:val="16"/>
          <w:szCs w:val="16"/>
        </w:rPr>
        <w:footnoteRef/>
      </w:r>
      <w:r w:rsidRPr="000202D4">
        <w:rPr>
          <w:rFonts w:ascii="Cambria" w:hAnsi="Cambria"/>
          <w:color w:val="auto"/>
          <w:sz w:val="16"/>
          <w:szCs w:val="16"/>
        </w:rPr>
        <w:t xml:space="preserve"> </w:t>
      </w:r>
      <w:r>
        <w:rPr>
          <w:rFonts w:ascii="Cambria" w:hAnsi="Cambria"/>
          <w:color w:val="auto"/>
          <w:sz w:val="16"/>
          <w:szCs w:val="16"/>
        </w:rPr>
        <w:t>IACHR</w:t>
      </w:r>
      <w:r w:rsidRPr="000202D4">
        <w:rPr>
          <w:rFonts w:ascii="Cambria" w:hAnsi="Cambria"/>
          <w:color w:val="auto"/>
          <w:sz w:val="16"/>
          <w:szCs w:val="16"/>
        </w:rPr>
        <w:t>, G</w:t>
      </w:r>
      <w:r>
        <w:rPr>
          <w:rFonts w:ascii="Cambria" w:hAnsi="Cambria"/>
          <w:color w:val="auto"/>
          <w:sz w:val="16"/>
          <w:szCs w:val="16"/>
        </w:rPr>
        <w:t>uarantees for the Independence of Justice Operators</w:t>
      </w:r>
      <w:r w:rsidRPr="000202D4">
        <w:rPr>
          <w:rFonts w:ascii="Cambria" w:hAnsi="Cambria"/>
          <w:color w:val="auto"/>
          <w:sz w:val="16"/>
          <w:szCs w:val="16"/>
        </w:rPr>
        <w:t>, OEA/Ser.</w:t>
      </w:r>
      <w:r>
        <w:rPr>
          <w:rFonts w:ascii="Cambria" w:hAnsi="Cambria"/>
          <w:color w:val="auto"/>
          <w:sz w:val="16"/>
          <w:szCs w:val="16"/>
        </w:rPr>
        <w:t xml:space="preserve"> </w:t>
      </w:r>
      <w:r w:rsidRPr="00296832">
        <w:rPr>
          <w:rFonts w:ascii="Cambria" w:hAnsi="Cambria"/>
          <w:color w:val="auto"/>
          <w:sz w:val="16"/>
          <w:szCs w:val="16"/>
          <w:lang w:val="es-ES"/>
        </w:rPr>
        <w:t xml:space="preserve">L/V/II. Doc. 44/13 (“CIDH, Garantías para la Independencia de las y los Operadores de Justicia”) para. </w:t>
      </w:r>
      <w:r w:rsidRPr="000202D4">
        <w:rPr>
          <w:rFonts w:ascii="Cambria" w:hAnsi="Cambria"/>
          <w:color w:val="auto"/>
          <w:sz w:val="16"/>
          <w:szCs w:val="16"/>
        </w:rPr>
        <w:t xml:space="preserve">217; </w:t>
      </w:r>
      <w:r>
        <w:rPr>
          <w:rFonts w:ascii="Cambria" w:hAnsi="Cambria"/>
          <w:color w:val="auto"/>
          <w:sz w:val="16"/>
          <w:szCs w:val="16"/>
        </w:rPr>
        <w:t>See also IACHR</w:t>
      </w:r>
      <w:r w:rsidRPr="000202D4">
        <w:rPr>
          <w:rFonts w:ascii="Cambria" w:hAnsi="Cambria"/>
          <w:sz w:val="16"/>
          <w:szCs w:val="16"/>
        </w:rPr>
        <w:t>. Cas</w:t>
      </w:r>
      <w:r>
        <w:rPr>
          <w:rFonts w:ascii="Cambria" w:hAnsi="Cambria"/>
          <w:sz w:val="16"/>
          <w:szCs w:val="16"/>
        </w:rPr>
        <w:t>e</w:t>
      </w:r>
      <w:r w:rsidRPr="000202D4">
        <w:rPr>
          <w:rFonts w:ascii="Cambria" w:hAnsi="Cambria"/>
          <w:sz w:val="16"/>
          <w:szCs w:val="16"/>
        </w:rPr>
        <w:t xml:space="preserve"> 12.600 Hugo Quintana </w:t>
      </w:r>
      <w:proofErr w:type="spellStart"/>
      <w:r w:rsidRPr="000202D4">
        <w:rPr>
          <w:rFonts w:ascii="Cambria" w:hAnsi="Cambria"/>
          <w:sz w:val="16"/>
          <w:szCs w:val="16"/>
        </w:rPr>
        <w:t>Coello</w:t>
      </w:r>
      <w:proofErr w:type="spellEnd"/>
      <w:r w:rsidRPr="000202D4">
        <w:rPr>
          <w:rFonts w:ascii="Cambria" w:hAnsi="Cambria"/>
          <w:sz w:val="16"/>
          <w:szCs w:val="16"/>
        </w:rPr>
        <w:t xml:space="preserve"> </w:t>
      </w:r>
      <w:r>
        <w:rPr>
          <w:rFonts w:ascii="Cambria" w:hAnsi="Cambria"/>
          <w:sz w:val="16"/>
          <w:szCs w:val="16"/>
        </w:rPr>
        <w:t>et al.</w:t>
      </w:r>
      <w:r w:rsidRPr="000202D4">
        <w:rPr>
          <w:rFonts w:ascii="Cambria" w:hAnsi="Cambria"/>
          <w:sz w:val="16"/>
          <w:szCs w:val="16"/>
        </w:rPr>
        <w:t xml:space="preserve"> (</w:t>
      </w:r>
      <w:r>
        <w:rPr>
          <w:rFonts w:ascii="Cambria" w:hAnsi="Cambria"/>
          <w:sz w:val="16"/>
          <w:szCs w:val="16"/>
        </w:rPr>
        <w:t>Supreme Court of Justice</w:t>
      </w:r>
      <w:r w:rsidRPr="000202D4">
        <w:rPr>
          <w:rFonts w:ascii="Cambria" w:hAnsi="Cambria"/>
          <w:sz w:val="16"/>
          <w:szCs w:val="16"/>
        </w:rPr>
        <w:t xml:space="preserve">) </w:t>
      </w:r>
      <w:r>
        <w:rPr>
          <w:rFonts w:ascii="Cambria" w:hAnsi="Cambria"/>
          <w:sz w:val="16"/>
          <w:szCs w:val="16"/>
        </w:rPr>
        <w:t>Ecuador</w:t>
      </w:r>
      <w:r w:rsidRPr="000202D4">
        <w:rPr>
          <w:rFonts w:ascii="Cambria" w:hAnsi="Cambria"/>
          <w:sz w:val="16"/>
          <w:szCs w:val="16"/>
        </w:rPr>
        <w:t xml:space="preserve"> (</w:t>
      </w:r>
      <w:r>
        <w:rPr>
          <w:rFonts w:ascii="Cambria" w:hAnsi="Cambria"/>
          <w:sz w:val="16"/>
          <w:szCs w:val="16"/>
        </w:rPr>
        <w:t>Merits</w:t>
      </w:r>
      <w:r w:rsidRPr="000202D4">
        <w:rPr>
          <w:rFonts w:ascii="Cambria" w:hAnsi="Cambria"/>
          <w:sz w:val="16"/>
          <w:szCs w:val="16"/>
        </w:rPr>
        <w:t xml:space="preserve">), </w:t>
      </w:r>
      <w:r>
        <w:rPr>
          <w:rFonts w:ascii="Cambria" w:hAnsi="Cambria"/>
          <w:sz w:val="16"/>
          <w:szCs w:val="16"/>
        </w:rPr>
        <w:t xml:space="preserve">August 2, </w:t>
      </w:r>
      <w:r w:rsidRPr="000202D4">
        <w:rPr>
          <w:rFonts w:ascii="Cambria" w:hAnsi="Cambria"/>
          <w:sz w:val="16"/>
          <w:szCs w:val="16"/>
        </w:rPr>
        <w:t xml:space="preserve">2011, </w:t>
      </w:r>
      <w:r>
        <w:rPr>
          <w:rFonts w:ascii="Cambria" w:hAnsi="Cambria"/>
          <w:sz w:val="16"/>
          <w:szCs w:val="16"/>
        </w:rPr>
        <w:t>para</w:t>
      </w:r>
      <w:r w:rsidRPr="000202D4">
        <w:rPr>
          <w:rFonts w:ascii="Cambria" w:hAnsi="Cambria"/>
          <w:sz w:val="16"/>
          <w:szCs w:val="16"/>
        </w:rPr>
        <w:t>. 100.</w:t>
      </w:r>
      <w:r w:rsidRPr="000202D4">
        <w:rPr>
          <w:rFonts w:ascii="Cambria" w:hAnsi="Cambria"/>
          <w:color w:val="auto"/>
          <w:sz w:val="16"/>
          <w:szCs w:val="16"/>
        </w:rPr>
        <w:t xml:space="preserve"> </w:t>
      </w:r>
    </w:p>
  </w:footnote>
  <w:footnote w:id="8">
    <w:p w:rsidR="00E46B4D" w:rsidRDefault="00E46B4D" w:rsidP="000A6A6B">
      <w:pPr>
        <w:pStyle w:val="FootnoteText"/>
        <w:pBdr>
          <w:top w:val="none" w:sz="0" w:space="0" w:color="auto"/>
          <w:left w:val="none" w:sz="0" w:space="0" w:color="auto"/>
          <w:bottom w:val="none" w:sz="0" w:space="0" w:color="auto"/>
          <w:right w:val="none" w:sz="0" w:space="0" w:color="auto"/>
          <w:bar w:val="none" w:sz="0" w:color="auto"/>
        </w:pBdr>
        <w:ind w:firstLine="720"/>
      </w:pPr>
      <w:r w:rsidRPr="000202D4">
        <w:rPr>
          <w:rStyle w:val="FootnoteReference"/>
        </w:rPr>
        <w:footnoteRef/>
      </w:r>
      <w:r w:rsidRPr="000202D4">
        <w:t xml:space="preserve"> </w:t>
      </w:r>
      <w:r>
        <w:rPr>
          <w:rFonts w:ascii="Cambria" w:hAnsi="Cambria"/>
          <w:sz w:val="16"/>
          <w:szCs w:val="16"/>
        </w:rPr>
        <w:t>I/A Court H.R.</w:t>
      </w:r>
      <w:r w:rsidRPr="000202D4">
        <w:rPr>
          <w:rFonts w:ascii="Cambria" w:hAnsi="Cambria"/>
          <w:sz w:val="16"/>
          <w:szCs w:val="16"/>
        </w:rPr>
        <w:t xml:space="preserve"> </w:t>
      </w:r>
      <w:r>
        <w:rPr>
          <w:rFonts w:ascii="Cambria" w:hAnsi="Cambria"/>
          <w:sz w:val="16"/>
          <w:szCs w:val="16"/>
        </w:rPr>
        <w:t>Case of the Supreme Court of Justice</w:t>
      </w:r>
      <w:r w:rsidRPr="000202D4">
        <w:rPr>
          <w:rFonts w:ascii="Cambria" w:hAnsi="Cambria"/>
          <w:sz w:val="16"/>
          <w:szCs w:val="16"/>
        </w:rPr>
        <w:t xml:space="preserve"> (Quintana </w:t>
      </w:r>
      <w:proofErr w:type="spellStart"/>
      <w:r w:rsidRPr="000202D4">
        <w:rPr>
          <w:rFonts w:ascii="Cambria" w:hAnsi="Cambria"/>
          <w:sz w:val="16"/>
          <w:szCs w:val="16"/>
        </w:rPr>
        <w:t>Coello</w:t>
      </w:r>
      <w:proofErr w:type="spellEnd"/>
      <w:r w:rsidRPr="000202D4">
        <w:rPr>
          <w:rFonts w:ascii="Cambria" w:hAnsi="Cambria"/>
          <w:sz w:val="16"/>
          <w:szCs w:val="16"/>
        </w:rPr>
        <w:t xml:space="preserve"> </w:t>
      </w:r>
      <w:r>
        <w:rPr>
          <w:rFonts w:ascii="Cambria" w:hAnsi="Cambria"/>
          <w:sz w:val="16"/>
          <w:szCs w:val="16"/>
        </w:rPr>
        <w:t>et al.</w:t>
      </w:r>
      <w:r w:rsidRPr="000202D4">
        <w:rPr>
          <w:rFonts w:ascii="Cambria" w:hAnsi="Cambria"/>
          <w:sz w:val="16"/>
          <w:szCs w:val="16"/>
        </w:rPr>
        <w:t xml:space="preserve">) </w:t>
      </w:r>
      <w:r>
        <w:rPr>
          <w:rFonts w:ascii="Cambria" w:hAnsi="Cambria"/>
          <w:sz w:val="16"/>
          <w:szCs w:val="16"/>
        </w:rPr>
        <w:t>v</w:t>
      </w:r>
      <w:r w:rsidRPr="000202D4">
        <w:rPr>
          <w:rFonts w:ascii="Cambria" w:hAnsi="Cambria"/>
          <w:sz w:val="16"/>
          <w:szCs w:val="16"/>
        </w:rPr>
        <w:t xml:space="preserve">. Ecuador. </w:t>
      </w:r>
      <w:r>
        <w:rPr>
          <w:rFonts w:ascii="Cambria" w:hAnsi="Cambria"/>
          <w:sz w:val="16"/>
          <w:szCs w:val="16"/>
        </w:rPr>
        <w:t>Preliminary Objection, Merits, Reparations and Costs</w:t>
      </w:r>
      <w:r w:rsidRPr="000202D4">
        <w:rPr>
          <w:rFonts w:ascii="Cambria" w:hAnsi="Cambria"/>
          <w:sz w:val="16"/>
          <w:szCs w:val="16"/>
        </w:rPr>
        <w:t xml:space="preserve">. </w:t>
      </w:r>
      <w:r>
        <w:rPr>
          <w:rFonts w:ascii="Cambria" w:hAnsi="Cambria"/>
          <w:sz w:val="16"/>
          <w:szCs w:val="16"/>
        </w:rPr>
        <w:t>Judgment of August 23</w:t>
      </w:r>
      <w:proofErr w:type="gramStart"/>
      <w:r>
        <w:rPr>
          <w:rFonts w:ascii="Cambria" w:hAnsi="Cambria"/>
          <w:sz w:val="16"/>
          <w:szCs w:val="16"/>
        </w:rPr>
        <w:t xml:space="preserve">, </w:t>
      </w:r>
      <w:r w:rsidRPr="000202D4">
        <w:rPr>
          <w:rFonts w:ascii="Cambria" w:hAnsi="Cambria"/>
          <w:sz w:val="16"/>
          <w:szCs w:val="16"/>
        </w:rPr>
        <w:t xml:space="preserve"> 2013</w:t>
      </w:r>
      <w:proofErr w:type="gramEnd"/>
      <w:r w:rsidRPr="000202D4">
        <w:rPr>
          <w:rFonts w:ascii="Cambria" w:hAnsi="Cambria"/>
          <w:sz w:val="16"/>
          <w:szCs w:val="16"/>
        </w:rPr>
        <w:t xml:space="preserve"> </w:t>
      </w:r>
      <w:r>
        <w:rPr>
          <w:rFonts w:ascii="Cambria" w:hAnsi="Cambria"/>
          <w:sz w:val="16"/>
          <w:szCs w:val="16"/>
        </w:rPr>
        <w:t>para</w:t>
      </w:r>
      <w:r w:rsidRPr="000202D4">
        <w:rPr>
          <w:rFonts w:ascii="Cambria" w:hAnsi="Cambria"/>
          <w:sz w:val="16"/>
          <w:szCs w:val="16"/>
        </w:rPr>
        <w:t xml:space="preserve"> 155.</w:t>
      </w:r>
    </w:p>
  </w:footnote>
  <w:footnote w:id="9">
    <w:p w:rsidR="00E46B4D" w:rsidRDefault="00E46B4D" w:rsidP="00930288">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sidRPr="000202D4">
        <w:rPr>
          <w:rFonts w:ascii="Cambria" w:hAnsi="Cambria"/>
          <w:sz w:val="16"/>
          <w:szCs w:val="16"/>
        </w:rPr>
        <w:t xml:space="preserve"> </w:t>
      </w:r>
      <w:r>
        <w:rPr>
          <w:rFonts w:ascii="Cambria" w:hAnsi="Cambria"/>
          <w:sz w:val="16"/>
          <w:szCs w:val="16"/>
        </w:rPr>
        <w:t>IACHR</w:t>
      </w:r>
      <w:r w:rsidRPr="000202D4">
        <w:rPr>
          <w:rFonts w:ascii="Cambria" w:hAnsi="Cambria"/>
          <w:sz w:val="16"/>
          <w:szCs w:val="16"/>
        </w:rPr>
        <w:t xml:space="preserve">, </w:t>
      </w:r>
      <w:r w:rsidRPr="000202D4">
        <w:rPr>
          <w:rFonts w:ascii="Cambria" w:hAnsi="Cambria"/>
          <w:color w:val="auto"/>
          <w:sz w:val="16"/>
          <w:szCs w:val="16"/>
        </w:rPr>
        <w:t>G</w:t>
      </w:r>
      <w:r>
        <w:rPr>
          <w:rFonts w:ascii="Cambria" w:hAnsi="Cambria"/>
          <w:color w:val="auto"/>
          <w:sz w:val="16"/>
          <w:szCs w:val="16"/>
        </w:rPr>
        <w:t>uarantees for the Independence of Justice Operators</w:t>
      </w:r>
      <w:r w:rsidRPr="000202D4">
        <w:rPr>
          <w:rFonts w:ascii="Cambria" w:hAnsi="Cambria"/>
          <w:sz w:val="16"/>
          <w:szCs w:val="16"/>
        </w:rPr>
        <w:t xml:space="preserve">, </w:t>
      </w:r>
      <w:r>
        <w:rPr>
          <w:rFonts w:ascii="Cambria" w:hAnsi="Cambria"/>
          <w:sz w:val="16"/>
          <w:szCs w:val="16"/>
        </w:rPr>
        <w:t>para.</w:t>
      </w:r>
      <w:r w:rsidRPr="000202D4">
        <w:rPr>
          <w:rFonts w:ascii="Cambria" w:hAnsi="Cambria"/>
          <w:sz w:val="16"/>
          <w:szCs w:val="16"/>
        </w:rPr>
        <w:t xml:space="preserve"> 114.</w:t>
      </w:r>
    </w:p>
  </w:footnote>
  <w:footnote w:id="10">
    <w:p w:rsidR="00E46B4D" w:rsidRDefault="00E46B4D" w:rsidP="00370C5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sidRPr="000202D4">
        <w:rPr>
          <w:rFonts w:ascii="Cambria" w:hAnsi="Cambria"/>
          <w:sz w:val="16"/>
          <w:szCs w:val="16"/>
        </w:rPr>
        <w:t xml:space="preserve"> </w:t>
      </w:r>
      <w:r>
        <w:rPr>
          <w:rFonts w:ascii="Cambria" w:hAnsi="Cambria"/>
          <w:sz w:val="16"/>
          <w:szCs w:val="16"/>
        </w:rPr>
        <w:t>IACHR</w:t>
      </w:r>
      <w:r w:rsidRPr="000202D4">
        <w:rPr>
          <w:rFonts w:ascii="Cambria" w:hAnsi="Cambria"/>
          <w:sz w:val="16"/>
          <w:szCs w:val="16"/>
        </w:rPr>
        <w:t xml:space="preserve">, </w:t>
      </w:r>
      <w:r w:rsidRPr="000202D4">
        <w:rPr>
          <w:rFonts w:ascii="Cambria" w:hAnsi="Cambria"/>
          <w:color w:val="auto"/>
          <w:sz w:val="16"/>
          <w:szCs w:val="16"/>
        </w:rPr>
        <w:t>G</w:t>
      </w:r>
      <w:r>
        <w:rPr>
          <w:rFonts w:ascii="Cambria" w:hAnsi="Cambria"/>
          <w:color w:val="auto"/>
          <w:sz w:val="16"/>
          <w:szCs w:val="16"/>
        </w:rPr>
        <w:t>uarantees for the Independence of Justice Operators</w:t>
      </w:r>
      <w:r w:rsidRPr="000202D4">
        <w:rPr>
          <w:rFonts w:ascii="Cambria" w:hAnsi="Cambria"/>
          <w:sz w:val="16"/>
          <w:szCs w:val="16"/>
        </w:rPr>
        <w:t xml:space="preserve">, </w:t>
      </w:r>
      <w:r>
        <w:rPr>
          <w:rFonts w:ascii="Cambria" w:hAnsi="Cambria"/>
          <w:sz w:val="16"/>
          <w:szCs w:val="16"/>
        </w:rPr>
        <w:t>para.</w:t>
      </w:r>
      <w:r w:rsidRPr="000202D4">
        <w:rPr>
          <w:rFonts w:ascii="Cambria" w:hAnsi="Cambria"/>
          <w:sz w:val="16"/>
          <w:szCs w:val="16"/>
        </w:rPr>
        <w:t xml:space="preserve"> 230.</w:t>
      </w:r>
    </w:p>
  </w:footnote>
  <w:footnote w:id="11">
    <w:p w:rsidR="00E46B4D" w:rsidRDefault="00E46B4D" w:rsidP="00177B89">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0202D4">
        <w:rPr>
          <w:rStyle w:val="FootnoteReference"/>
          <w:rFonts w:ascii="Cambria" w:hAnsi="Cambria"/>
          <w:sz w:val="16"/>
          <w:szCs w:val="16"/>
        </w:rPr>
        <w:footnoteRef/>
      </w:r>
      <w:r>
        <w:rPr>
          <w:rFonts w:ascii="Cambria" w:hAnsi="Cambria"/>
          <w:sz w:val="16"/>
          <w:szCs w:val="16"/>
        </w:rPr>
        <w:t xml:space="preserve"> European Court of Human Rights</w:t>
      </w:r>
      <w:r w:rsidRPr="000202D4">
        <w:rPr>
          <w:rFonts w:ascii="Cambria" w:hAnsi="Cambria"/>
          <w:sz w:val="16"/>
          <w:szCs w:val="16"/>
        </w:rPr>
        <w:t xml:space="preserve">, </w:t>
      </w:r>
      <w:proofErr w:type="spellStart"/>
      <w:r w:rsidRPr="000202D4">
        <w:rPr>
          <w:rFonts w:ascii="Cambria" w:hAnsi="Cambria"/>
          <w:sz w:val="16"/>
          <w:szCs w:val="16"/>
        </w:rPr>
        <w:t>Akkus</w:t>
      </w:r>
      <w:proofErr w:type="spellEnd"/>
      <w:r w:rsidRPr="000202D4">
        <w:rPr>
          <w:rFonts w:ascii="Cambria" w:hAnsi="Cambria"/>
          <w:sz w:val="16"/>
          <w:szCs w:val="16"/>
        </w:rPr>
        <w:t xml:space="preserve"> </w:t>
      </w:r>
      <w:r>
        <w:rPr>
          <w:rFonts w:ascii="Cambria" w:hAnsi="Cambria"/>
          <w:sz w:val="16"/>
          <w:szCs w:val="16"/>
        </w:rPr>
        <w:t>v</w:t>
      </w:r>
      <w:r w:rsidRPr="000202D4">
        <w:rPr>
          <w:rFonts w:ascii="Cambria" w:hAnsi="Cambria"/>
          <w:sz w:val="16"/>
          <w:szCs w:val="16"/>
        </w:rPr>
        <w:t>. Tur</w:t>
      </w:r>
      <w:r>
        <w:rPr>
          <w:rFonts w:ascii="Cambria" w:hAnsi="Cambria"/>
          <w:sz w:val="16"/>
          <w:szCs w:val="16"/>
        </w:rPr>
        <w:t>key</w:t>
      </w:r>
      <w:r w:rsidRPr="000202D4">
        <w:rPr>
          <w:rFonts w:ascii="Cambria" w:hAnsi="Cambria"/>
          <w:sz w:val="16"/>
          <w:szCs w:val="16"/>
        </w:rPr>
        <w:t xml:space="preserve"> , </w:t>
      </w:r>
      <w:r>
        <w:rPr>
          <w:rFonts w:ascii="Cambria" w:hAnsi="Cambria"/>
          <w:sz w:val="16"/>
          <w:szCs w:val="16"/>
        </w:rPr>
        <w:t xml:space="preserve">Judgment of 9 July </w:t>
      </w:r>
      <w:r w:rsidRPr="000202D4">
        <w:rPr>
          <w:rFonts w:ascii="Cambria" w:hAnsi="Cambria"/>
          <w:sz w:val="16"/>
          <w:szCs w:val="16"/>
        </w:rPr>
        <w:t>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4D" w:rsidRDefault="00E46B4D"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E46B4D" w:rsidRDefault="00E4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4D" w:rsidRDefault="00565F1C" w:rsidP="00A50FCF">
    <w:pPr>
      <w:pStyle w:val="Header"/>
      <w:tabs>
        <w:tab w:val="clear" w:pos="4320"/>
        <w:tab w:val="clear" w:pos="8640"/>
      </w:tabs>
      <w:jc w:val="center"/>
      <w:rPr>
        <w:sz w:val="22"/>
        <w:szCs w:val="22"/>
      </w:rPr>
    </w:pPr>
    <w:r>
      <w:rPr>
        <w:noProof/>
      </w:rPr>
      <w:drawing>
        <wp:inline distT="0" distB="0" distL="0" distR="0">
          <wp:extent cx="2276475" cy="114300"/>
          <wp:effectExtent l="0" t="0" r="9525" b="0"/>
          <wp:docPr id="14" name="Picture 1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E46B4D" w:rsidRPr="00EC7D62" w:rsidRDefault="00255E1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44" w:rsidRDefault="00ED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30"/>
    <w:rsid w:val="0000036F"/>
    <w:rsid w:val="00000CDA"/>
    <w:rsid w:val="00004749"/>
    <w:rsid w:val="000065D0"/>
    <w:rsid w:val="00006B74"/>
    <w:rsid w:val="00006E1F"/>
    <w:rsid w:val="000070D7"/>
    <w:rsid w:val="000104F5"/>
    <w:rsid w:val="00015701"/>
    <w:rsid w:val="0001788C"/>
    <w:rsid w:val="000202D4"/>
    <w:rsid w:val="0002186F"/>
    <w:rsid w:val="00025AAD"/>
    <w:rsid w:val="0002733D"/>
    <w:rsid w:val="000337EF"/>
    <w:rsid w:val="00040C3A"/>
    <w:rsid w:val="000419AD"/>
    <w:rsid w:val="000514F9"/>
    <w:rsid w:val="00061E0B"/>
    <w:rsid w:val="000716C5"/>
    <w:rsid w:val="00075E23"/>
    <w:rsid w:val="00080DFE"/>
    <w:rsid w:val="00085498"/>
    <w:rsid w:val="0009006E"/>
    <w:rsid w:val="0009344A"/>
    <w:rsid w:val="0009678E"/>
    <w:rsid w:val="000A13C1"/>
    <w:rsid w:val="000A19F8"/>
    <w:rsid w:val="000A3254"/>
    <w:rsid w:val="000A392E"/>
    <w:rsid w:val="000A575F"/>
    <w:rsid w:val="000A63D0"/>
    <w:rsid w:val="000A6A6B"/>
    <w:rsid w:val="000B0579"/>
    <w:rsid w:val="000B73F6"/>
    <w:rsid w:val="000C1C69"/>
    <w:rsid w:val="000C3A31"/>
    <w:rsid w:val="000D10DB"/>
    <w:rsid w:val="000E2789"/>
    <w:rsid w:val="000E578D"/>
    <w:rsid w:val="000E5EB5"/>
    <w:rsid w:val="000F35ED"/>
    <w:rsid w:val="000F5C24"/>
    <w:rsid w:val="000F69F9"/>
    <w:rsid w:val="00107131"/>
    <w:rsid w:val="0010736F"/>
    <w:rsid w:val="00111A8A"/>
    <w:rsid w:val="00112F36"/>
    <w:rsid w:val="00113F73"/>
    <w:rsid w:val="00114A07"/>
    <w:rsid w:val="00121CC2"/>
    <w:rsid w:val="001257FB"/>
    <w:rsid w:val="00127E3F"/>
    <w:rsid w:val="00131D8B"/>
    <w:rsid w:val="00133EE5"/>
    <w:rsid w:val="001342BD"/>
    <w:rsid w:val="00136003"/>
    <w:rsid w:val="00136E3D"/>
    <w:rsid w:val="00143EFE"/>
    <w:rsid w:val="0014713A"/>
    <w:rsid w:val="001479C0"/>
    <w:rsid w:val="0015330B"/>
    <w:rsid w:val="001606E7"/>
    <w:rsid w:val="00164AE0"/>
    <w:rsid w:val="00167A34"/>
    <w:rsid w:val="00174D13"/>
    <w:rsid w:val="00174FC1"/>
    <w:rsid w:val="00176BB3"/>
    <w:rsid w:val="00177B89"/>
    <w:rsid w:val="00177EEF"/>
    <w:rsid w:val="001A031F"/>
    <w:rsid w:val="001A77B9"/>
    <w:rsid w:val="001A7870"/>
    <w:rsid w:val="001B3A00"/>
    <w:rsid w:val="001B4C00"/>
    <w:rsid w:val="001C0366"/>
    <w:rsid w:val="001C1B41"/>
    <w:rsid w:val="001D65EF"/>
    <w:rsid w:val="001D7720"/>
    <w:rsid w:val="001E3CBA"/>
    <w:rsid w:val="001E49E7"/>
    <w:rsid w:val="001F1FA3"/>
    <w:rsid w:val="001F271B"/>
    <w:rsid w:val="001F7201"/>
    <w:rsid w:val="0020052D"/>
    <w:rsid w:val="00204931"/>
    <w:rsid w:val="0021319E"/>
    <w:rsid w:val="00214EB2"/>
    <w:rsid w:val="00223A29"/>
    <w:rsid w:val="00223DB4"/>
    <w:rsid w:val="002250A3"/>
    <w:rsid w:val="00231294"/>
    <w:rsid w:val="002349AA"/>
    <w:rsid w:val="00235217"/>
    <w:rsid w:val="002355A9"/>
    <w:rsid w:val="002442BA"/>
    <w:rsid w:val="00246D1F"/>
    <w:rsid w:val="00247403"/>
    <w:rsid w:val="00247542"/>
    <w:rsid w:val="00253195"/>
    <w:rsid w:val="00255E1B"/>
    <w:rsid w:val="002570BE"/>
    <w:rsid w:val="00265C3D"/>
    <w:rsid w:val="00266B61"/>
    <w:rsid w:val="0026712A"/>
    <w:rsid w:val="002704DB"/>
    <w:rsid w:val="00277BDA"/>
    <w:rsid w:val="00282BEE"/>
    <w:rsid w:val="0029575A"/>
    <w:rsid w:val="00296832"/>
    <w:rsid w:val="002A0AAE"/>
    <w:rsid w:val="002A5820"/>
    <w:rsid w:val="002B2A6C"/>
    <w:rsid w:val="002B4840"/>
    <w:rsid w:val="002B6FFB"/>
    <w:rsid w:val="002C3350"/>
    <w:rsid w:val="002D2B26"/>
    <w:rsid w:val="002D770B"/>
    <w:rsid w:val="002D7EA2"/>
    <w:rsid w:val="002E187C"/>
    <w:rsid w:val="002E7512"/>
    <w:rsid w:val="002F0F5B"/>
    <w:rsid w:val="002F3724"/>
    <w:rsid w:val="002F462F"/>
    <w:rsid w:val="002F6C29"/>
    <w:rsid w:val="00302733"/>
    <w:rsid w:val="003121D5"/>
    <w:rsid w:val="00314078"/>
    <w:rsid w:val="0031535D"/>
    <w:rsid w:val="003239B8"/>
    <w:rsid w:val="0033169F"/>
    <w:rsid w:val="00335916"/>
    <w:rsid w:val="0034224A"/>
    <w:rsid w:val="00342895"/>
    <w:rsid w:val="00343438"/>
    <w:rsid w:val="00344977"/>
    <w:rsid w:val="00346C95"/>
    <w:rsid w:val="00351155"/>
    <w:rsid w:val="0035443B"/>
    <w:rsid w:val="0035596D"/>
    <w:rsid w:val="00356185"/>
    <w:rsid w:val="00360380"/>
    <w:rsid w:val="00370C52"/>
    <w:rsid w:val="003749D9"/>
    <w:rsid w:val="0037519E"/>
    <w:rsid w:val="00380082"/>
    <w:rsid w:val="00386C6C"/>
    <w:rsid w:val="00386CF0"/>
    <w:rsid w:val="003942EC"/>
    <w:rsid w:val="00397E04"/>
    <w:rsid w:val="003A27F0"/>
    <w:rsid w:val="003A4519"/>
    <w:rsid w:val="003A5566"/>
    <w:rsid w:val="003A6337"/>
    <w:rsid w:val="003B4FF6"/>
    <w:rsid w:val="003B70FB"/>
    <w:rsid w:val="003C00AD"/>
    <w:rsid w:val="003C4CE7"/>
    <w:rsid w:val="003C6112"/>
    <w:rsid w:val="003C676B"/>
    <w:rsid w:val="003D0A55"/>
    <w:rsid w:val="003D1977"/>
    <w:rsid w:val="003D3BC2"/>
    <w:rsid w:val="003E00DD"/>
    <w:rsid w:val="003E614F"/>
    <w:rsid w:val="003E6CA1"/>
    <w:rsid w:val="003F3BA0"/>
    <w:rsid w:val="004065A8"/>
    <w:rsid w:val="004153F5"/>
    <w:rsid w:val="004165C2"/>
    <w:rsid w:val="00421FAE"/>
    <w:rsid w:val="004262B7"/>
    <w:rsid w:val="004304AD"/>
    <w:rsid w:val="004308FD"/>
    <w:rsid w:val="00441ECB"/>
    <w:rsid w:val="00445193"/>
    <w:rsid w:val="00447CCF"/>
    <w:rsid w:val="004565BA"/>
    <w:rsid w:val="00456EC5"/>
    <w:rsid w:val="00462C1B"/>
    <w:rsid w:val="00467B7E"/>
    <w:rsid w:val="0047080D"/>
    <w:rsid w:val="00473BB4"/>
    <w:rsid w:val="00476211"/>
    <w:rsid w:val="0047739C"/>
    <w:rsid w:val="00477592"/>
    <w:rsid w:val="00486C9D"/>
    <w:rsid w:val="00486F1C"/>
    <w:rsid w:val="00487990"/>
    <w:rsid w:val="00490162"/>
    <w:rsid w:val="0049419D"/>
    <w:rsid w:val="004A05E6"/>
    <w:rsid w:val="004A59CC"/>
    <w:rsid w:val="004A6A54"/>
    <w:rsid w:val="004C20D2"/>
    <w:rsid w:val="004C2312"/>
    <w:rsid w:val="004C4444"/>
    <w:rsid w:val="004C4B62"/>
    <w:rsid w:val="004C54C9"/>
    <w:rsid w:val="004C616A"/>
    <w:rsid w:val="004D4ABA"/>
    <w:rsid w:val="004D6025"/>
    <w:rsid w:val="004E19B1"/>
    <w:rsid w:val="004E2649"/>
    <w:rsid w:val="00501399"/>
    <w:rsid w:val="00501652"/>
    <w:rsid w:val="0050633D"/>
    <w:rsid w:val="00507BC4"/>
    <w:rsid w:val="005128E4"/>
    <w:rsid w:val="005133DB"/>
    <w:rsid w:val="005247F4"/>
    <w:rsid w:val="00525560"/>
    <w:rsid w:val="00525B55"/>
    <w:rsid w:val="0053539D"/>
    <w:rsid w:val="005415E6"/>
    <w:rsid w:val="00544216"/>
    <w:rsid w:val="00544C49"/>
    <w:rsid w:val="005460E3"/>
    <w:rsid w:val="005516A1"/>
    <w:rsid w:val="0055234F"/>
    <w:rsid w:val="00560555"/>
    <w:rsid w:val="005618A6"/>
    <w:rsid w:val="00563557"/>
    <w:rsid w:val="00565F1C"/>
    <w:rsid w:val="0057265C"/>
    <w:rsid w:val="0057402A"/>
    <w:rsid w:val="00574CB7"/>
    <w:rsid w:val="005771D0"/>
    <w:rsid w:val="0059191A"/>
    <w:rsid w:val="00591B9F"/>
    <w:rsid w:val="005921FF"/>
    <w:rsid w:val="005945AA"/>
    <w:rsid w:val="00594707"/>
    <w:rsid w:val="005A24ED"/>
    <w:rsid w:val="005A55F0"/>
    <w:rsid w:val="005A6884"/>
    <w:rsid w:val="005A6D0E"/>
    <w:rsid w:val="005B37CC"/>
    <w:rsid w:val="005B52B0"/>
    <w:rsid w:val="005B6806"/>
    <w:rsid w:val="005B6D22"/>
    <w:rsid w:val="005C261A"/>
    <w:rsid w:val="005C4225"/>
    <w:rsid w:val="005C7989"/>
    <w:rsid w:val="005D66AD"/>
    <w:rsid w:val="005D7EA3"/>
    <w:rsid w:val="005E0B65"/>
    <w:rsid w:val="005E11B2"/>
    <w:rsid w:val="005E3D50"/>
    <w:rsid w:val="005F0A4D"/>
    <w:rsid w:val="005F0DAD"/>
    <w:rsid w:val="005F0F33"/>
    <w:rsid w:val="005F1E9E"/>
    <w:rsid w:val="005F4655"/>
    <w:rsid w:val="00600DEB"/>
    <w:rsid w:val="006068B7"/>
    <w:rsid w:val="00610BF4"/>
    <w:rsid w:val="006261F3"/>
    <w:rsid w:val="006277DE"/>
    <w:rsid w:val="00627C9F"/>
    <w:rsid w:val="006311E9"/>
    <w:rsid w:val="00631390"/>
    <w:rsid w:val="0063176E"/>
    <w:rsid w:val="00632354"/>
    <w:rsid w:val="00642810"/>
    <w:rsid w:val="00643752"/>
    <w:rsid w:val="006453B6"/>
    <w:rsid w:val="00647756"/>
    <w:rsid w:val="006509DA"/>
    <w:rsid w:val="00652333"/>
    <w:rsid w:val="0066353E"/>
    <w:rsid w:val="006775AB"/>
    <w:rsid w:val="0068009E"/>
    <w:rsid w:val="006819E9"/>
    <w:rsid w:val="00686471"/>
    <w:rsid w:val="0068794B"/>
    <w:rsid w:val="00691BBE"/>
    <w:rsid w:val="00692219"/>
    <w:rsid w:val="0069402E"/>
    <w:rsid w:val="006A17D2"/>
    <w:rsid w:val="006A548D"/>
    <w:rsid w:val="006A7226"/>
    <w:rsid w:val="006A73E6"/>
    <w:rsid w:val="006B2D5C"/>
    <w:rsid w:val="006B2EE8"/>
    <w:rsid w:val="006C4EB1"/>
    <w:rsid w:val="006D5197"/>
    <w:rsid w:val="006E0166"/>
    <w:rsid w:val="006E772A"/>
    <w:rsid w:val="006E7B34"/>
    <w:rsid w:val="006F1367"/>
    <w:rsid w:val="006F6996"/>
    <w:rsid w:val="00701300"/>
    <w:rsid w:val="0070697F"/>
    <w:rsid w:val="00720080"/>
    <w:rsid w:val="0072199C"/>
    <w:rsid w:val="007227FB"/>
    <w:rsid w:val="00722C9F"/>
    <w:rsid w:val="007253B8"/>
    <w:rsid w:val="00727B0E"/>
    <w:rsid w:val="0073598C"/>
    <w:rsid w:val="0073741F"/>
    <w:rsid w:val="0074236E"/>
    <w:rsid w:val="00756485"/>
    <w:rsid w:val="00761841"/>
    <w:rsid w:val="00761935"/>
    <w:rsid w:val="0076453E"/>
    <w:rsid w:val="0076643F"/>
    <w:rsid w:val="00772E5F"/>
    <w:rsid w:val="00774BF0"/>
    <w:rsid w:val="00777A4B"/>
    <w:rsid w:val="00777F63"/>
    <w:rsid w:val="007852B5"/>
    <w:rsid w:val="00792A7F"/>
    <w:rsid w:val="00795CF5"/>
    <w:rsid w:val="00796A37"/>
    <w:rsid w:val="007972DE"/>
    <w:rsid w:val="007A5817"/>
    <w:rsid w:val="007B05C4"/>
    <w:rsid w:val="007B25E7"/>
    <w:rsid w:val="007B60E9"/>
    <w:rsid w:val="007B6CC3"/>
    <w:rsid w:val="007C3334"/>
    <w:rsid w:val="007C402A"/>
    <w:rsid w:val="007C7D1C"/>
    <w:rsid w:val="007D2B98"/>
    <w:rsid w:val="007D3ED1"/>
    <w:rsid w:val="007D7C02"/>
    <w:rsid w:val="007E21BC"/>
    <w:rsid w:val="007E58FE"/>
    <w:rsid w:val="007E7C82"/>
    <w:rsid w:val="007F588D"/>
    <w:rsid w:val="00802748"/>
    <w:rsid w:val="0080307F"/>
    <w:rsid w:val="00803F1C"/>
    <w:rsid w:val="0080600E"/>
    <w:rsid w:val="008168D8"/>
    <w:rsid w:val="00817612"/>
    <w:rsid w:val="008338A4"/>
    <w:rsid w:val="00834D49"/>
    <w:rsid w:val="00837C45"/>
    <w:rsid w:val="008411F0"/>
    <w:rsid w:val="008439BC"/>
    <w:rsid w:val="00844730"/>
    <w:rsid w:val="008457C2"/>
    <w:rsid w:val="00850E43"/>
    <w:rsid w:val="00853E84"/>
    <w:rsid w:val="00857607"/>
    <w:rsid w:val="00857A82"/>
    <w:rsid w:val="008626DB"/>
    <w:rsid w:val="00871526"/>
    <w:rsid w:val="00873836"/>
    <w:rsid w:val="00875668"/>
    <w:rsid w:val="00883FD0"/>
    <w:rsid w:val="00885737"/>
    <w:rsid w:val="008900CB"/>
    <w:rsid w:val="00890650"/>
    <w:rsid w:val="00891942"/>
    <w:rsid w:val="00897E12"/>
    <w:rsid w:val="008A0F81"/>
    <w:rsid w:val="008A310C"/>
    <w:rsid w:val="008A7E0F"/>
    <w:rsid w:val="008B12F5"/>
    <w:rsid w:val="008B5932"/>
    <w:rsid w:val="008C3531"/>
    <w:rsid w:val="008C5751"/>
    <w:rsid w:val="008D2290"/>
    <w:rsid w:val="008D768D"/>
    <w:rsid w:val="008E0FD8"/>
    <w:rsid w:val="008E328A"/>
    <w:rsid w:val="008E3759"/>
    <w:rsid w:val="008E387B"/>
    <w:rsid w:val="008E3BFE"/>
    <w:rsid w:val="008E74F7"/>
    <w:rsid w:val="008E7900"/>
    <w:rsid w:val="008F0B27"/>
    <w:rsid w:val="008F1912"/>
    <w:rsid w:val="008F3148"/>
    <w:rsid w:val="00900722"/>
    <w:rsid w:val="0090270B"/>
    <w:rsid w:val="009041DC"/>
    <w:rsid w:val="00905F21"/>
    <w:rsid w:val="00915FA2"/>
    <w:rsid w:val="00917B5A"/>
    <w:rsid w:val="00920A58"/>
    <w:rsid w:val="00920A8C"/>
    <w:rsid w:val="00930288"/>
    <w:rsid w:val="00934A2C"/>
    <w:rsid w:val="00935F06"/>
    <w:rsid w:val="00937B3A"/>
    <w:rsid w:val="00943995"/>
    <w:rsid w:val="00944EBD"/>
    <w:rsid w:val="00954B82"/>
    <w:rsid w:val="00957000"/>
    <w:rsid w:val="00962436"/>
    <w:rsid w:val="00966160"/>
    <w:rsid w:val="00966771"/>
    <w:rsid w:val="0096706E"/>
    <w:rsid w:val="00974491"/>
    <w:rsid w:val="00975C4E"/>
    <w:rsid w:val="00981FBA"/>
    <w:rsid w:val="00982453"/>
    <w:rsid w:val="0098368F"/>
    <w:rsid w:val="00997BC5"/>
    <w:rsid w:val="009A4F41"/>
    <w:rsid w:val="009A5259"/>
    <w:rsid w:val="009B2340"/>
    <w:rsid w:val="009B261D"/>
    <w:rsid w:val="009B2DBB"/>
    <w:rsid w:val="009B381B"/>
    <w:rsid w:val="009B58B0"/>
    <w:rsid w:val="009C2FC5"/>
    <w:rsid w:val="009C6F68"/>
    <w:rsid w:val="009D1753"/>
    <w:rsid w:val="009D2298"/>
    <w:rsid w:val="009D6502"/>
    <w:rsid w:val="009D7611"/>
    <w:rsid w:val="009D78A5"/>
    <w:rsid w:val="009E08DD"/>
    <w:rsid w:val="009E0AF5"/>
    <w:rsid w:val="009E0B61"/>
    <w:rsid w:val="009E53DE"/>
    <w:rsid w:val="009E7C00"/>
    <w:rsid w:val="00A01307"/>
    <w:rsid w:val="00A04336"/>
    <w:rsid w:val="00A0691C"/>
    <w:rsid w:val="00A11E44"/>
    <w:rsid w:val="00A154C8"/>
    <w:rsid w:val="00A21C6F"/>
    <w:rsid w:val="00A22397"/>
    <w:rsid w:val="00A32313"/>
    <w:rsid w:val="00A328B3"/>
    <w:rsid w:val="00A46B2A"/>
    <w:rsid w:val="00A47A43"/>
    <w:rsid w:val="00A50FCF"/>
    <w:rsid w:val="00A528D1"/>
    <w:rsid w:val="00A604F4"/>
    <w:rsid w:val="00A610CD"/>
    <w:rsid w:val="00A625E0"/>
    <w:rsid w:val="00A74947"/>
    <w:rsid w:val="00A758AA"/>
    <w:rsid w:val="00A83350"/>
    <w:rsid w:val="00A83474"/>
    <w:rsid w:val="00A87F35"/>
    <w:rsid w:val="00A92093"/>
    <w:rsid w:val="00A97B4E"/>
    <w:rsid w:val="00AA09A2"/>
    <w:rsid w:val="00AA2D31"/>
    <w:rsid w:val="00AA55BF"/>
    <w:rsid w:val="00AA7996"/>
    <w:rsid w:val="00AB4E59"/>
    <w:rsid w:val="00AB533E"/>
    <w:rsid w:val="00AC19CB"/>
    <w:rsid w:val="00AC3E92"/>
    <w:rsid w:val="00AD1886"/>
    <w:rsid w:val="00AD6A38"/>
    <w:rsid w:val="00AE0941"/>
    <w:rsid w:val="00AE5488"/>
    <w:rsid w:val="00AE5625"/>
    <w:rsid w:val="00AE6F91"/>
    <w:rsid w:val="00AF5571"/>
    <w:rsid w:val="00AF6BB1"/>
    <w:rsid w:val="00B0189B"/>
    <w:rsid w:val="00B0497B"/>
    <w:rsid w:val="00B06B4E"/>
    <w:rsid w:val="00B07341"/>
    <w:rsid w:val="00B14CBD"/>
    <w:rsid w:val="00B202B5"/>
    <w:rsid w:val="00B30539"/>
    <w:rsid w:val="00B307AF"/>
    <w:rsid w:val="00B30D55"/>
    <w:rsid w:val="00B314DB"/>
    <w:rsid w:val="00B361F2"/>
    <w:rsid w:val="00B3718B"/>
    <w:rsid w:val="00B4632A"/>
    <w:rsid w:val="00B471FC"/>
    <w:rsid w:val="00B5067D"/>
    <w:rsid w:val="00B530F1"/>
    <w:rsid w:val="00B54CDF"/>
    <w:rsid w:val="00B57297"/>
    <w:rsid w:val="00B71BCB"/>
    <w:rsid w:val="00B736AF"/>
    <w:rsid w:val="00B742BE"/>
    <w:rsid w:val="00B84C70"/>
    <w:rsid w:val="00B8528B"/>
    <w:rsid w:val="00B87359"/>
    <w:rsid w:val="00B9545D"/>
    <w:rsid w:val="00B97946"/>
    <w:rsid w:val="00BA0F4A"/>
    <w:rsid w:val="00BA276C"/>
    <w:rsid w:val="00BA45EA"/>
    <w:rsid w:val="00BA5544"/>
    <w:rsid w:val="00BB2DAB"/>
    <w:rsid w:val="00BB306F"/>
    <w:rsid w:val="00BB3FBD"/>
    <w:rsid w:val="00BC6CD0"/>
    <w:rsid w:val="00BC796E"/>
    <w:rsid w:val="00BD4B89"/>
    <w:rsid w:val="00BD5922"/>
    <w:rsid w:val="00BD76D9"/>
    <w:rsid w:val="00BE35BA"/>
    <w:rsid w:val="00BF02CB"/>
    <w:rsid w:val="00BF514A"/>
    <w:rsid w:val="00BF6FD8"/>
    <w:rsid w:val="00BF6FE9"/>
    <w:rsid w:val="00BF775D"/>
    <w:rsid w:val="00C03680"/>
    <w:rsid w:val="00C054DF"/>
    <w:rsid w:val="00C10AFC"/>
    <w:rsid w:val="00C10E78"/>
    <w:rsid w:val="00C113C6"/>
    <w:rsid w:val="00C21562"/>
    <w:rsid w:val="00C21762"/>
    <w:rsid w:val="00C21FEF"/>
    <w:rsid w:val="00C24543"/>
    <w:rsid w:val="00C256A2"/>
    <w:rsid w:val="00C35A26"/>
    <w:rsid w:val="00C43D06"/>
    <w:rsid w:val="00C51515"/>
    <w:rsid w:val="00C53910"/>
    <w:rsid w:val="00C5660B"/>
    <w:rsid w:val="00C56854"/>
    <w:rsid w:val="00C5788A"/>
    <w:rsid w:val="00C57C4D"/>
    <w:rsid w:val="00C57C67"/>
    <w:rsid w:val="00C631B4"/>
    <w:rsid w:val="00C66B72"/>
    <w:rsid w:val="00C725E6"/>
    <w:rsid w:val="00C80E8A"/>
    <w:rsid w:val="00C87AC4"/>
    <w:rsid w:val="00C9567A"/>
    <w:rsid w:val="00C97C73"/>
    <w:rsid w:val="00CA1640"/>
    <w:rsid w:val="00CA29E1"/>
    <w:rsid w:val="00CA48A3"/>
    <w:rsid w:val="00CB212D"/>
    <w:rsid w:val="00CB2660"/>
    <w:rsid w:val="00CC0A7D"/>
    <w:rsid w:val="00CC2CD2"/>
    <w:rsid w:val="00CC395D"/>
    <w:rsid w:val="00CC5E90"/>
    <w:rsid w:val="00CD046C"/>
    <w:rsid w:val="00CD186A"/>
    <w:rsid w:val="00CE076C"/>
    <w:rsid w:val="00CE5199"/>
    <w:rsid w:val="00CE66D5"/>
    <w:rsid w:val="00CF42E0"/>
    <w:rsid w:val="00CF637A"/>
    <w:rsid w:val="00D0051F"/>
    <w:rsid w:val="00D005B9"/>
    <w:rsid w:val="00D059DE"/>
    <w:rsid w:val="00D05ABD"/>
    <w:rsid w:val="00D11130"/>
    <w:rsid w:val="00D1254E"/>
    <w:rsid w:val="00D13FCE"/>
    <w:rsid w:val="00D16196"/>
    <w:rsid w:val="00D17E8C"/>
    <w:rsid w:val="00D306D1"/>
    <w:rsid w:val="00D30800"/>
    <w:rsid w:val="00D34786"/>
    <w:rsid w:val="00D37BFC"/>
    <w:rsid w:val="00D42822"/>
    <w:rsid w:val="00D47A8E"/>
    <w:rsid w:val="00D52D14"/>
    <w:rsid w:val="00D55071"/>
    <w:rsid w:val="00D55256"/>
    <w:rsid w:val="00D56D93"/>
    <w:rsid w:val="00D658E7"/>
    <w:rsid w:val="00D667CC"/>
    <w:rsid w:val="00D70C4F"/>
    <w:rsid w:val="00D712D3"/>
    <w:rsid w:val="00D71422"/>
    <w:rsid w:val="00D72DC6"/>
    <w:rsid w:val="00D73F5E"/>
    <w:rsid w:val="00D7558D"/>
    <w:rsid w:val="00D77503"/>
    <w:rsid w:val="00D81D92"/>
    <w:rsid w:val="00D81DCA"/>
    <w:rsid w:val="00D876F9"/>
    <w:rsid w:val="00D877B6"/>
    <w:rsid w:val="00D92B1C"/>
    <w:rsid w:val="00D93A90"/>
    <w:rsid w:val="00DA7B5F"/>
    <w:rsid w:val="00DC11E7"/>
    <w:rsid w:val="00DC7023"/>
    <w:rsid w:val="00DC769A"/>
    <w:rsid w:val="00DD061E"/>
    <w:rsid w:val="00DD067B"/>
    <w:rsid w:val="00DD3D86"/>
    <w:rsid w:val="00DD5CC2"/>
    <w:rsid w:val="00DE12F0"/>
    <w:rsid w:val="00DF18FC"/>
    <w:rsid w:val="00DF1EC4"/>
    <w:rsid w:val="00DF51E9"/>
    <w:rsid w:val="00E01943"/>
    <w:rsid w:val="00E0340B"/>
    <w:rsid w:val="00E04A90"/>
    <w:rsid w:val="00E0551F"/>
    <w:rsid w:val="00E219C7"/>
    <w:rsid w:val="00E242D0"/>
    <w:rsid w:val="00E256DA"/>
    <w:rsid w:val="00E26CCA"/>
    <w:rsid w:val="00E27F56"/>
    <w:rsid w:val="00E4118C"/>
    <w:rsid w:val="00E43157"/>
    <w:rsid w:val="00E43ED7"/>
    <w:rsid w:val="00E461CE"/>
    <w:rsid w:val="00E46B4D"/>
    <w:rsid w:val="00E56192"/>
    <w:rsid w:val="00E575AA"/>
    <w:rsid w:val="00E720CA"/>
    <w:rsid w:val="00E84EB5"/>
    <w:rsid w:val="00E85662"/>
    <w:rsid w:val="00E8789F"/>
    <w:rsid w:val="00E87C71"/>
    <w:rsid w:val="00E901EB"/>
    <w:rsid w:val="00E92747"/>
    <w:rsid w:val="00E97966"/>
    <w:rsid w:val="00E97B71"/>
    <w:rsid w:val="00EA1C17"/>
    <w:rsid w:val="00EA3D34"/>
    <w:rsid w:val="00EB454D"/>
    <w:rsid w:val="00EC26E9"/>
    <w:rsid w:val="00EC72AB"/>
    <w:rsid w:val="00EC7D62"/>
    <w:rsid w:val="00ED2F03"/>
    <w:rsid w:val="00ED549D"/>
    <w:rsid w:val="00ED76BE"/>
    <w:rsid w:val="00ED7D44"/>
    <w:rsid w:val="00ED7F05"/>
    <w:rsid w:val="00EE00E9"/>
    <w:rsid w:val="00EE014D"/>
    <w:rsid w:val="00EE116F"/>
    <w:rsid w:val="00EE167E"/>
    <w:rsid w:val="00EF35AB"/>
    <w:rsid w:val="00EF3D8D"/>
    <w:rsid w:val="00EF4C44"/>
    <w:rsid w:val="00EF619B"/>
    <w:rsid w:val="00F00B55"/>
    <w:rsid w:val="00F02AD1"/>
    <w:rsid w:val="00F04591"/>
    <w:rsid w:val="00F06354"/>
    <w:rsid w:val="00F063F8"/>
    <w:rsid w:val="00F11A2A"/>
    <w:rsid w:val="00F13BBC"/>
    <w:rsid w:val="00F1457D"/>
    <w:rsid w:val="00F1614B"/>
    <w:rsid w:val="00F253CC"/>
    <w:rsid w:val="00F332EF"/>
    <w:rsid w:val="00F37106"/>
    <w:rsid w:val="00F37859"/>
    <w:rsid w:val="00F41953"/>
    <w:rsid w:val="00F519CF"/>
    <w:rsid w:val="00F53168"/>
    <w:rsid w:val="00F537B6"/>
    <w:rsid w:val="00F56BA5"/>
    <w:rsid w:val="00F60E22"/>
    <w:rsid w:val="00F63B39"/>
    <w:rsid w:val="00F81395"/>
    <w:rsid w:val="00F81887"/>
    <w:rsid w:val="00F81BB8"/>
    <w:rsid w:val="00F82D14"/>
    <w:rsid w:val="00F917D1"/>
    <w:rsid w:val="00F9342C"/>
    <w:rsid w:val="00F9653B"/>
    <w:rsid w:val="00FA3048"/>
    <w:rsid w:val="00FA56EA"/>
    <w:rsid w:val="00FB1E8E"/>
    <w:rsid w:val="00FB62CF"/>
    <w:rsid w:val="00FB7439"/>
    <w:rsid w:val="00FB7A19"/>
    <w:rsid w:val="00FC0F4A"/>
    <w:rsid w:val="00FC3330"/>
    <w:rsid w:val="00FD3C3B"/>
    <w:rsid w:val="00FE07DD"/>
    <w:rsid w:val="00FE2DE8"/>
    <w:rsid w:val="00FE6B45"/>
    <w:rsid w:val="00FF061F"/>
    <w:rsid w:val="00FF55F3"/>
    <w:rsid w:val="00FF5851"/>
    <w:rsid w:val="00FF5A94"/>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8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FB1E8E"/>
    <w:rPr>
      <w:rFonts w:cs="Times New Roman"/>
      <w:u w:val="single"/>
    </w:rPr>
  </w:style>
  <w:style w:type="paragraph" w:customStyle="1" w:styleId="Cabeceraypie">
    <w:name w:val="Cabecera y pie"/>
    <w:uiPriority w:val="99"/>
    <w:rsid w:val="00FB1E8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FB1E8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FB1E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B1E8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AE0941"/>
    <w:rPr>
      <w:rFonts w:cs="Times New Roman"/>
      <w:sz w:val="24"/>
      <w:szCs w:val="24"/>
      <w:lang w:val="en-US" w:eastAsia="en-US"/>
    </w:rPr>
  </w:style>
  <w:style w:type="paragraph" w:styleId="ListParagraph">
    <w:name w:val="List Paragraph"/>
    <w:basedOn w:val="Normal"/>
    <w:uiPriority w:val="99"/>
    <w:qFormat/>
    <w:rsid w:val="00FB1E8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2"/>
    <w:uiPriority w:val="99"/>
    <w:rsid w:val="0057265C"/>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uiPriority w:val="99"/>
    <w:semiHidden/>
    <w:rsid w:val="00E72C3C"/>
    <w:rPr>
      <w:sz w:val="20"/>
      <w:szCs w:val="20"/>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DefaultParagraphFont"/>
    <w:link w:val="FootnoteText"/>
    <w:uiPriority w:val="99"/>
    <w:locked/>
    <w:rsid w:val="0057265C"/>
    <w:rPr>
      <w:rFonts w:ascii="Calibri" w:hAnsi="Calibri" w:cs="Times New Roman"/>
      <w:color w:val="000000"/>
      <w:u w:color="000000"/>
      <w:lang w:val="en-US" w:eastAsia="es-PA"/>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0A6A6B"/>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0A6A6B"/>
    <w:pPr>
      <w:pBdr>
        <w:top w:val="none" w:sz="0" w:space="0" w:color="auto"/>
        <w:left w:val="none" w:sz="0" w:space="0" w:color="auto"/>
        <w:bottom w:val="none" w:sz="0" w:space="0" w:color="auto"/>
        <w:right w:val="none" w:sz="0" w:space="0" w:color="auto"/>
        <w:bar w:val="none" w:sz="0" w:color="auto"/>
      </w:pBdr>
      <w:jc w:val="both"/>
    </w:pPr>
    <w:rPr>
      <w:noProof/>
      <w:sz w:val="20"/>
      <w:szCs w:val="20"/>
      <w:vertAlign w:val="superscript"/>
      <w:lang w:val="es-PA" w:eastAsia="es-PA"/>
    </w:rPr>
  </w:style>
  <w:style w:type="numbering" w:customStyle="1" w:styleId="List16">
    <w:name w:val="List 16"/>
    <w:rsid w:val="00E72C3C"/>
    <w:pPr>
      <w:numPr>
        <w:numId w:val="10"/>
      </w:numPr>
    </w:pPr>
  </w:style>
  <w:style w:type="numbering" w:customStyle="1" w:styleId="List36">
    <w:name w:val="List 36"/>
    <w:rsid w:val="00E72C3C"/>
    <w:pPr>
      <w:numPr>
        <w:numId w:val="14"/>
      </w:numPr>
    </w:pPr>
  </w:style>
  <w:style w:type="numbering" w:customStyle="1" w:styleId="List25">
    <w:name w:val="List 25"/>
    <w:rsid w:val="00E72C3C"/>
    <w:pPr>
      <w:numPr>
        <w:numId w:val="15"/>
      </w:numPr>
    </w:pPr>
  </w:style>
  <w:style w:type="numbering" w:customStyle="1" w:styleId="List1">
    <w:name w:val="List 1"/>
    <w:rsid w:val="00E72C3C"/>
    <w:pPr>
      <w:numPr>
        <w:numId w:val="1"/>
      </w:numPr>
    </w:pPr>
  </w:style>
  <w:style w:type="numbering" w:customStyle="1" w:styleId="List11">
    <w:name w:val="List 11"/>
    <w:rsid w:val="00E72C3C"/>
    <w:pPr>
      <w:numPr>
        <w:numId w:val="7"/>
      </w:numPr>
    </w:pPr>
  </w:style>
  <w:style w:type="numbering" w:customStyle="1" w:styleId="List15">
    <w:name w:val="List 15"/>
    <w:rsid w:val="00E72C3C"/>
    <w:pPr>
      <w:numPr>
        <w:numId w:val="16"/>
      </w:numPr>
    </w:pPr>
  </w:style>
  <w:style w:type="numbering" w:customStyle="1" w:styleId="List14">
    <w:name w:val="List 14"/>
    <w:rsid w:val="00E72C3C"/>
    <w:pPr>
      <w:numPr>
        <w:numId w:val="17"/>
      </w:numPr>
    </w:pPr>
  </w:style>
  <w:style w:type="numbering" w:customStyle="1" w:styleId="List23">
    <w:name w:val="List 23"/>
    <w:rsid w:val="00E72C3C"/>
    <w:pPr>
      <w:numPr>
        <w:numId w:val="18"/>
      </w:numPr>
    </w:pPr>
  </w:style>
  <w:style w:type="numbering" w:customStyle="1" w:styleId="List19">
    <w:name w:val="List 19"/>
    <w:rsid w:val="00E72C3C"/>
    <w:pPr>
      <w:numPr>
        <w:numId w:val="19"/>
      </w:numPr>
    </w:pPr>
  </w:style>
  <w:style w:type="numbering" w:customStyle="1" w:styleId="List45">
    <w:name w:val="List 45"/>
    <w:rsid w:val="00E72C3C"/>
    <w:pPr>
      <w:numPr>
        <w:numId w:val="20"/>
      </w:numPr>
    </w:pPr>
  </w:style>
  <w:style w:type="numbering" w:customStyle="1" w:styleId="List40">
    <w:name w:val="List 40"/>
    <w:rsid w:val="00E72C3C"/>
    <w:pPr>
      <w:numPr>
        <w:numId w:val="21"/>
      </w:numPr>
    </w:pPr>
  </w:style>
  <w:style w:type="numbering" w:customStyle="1" w:styleId="List9">
    <w:name w:val="List 9"/>
    <w:rsid w:val="00E72C3C"/>
    <w:pPr>
      <w:numPr>
        <w:numId w:val="22"/>
      </w:numPr>
    </w:pPr>
  </w:style>
  <w:style w:type="numbering" w:customStyle="1" w:styleId="List43">
    <w:name w:val="List 43"/>
    <w:rsid w:val="00E72C3C"/>
    <w:pPr>
      <w:numPr>
        <w:numId w:val="23"/>
      </w:numPr>
    </w:pPr>
  </w:style>
  <w:style w:type="numbering" w:customStyle="1" w:styleId="List46">
    <w:name w:val="List 46"/>
    <w:rsid w:val="00E72C3C"/>
    <w:pPr>
      <w:numPr>
        <w:numId w:val="24"/>
      </w:numPr>
    </w:pPr>
  </w:style>
  <w:style w:type="numbering" w:customStyle="1" w:styleId="List35">
    <w:name w:val="List 35"/>
    <w:rsid w:val="00E72C3C"/>
    <w:pPr>
      <w:numPr>
        <w:numId w:val="8"/>
      </w:numPr>
    </w:pPr>
  </w:style>
  <w:style w:type="numbering" w:customStyle="1" w:styleId="List17">
    <w:name w:val="List 17"/>
    <w:rsid w:val="00E72C3C"/>
    <w:pPr>
      <w:numPr>
        <w:numId w:val="25"/>
      </w:numPr>
    </w:pPr>
  </w:style>
  <w:style w:type="numbering" w:customStyle="1" w:styleId="List33">
    <w:name w:val="List 33"/>
    <w:rsid w:val="00E72C3C"/>
    <w:pPr>
      <w:numPr>
        <w:numId w:val="26"/>
      </w:numPr>
    </w:pPr>
  </w:style>
  <w:style w:type="numbering" w:customStyle="1" w:styleId="List7">
    <w:name w:val="List 7"/>
    <w:rsid w:val="00E72C3C"/>
    <w:pPr>
      <w:numPr>
        <w:numId w:val="4"/>
      </w:numPr>
    </w:pPr>
  </w:style>
  <w:style w:type="numbering" w:customStyle="1" w:styleId="List18">
    <w:name w:val="List 18"/>
    <w:rsid w:val="00E72C3C"/>
    <w:pPr>
      <w:numPr>
        <w:numId w:val="27"/>
      </w:numPr>
    </w:pPr>
  </w:style>
  <w:style w:type="numbering" w:customStyle="1" w:styleId="List22">
    <w:name w:val="List 22"/>
    <w:rsid w:val="00E72C3C"/>
    <w:pPr>
      <w:numPr>
        <w:numId w:val="28"/>
      </w:numPr>
    </w:pPr>
  </w:style>
  <w:style w:type="numbering" w:customStyle="1" w:styleId="List47">
    <w:name w:val="List 47"/>
    <w:rsid w:val="00E72C3C"/>
    <w:pPr>
      <w:numPr>
        <w:numId w:val="29"/>
      </w:numPr>
    </w:pPr>
  </w:style>
  <w:style w:type="numbering" w:customStyle="1" w:styleId="List28">
    <w:name w:val="List 28"/>
    <w:rsid w:val="00E72C3C"/>
    <w:pPr>
      <w:numPr>
        <w:numId w:val="30"/>
      </w:numPr>
    </w:pPr>
  </w:style>
  <w:style w:type="numbering" w:customStyle="1" w:styleId="List10">
    <w:name w:val="List 10"/>
    <w:rsid w:val="00E72C3C"/>
    <w:pPr>
      <w:numPr>
        <w:numId w:val="6"/>
      </w:numPr>
    </w:pPr>
  </w:style>
  <w:style w:type="numbering" w:customStyle="1" w:styleId="List0">
    <w:name w:val="List 0"/>
    <w:rsid w:val="00E72C3C"/>
    <w:pPr>
      <w:numPr>
        <w:numId w:val="31"/>
      </w:numPr>
    </w:pPr>
  </w:style>
  <w:style w:type="numbering" w:customStyle="1" w:styleId="List30">
    <w:name w:val="List 30"/>
    <w:rsid w:val="00E72C3C"/>
    <w:pPr>
      <w:numPr>
        <w:numId w:val="32"/>
      </w:numPr>
    </w:pPr>
  </w:style>
  <w:style w:type="numbering" w:customStyle="1" w:styleId="List29">
    <w:name w:val="List 29"/>
    <w:rsid w:val="00E72C3C"/>
    <w:pPr>
      <w:numPr>
        <w:numId w:val="34"/>
      </w:numPr>
    </w:pPr>
  </w:style>
  <w:style w:type="numbering" w:customStyle="1" w:styleId="List38">
    <w:name w:val="List 38"/>
    <w:rsid w:val="00E72C3C"/>
    <w:pPr>
      <w:numPr>
        <w:numId w:val="35"/>
      </w:numPr>
    </w:pPr>
  </w:style>
  <w:style w:type="numbering" w:customStyle="1" w:styleId="List12">
    <w:name w:val="List 12"/>
    <w:rsid w:val="00E72C3C"/>
    <w:pPr>
      <w:numPr>
        <w:numId w:val="36"/>
      </w:numPr>
    </w:pPr>
  </w:style>
  <w:style w:type="numbering" w:customStyle="1" w:styleId="List50">
    <w:name w:val="List 50"/>
    <w:rsid w:val="00E72C3C"/>
    <w:pPr>
      <w:numPr>
        <w:numId w:val="37"/>
      </w:numPr>
    </w:pPr>
  </w:style>
  <w:style w:type="numbering" w:customStyle="1" w:styleId="List34">
    <w:name w:val="List 34"/>
    <w:rsid w:val="00E72C3C"/>
    <w:pPr>
      <w:numPr>
        <w:numId w:val="11"/>
      </w:numPr>
    </w:pPr>
  </w:style>
  <w:style w:type="numbering" w:customStyle="1" w:styleId="List42">
    <w:name w:val="List 42"/>
    <w:rsid w:val="00E72C3C"/>
    <w:pPr>
      <w:numPr>
        <w:numId w:val="12"/>
      </w:numPr>
    </w:pPr>
  </w:style>
  <w:style w:type="numbering" w:customStyle="1" w:styleId="List49">
    <w:name w:val="List 49"/>
    <w:rsid w:val="00E72C3C"/>
    <w:pPr>
      <w:numPr>
        <w:numId w:val="39"/>
      </w:numPr>
    </w:pPr>
  </w:style>
  <w:style w:type="numbering" w:customStyle="1" w:styleId="List44">
    <w:name w:val="List 44"/>
    <w:rsid w:val="00E72C3C"/>
    <w:pPr>
      <w:numPr>
        <w:numId w:val="40"/>
      </w:numPr>
    </w:pPr>
  </w:style>
  <w:style w:type="numbering" w:customStyle="1" w:styleId="List21">
    <w:name w:val="List 21"/>
    <w:rsid w:val="00E72C3C"/>
    <w:pPr>
      <w:numPr>
        <w:numId w:val="52"/>
      </w:numPr>
    </w:pPr>
  </w:style>
  <w:style w:type="numbering" w:customStyle="1" w:styleId="List52">
    <w:name w:val="List 52"/>
    <w:rsid w:val="00E72C3C"/>
    <w:pPr>
      <w:numPr>
        <w:numId w:val="9"/>
      </w:numPr>
    </w:pPr>
  </w:style>
  <w:style w:type="numbering" w:customStyle="1" w:styleId="List24">
    <w:name w:val="List 24"/>
    <w:rsid w:val="00E72C3C"/>
    <w:pPr>
      <w:numPr>
        <w:numId w:val="13"/>
      </w:numPr>
    </w:pPr>
  </w:style>
  <w:style w:type="numbering" w:customStyle="1" w:styleId="List51">
    <w:name w:val="List 51"/>
    <w:rsid w:val="00E72C3C"/>
    <w:pPr>
      <w:numPr>
        <w:numId w:val="54"/>
      </w:numPr>
    </w:pPr>
  </w:style>
  <w:style w:type="numbering" w:customStyle="1" w:styleId="List27">
    <w:name w:val="List 27"/>
    <w:rsid w:val="00E72C3C"/>
    <w:pPr>
      <w:numPr>
        <w:numId w:val="41"/>
      </w:numPr>
    </w:pPr>
  </w:style>
  <w:style w:type="numbering" w:customStyle="1" w:styleId="List8">
    <w:name w:val="List 8"/>
    <w:rsid w:val="00E72C3C"/>
    <w:pPr>
      <w:numPr>
        <w:numId w:val="5"/>
      </w:numPr>
    </w:pPr>
  </w:style>
  <w:style w:type="numbering" w:customStyle="1" w:styleId="List13">
    <w:name w:val="List 13"/>
    <w:rsid w:val="00E72C3C"/>
    <w:pPr>
      <w:numPr>
        <w:numId w:val="42"/>
      </w:numPr>
    </w:pPr>
  </w:style>
  <w:style w:type="numbering" w:customStyle="1" w:styleId="List20">
    <w:name w:val="List 20"/>
    <w:rsid w:val="00E72C3C"/>
    <w:pPr>
      <w:numPr>
        <w:numId w:val="43"/>
      </w:numPr>
    </w:pPr>
  </w:style>
  <w:style w:type="numbering" w:customStyle="1" w:styleId="List41">
    <w:name w:val="List 41"/>
    <w:rsid w:val="00E72C3C"/>
    <w:pPr>
      <w:numPr>
        <w:numId w:val="44"/>
      </w:numPr>
    </w:pPr>
  </w:style>
  <w:style w:type="numbering" w:customStyle="1" w:styleId="List31">
    <w:name w:val="List 31"/>
    <w:rsid w:val="00E72C3C"/>
    <w:pPr>
      <w:numPr>
        <w:numId w:val="45"/>
      </w:numPr>
    </w:pPr>
  </w:style>
  <w:style w:type="numbering" w:customStyle="1" w:styleId="List6">
    <w:name w:val="List 6"/>
    <w:rsid w:val="00E72C3C"/>
    <w:pPr>
      <w:numPr>
        <w:numId w:val="3"/>
      </w:numPr>
    </w:pPr>
  </w:style>
  <w:style w:type="numbering" w:customStyle="1" w:styleId="List39">
    <w:name w:val="List 39"/>
    <w:rsid w:val="00E72C3C"/>
    <w:pPr>
      <w:numPr>
        <w:numId w:val="46"/>
      </w:numPr>
    </w:pPr>
  </w:style>
  <w:style w:type="numbering" w:customStyle="1" w:styleId="List37">
    <w:name w:val="List 37"/>
    <w:rsid w:val="00E72C3C"/>
    <w:pPr>
      <w:numPr>
        <w:numId w:val="47"/>
      </w:numPr>
    </w:pPr>
  </w:style>
  <w:style w:type="numbering" w:customStyle="1" w:styleId="List32">
    <w:name w:val="List 32"/>
    <w:rsid w:val="00E72C3C"/>
    <w:pPr>
      <w:numPr>
        <w:numId w:val="48"/>
      </w:numPr>
    </w:pPr>
  </w:style>
  <w:style w:type="numbering" w:customStyle="1" w:styleId="List26">
    <w:name w:val="List 26"/>
    <w:rsid w:val="00E72C3C"/>
    <w:pPr>
      <w:numPr>
        <w:numId w:val="49"/>
      </w:numPr>
    </w:pPr>
  </w:style>
  <w:style w:type="numbering" w:customStyle="1" w:styleId="List48">
    <w:name w:val="List 48"/>
    <w:rsid w:val="00E72C3C"/>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06851">
      <w:marLeft w:val="0"/>
      <w:marRight w:val="0"/>
      <w:marTop w:val="0"/>
      <w:marBottom w:val="0"/>
      <w:divBdr>
        <w:top w:val="none" w:sz="0" w:space="0" w:color="auto"/>
        <w:left w:val="none" w:sz="0" w:space="0" w:color="auto"/>
        <w:bottom w:val="none" w:sz="0" w:space="0" w:color="auto"/>
        <w:right w:val="none" w:sz="0" w:space="0" w:color="auto"/>
      </w:divBdr>
    </w:div>
    <w:div w:id="940406852">
      <w:marLeft w:val="0"/>
      <w:marRight w:val="0"/>
      <w:marTop w:val="0"/>
      <w:marBottom w:val="0"/>
      <w:divBdr>
        <w:top w:val="none" w:sz="0" w:space="0" w:color="auto"/>
        <w:left w:val="none" w:sz="0" w:space="0" w:color="auto"/>
        <w:bottom w:val="none" w:sz="0" w:space="0" w:color="auto"/>
        <w:right w:val="none" w:sz="0" w:space="0" w:color="auto"/>
      </w:divBdr>
    </w:div>
    <w:div w:id="940406853">
      <w:marLeft w:val="0"/>
      <w:marRight w:val="0"/>
      <w:marTop w:val="0"/>
      <w:marBottom w:val="0"/>
      <w:divBdr>
        <w:top w:val="none" w:sz="0" w:space="0" w:color="auto"/>
        <w:left w:val="none" w:sz="0" w:space="0" w:color="auto"/>
        <w:bottom w:val="none" w:sz="0" w:space="0" w:color="auto"/>
        <w:right w:val="none" w:sz="0" w:space="0" w:color="auto"/>
      </w:divBdr>
    </w:div>
    <w:div w:id="940406854">
      <w:marLeft w:val="0"/>
      <w:marRight w:val="0"/>
      <w:marTop w:val="0"/>
      <w:marBottom w:val="0"/>
      <w:divBdr>
        <w:top w:val="none" w:sz="0" w:space="0" w:color="auto"/>
        <w:left w:val="none" w:sz="0" w:space="0" w:color="auto"/>
        <w:bottom w:val="none" w:sz="0" w:space="0" w:color="auto"/>
        <w:right w:val="none" w:sz="0" w:space="0" w:color="auto"/>
      </w:divBdr>
    </w:div>
    <w:div w:id="94040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2460</Words>
  <Characters>13137</Characters>
  <Application>Microsoft Office Word</Application>
  <DocSecurity>0</DocSecurity>
  <Lines>211</Lines>
  <Paragraphs>82</Paragraphs>
  <ScaleCrop>false</ScaleCrop>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79/20</dc:title>
  <dc:subject/>
  <dc:creator/>
  <cp:keywords/>
  <dc:description/>
  <cp:lastModifiedBy/>
  <cp:revision>1</cp:revision>
  <dcterms:created xsi:type="dcterms:W3CDTF">2020-06-17T17:43:00Z</dcterms:created>
  <dcterms:modified xsi:type="dcterms:W3CDTF">2020-06-17T17:43:00Z</dcterms:modified>
</cp:coreProperties>
</file>