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DD60DD" w:rsidRDefault="00F727CE" w:rsidP="00627C9F">
      <w:pPr>
        <w:jc w:val="both"/>
        <w:rPr>
          <w:rFonts w:asciiTheme="majorHAnsi" w:hAnsiTheme="majorHAnsi" w:cs="Univers"/>
          <w:b/>
          <w:bCs/>
          <w:noProof/>
          <w:sz w:val="20"/>
          <w:szCs w:val="20"/>
          <w:lang w:val="en-US"/>
        </w:rPr>
      </w:pPr>
      <w:r>
        <w:rPr>
          <w:noProof/>
          <w:bdr w:val="nil"/>
          <w:lang w:val="en-US" w:eastAsia="en-US"/>
        </w:rPr>
        <mc:AlternateContent>
          <mc:Choice Requires="wps">
            <w:drawing>
              <wp:anchor distT="0" distB="0" distL="114300" distR="114300" simplePos="0" relativeHeight="251684864" behindDoc="0" locked="0" layoutInCell="1" allowOverlap="1" wp14:anchorId="22C62A60" wp14:editId="275466BD">
                <wp:simplePos x="0" y="0"/>
                <wp:positionH relativeFrom="column">
                  <wp:posOffset>-419100</wp:posOffset>
                </wp:positionH>
                <wp:positionV relativeFrom="paragraph">
                  <wp:posOffset>-381000</wp:posOffset>
                </wp:positionV>
                <wp:extent cx="1409700" cy="8977630"/>
                <wp:effectExtent l="0" t="0" r="0" b="0"/>
                <wp:wrapNone/>
                <wp:docPr id="2" name="Rectangle 2"/>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Pr="000146AF" w:rsidRDefault="000146AF" w:rsidP="000146AF">
                            <w:pPr>
                              <w:jc w:val="center"/>
                              <w:rPr>
                                <w:b/>
                              </w:rPr>
                            </w:pPr>
                            <w:r w:rsidRPr="000146AF">
                              <w:rPr>
                                <w:b/>
                              </w:rPr>
                              <w:t>www.iachr.org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C62A60" id="Rectangle 2" o:spid="_x0000_s1026" style="position:absolute;left:0;text-align:left;margin-left:-33pt;margin-top:-30pt;width:111pt;height:706.9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" fillcolor="#67ae3c" stroked="f" strokeweight="2pt">
                <v:textbox>
                  <w:txbxContent>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Default="000146AF" w:rsidP="000146AF">
                      <w:pPr>
                        <w:jc w:val="center"/>
                      </w:pPr>
                    </w:p>
                    <w:p w:rsidR="000146AF" w:rsidRPr="000146AF" w:rsidRDefault="000146AF" w:rsidP="000146AF">
                      <w:pPr>
                        <w:jc w:val="center"/>
                        <w:rPr>
                          <w:b/>
                        </w:rPr>
                      </w:pPr>
                      <w:r w:rsidRPr="000146AF">
                        <w:rPr>
                          <w:b/>
                        </w:rPr>
                        <w:t>www.iachr.org</w:t>
                      </w:r>
                    </w:p>
                  </w:txbxContent>
                </v:textbox>
              </v:rect>
            </w:pict>
          </mc:Fallback>
        </mc:AlternateContent>
      </w:r>
      <w:r w:rsidR="003E6CA1" w:rsidRPr="00DD60DD">
        <w:rPr>
          <w:rFonts w:asciiTheme="majorHAnsi" w:hAnsiTheme="majorHAnsi"/>
          <w:noProof/>
          <w:sz w:val="20"/>
          <w:szCs w:val="20"/>
          <w:lang w:val="en-US" w:eastAsia="en-US"/>
        </w:rPr>
        <mc:AlternateContent>
          <mc:Choice Requires="wps">
            <w:drawing>
              <wp:anchor distT="0" distB="0" distL="114300" distR="114300" simplePos="0" relativeHeight="251673600" behindDoc="0" locked="0" layoutInCell="1" allowOverlap="1" wp14:anchorId="6BF62D89" wp14:editId="5E3DC88B">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2752" w:rsidRDefault="00AA22C6" w:rsidP="00AE5488">
                            <w:r>
                              <w:rPr>
                                <w:noProof/>
                                <w:lang w:val="en-US" w:eastAsia="en-US"/>
                              </w:rPr>
                              <w:drawing>
                                <wp:inline distT="0" distB="0" distL="0" distR="0">
                                  <wp:extent cx="3409315" cy="804545"/>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achr-en.jpg"/>
                                          <pic:cNvPicPr/>
                                        </pic:nvPicPr>
                                        <pic:blipFill>
                                          <a:blip r:embed="rId8">
                                            <a:extLst>
                                              <a:ext uri="{28A0092B-C50C-407E-A947-70E740481C1C}">
                                                <a14:useLocalDpi xmlns:a14="http://schemas.microsoft.com/office/drawing/2010/main" val="0"/>
                                              </a:ext>
                                            </a:extLst>
                                          </a:blip>
                                          <a:stretch>
                                            <a:fillRect/>
                                          </a:stretch>
                                        </pic:blipFill>
                                        <pic:spPr>
                                          <a:xfrm>
                                            <a:off x="0" y="0"/>
                                            <a:ext cx="3409315" cy="804545"/>
                                          </a:xfrm>
                                          <a:prstGeom prst="rect">
                                            <a:avLst/>
                                          </a:prstGeom>
                                        </pic:spPr>
                                      </pic:pic>
                                    </a:graphicData>
                                  </a:graphic>
                                </wp:inline>
                              </w:drawing>
                            </w:r>
                            <w:r w:rsidR="00E52752">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62D89" id="_x0000_t202" coordsize="21600,21600" o:spt="202" path="m,l,21600r21600,l21600,xe">
                <v:stroke joinstyle="miter"/>
                <v:path gradientshapeok="t" o:connecttype="rect"/>
              </v:shapetype>
              <v:shape id="Text Box 11" o:spid="_x0000_s1027"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8dIgQIAAGs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" filled="f" stroked="f" strokeweight=".5pt">
                <v:textbox>
                  <w:txbxContent>
                    <w:p w:rsidR="00E52752" w:rsidRDefault="00AA22C6" w:rsidP="00AE5488">
                      <w:r>
                        <w:rPr>
                          <w:noProof/>
                          <w:lang w:val="en-US" w:eastAsia="en-US"/>
                        </w:rPr>
                        <w:drawing>
                          <wp:inline distT="0" distB="0" distL="0" distR="0">
                            <wp:extent cx="3409315" cy="804545"/>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achr-en.jpg"/>
                                    <pic:cNvPicPr/>
                                  </pic:nvPicPr>
                                  <pic:blipFill>
                                    <a:blip r:embed="rId8">
                                      <a:extLst>
                                        <a:ext uri="{28A0092B-C50C-407E-A947-70E740481C1C}">
                                          <a14:useLocalDpi xmlns:a14="http://schemas.microsoft.com/office/drawing/2010/main" val="0"/>
                                        </a:ext>
                                      </a:extLst>
                                    </a:blip>
                                    <a:stretch>
                                      <a:fillRect/>
                                    </a:stretch>
                                  </pic:blipFill>
                                  <pic:spPr>
                                    <a:xfrm>
                                      <a:off x="0" y="0"/>
                                      <a:ext cx="3409315" cy="804545"/>
                                    </a:xfrm>
                                    <a:prstGeom prst="rect">
                                      <a:avLst/>
                                    </a:prstGeom>
                                  </pic:spPr>
                                </pic:pic>
                              </a:graphicData>
                            </a:graphic>
                          </wp:inline>
                        </w:drawing>
                      </w:r>
                      <w:r w:rsidR="00E52752">
                        <w:tab/>
                        <w:t xml:space="preserve">                              </w:t>
                      </w:r>
                    </w:p>
                  </w:txbxContent>
                </v:textbox>
              </v:shape>
            </w:pict>
          </mc:Fallback>
        </mc:AlternateContent>
      </w:r>
    </w:p>
    <w:p w:rsidR="00040C3A" w:rsidRPr="00DD60DD" w:rsidRDefault="00040C3A" w:rsidP="00040C3A">
      <w:pPr>
        <w:tabs>
          <w:tab w:val="center" w:pos="5400"/>
        </w:tabs>
        <w:suppressAutoHyphens/>
        <w:jc w:val="both"/>
        <w:rPr>
          <w:rFonts w:asciiTheme="majorHAnsi" w:hAnsiTheme="majorHAnsi"/>
          <w:noProof/>
          <w:sz w:val="20"/>
          <w:szCs w:val="20"/>
          <w:lang w:val="en-US"/>
        </w:rPr>
      </w:pPr>
    </w:p>
    <w:p w:rsidR="00040C3A" w:rsidRPr="00DD60DD" w:rsidRDefault="00040C3A" w:rsidP="00040C3A">
      <w:pPr>
        <w:tabs>
          <w:tab w:val="center" w:pos="5400"/>
        </w:tabs>
        <w:suppressAutoHyphens/>
        <w:jc w:val="both"/>
        <w:rPr>
          <w:rFonts w:asciiTheme="majorHAnsi" w:hAnsiTheme="majorHAnsi"/>
          <w:noProof/>
          <w:sz w:val="20"/>
          <w:szCs w:val="20"/>
          <w:lang w:val="en-US"/>
        </w:rPr>
      </w:pPr>
    </w:p>
    <w:p w:rsidR="005128E4" w:rsidRPr="00DD60DD" w:rsidRDefault="005128E4" w:rsidP="00040C3A">
      <w:pPr>
        <w:tabs>
          <w:tab w:val="center" w:pos="5400"/>
        </w:tabs>
        <w:suppressAutoHyphens/>
        <w:rPr>
          <w:rFonts w:asciiTheme="majorHAnsi" w:hAnsiTheme="majorHAnsi"/>
          <w:noProof/>
          <w:sz w:val="20"/>
          <w:szCs w:val="20"/>
          <w:lang w:val="en-US"/>
        </w:rPr>
      </w:pPr>
    </w:p>
    <w:p w:rsidR="005128E4" w:rsidRPr="00DD60DD" w:rsidRDefault="005128E4" w:rsidP="00040C3A">
      <w:pPr>
        <w:tabs>
          <w:tab w:val="center" w:pos="5400"/>
        </w:tabs>
        <w:suppressAutoHyphens/>
        <w:rPr>
          <w:rFonts w:asciiTheme="majorHAnsi" w:hAnsiTheme="majorHAnsi"/>
          <w:noProof/>
          <w:sz w:val="20"/>
          <w:szCs w:val="20"/>
          <w:lang w:val="en-US"/>
        </w:rPr>
      </w:pPr>
    </w:p>
    <w:p w:rsidR="005128E4" w:rsidRPr="00DD60DD" w:rsidRDefault="005128E4" w:rsidP="00040C3A">
      <w:pPr>
        <w:tabs>
          <w:tab w:val="center" w:pos="5400"/>
        </w:tabs>
        <w:suppressAutoHyphens/>
        <w:rPr>
          <w:rFonts w:asciiTheme="majorHAnsi" w:hAnsiTheme="majorHAnsi"/>
          <w:noProof/>
          <w:sz w:val="20"/>
          <w:szCs w:val="20"/>
          <w:lang w:val="en-US"/>
        </w:rPr>
      </w:pPr>
    </w:p>
    <w:p w:rsidR="00040C3A" w:rsidRPr="00DD60DD" w:rsidRDefault="00040C3A" w:rsidP="005128E4">
      <w:pPr>
        <w:tabs>
          <w:tab w:val="center" w:pos="5400"/>
        </w:tabs>
        <w:suppressAutoHyphens/>
        <w:jc w:val="center"/>
        <w:rPr>
          <w:rFonts w:asciiTheme="majorHAnsi" w:hAnsiTheme="majorHAnsi"/>
          <w:noProof/>
          <w:sz w:val="20"/>
          <w:szCs w:val="20"/>
          <w:lang w:val="en-US"/>
        </w:rPr>
      </w:pPr>
    </w:p>
    <w:p w:rsidR="00040C3A" w:rsidRPr="00DD60DD" w:rsidRDefault="00040C3A" w:rsidP="005128E4">
      <w:pPr>
        <w:tabs>
          <w:tab w:val="center" w:pos="5400"/>
        </w:tabs>
        <w:suppressAutoHyphens/>
        <w:jc w:val="center"/>
        <w:rPr>
          <w:rFonts w:asciiTheme="majorHAnsi" w:hAnsiTheme="majorHAnsi"/>
          <w:noProof/>
          <w:sz w:val="20"/>
          <w:szCs w:val="20"/>
          <w:lang w:val="en-US"/>
        </w:rPr>
      </w:pPr>
    </w:p>
    <w:p w:rsidR="005B52B0" w:rsidRPr="00DD60DD" w:rsidRDefault="005B52B0" w:rsidP="005128E4">
      <w:pPr>
        <w:tabs>
          <w:tab w:val="center" w:pos="5400"/>
        </w:tabs>
        <w:suppressAutoHyphens/>
        <w:jc w:val="center"/>
        <w:rPr>
          <w:rFonts w:asciiTheme="majorHAnsi" w:hAnsiTheme="majorHAnsi"/>
          <w:noProof/>
          <w:sz w:val="20"/>
          <w:szCs w:val="20"/>
          <w:lang w:val="en-US"/>
        </w:rPr>
      </w:pPr>
    </w:p>
    <w:p w:rsidR="005B52B0" w:rsidRPr="00DD60DD" w:rsidRDefault="005B52B0" w:rsidP="005128E4">
      <w:pPr>
        <w:tabs>
          <w:tab w:val="center" w:pos="5400"/>
        </w:tabs>
        <w:suppressAutoHyphens/>
        <w:jc w:val="center"/>
        <w:rPr>
          <w:rFonts w:asciiTheme="majorHAnsi" w:hAnsiTheme="majorHAnsi"/>
          <w:noProof/>
          <w:sz w:val="20"/>
          <w:szCs w:val="20"/>
          <w:lang w:val="en-US"/>
        </w:rPr>
      </w:pPr>
    </w:p>
    <w:p w:rsidR="005B52B0" w:rsidRPr="00DD60DD" w:rsidRDefault="005B52B0" w:rsidP="005128E4">
      <w:pPr>
        <w:tabs>
          <w:tab w:val="center" w:pos="5400"/>
        </w:tabs>
        <w:suppressAutoHyphens/>
        <w:jc w:val="center"/>
        <w:rPr>
          <w:rFonts w:asciiTheme="majorHAnsi" w:hAnsiTheme="majorHAnsi"/>
          <w:noProof/>
          <w:sz w:val="20"/>
          <w:szCs w:val="20"/>
          <w:lang w:val="en-US"/>
        </w:rPr>
      </w:pPr>
      <w:bookmarkStart w:id="0" w:name="_GoBack"/>
      <w:bookmarkEnd w:id="0"/>
    </w:p>
    <w:p w:rsidR="00040C3A" w:rsidRPr="00DD60DD" w:rsidRDefault="00040C3A" w:rsidP="00040C3A">
      <w:pPr>
        <w:tabs>
          <w:tab w:val="center" w:pos="5400"/>
        </w:tabs>
        <w:suppressAutoHyphens/>
        <w:jc w:val="center"/>
        <w:rPr>
          <w:rFonts w:asciiTheme="majorHAnsi" w:hAnsiTheme="majorHAnsi"/>
          <w:noProof/>
          <w:sz w:val="20"/>
          <w:szCs w:val="20"/>
          <w:lang w:val="en-US"/>
        </w:rPr>
      </w:pPr>
    </w:p>
    <w:p w:rsidR="00040C3A" w:rsidRPr="00DD60DD" w:rsidRDefault="00040C3A" w:rsidP="00040C3A">
      <w:pPr>
        <w:tabs>
          <w:tab w:val="center" w:pos="5400"/>
        </w:tabs>
        <w:suppressAutoHyphens/>
        <w:jc w:val="center"/>
        <w:rPr>
          <w:rFonts w:asciiTheme="majorHAnsi" w:hAnsiTheme="majorHAnsi"/>
          <w:noProof/>
          <w:sz w:val="20"/>
          <w:szCs w:val="20"/>
          <w:lang w:val="en-US"/>
        </w:rPr>
      </w:pPr>
    </w:p>
    <w:p w:rsidR="00040C3A" w:rsidRPr="00DD60DD" w:rsidRDefault="003D3BC2" w:rsidP="00040C3A">
      <w:pPr>
        <w:tabs>
          <w:tab w:val="center" w:pos="5400"/>
        </w:tabs>
        <w:suppressAutoHyphens/>
        <w:jc w:val="center"/>
        <w:rPr>
          <w:rFonts w:asciiTheme="majorHAnsi" w:hAnsiTheme="majorHAnsi"/>
          <w:noProof/>
          <w:sz w:val="20"/>
          <w:szCs w:val="20"/>
          <w:lang w:val="en-US"/>
        </w:rPr>
      </w:pPr>
      <w:r w:rsidRPr="00DD60DD">
        <w:rPr>
          <w:rFonts w:asciiTheme="majorHAnsi" w:hAnsiTheme="majorHAnsi"/>
          <w:noProof/>
          <w:sz w:val="20"/>
          <w:szCs w:val="20"/>
          <w:lang w:val="en-US" w:eastAsia="en-US"/>
        </w:rPr>
        <mc:AlternateContent>
          <mc:Choice Requires="wps">
            <w:drawing>
              <wp:anchor distT="0" distB="0" distL="114300" distR="114300" simplePos="0" relativeHeight="251669504" behindDoc="0" locked="0" layoutInCell="1" allowOverlap="1" wp14:anchorId="03436C5E" wp14:editId="4CA10CE4">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2752" w:rsidRPr="003D4386" w:rsidRDefault="00E52752" w:rsidP="00997BC5">
                            <w:pPr>
                              <w:spacing w:line="276" w:lineRule="auto"/>
                              <w:rPr>
                                <w:rFonts w:asciiTheme="majorHAnsi" w:hAnsiTheme="majorHAnsi" w:cs="Arial"/>
                                <w:b/>
                                <w:bCs/>
                                <w:color w:val="0D0D0D" w:themeColor="text1" w:themeTint="F2"/>
                                <w:sz w:val="36"/>
                                <w:szCs w:val="22"/>
                                <w:lang w:val="en-US"/>
                              </w:rPr>
                            </w:pPr>
                            <w:r w:rsidRPr="003D4386">
                              <w:rPr>
                                <w:rFonts w:asciiTheme="majorHAnsi" w:hAnsiTheme="majorHAnsi" w:cs="Arial"/>
                                <w:b/>
                                <w:bCs/>
                                <w:color w:val="0D0D0D" w:themeColor="text1" w:themeTint="F2"/>
                                <w:sz w:val="36"/>
                                <w:szCs w:val="22"/>
                                <w:lang w:val="en-US"/>
                              </w:rPr>
                              <w:t xml:space="preserve">REPORT </w:t>
                            </w:r>
                            <w:r w:rsidRPr="003D4386">
                              <w:rPr>
                                <w:rFonts w:asciiTheme="majorHAnsi" w:hAnsiTheme="majorHAnsi" w:cs="Arial"/>
                                <w:b/>
                                <w:bCs/>
                                <w:color w:val="0D0D0D" w:themeColor="text1" w:themeTint="F2"/>
                                <w:sz w:val="36"/>
                                <w:szCs w:val="40"/>
                                <w:lang w:val="en-US"/>
                              </w:rPr>
                              <w:t>No.</w:t>
                            </w:r>
                            <w:r w:rsidR="00341E4C">
                              <w:rPr>
                                <w:rFonts w:asciiTheme="majorHAnsi" w:hAnsiTheme="majorHAnsi" w:cs="Arial"/>
                                <w:b/>
                                <w:bCs/>
                                <w:color w:val="0D0D0D" w:themeColor="text1" w:themeTint="F2"/>
                                <w:sz w:val="36"/>
                                <w:szCs w:val="22"/>
                                <w:lang w:val="en-US"/>
                              </w:rPr>
                              <w:t xml:space="preserve"> 36</w:t>
                            </w:r>
                            <w:r w:rsidRPr="003D4386">
                              <w:rPr>
                                <w:rFonts w:asciiTheme="majorHAnsi" w:hAnsiTheme="majorHAnsi" w:cs="Arial"/>
                                <w:b/>
                                <w:bCs/>
                                <w:color w:val="0D0D0D" w:themeColor="text1" w:themeTint="F2"/>
                                <w:sz w:val="36"/>
                                <w:szCs w:val="22"/>
                                <w:lang w:val="en-US"/>
                              </w:rPr>
                              <w:t>/20</w:t>
                            </w:r>
                          </w:p>
                          <w:p w:rsidR="00E52752" w:rsidRPr="00C27BAB" w:rsidRDefault="00E52752" w:rsidP="00997BC5">
                            <w:pPr>
                              <w:spacing w:line="276" w:lineRule="auto"/>
                              <w:rPr>
                                <w:rFonts w:asciiTheme="majorHAnsi" w:hAnsiTheme="majorHAnsi" w:cs="Arial"/>
                                <w:b/>
                                <w:color w:val="0D0D0D" w:themeColor="text1" w:themeTint="F2"/>
                                <w:sz w:val="36"/>
                                <w:szCs w:val="22"/>
                                <w:lang w:val="en-US"/>
                              </w:rPr>
                            </w:pPr>
                            <w:r w:rsidRPr="00C27BAB">
                              <w:rPr>
                                <w:rFonts w:asciiTheme="majorHAnsi" w:hAnsiTheme="majorHAnsi" w:cs="Arial"/>
                                <w:b/>
                                <w:color w:val="0D0D0D" w:themeColor="text1" w:themeTint="F2"/>
                                <w:sz w:val="36"/>
                                <w:szCs w:val="22"/>
                                <w:lang w:val="en-US"/>
                              </w:rPr>
                              <w:t xml:space="preserve">PETITION 879-08 </w:t>
                            </w:r>
                          </w:p>
                          <w:p w:rsidR="00E52752" w:rsidRPr="00C27BAB" w:rsidRDefault="00E52752" w:rsidP="00997BC5">
                            <w:pPr>
                              <w:spacing w:line="276" w:lineRule="auto"/>
                              <w:rPr>
                                <w:rFonts w:asciiTheme="majorHAnsi" w:hAnsiTheme="majorHAnsi" w:cs="Arial"/>
                                <w:color w:val="0D0D0D" w:themeColor="text1" w:themeTint="F2"/>
                                <w:szCs w:val="22"/>
                                <w:lang w:val="en-US"/>
                              </w:rPr>
                            </w:pPr>
                            <w:r w:rsidRPr="00C27BAB">
                              <w:rPr>
                                <w:rFonts w:asciiTheme="majorHAnsi" w:hAnsiTheme="majorHAnsi" w:cs="Arial"/>
                                <w:color w:val="0D0D0D" w:themeColor="text1" w:themeTint="F2"/>
                                <w:szCs w:val="22"/>
                                <w:lang w:val="en-US"/>
                              </w:rPr>
                              <w:t>REPORT ON ADMISSIBILITY</w:t>
                            </w:r>
                          </w:p>
                          <w:p w:rsidR="00E52752" w:rsidRPr="00C27BAB" w:rsidRDefault="00E52752" w:rsidP="00997BC5">
                            <w:pPr>
                              <w:spacing w:line="276" w:lineRule="auto"/>
                              <w:rPr>
                                <w:rFonts w:asciiTheme="majorHAnsi" w:hAnsiTheme="majorHAnsi" w:cs="Arial"/>
                                <w:color w:val="0D0D0D" w:themeColor="text1" w:themeTint="F2"/>
                                <w:szCs w:val="22"/>
                                <w:lang w:val="en-US"/>
                              </w:rPr>
                            </w:pPr>
                            <w:bookmarkStart w:id="1" w:name="_ftnref1"/>
                          </w:p>
                          <w:p w:rsidR="00341E4C" w:rsidRPr="00434950" w:rsidRDefault="00E52752" w:rsidP="00997BC5">
                            <w:pPr>
                              <w:spacing w:line="276" w:lineRule="auto"/>
                              <w:rPr>
                                <w:rFonts w:asciiTheme="majorHAnsi" w:hAnsiTheme="majorHAnsi" w:cs="Arial"/>
                                <w:szCs w:val="22"/>
                                <w:lang w:val="es-US"/>
                              </w:rPr>
                            </w:pPr>
                            <w:r w:rsidRPr="00434950">
                              <w:rPr>
                                <w:rFonts w:asciiTheme="majorHAnsi" w:hAnsiTheme="majorHAnsi" w:cs="Arial"/>
                                <w:szCs w:val="22"/>
                                <w:lang w:val="es-US"/>
                              </w:rPr>
                              <w:t xml:space="preserve">ROSA ELENA PARIAHUACHI PALACIOS AND OTHER </w:t>
                            </w:r>
                          </w:p>
                          <w:p w:rsidR="00E52752" w:rsidRPr="00C27BAB" w:rsidRDefault="00E52752" w:rsidP="00997BC5">
                            <w:pPr>
                              <w:spacing w:line="276" w:lineRule="auto"/>
                              <w:rPr>
                                <w:rFonts w:asciiTheme="majorHAnsi" w:hAnsiTheme="majorHAnsi" w:cs="Arial"/>
                                <w:szCs w:val="22"/>
                                <w:lang w:val="en-US"/>
                              </w:rPr>
                            </w:pPr>
                            <w:r w:rsidRPr="00C27BAB">
                              <w:rPr>
                                <w:rFonts w:asciiTheme="majorHAnsi" w:hAnsiTheme="majorHAnsi" w:cs="Arial"/>
                                <w:szCs w:val="22"/>
                                <w:lang w:val="en-US"/>
                              </w:rPr>
                              <w:t xml:space="preserve">WORKERS FROM THE AGRICULTURAL SECTOR </w:t>
                            </w:r>
                          </w:p>
                          <w:bookmarkEnd w:id="1"/>
                          <w:p w:rsidR="00E52752" w:rsidRPr="00434950" w:rsidRDefault="00E52752" w:rsidP="00997BC5">
                            <w:pPr>
                              <w:spacing w:line="276" w:lineRule="auto"/>
                              <w:rPr>
                                <w:rFonts w:asciiTheme="majorHAnsi" w:hAnsiTheme="majorHAnsi" w:cs="Arial"/>
                                <w:color w:val="0D0D0D" w:themeColor="text1" w:themeTint="F2"/>
                                <w:szCs w:val="22"/>
                                <w:lang w:val="en-US"/>
                              </w:rPr>
                            </w:pPr>
                            <w:r w:rsidRPr="00434950">
                              <w:rPr>
                                <w:rFonts w:asciiTheme="majorHAnsi" w:hAnsiTheme="majorHAnsi" w:cs="Arial"/>
                                <w:color w:val="0D0D0D" w:themeColor="text1" w:themeTint="F2"/>
                                <w:szCs w:val="22"/>
                                <w:lang w:val="en-US"/>
                              </w:rPr>
                              <w:t xml:space="preserve">PERU </w:t>
                            </w:r>
                          </w:p>
                          <w:p w:rsidR="00E52752" w:rsidRPr="00434950" w:rsidRDefault="00E52752" w:rsidP="007A5817">
                            <w:pPr>
                              <w:rPr>
                                <w:color w:val="0D0D0D" w:themeColor="text1" w:themeTint="F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36C5E" id="Text Box 5" o:spid="_x0000_s1028"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" filled="f" stroked="f" strokeweight=".5pt">
                <v:textbox>
                  <w:txbxContent>
                    <w:p w:rsidR="00E52752" w:rsidRPr="003D4386" w:rsidRDefault="00E52752" w:rsidP="00997BC5">
                      <w:pPr>
                        <w:spacing w:line="276" w:lineRule="auto"/>
                        <w:rPr>
                          <w:rFonts w:asciiTheme="majorHAnsi" w:hAnsiTheme="majorHAnsi" w:cs="Arial"/>
                          <w:b/>
                          <w:bCs/>
                          <w:color w:val="0D0D0D" w:themeColor="text1" w:themeTint="F2"/>
                          <w:sz w:val="36"/>
                          <w:szCs w:val="22"/>
                          <w:lang w:val="en-US"/>
                        </w:rPr>
                      </w:pPr>
                      <w:r w:rsidRPr="003D4386">
                        <w:rPr>
                          <w:rFonts w:asciiTheme="majorHAnsi" w:hAnsiTheme="majorHAnsi" w:cs="Arial"/>
                          <w:b/>
                          <w:bCs/>
                          <w:color w:val="0D0D0D" w:themeColor="text1" w:themeTint="F2"/>
                          <w:sz w:val="36"/>
                          <w:szCs w:val="22"/>
                          <w:lang w:val="en-US"/>
                        </w:rPr>
                        <w:t xml:space="preserve">REPORT </w:t>
                      </w:r>
                      <w:r w:rsidRPr="003D4386">
                        <w:rPr>
                          <w:rFonts w:asciiTheme="majorHAnsi" w:hAnsiTheme="majorHAnsi" w:cs="Arial"/>
                          <w:b/>
                          <w:bCs/>
                          <w:color w:val="0D0D0D" w:themeColor="text1" w:themeTint="F2"/>
                          <w:sz w:val="36"/>
                          <w:szCs w:val="40"/>
                          <w:lang w:val="en-US"/>
                        </w:rPr>
                        <w:t>No.</w:t>
                      </w:r>
                      <w:r w:rsidR="00341E4C">
                        <w:rPr>
                          <w:rFonts w:asciiTheme="majorHAnsi" w:hAnsiTheme="majorHAnsi" w:cs="Arial"/>
                          <w:b/>
                          <w:bCs/>
                          <w:color w:val="0D0D0D" w:themeColor="text1" w:themeTint="F2"/>
                          <w:sz w:val="36"/>
                          <w:szCs w:val="22"/>
                          <w:lang w:val="en-US"/>
                        </w:rPr>
                        <w:t xml:space="preserve"> 36</w:t>
                      </w:r>
                      <w:r w:rsidRPr="003D4386">
                        <w:rPr>
                          <w:rFonts w:asciiTheme="majorHAnsi" w:hAnsiTheme="majorHAnsi" w:cs="Arial"/>
                          <w:b/>
                          <w:bCs/>
                          <w:color w:val="0D0D0D" w:themeColor="text1" w:themeTint="F2"/>
                          <w:sz w:val="36"/>
                          <w:szCs w:val="22"/>
                          <w:lang w:val="en-US"/>
                        </w:rPr>
                        <w:t>/20</w:t>
                      </w:r>
                    </w:p>
                    <w:p w:rsidR="00E52752" w:rsidRPr="00C27BAB" w:rsidRDefault="00E52752" w:rsidP="00997BC5">
                      <w:pPr>
                        <w:spacing w:line="276" w:lineRule="auto"/>
                        <w:rPr>
                          <w:rFonts w:asciiTheme="majorHAnsi" w:hAnsiTheme="majorHAnsi" w:cs="Arial"/>
                          <w:b/>
                          <w:color w:val="0D0D0D" w:themeColor="text1" w:themeTint="F2"/>
                          <w:sz w:val="36"/>
                          <w:szCs w:val="22"/>
                          <w:lang w:val="en-US"/>
                        </w:rPr>
                      </w:pPr>
                      <w:r w:rsidRPr="00C27BAB">
                        <w:rPr>
                          <w:rFonts w:asciiTheme="majorHAnsi" w:hAnsiTheme="majorHAnsi" w:cs="Arial"/>
                          <w:b/>
                          <w:color w:val="0D0D0D" w:themeColor="text1" w:themeTint="F2"/>
                          <w:sz w:val="36"/>
                          <w:szCs w:val="22"/>
                          <w:lang w:val="en-US"/>
                        </w:rPr>
                        <w:t xml:space="preserve">PETITION 879-08 </w:t>
                      </w:r>
                    </w:p>
                    <w:p w:rsidR="00E52752" w:rsidRPr="00C27BAB" w:rsidRDefault="00E52752" w:rsidP="00997BC5">
                      <w:pPr>
                        <w:spacing w:line="276" w:lineRule="auto"/>
                        <w:rPr>
                          <w:rFonts w:asciiTheme="majorHAnsi" w:hAnsiTheme="majorHAnsi" w:cs="Arial"/>
                          <w:color w:val="0D0D0D" w:themeColor="text1" w:themeTint="F2"/>
                          <w:szCs w:val="22"/>
                          <w:lang w:val="en-US"/>
                        </w:rPr>
                      </w:pPr>
                      <w:r w:rsidRPr="00C27BAB">
                        <w:rPr>
                          <w:rFonts w:asciiTheme="majorHAnsi" w:hAnsiTheme="majorHAnsi" w:cs="Arial"/>
                          <w:color w:val="0D0D0D" w:themeColor="text1" w:themeTint="F2"/>
                          <w:szCs w:val="22"/>
                          <w:lang w:val="en-US"/>
                        </w:rPr>
                        <w:t>REPORT ON ADMISSIBILITY</w:t>
                      </w:r>
                    </w:p>
                    <w:p w:rsidR="00E52752" w:rsidRPr="00C27BAB" w:rsidRDefault="00E52752" w:rsidP="00997BC5">
                      <w:pPr>
                        <w:spacing w:line="276" w:lineRule="auto"/>
                        <w:rPr>
                          <w:rFonts w:asciiTheme="majorHAnsi" w:hAnsiTheme="majorHAnsi" w:cs="Arial"/>
                          <w:color w:val="0D0D0D" w:themeColor="text1" w:themeTint="F2"/>
                          <w:szCs w:val="22"/>
                          <w:lang w:val="en-US"/>
                        </w:rPr>
                      </w:pPr>
                      <w:bookmarkStart w:id="2" w:name="_ftnref1"/>
                    </w:p>
                    <w:p w:rsidR="00341E4C" w:rsidRPr="00434950" w:rsidRDefault="00E52752" w:rsidP="00997BC5">
                      <w:pPr>
                        <w:spacing w:line="276" w:lineRule="auto"/>
                        <w:rPr>
                          <w:rFonts w:asciiTheme="majorHAnsi" w:hAnsiTheme="majorHAnsi" w:cs="Arial"/>
                          <w:szCs w:val="22"/>
                          <w:lang w:val="es-US"/>
                        </w:rPr>
                      </w:pPr>
                      <w:r w:rsidRPr="00434950">
                        <w:rPr>
                          <w:rFonts w:asciiTheme="majorHAnsi" w:hAnsiTheme="majorHAnsi" w:cs="Arial"/>
                          <w:szCs w:val="22"/>
                          <w:lang w:val="es-US"/>
                        </w:rPr>
                        <w:t xml:space="preserve">ROSA ELENA PARIAHUACHI PALACIOS AND OTHER </w:t>
                      </w:r>
                    </w:p>
                    <w:p w:rsidR="00E52752" w:rsidRPr="00C27BAB" w:rsidRDefault="00E52752" w:rsidP="00997BC5">
                      <w:pPr>
                        <w:spacing w:line="276" w:lineRule="auto"/>
                        <w:rPr>
                          <w:rFonts w:asciiTheme="majorHAnsi" w:hAnsiTheme="majorHAnsi" w:cs="Arial"/>
                          <w:szCs w:val="22"/>
                          <w:lang w:val="en-US"/>
                        </w:rPr>
                      </w:pPr>
                      <w:r w:rsidRPr="00C27BAB">
                        <w:rPr>
                          <w:rFonts w:asciiTheme="majorHAnsi" w:hAnsiTheme="majorHAnsi" w:cs="Arial"/>
                          <w:szCs w:val="22"/>
                          <w:lang w:val="en-US"/>
                        </w:rPr>
                        <w:t xml:space="preserve">WORKERS FROM THE AGRICULTURAL SECTOR </w:t>
                      </w:r>
                    </w:p>
                    <w:bookmarkEnd w:id="2"/>
                    <w:p w:rsidR="00E52752" w:rsidRPr="00434950" w:rsidRDefault="00E52752" w:rsidP="00997BC5">
                      <w:pPr>
                        <w:spacing w:line="276" w:lineRule="auto"/>
                        <w:rPr>
                          <w:rFonts w:asciiTheme="majorHAnsi" w:hAnsiTheme="majorHAnsi" w:cs="Arial"/>
                          <w:color w:val="0D0D0D" w:themeColor="text1" w:themeTint="F2"/>
                          <w:szCs w:val="22"/>
                          <w:lang w:val="en-US"/>
                        </w:rPr>
                      </w:pPr>
                      <w:r w:rsidRPr="00434950">
                        <w:rPr>
                          <w:rFonts w:asciiTheme="majorHAnsi" w:hAnsiTheme="majorHAnsi" w:cs="Arial"/>
                          <w:color w:val="0D0D0D" w:themeColor="text1" w:themeTint="F2"/>
                          <w:szCs w:val="22"/>
                          <w:lang w:val="en-US"/>
                        </w:rPr>
                        <w:t xml:space="preserve">PERU </w:t>
                      </w:r>
                    </w:p>
                    <w:p w:rsidR="00E52752" w:rsidRPr="00434950" w:rsidRDefault="00E52752" w:rsidP="007A5817">
                      <w:pPr>
                        <w:rPr>
                          <w:color w:val="0D0D0D" w:themeColor="text1" w:themeTint="F2"/>
                          <w:lang w:val="en-US"/>
                        </w:rPr>
                      </w:pPr>
                    </w:p>
                  </w:txbxContent>
                </v:textbox>
              </v:shape>
            </w:pict>
          </mc:Fallback>
        </mc:AlternateContent>
      </w:r>
      <w:r w:rsidR="004E2649" w:rsidRPr="00DD60DD">
        <w:rPr>
          <w:rFonts w:asciiTheme="majorHAnsi" w:hAnsiTheme="majorHAnsi"/>
          <w:noProof/>
          <w:sz w:val="20"/>
          <w:szCs w:val="20"/>
          <w:lang w:val="en-US" w:eastAsia="en-US"/>
        </w:rPr>
        <mc:AlternateContent>
          <mc:Choice Requires="wps">
            <w:drawing>
              <wp:anchor distT="0" distB="0" distL="114300" distR="114300" simplePos="0" relativeHeight="251671552" behindDoc="0" locked="0" layoutInCell="1" allowOverlap="1" wp14:anchorId="59787041" wp14:editId="7C774DE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2752" w:rsidRPr="00C27BAB" w:rsidRDefault="00E52752" w:rsidP="007A5817">
                            <w:pPr>
                              <w:spacing w:line="276" w:lineRule="auto"/>
                              <w:jc w:val="right"/>
                              <w:rPr>
                                <w:rFonts w:asciiTheme="minorHAnsi" w:hAnsiTheme="minorHAnsi"/>
                                <w:color w:val="FFFFFF" w:themeColor="background1"/>
                                <w:sz w:val="22"/>
                                <w:lang w:val="pt-BR"/>
                              </w:rPr>
                            </w:pPr>
                            <w:r w:rsidRPr="00C27BAB">
                              <w:rPr>
                                <w:rFonts w:asciiTheme="minorHAnsi" w:hAnsiTheme="minorHAnsi"/>
                                <w:color w:val="FFFFFF" w:themeColor="background1"/>
                                <w:sz w:val="22"/>
                                <w:lang w:val="pt-BR"/>
                              </w:rPr>
                              <w:t>OEA/Ser.L/V/II.1XX</w:t>
                            </w:r>
                          </w:p>
                          <w:p w:rsidR="00E52752" w:rsidRPr="00C27BAB" w:rsidRDefault="00E52752" w:rsidP="007A5817">
                            <w:pPr>
                              <w:spacing w:line="276" w:lineRule="auto"/>
                              <w:jc w:val="right"/>
                              <w:rPr>
                                <w:rFonts w:asciiTheme="minorHAnsi" w:hAnsiTheme="minorHAnsi"/>
                                <w:color w:val="FFFFFF" w:themeColor="background1"/>
                                <w:sz w:val="22"/>
                                <w:lang w:val="pt-BR"/>
                              </w:rPr>
                            </w:pPr>
                            <w:r w:rsidRPr="00C27BAB">
                              <w:rPr>
                                <w:rFonts w:asciiTheme="minorHAnsi" w:hAnsiTheme="minorHAnsi"/>
                                <w:color w:val="FFFFFF" w:themeColor="background1"/>
                                <w:sz w:val="22"/>
                                <w:lang w:val="pt-BR"/>
                              </w:rPr>
                              <w:t>Doc. XX</w:t>
                            </w:r>
                          </w:p>
                          <w:p w:rsidR="00E52752" w:rsidRPr="00843BF8" w:rsidRDefault="00E52752" w:rsidP="007A5817">
                            <w:pPr>
                              <w:spacing w:line="276" w:lineRule="auto"/>
                              <w:jc w:val="right"/>
                              <w:rPr>
                                <w:rFonts w:asciiTheme="minorHAnsi" w:hAnsiTheme="minorHAnsi"/>
                                <w:color w:val="FFFFFF" w:themeColor="background1"/>
                                <w:sz w:val="22"/>
                                <w:lang w:val="en-US"/>
                              </w:rPr>
                            </w:pPr>
                            <w:r w:rsidRPr="00C27BAB">
                              <w:rPr>
                                <w:rFonts w:asciiTheme="minorHAnsi" w:hAnsiTheme="minorHAnsi"/>
                                <w:color w:val="FFFFFF" w:themeColor="background1"/>
                                <w:sz w:val="22"/>
                                <w:lang w:val="pt-BR"/>
                              </w:rPr>
                              <w:t xml:space="preserve"> </w:t>
                            </w:r>
                            <w:r>
                              <w:rPr>
                                <w:rFonts w:asciiTheme="minorHAnsi" w:hAnsiTheme="minorHAnsi"/>
                                <w:color w:val="FFFFFF" w:themeColor="background1"/>
                                <w:sz w:val="22"/>
                                <w:lang w:val="en-US"/>
                              </w:rPr>
                              <w:t>XXXX</w:t>
                            </w:r>
                            <w:r w:rsidRPr="00843BF8">
                              <w:rPr>
                                <w:rFonts w:asciiTheme="minorHAnsi" w:hAnsiTheme="minorHAnsi"/>
                                <w:color w:val="FFFFFF" w:themeColor="background1"/>
                                <w:sz w:val="22"/>
                                <w:lang w:val="en-US"/>
                              </w:rPr>
                              <w:t xml:space="preserve"> XX, 2020</w:t>
                            </w:r>
                          </w:p>
                          <w:p w:rsidR="00E52752" w:rsidRPr="00434950" w:rsidRDefault="00E52752" w:rsidP="007A5817">
                            <w:pPr>
                              <w:spacing w:line="276" w:lineRule="auto"/>
                              <w:jc w:val="right"/>
                              <w:rPr>
                                <w:rFonts w:asciiTheme="minorHAnsi" w:hAnsiTheme="minorHAnsi"/>
                                <w:color w:val="FFFFFF" w:themeColor="background1"/>
                                <w:sz w:val="22"/>
                                <w:lang w:val="en-US"/>
                              </w:rPr>
                            </w:pPr>
                            <w:r w:rsidRPr="00843BF8">
                              <w:rPr>
                                <w:rFonts w:asciiTheme="minorHAnsi" w:hAnsiTheme="minorHAnsi"/>
                                <w:color w:val="FFFFFF" w:themeColor="background1"/>
                                <w:sz w:val="22"/>
                                <w:lang w:val="en-US"/>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87041" id="Text Box 8" o:spid="_x0000_s1029"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MSSnVJ+&#10;AgAAagUAAA4AAAAAAAAAAAAAAAAALgIAAGRycy9lMm9Eb2MueG1sUEsBAi0AFAAGAAgAAAAhAKlP&#10;pHfhAAAACgEAAA8AAAAAAAAAAAAAAAAA2AQAAGRycy9kb3ducmV2LnhtbFBLBQYAAAAABAAEAPMA&#10;AADmBQAAAAA=&#10;" filled="f" stroked="f" strokeweight=".5pt">
                <v:textbox>
                  <w:txbxContent>
                    <w:p w:rsidR="00E52752" w:rsidRPr="00C27BAB" w:rsidRDefault="00E52752" w:rsidP="007A5817">
                      <w:pPr>
                        <w:spacing w:line="276" w:lineRule="auto"/>
                        <w:jc w:val="right"/>
                        <w:rPr>
                          <w:rFonts w:asciiTheme="minorHAnsi" w:hAnsiTheme="minorHAnsi"/>
                          <w:color w:val="FFFFFF" w:themeColor="background1"/>
                          <w:sz w:val="22"/>
                          <w:lang w:val="pt-BR"/>
                        </w:rPr>
                      </w:pPr>
                      <w:r w:rsidRPr="00C27BAB">
                        <w:rPr>
                          <w:rFonts w:asciiTheme="minorHAnsi" w:hAnsiTheme="minorHAnsi"/>
                          <w:color w:val="FFFFFF" w:themeColor="background1"/>
                          <w:sz w:val="22"/>
                          <w:lang w:val="pt-BR"/>
                        </w:rPr>
                        <w:t>OEA/Ser.L/V/II.1XX</w:t>
                      </w:r>
                    </w:p>
                    <w:p w:rsidR="00E52752" w:rsidRPr="00C27BAB" w:rsidRDefault="00E52752" w:rsidP="007A5817">
                      <w:pPr>
                        <w:spacing w:line="276" w:lineRule="auto"/>
                        <w:jc w:val="right"/>
                        <w:rPr>
                          <w:rFonts w:asciiTheme="minorHAnsi" w:hAnsiTheme="minorHAnsi"/>
                          <w:color w:val="FFFFFF" w:themeColor="background1"/>
                          <w:sz w:val="22"/>
                          <w:lang w:val="pt-BR"/>
                        </w:rPr>
                      </w:pPr>
                      <w:r w:rsidRPr="00C27BAB">
                        <w:rPr>
                          <w:rFonts w:asciiTheme="minorHAnsi" w:hAnsiTheme="minorHAnsi"/>
                          <w:color w:val="FFFFFF" w:themeColor="background1"/>
                          <w:sz w:val="22"/>
                          <w:lang w:val="pt-BR"/>
                        </w:rPr>
                        <w:t>Doc. XX</w:t>
                      </w:r>
                    </w:p>
                    <w:p w:rsidR="00E52752" w:rsidRPr="00843BF8" w:rsidRDefault="00E52752" w:rsidP="007A5817">
                      <w:pPr>
                        <w:spacing w:line="276" w:lineRule="auto"/>
                        <w:jc w:val="right"/>
                        <w:rPr>
                          <w:rFonts w:asciiTheme="minorHAnsi" w:hAnsiTheme="minorHAnsi"/>
                          <w:color w:val="FFFFFF" w:themeColor="background1"/>
                          <w:sz w:val="22"/>
                          <w:lang w:val="en-US"/>
                        </w:rPr>
                      </w:pPr>
                      <w:r w:rsidRPr="00C27BAB">
                        <w:rPr>
                          <w:rFonts w:asciiTheme="minorHAnsi" w:hAnsiTheme="minorHAnsi"/>
                          <w:color w:val="FFFFFF" w:themeColor="background1"/>
                          <w:sz w:val="22"/>
                          <w:lang w:val="pt-BR"/>
                        </w:rPr>
                        <w:t xml:space="preserve"> </w:t>
                      </w:r>
                      <w:r>
                        <w:rPr>
                          <w:rFonts w:asciiTheme="minorHAnsi" w:hAnsiTheme="minorHAnsi"/>
                          <w:color w:val="FFFFFF" w:themeColor="background1"/>
                          <w:sz w:val="22"/>
                          <w:lang w:val="en-US"/>
                        </w:rPr>
                        <w:t>XXXX</w:t>
                      </w:r>
                      <w:r w:rsidRPr="00843BF8">
                        <w:rPr>
                          <w:rFonts w:asciiTheme="minorHAnsi" w:hAnsiTheme="minorHAnsi"/>
                          <w:color w:val="FFFFFF" w:themeColor="background1"/>
                          <w:sz w:val="22"/>
                          <w:lang w:val="en-US"/>
                        </w:rPr>
                        <w:t xml:space="preserve"> XX, 2020</w:t>
                      </w:r>
                    </w:p>
                    <w:p w:rsidR="00E52752" w:rsidRPr="00434950" w:rsidRDefault="00E52752" w:rsidP="007A5817">
                      <w:pPr>
                        <w:spacing w:line="276" w:lineRule="auto"/>
                        <w:jc w:val="right"/>
                        <w:rPr>
                          <w:rFonts w:asciiTheme="minorHAnsi" w:hAnsiTheme="minorHAnsi"/>
                          <w:color w:val="FFFFFF" w:themeColor="background1"/>
                          <w:sz w:val="22"/>
                          <w:lang w:val="en-US"/>
                        </w:rPr>
                      </w:pPr>
                      <w:r w:rsidRPr="00843BF8">
                        <w:rPr>
                          <w:rFonts w:asciiTheme="minorHAnsi" w:hAnsiTheme="minorHAnsi"/>
                          <w:color w:val="FFFFFF" w:themeColor="background1"/>
                          <w:sz w:val="22"/>
                          <w:lang w:val="en-US"/>
                        </w:rPr>
                        <w:t>Original: Spanish</w:t>
                      </w:r>
                    </w:p>
                  </w:txbxContent>
                </v:textbox>
              </v:shape>
            </w:pict>
          </mc:Fallback>
        </mc:AlternateContent>
      </w:r>
    </w:p>
    <w:p w:rsidR="00040C3A" w:rsidRPr="00DD60DD" w:rsidRDefault="00040C3A" w:rsidP="00040C3A">
      <w:pPr>
        <w:tabs>
          <w:tab w:val="center" w:pos="5400"/>
        </w:tabs>
        <w:suppressAutoHyphens/>
        <w:jc w:val="center"/>
        <w:rPr>
          <w:rFonts w:asciiTheme="majorHAnsi" w:hAnsiTheme="majorHAnsi"/>
          <w:noProof/>
          <w:sz w:val="20"/>
          <w:szCs w:val="20"/>
          <w:lang w:val="en-US"/>
        </w:rPr>
      </w:pPr>
    </w:p>
    <w:p w:rsidR="00040C3A" w:rsidRPr="00DD60DD" w:rsidRDefault="00F727CE" w:rsidP="00040C3A">
      <w:pPr>
        <w:tabs>
          <w:tab w:val="center" w:pos="5400"/>
        </w:tabs>
        <w:suppressAutoHyphens/>
        <w:jc w:val="center"/>
        <w:rPr>
          <w:rFonts w:asciiTheme="majorHAnsi" w:hAnsiTheme="majorHAnsi"/>
          <w:noProof/>
          <w:sz w:val="20"/>
          <w:szCs w:val="20"/>
          <w:lang w:val="en-US"/>
        </w:rPr>
      </w:pPr>
      <w:r w:rsidRPr="00F727CE">
        <w:rPr>
          <w:rFonts w:asciiTheme="majorHAnsi" w:eastAsia="Arial Unicode MS" w:hAnsiTheme="majorHAnsi"/>
          <w:noProof/>
          <w:sz w:val="22"/>
          <w:szCs w:val="22"/>
          <w:bdr w:val="nil"/>
          <w:lang w:val="en-US" w:eastAsia="en-US"/>
        </w:rPr>
        <mc:AlternateContent>
          <mc:Choice Requires="wps">
            <w:drawing>
              <wp:anchor distT="0" distB="0" distL="114300" distR="114300" simplePos="0" relativeHeight="251686912" behindDoc="0" locked="0" layoutInCell="1" allowOverlap="1" wp14:anchorId="05B387D5" wp14:editId="536EB492">
                <wp:simplePos x="0" y="0"/>
                <wp:positionH relativeFrom="margin">
                  <wp:posOffset>-295274</wp:posOffset>
                </wp:positionH>
                <wp:positionV relativeFrom="paragraph">
                  <wp:posOffset>138430</wp:posOffset>
                </wp:positionV>
                <wp:extent cx="1229360" cy="1596390"/>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1229360" cy="1596390"/>
                        </a:xfrm>
                        <a:prstGeom prst="rect">
                          <a:avLst/>
                        </a:prstGeom>
                        <a:noFill/>
                        <a:ln w="6350">
                          <a:noFill/>
                        </a:ln>
                        <a:effectLst/>
                      </wps:spPr>
                      <wps:txbx>
                        <w:txbxContent>
                          <w:p w:rsidR="00F727CE" w:rsidRPr="00341E4C" w:rsidRDefault="00F727CE" w:rsidP="00F727CE">
                            <w:pPr>
                              <w:jc w:val="right"/>
                              <w:rPr>
                                <w:rFonts w:asciiTheme="minorHAnsi" w:hAnsiTheme="minorHAnsi"/>
                                <w:color w:val="FFFFFF" w:themeColor="background1"/>
                                <w:sz w:val="22"/>
                                <w:lang w:val="pt-BR"/>
                              </w:rPr>
                            </w:pPr>
                            <w:r w:rsidRPr="00341E4C">
                              <w:rPr>
                                <w:rFonts w:asciiTheme="minorHAnsi" w:hAnsiTheme="minorHAnsi"/>
                                <w:color w:val="FFFFFF" w:themeColor="background1"/>
                                <w:sz w:val="22"/>
                                <w:lang w:val="pt-BR"/>
                              </w:rPr>
                              <w:t>OEA/Ser.L/V/II.</w:t>
                            </w:r>
                          </w:p>
                          <w:p w:rsidR="00F727CE" w:rsidRPr="00341E4C" w:rsidRDefault="00F727CE" w:rsidP="00F727CE">
                            <w:pPr>
                              <w:jc w:val="right"/>
                              <w:rPr>
                                <w:rFonts w:asciiTheme="minorHAnsi" w:hAnsiTheme="minorHAnsi"/>
                                <w:color w:val="FFFFFF" w:themeColor="background1"/>
                                <w:sz w:val="22"/>
                                <w:lang w:val="pt-BR"/>
                              </w:rPr>
                            </w:pPr>
                            <w:r w:rsidRPr="00341E4C">
                              <w:rPr>
                                <w:rFonts w:asciiTheme="minorHAnsi" w:hAnsiTheme="minorHAnsi"/>
                                <w:color w:val="FFFFFF" w:themeColor="background1"/>
                                <w:sz w:val="22"/>
                                <w:lang w:val="pt-BR"/>
                              </w:rPr>
                              <w:t xml:space="preserve">Doc. </w:t>
                            </w:r>
                            <w:r w:rsidR="00341E4C">
                              <w:rPr>
                                <w:rFonts w:asciiTheme="minorHAnsi" w:hAnsiTheme="minorHAnsi"/>
                                <w:color w:val="FFFFFF" w:themeColor="background1"/>
                                <w:sz w:val="22"/>
                                <w:lang w:val="pt-BR"/>
                              </w:rPr>
                              <w:t>46</w:t>
                            </w:r>
                          </w:p>
                          <w:p w:rsidR="00F727CE" w:rsidRPr="00341E4C" w:rsidRDefault="00F727CE" w:rsidP="00F727CE">
                            <w:pPr>
                              <w:jc w:val="right"/>
                              <w:rPr>
                                <w:rFonts w:asciiTheme="minorHAnsi" w:hAnsiTheme="minorHAnsi"/>
                                <w:color w:val="FFFFFF" w:themeColor="background1"/>
                                <w:sz w:val="22"/>
                              </w:rPr>
                            </w:pPr>
                            <w:r w:rsidRPr="00341E4C">
                              <w:rPr>
                                <w:rFonts w:asciiTheme="minorHAnsi" w:hAnsiTheme="minorHAnsi"/>
                                <w:color w:val="FFFFFF" w:themeColor="background1"/>
                                <w:sz w:val="22"/>
                                <w:lang w:val="pt-BR"/>
                              </w:rPr>
                              <w:t xml:space="preserve"> </w:t>
                            </w:r>
                            <w:r w:rsidR="00341E4C">
                              <w:rPr>
                                <w:rFonts w:asciiTheme="minorHAnsi" w:hAnsiTheme="minorHAnsi"/>
                                <w:color w:val="FFFFFF" w:themeColor="background1"/>
                                <w:sz w:val="22"/>
                              </w:rPr>
                              <w:t>22 April</w:t>
                            </w:r>
                            <w:r w:rsidRPr="00341E4C">
                              <w:rPr>
                                <w:rFonts w:asciiTheme="minorHAnsi" w:hAnsiTheme="minorHAnsi"/>
                                <w:color w:val="FFFFFF" w:themeColor="background1"/>
                                <w:sz w:val="22"/>
                              </w:rPr>
                              <w:t xml:space="preserve"> 2020</w:t>
                            </w:r>
                          </w:p>
                          <w:p w:rsidR="00F727CE" w:rsidRPr="00341E4C" w:rsidRDefault="00F727CE" w:rsidP="00F727CE">
                            <w:pPr>
                              <w:jc w:val="right"/>
                              <w:rPr>
                                <w:rFonts w:asciiTheme="minorHAnsi" w:hAnsiTheme="minorHAnsi"/>
                                <w:color w:val="FFFFFF" w:themeColor="background1"/>
                                <w:sz w:val="22"/>
                              </w:rPr>
                            </w:pPr>
                            <w:r w:rsidRPr="00341E4C">
                              <w:rPr>
                                <w:rFonts w:asciiTheme="minorHAnsi" w:hAnsiTheme="minorHAnsi"/>
                                <w:color w:val="FFFFFF" w:themeColor="background1"/>
                                <w:sz w:val="22"/>
                              </w:rPr>
                              <w:t xml:space="preserve">Original: </w:t>
                            </w:r>
                            <w:proofErr w:type="spellStart"/>
                            <w:r w:rsidRPr="00341E4C">
                              <w:rPr>
                                <w:rFonts w:asciiTheme="minorHAnsi" w:hAnsiTheme="minorHAnsi"/>
                                <w:color w:val="FFFFFF" w:themeColor="background1"/>
                                <w:sz w:val="22"/>
                              </w:rPr>
                              <w:t>Spanish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387D5" id="Text Box 3" o:spid="_x0000_s1030" type="#_x0000_t202" style="position:absolute;left:0;text-align:left;margin-left:-23.25pt;margin-top:10.9pt;width:96.8pt;height:125.7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" filled="f" stroked="f" strokeweight=".5pt">
                <v:textbox>
                  <w:txbxContent>
                    <w:p w:rsidR="00F727CE" w:rsidRPr="00341E4C" w:rsidRDefault="00F727CE" w:rsidP="00F727CE">
                      <w:pPr>
                        <w:jc w:val="right"/>
                        <w:rPr>
                          <w:rFonts w:asciiTheme="minorHAnsi" w:hAnsiTheme="minorHAnsi"/>
                          <w:color w:val="FFFFFF" w:themeColor="background1"/>
                          <w:sz w:val="22"/>
                          <w:lang w:val="pt-BR"/>
                        </w:rPr>
                      </w:pPr>
                      <w:r w:rsidRPr="00341E4C">
                        <w:rPr>
                          <w:rFonts w:asciiTheme="minorHAnsi" w:hAnsiTheme="minorHAnsi"/>
                          <w:color w:val="FFFFFF" w:themeColor="background1"/>
                          <w:sz w:val="22"/>
                          <w:lang w:val="pt-BR"/>
                        </w:rPr>
                        <w:t>OEA/Ser.L/V/II.</w:t>
                      </w:r>
                    </w:p>
                    <w:p w:rsidR="00F727CE" w:rsidRPr="00341E4C" w:rsidRDefault="00F727CE" w:rsidP="00F727CE">
                      <w:pPr>
                        <w:jc w:val="right"/>
                        <w:rPr>
                          <w:rFonts w:asciiTheme="minorHAnsi" w:hAnsiTheme="minorHAnsi"/>
                          <w:color w:val="FFFFFF" w:themeColor="background1"/>
                          <w:sz w:val="22"/>
                          <w:lang w:val="pt-BR"/>
                        </w:rPr>
                      </w:pPr>
                      <w:r w:rsidRPr="00341E4C">
                        <w:rPr>
                          <w:rFonts w:asciiTheme="minorHAnsi" w:hAnsiTheme="minorHAnsi"/>
                          <w:color w:val="FFFFFF" w:themeColor="background1"/>
                          <w:sz w:val="22"/>
                          <w:lang w:val="pt-BR"/>
                        </w:rPr>
                        <w:t xml:space="preserve">Doc. </w:t>
                      </w:r>
                      <w:r w:rsidR="00341E4C">
                        <w:rPr>
                          <w:rFonts w:asciiTheme="minorHAnsi" w:hAnsiTheme="minorHAnsi"/>
                          <w:color w:val="FFFFFF" w:themeColor="background1"/>
                          <w:sz w:val="22"/>
                          <w:lang w:val="pt-BR"/>
                        </w:rPr>
                        <w:t>46</w:t>
                      </w:r>
                    </w:p>
                    <w:p w:rsidR="00F727CE" w:rsidRPr="00341E4C" w:rsidRDefault="00F727CE" w:rsidP="00F727CE">
                      <w:pPr>
                        <w:jc w:val="right"/>
                        <w:rPr>
                          <w:rFonts w:asciiTheme="minorHAnsi" w:hAnsiTheme="minorHAnsi"/>
                          <w:color w:val="FFFFFF" w:themeColor="background1"/>
                          <w:sz w:val="22"/>
                        </w:rPr>
                      </w:pPr>
                      <w:r w:rsidRPr="00341E4C">
                        <w:rPr>
                          <w:rFonts w:asciiTheme="minorHAnsi" w:hAnsiTheme="minorHAnsi"/>
                          <w:color w:val="FFFFFF" w:themeColor="background1"/>
                          <w:sz w:val="22"/>
                          <w:lang w:val="pt-BR"/>
                        </w:rPr>
                        <w:t xml:space="preserve"> </w:t>
                      </w:r>
                      <w:r w:rsidR="00341E4C">
                        <w:rPr>
                          <w:rFonts w:asciiTheme="minorHAnsi" w:hAnsiTheme="minorHAnsi"/>
                          <w:color w:val="FFFFFF" w:themeColor="background1"/>
                          <w:sz w:val="22"/>
                        </w:rPr>
                        <w:t>22 April</w:t>
                      </w:r>
                      <w:r w:rsidRPr="00341E4C">
                        <w:rPr>
                          <w:rFonts w:asciiTheme="minorHAnsi" w:hAnsiTheme="minorHAnsi"/>
                          <w:color w:val="FFFFFF" w:themeColor="background1"/>
                          <w:sz w:val="22"/>
                        </w:rPr>
                        <w:t xml:space="preserve"> 2020</w:t>
                      </w:r>
                    </w:p>
                    <w:p w:rsidR="00F727CE" w:rsidRPr="00341E4C" w:rsidRDefault="00F727CE" w:rsidP="00F727CE">
                      <w:pPr>
                        <w:jc w:val="right"/>
                        <w:rPr>
                          <w:rFonts w:asciiTheme="minorHAnsi" w:hAnsiTheme="minorHAnsi"/>
                          <w:color w:val="FFFFFF" w:themeColor="background1"/>
                          <w:sz w:val="22"/>
                        </w:rPr>
                      </w:pPr>
                      <w:r w:rsidRPr="00341E4C">
                        <w:rPr>
                          <w:rFonts w:asciiTheme="minorHAnsi" w:hAnsiTheme="minorHAnsi"/>
                          <w:color w:val="FFFFFF" w:themeColor="background1"/>
                          <w:sz w:val="22"/>
                        </w:rPr>
                        <w:t xml:space="preserve">Original: </w:t>
                      </w:r>
                      <w:proofErr w:type="spellStart"/>
                      <w:r w:rsidRPr="00341E4C">
                        <w:rPr>
                          <w:rFonts w:asciiTheme="minorHAnsi" w:hAnsiTheme="minorHAnsi"/>
                          <w:color w:val="FFFFFF" w:themeColor="background1"/>
                          <w:sz w:val="22"/>
                        </w:rPr>
                        <w:t>Spanish</w:t>
                      </w:r>
                      <w:proofErr w:type="spellEnd"/>
                    </w:p>
                  </w:txbxContent>
                </v:textbox>
                <w10:wrap anchorx="margin"/>
              </v:shape>
            </w:pict>
          </mc:Fallback>
        </mc:AlternateContent>
      </w:r>
    </w:p>
    <w:p w:rsidR="00040C3A" w:rsidRPr="00DD60DD" w:rsidRDefault="00040C3A" w:rsidP="00040C3A">
      <w:pPr>
        <w:tabs>
          <w:tab w:val="center" w:pos="5400"/>
        </w:tabs>
        <w:suppressAutoHyphens/>
        <w:jc w:val="center"/>
        <w:rPr>
          <w:rFonts w:asciiTheme="majorHAnsi" w:hAnsiTheme="majorHAnsi" w:cs="Arial"/>
          <w:noProof/>
          <w:sz w:val="20"/>
          <w:szCs w:val="20"/>
          <w:lang w:val="en-US"/>
        </w:rPr>
      </w:pPr>
    </w:p>
    <w:p w:rsidR="00040C3A" w:rsidRPr="00DD60DD" w:rsidRDefault="00040C3A" w:rsidP="00040C3A">
      <w:pPr>
        <w:tabs>
          <w:tab w:val="center" w:pos="5400"/>
        </w:tabs>
        <w:suppressAutoHyphens/>
        <w:jc w:val="center"/>
        <w:rPr>
          <w:rFonts w:asciiTheme="majorHAnsi" w:hAnsiTheme="majorHAnsi"/>
          <w:noProof/>
          <w:sz w:val="20"/>
          <w:szCs w:val="20"/>
          <w:lang w:val="en-US"/>
        </w:rPr>
      </w:pPr>
    </w:p>
    <w:p w:rsidR="00040C3A" w:rsidRPr="00DD60DD" w:rsidRDefault="00040C3A" w:rsidP="00040C3A">
      <w:pPr>
        <w:tabs>
          <w:tab w:val="center" w:pos="5400"/>
        </w:tabs>
        <w:suppressAutoHyphens/>
        <w:jc w:val="center"/>
        <w:rPr>
          <w:rFonts w:asciiTheme="majorHAnsi" w:hAnsiTheme="majorHAnsi"/>
          <w:noProof/>
          <w:sz w:val="20"/>
          <w:szCs w:val="20"/>
          <w:lang w:val="en-US"/>
        </w:rPr>
      </w:pPr>
    </w:p>
    <w:p w:rsidR="00040C3A" w:rsidRPr="00DD60DD" w:rsidRDefault="00040C3A" w:rsidP="00040C3A">
      <w:pPr>
        <w:tabs>
          <w:tab w:val="center" w:pos="5400"/>
        </w:tabs>
        <w:suppressAutoHyphens/>
        <w:jc w:val="center"/>
        <w:rPr>
          <w:rFonts w:asciiTheme="majorHAnsi" w:hAnsiTheme="majorHAnsi"/>
          <w:noProof/>
          <w:sz w:val="20"/>
          <w:szCs w:val="20"/>
          <w:lang w:val="en-US"/>
        </w:rPr>
      </w:pPr>
    </w:p>
    <w:p w:rsidR="00040C3A" w:rsidRPr="00DD60DD" w:rsidRDefault="00040C3A" w:rsidP="00040C3A">
      <w:pPr>
        <w:tabs>
          <w:tab w:val="center" w:pos="5400"/>
        </w:tabs>
        <w:suppressAutoHyphens/>
        <w:jc w:val="center"/>
        <w:rPr>
          <w:rFonts w:asciiTheme="majorHAnsi" w:hAnsiTheme="majorHAnsi"/>
          <w:noProof/>
          <w:sz w:val="20"/>
          <w:szCs w:val="20"/>
          <w:lang w:val="en-US"/>
        </w:rPr>
      </w:pPr>
    </w:p>
    <w:p w:rsidR="005128E4" w:rsidRPr="00DD60DD" w:rsidRDefault="005128E4" w:rsidP="00040C3A">
      <w:pPr>
        <w:tabs>
          <w:tab w:val="center" w:pos="5400"/>
        </w:tabs>
        <w:suppressAutoHyphens/>
        <w:jc w:val="center"/>
        <w:rPr>
          <w:rFonts w:asciiTheme="majorHAnsi" w:hAnsiTheme="majorHAnsi"/>
          <w:noProof/>
          <w:sz w:val="20"/>
          <w:szCs w:val="20"/>
          <w:lang w:val="en-US"/>
        </w:rPr>
      </w:pPr>
    </w:p>
    <w:p w:rsidR="00040C3A" w:rsidRPr="00DD60DD" w:rsidRDefault="00040C3A" w:rsidP="00040C3A">
      <w:pPr>
        <w:tabs>
          <w:tab w:val="center" w:pos="5400"/>
        </w:tabs>
        <w:suppressAutoHyphens/>
        <w:jc w:val="center"/>
        <w:rPr>
          <w:rFonts w:asciiTheme="majorHAnsi" w:hAnsiTheme="majorHAnsi"/>
          <w:noProof/>
          <w:sz w:val="20"/>
          <w:szCs w:val="20"/>
          <w:lang w:val="en-US"/>
        </w:rPr>
      </w:pPr>
    </w:p>
    <w:p w:rsidR="005128E4" w:rsidRPr="00DD60DD" w:rsidRDefault="005128E4" w:rsidP="00040C3A">
      <w:pPr>
        <w:tabs>
          <w:tab w:val="center" w:pos="5400"/>
        </w:tabs>
        <w:suppressAutoHyphens/>
        <w:jc w:val="center"/>
        <w:rPr>
          <w:rFonts w:asciiTheme="majorHAnsi" w:hAnsiTheme="majorHAnsi"/>
          <w:noProof/>
          <w:sz w:val="20"/>
          <w:szCs w:val="20"/>
          <w:lang w:val="en-US"/>
        </w:rPr>
      </w:pPr>
    </w:p>
    <w:p w:rsidR="005128E4" w:rsidRPr="00DD60DD" w:rsidRDefault="005128E4" w:rsidP="00040C3A">
      <w:pPr>
        <w:tabs>
          <w:tab w:val="center" w:pos="5400"/>
        </w:tabs>
        <w:suppressAutoHyphens/>
        <w:jc w:val="center"/>
        <w:rPr>
          <w:rFonts w:asciiTheme="majorHAnsi" w:hAnsiTheme="majorHAnsi"/>
          <w:noProof/>
          <w:sz w:val="20"/>
          <w:szCs w:val="20"/>
          <w:lang w:val="en-US"/>
        </w:rPr>
      </w:pPr>
    </w:p>
    <w:p w:rsidR="005128E4" w:rsidRPr="00DD60DD" w:rsidRDefault="005128E4" w:rsidP="00040C3A">
      <w:pPr>
        <w:tabs>
          <w:tab w:val="center" w:pos="5400"/>
        </w:tabs>
        <w:suppressAutoHyphens/>
        <w:jc w:val="center"/>
        <w:rPr>
          <w:rFonts w:asciiTheme="majorHAnsi" w:hAnsiTheme="majorHAnsi"/>
          <w:noProof/>
          <w:sz w:val="20"/>
          <w:szCs w:val="20"/>
          <w:lang w:val="en-US"/>
        </w:rPr>
      </w:pPr>
    </w:p>
    <w:p w:rsidR="00040C3A" w:rsidRPr="00DD60DD" w:rsidRDefault="00040C3A" w:rsidP="00040C3A">
      <w:pPr>
        <w:tabs>
          <w:tab w:val="center" w:pos="5400"/>
        </w:tabs>
        <w:suppressAutoHyphens/>
        <w:jc w:val="center"/>
        <w:rPr>
          <w:rFonts w:asciiTheme="majorHAnsi" w:hAnsiTheme="majorHAnsi"/>
          <w:noProof/>
          <w:sz w:val="20"/>
          <w:szCs w:val="20"/>
          <w:lang w:val="en-US"/>
        </w:rPr>
      </w:pPr>
    </w:p>
    <w:p w:rsidR="00040C3A" w:rsidRPr="00DD60DD" w:rsidRDefault="00040C3A" w:rsidP="00040C3A">
      <w:pPr>
        <w:tabs>
          <w:tab w:val="center" w:pos="5400"/>
        </w:tabs>
        <w:suppressAutoHyphens/>
        <w:jc w:val="center"/>
        <w:rPr>
          <w:rFonts w:asciiTheme="majorHAnsi" w:hAnsiTheme="majorHAnsi"/>
          <w:noProof/>
          <w:sz w:val="20"/>
          <w:szCs w:val="20"/>
          <w:lang w:val="en-US"/>
        </w:rPr>
      </w:pPr>
    </w:p>
    <w:p w:rsidR="00A50FCF" w:rsidRPr="00DD60DD" w:rsidRDefault="00A50FCF" w:rsidP="00040C3A">
      <w:pPr>
        <w:tabs>
          <w:tab w:val="center" w:pos="5400"/>
        </w:tabs>
        <w:suppressAutoHyphens/>
        <w:jc w:val="center"/>
        <w:rPr>
          <w:rFonts w:asciiTheme="majorHAnsi" w:hAnsiTheme="majorHAnsi"/>
          <w:noProof/>
          <w:sz w:val="20"/>
          <w:szCs w:val="20"/>
          <w:lang w:val="en-US"/>
        </w:rPr>
      </w:pPr>
    </w:p>
    <w:p w:rsidR="00A50FCF" w:rsidRPr="00DD60DD" w:rsidRDefault="00A50FCF" w:rsidP="00040C3A">
      <w:pPr>
        <w:tabs>
          <w:tab w:val="center" w:pos="5400"/>
        </w:tabs>
        <w:suppressAutoHyphens/>
        <w:jc w:val="center"/>
        <w:rPr>
          <w:rFonts w:asciiTheme="majorHAnsi" w:hAnsiTheme="majorHAnsi"/>
          <w:noProof/>
          <w:sz w:val="20"/>
          <w:szCs w:val="20"/>
          <w:lang w:val="en-US"/>
        </w:rPr>
      </w:pPr>
    </w:p>
    <w:p w:rsidR="00A50FCF" w:rsidRPr="00DD60DD" w:rsidRDefault="00A50FCF" w:rsidP="00040C3A">
      <w:pPr>
        <w:tabs>
          <w:tab w:val="center" w:pos="5400"/>
        </w:tabs>
        <w:suppressAutoHyphens/>
        <w:jc w:val="center"/>
        <w:rPr>
          <w:rFonts w:asciiTheme="majorHAnsi" w:hAnsiTheme="majorHAnsi"/>
          <w:noProof/>
          <w:sz w:val="20"/>
          <w:szCs w:val="20"/>
          <w:lang w:val="en-US"/>
        </w:rPr>
      </w:pPr>
    </w:p>
    <w:p w:rsidR="00A50FCF" w:rsidRPr="00DD60DD" w:rsidRDefault="00A50FCF" w:rsidP="00040C3A">
      <w:pPr>
        <w:tabs>
          <w:tab w:val="center" w:pos="5400"/>
        </w:tabs>
        <w:suppressAutoHyphens/>
        <w:jc w:val="center"/>
        <w:rPr>
          <w:rFonts w:asciiTheme="majorHAnsi" w:hAnsiTheme="majorHAnsi"/>
          <w:noProof/>
          <w:sz w:val="20"/>
          <w:szCs w:val="20"/>
          <w:lang w:val="en-US"/>
        </w:rPr>
      </w:pPr>
    </w:p>
    <w:p w:rsidR="00A50FCF" w:rsidRPr="00DD60DD" w:rsidRDefault="00A50FCF" w:rsidP="00040C3A">
      <w:pPr>
        <w:tabs>
          <w:tab w:val="center" w:pos="5400"/>
        </w:tabs>
        <w:suppressAutoHyphens/>
        <w:jc w:val="center"/>
        <w:rPr>
          <w:rFonts w:asciiTheme="majorHAnsi" w:hAnsiTheme="majorHAnsi"/>
          <w:noProof/>
          <w:sz w:val="20"/>
          <w:szCs w:val="20"/>
          <w:lang w:val="en-US"/>
        </w:rPr>
      </w:pPr>
    </w:p>
    <w:p w:rsidR="00A50FCF" w:rsidRPr="00DD60DD" w:rsidRDefault="00A50FCF" w:rsidP="00040C3A">
      <w:pPr>
        <w:tabs>
          <w:tab w:val="center" w:pos="5400"/>
        </w:tabs>
        <w:suppressAutoHyphens/>
        <w:jc w:val="center"/>
        <w:rPr>
          <w:rFonts w:asciiTheme="majorHAnsi" w:hAnsiTheme="majorHAnsi"/>
          <w:noProof/>
          <w:sz w:val="20"/>
          <w:szCs w:val="20"/>
          <w:lang w:val="en-US"/>
        </w:rPr>
      </w:pPr>
    </w:p>
    <w:p w:rsidR="00A50FCF" w:rsidRPr="00DD60DD" w:rsidRDefault="00A50FCF" w:rsidP="00040C3A">
      <w:pPr>
        <w:tabs>
          <w:tab w:val="center" w:pos="5400"/>
        </w:tabs>
        <w:suppressAutoHyphens/>
        <w:jc w:val="center"/>
        <w:rPr>
          <w:rFonts w:asciiTheme="majorHAnsi" w:hAnsiTheme="majorHAnsi"/>
          <w:noProof/>
          <w:sz w:val="20"/>
          <w:szCs w:val="20"/>
          <w:lang w:val="en-US"/>
        </w:rPr>
      </w:pPr>
    </w:p>
    <w:p w:rsidR="00A50FCF" w:rsidRPr="00DD60DD" w:rsidRDefault="00A50FCF" w:rsidP="00040C3A">
      <w:pPr>
        <w:tabs>
          <w:tab w:val="center" w:pos="5400"/>
        </w:tabs>
        <w:suppressAutoHyphens/>
        <w:jc w:val="center"/>
        <w:rPr>
          <w:rFonts w:asciiTheme="majorHAnsi" w:hAnsiTheme="majorHAnsi"/>
          <w:noProof/>
          <w:sz w:val="20"/>
          <w:szCs w:val="20"/>
          <w:lang w:val="en-US"/>
        </w:rPr>
      </w:pPr>
    </w:p>
    <w:p w:rsidR="00A50FCF" w:rsidRPr="00DD60DD" w:rsidRDefault="00A50FCF" w:rsidP="00040C3A">
      <w:pPr>
        <w:tabs>
          <w:tab w:val="center" w:pos="5400"/>
        </w:tabs>
        <w:suppressAutoHyphens/>
        <w:jc w:val="center"/>
        <w:rPr>
          <w:rFonts w:asciiTheme="majorHAnsi" w:hAnsiTheme="majorHAnsi"/>
          <w:noProof/>
          <w:sz w:val="20"/>
          <w:szCs w:val="20"/>
          <w:lang w:val="en-US"/>
        </w:rPr>
      </w:pPr>
    </w:p>
    <w:p w:rsidR="00A50FCF" w:rsidRPr="00DD60DD" w:rsidRDefault="00A50FCF" w:rsidP="00040C3A">
      <w:pPr>
        <w:tabs>
          <w:tab w:val="center" w:pos="5400"/>
        </w:tabs>
        <w:suppressAutoHyphens/>
        <w:jc w:val="center"/>
        <w:rPr>
          <w:rFonts w:asciiTheme="majorHAnsi" w:hAnsiTheme="majorHAnsi"/>
          <w:noProof/>
          <w:sz w:val="20"/>
          <w:szCs w:val="20"/>
          <w:lang w:val="en-US"/>
        </w:rPr>
      </w:pPr>
    </w:p>
    <w:p w:rsidR="00A50FCF" w:rsidRPr="00DD60DD" w:rsidRDefault="00A50FCF" w:rsidP="00040C3A">
      <w:pPr>
        <w:tabs>
          <w:tab w:val="center" w:pos="5400"/>
        </w:tabs>
        <w:suppressAutoHyphens/>
        <w:jc w:val="center"/>
        <w:rPr>
          <w:rFonts w:asciiTheme="majorHAnsi" w:hAnsiTheme="majorHAnsi"/>
          <w:noProof/>
          <w:sz w:val="20"/>
          <w:szCs w:val="20"/>
          <w:lang w:val="en-US"/>
        </w:rPr>
      </w:pPr>
    </w:p>
    <w:p w:rsidR="00A50FCF" w:rsidRPr="00DD60DD" w:rsidRDefault="00A50FCF" w:rsidP="00040C3A">
      <w:pPr>
        <w:tabs>
          <w:tab w:val="center" w:pos="5400"/>
        </w:tabs>
        <w:suppressAutoHyphens/>
        <w:jc w:val="center"/>
        <w:rPr>
          <w:rFonts w:asciiTheme="majorHAnsi" w:hAnsiTheme="majorHAnsi"/>
          <w:noProof/>
          <w:sz w:val="20"/>
          <w:szCs w:val="20"/>
          <w:lang w:val="en-US"/>
        </w:rPr>
      </w:pPr>
    </w:p>
    <w:p w:rsidR="00A50FCF" w:rsidRPr="00DD60DD" w:rsidRDefault="00A50FCF" w:rsidP="00040C3A">
      <w:pPr>
        <w:tabs>
          <w:tab w:val="center" w:pos="5400"/>
        </w:tabs>
        <w:suppressAutoHyphens/>
        <w:jc w:val="center"/>
        <w:rPr>
          <w:rFonts w:asciiTheme="majorHAnsi" w:hAnsiTheme="majorHAnsi"/>
          <w:noProof/>
          <w:sz w:val="20"/>
          <w:szCs w:val="20"/>
          <w:lang w:val="en-US"/>
        </w:rPr>
      </w:pPr>
    </w:p>
    <w:p w:rsidR="00A50FCF" w:rsidRPr="00DD60DD" w:rsidRDefault="00A50FCF" w:rsidP="00040C3A">
      <w:pPr>
        <w:tabs>
          <w:tab w:val="center" w:pos="5400"/>
        </w:tabs>
        <w:suppressAutoHyphens/>
        <w:jc w:val="center"/>
        <w:rPr>
          <w:rFonts w:asciiTheme="majorHAnsi" w:hAnsiTheme="majorHAnsi"/>
          <w:noProof/>
          <w:sz w:val="20"/>
          <w:szCs w:val="20"/>
          <w:lang w:val="en-US"/>
        </w:rPr>
      </w:pPr>
    </w:p>
    <w:p w:rsidR="00A50FCF" w:rsidRPr="00DD60DD" w:rsidRDefault="0090270B" w:rsidP="00040C3A">
      <w:pPr>
        <w:tabs>
          <w:tab w:val="center" w:pos="5400"/>
        </w:tabs>
        <w:suppressAutoHyphens/>
        <w:jc w:val="center"/>
        <w:rPr>
          <w:rFonts w:asciiTheme="majorHAnsi" w:hAnsiTheme="majorHAnsi"/>
          <w:noProof/>
          <w:sz w:val="20"/>
          <w:szCs w:val="20"/>
          <w:lang w:val="en-US"/>
        </w:rPr>
      </w:pPr>
      <w:r w:rsidRPr="00DD60DD">
        <w:rPr>
          <w:rFonts w:asciiTheme="majorHAnsi" w:hAnsiTheme="majorHAnsi"/>
          <w:noProof/>
          <w:sz w:val="20"/>
          <w:szCs w:val="20"/>
          <w:lang w:val="en-US" w:eastAsia="en-US"/>
        </w:rPr>
        <mc:AlternateContent>
          <mc:Choice Requires="wps">
            <w:drawing>
              <wp:anchor distT="0" distB="0" distL="114300" distR="114300" simplePos="0" relativeHeight="251670528" behindDoc="0" locked="0" layoutInCell="1" allowOverlap="1" wp14:anchorId="68D0C363" wp14:editId="2BE4AB5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2752" w:rsidRPr="0019441F" w:rsidRDefault="00E52752" w:rsidP="00DD3D86">
                            <w:pPr>
                              <w:tabs>
                                <w:tab w:val="center" w:pos="5400"/>
                              </w:tabs>
                              <w:suppressAutoHyphens/>
                              <w:spacing w:before="60"/>
                              <w:rPr>
                                <w:rFonts w:asciiTheme="majorHAnsi" w:hAnsiTheme="majorHAnsi"/>
                                <w:color w:val="0D0D0D" w:themeColor="text1" w:themeTint="F2"/>
                                <w:sz w:val="18"/>
                                <w:szCs w:val="22"/>
                                <w:lang w:val="en-US"/>
                              </w:rPr>
                            </w:pPr>
                            <w:r w:rsidRPr="0019441F">
                              <w:rPr>
                                <w:rFonts w:asciiTheme="majorHAnsi" w:hAnsiTheme="majorHAnsi"/>
                                <w:color w:val="0D0D0D" w:themeColor="text1" w:themeTint="F2"/>
                                <w:sz w:val="18"/>
                                <w:szCs w:val="22"/>
                                <w:lang w:val="en-US"/>
                              </w:rPr>
                              <w:t xml:space="preserve">Approved electronically by the Commission on </w:t>
                            </w:r>
                            <w:r w:rsidR="00341E4C">
                              <w:rPr>
                                <w:rFonts w:asciiTheme="majorHAnsi" w:hAnsiTheme="majorHAnsi"/>
                                <w:color w:val="0D0D0D" w:themeColor="text1" w:themeTint="F2"/>
                                <w:sz w:val="18"/>
                                <w:szCs w:val="22"/>
                                <w:lang w:val="en-US"/>
                              </w:rPr>
                              <w:t>April 22</w:t>
                            </w:r>
                            <w:r w:rsidRPr="0019441F">
                              <w:rPr>
                                <w:rFonts w:asciiTheme="majorHAnsi" w:hAnsiTheme="majorHAnsi"/>
                                <w:color w:val="0D0D0D" w:themeColor="text1" w:themeTint="F2"/>
                                <w:sz w:val="18"/>
                                <w:szCs w:val="22"/>
                                <w:lang w:val="en-US"/>
                              </w:rPr>
                              <w:t>, 2020</w:t>
                            </w:r>
                            <w:r w:rsidR="00434950">
                              <w:rPr>
                                <w:rFonts w:asciiTheme="majorHAnsi" w:hAnsiTheme="majorHAnsi"/>
                                <w:color w:val="0D0D0D" w:themeColor="text1" w:themeTint="F2"/>
                                <w:sz w:val="18"/>
                                <w:szCs w:val="22"/>
                                <w:lang w:val="en-US"/>
                              </w:rPr>
                              <w:t>.</w:t>
                            </w:r>
                          </w:p>
                          <w:p w:rsidR="00E52752" w:rsidRPr="00C27BAB" w:rsidRDefault="00E52752" w:rsidP="00247403">
                            <w:pPr>
                              <w:tabs>
                                <w:tab w:val="center" w:pos="5400"/>
                              </w:tabs>
                              <w:suppressAutoHyphens/>
                              <w:spacing w:before="60"/>
                              <w:rPr>
                                <w:rFonts w:asciiTheme="minorHAnsi" w:hAnsiTheme="minorHAnsi" w:cs="Univers"/>
                                <w:color w:val="0D0D0D" w:themeColor="text1" w:themeTint="F2"/>
                                <w:sz w:val="20"/>
                                <w:szCs w:val="20"/>
                                <w:lang w:val="en-US"/>
                              </w:rPr>
                            </w:pPr>
                          </w:p>
                          <w:p w:rsidR="00E52752" w:rsidRPr="00C27BAB" w:rsidRDefault="00E52752" w:rsidP="0059191A">
                            <w:pPr>
                              <w:tabs>
                                <w:tab w:val="center" w:pos="5400"/>
                              </w:tabs>
                              <w:suppressAutoHyphens/>
                              <w:spacing w:before="60"/>
                              <w:rPr>
                                <w:rFonts w:ascii="Calibri" w:hAnsi="Calibri"/>
                                <w:color w:val="FFFFFF" w:themeColor="background1"/>
                                <w:spacing w:val="-2"/>
                                <w:sz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0C363" id="Text Box 7" o:spid="_x0000_s1031"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" filled="f" stroked="f" strokeweight=".5pt">
                <v:textbox>
                  <w:txbxContent>
                    <w:p w:rsidR="00E52752" w:rsidRPr="0019441F" w:rsidRDefault="00E52752" w:rsidP="00DD3D86">
                      <w:pPr>
                        <w:tabs>
                          <w:tab w:val="center" w:pos="5400"/>
                        </w:tabs>
                        <w:suppressAutoHyphens/>
                        <w:spacing w:before="60"/>
                        <w:rPr>
                          <w:rFonts w:asciiTheme="majorHAnsi" w:hAnsiTheme="majorHAnsi"/>
                          <w:color w:val="0D0D0D" w:themeColor="text1" w:themeTint="F2"/>
                          <w:sz w:val="18"/>
                          <w:szCs w:val="22"/>
                          <w:lang w:val="en-US"/>
                        </w:rPr>
                      </w:pPr>
                      <w:r w:rsidRPr="0019441F">
                        <w:rPr>
                          <w:rFonts w:asciiTheme="majorHAnsi" w:hAnsiTheme="majorHAnsi"/>
                          <w:color w:val="0D0D0D" w:themeColor="text1" w:themeTint="F2"/>
                          <w:sz w:val="18"/>
                          <w:szCs w:val="22"/>
                          <w:lang w:val="en-US"/>
                        </w:rPr>
                        <w:t xml:space="preserve">Approved electronically by the Commission on </w:t>
                      </w:r>
                      <w:r w:rsidR="00341E4C">
                        <w:rPr>
                          <w:rFonts w:asciiTheme="majorHAnsi" w:hAnsiTheme="majorHAnsi"/>
                          <w:color w:val="0D0D0D" w:themeColor="text1" w:themeTint="F2"/>
                          <w:sz w:val="18"/>
                          <w:szCs w:val="22"/>
                          <w:lang w:val="en-US"/>
                        </w:rPr>
                        <w:t>April 22</w:t>
                      </w:r>
                      <w:r w:rsidRPr="0019441F">
                        <w:rPr>
                          <w:rFonts w:asciiTheme="majorHAnsi" w:hAnsiTheme="majorHAnsi"/>
                          <w:color w:val="0D0D0D" w:themeColor="text1" w:themeTint="F2"/>
                          <w:sz w:val="18"/>
                          <w:szCs w:val="22"/>
                          <w:lang w:val="en-US"/>
                        </w:rPr>
                        <w:t>, 2020</w:t>
                      </w:r>
                      <w:r w:rsidR="00434950">
                        <w:rPr>
                          <w:rFonts w:asciiTheme="majorHAnsi" w:hAnsiTheme="majorHAnsi"/>
                          <w:color w:val="0D0D0D" w:themeColor="text1" w:themeTint="F2"/>
                          <w:sz w:val="18"/>
                          <w:szCs w:val="22"/>
                          <w:lang w:val="en-US"/>
                        </w:rPr>
                        <w:t>.</w:t>
                      </w:r>
                    </w:p>
                    <w:p w:rsidR="00E52752" w:rsidRPr="00C27BAB" w:rsidRDefault="00E52752" w:rsidP="00247403">
                      <w:pPr>
                        <w:tabs>
                          <w:tab w:val="center" w:pos="5400"/>
                        </w:tabs>
                        <w:suppressAutoHyphens/>
                        <w:spacing w:before="60"/>
                        <w:rPr>
                          <w:rFonts w:asciiTheme="minorHAnsi" w:hAnsiTheme="minorHAnsi" w:cs="Univers"/>
                          <w:color w:val="0D0D0D" w:themeColor="text1" w:themeTint="F2"/>
                          <w:sz w:val="20"/>
                          <w:szCs w:val="20"/>
                          <w:lang w:val="en-US"/>
                        </w:rPr>
                      </w:pPr>
                    </w:p>
                    <w:p w:rsidR="00E52752" w:rsidRPr="00C27BAB" w:rsidRDefault="00E52752" w:rsidP="0059191A">
                      <w:pPr>
                        <w:tabs>
                          <w:tab w:val="center" w:pos="5400"/>
                        </w:tabs>
                        <w:suppressAutoHyphens/>
                        <w:spacing w:before="60"/>
                        <w:rPr>
                          <w:rFonts w:ascii="Calibri" w:hAnsi="Calibri"/>
                          <w:color w:val="FFFFFF" w:themeColor="background1"/>
                          <w:spacing w:val="-2"/>
                          <w:sz w:val="16"/>
                          <w:lang w:val="en-US"/>
                        </w:rPr>
                      </w:pPr>
                    </w:p>
                  </w:txbxContent>
                </v:textbox>
              </v:shape>
            </w:pict>
          </mc:Fallback>
        </mc:AlternateContent>
      </w:r>
    </w:p>
    <w:p w:rsidR="00A50FCF" w:rsidRPr="00DD60DD" w:rsidRDefault="00A50FCF" w:rsidP="00040C3A">
      <w:pPr>
        <w:tabs>
          <w:tab w:val="center" w:pos="5400"/>
        </w:tabs>
        <w:suppressAutoHyphens/>
        <w:jc w:val="center"/>
        <w:rPr>
          <w:rFonts w:asciiTheme="majorHAnsi" w:hAnsiTheme="majorHAnsi"/>
          <w:noProof/>
          <w:sz w:val="20"/>
          <w:szCs w:val="20"/>
          <w:lang w:val="en-US"/>
        </w:rPr>
      </w:pPr>
    </w:p>
    <w:p w:rsidR="00A50FCF" w:rsidRPr="00DD60DD" w:rsidRDefault="00A50FCF" w:rsidP="00040C3A">
      <w:pPr>
        <w:tabs>
          <w:tab w:val="center" w:pos="5400"/>
        </w:tabs>
        <w:suppressAutoHyphens/>
        <w:jc w:val="center"/>
        <w:rPr>
          <w:rFonts w:asciiTheme="majorHAnsi" w:hAnsiTheme="majorHAnsi"/>
          <w:noProof/>
          <w:sz w:val="20"/>
          <w:szCs w:val="20"/>
          <w:lang w:val="en-US"/>
        </w:rPr>
      </w:pPr>
    </w:p>
    <w:p w:rsidR="00A50FCF" w:rsidRPr="00DD60DD" w:rsidRDefault="00A50FCF" w:rsidP="00040C3A">
      <w:pPr>
        <w:tabs>
          <w:tab w:val="center" w:pos="5400"/>
        </w:tabs>
        <w:suppressAutoHyphens/>
        <w:jc w:val="center"/>
        <w:rPr>
          <w:rFonts w:asciiTheme="majorHAnsi" w:hAnsiTheme="majorHAnsi"/>
          <w:noProof/>
          <w:sz w:val="20"/>
          <w:szCs w:val="20"/>
          <w:lang w:val="en-US"/>
        </w:rPr>
      </w:pPr>
    </w:p>
    <w:p w:rsidR="00A50FCF" w:rsidRPr="00DD60DD" w:rsidRDefault="00A50FCF" w:rsidP="00040C3A">
      <w:pPr>
        <w:tabs>
          <w:tab w:val="center" w:pos="5400"/>
        </w:tabs>
        <w:suppressAutoHyphens/>
        <w:jc w:val="center"/>
        <w:rPr>
          <w:rFonts w:asciiTheme="majorHAnsi" w:hAnsiTheme="majorHAnsi"/>
          <w:noProof/>
          <w:sz w:val="20"/>
          <w:szCs w:val="20"/>
          <w:lang w:val="en-US"/>
        </w:rPr>
      </w:pPr>
    </w:p>
    <w:p w:rsidR="00A50FCF" w:rsidRPr="00DD60DD" w:rsidRDefault="0090270B" w:rsidP="00040C3A">
      <w:pPr>
        <w:tabs>
          <w:tab w:val="center" w:pos="5400"/>
        </w:tabs>
        <w:suppressAutoHyphens/>
        <w:jc w:val="center"/>
        <w:rPr>
          <w:rFonts w:asciiTheme="majorHAnsi" w:hAnsiTheme="majorHAnsi"/>
          <w:noProof/>
          <w:sz w:val="20"/>
          <w:szCs w:val="20"/>
          <w:lang w:val="en-US"/>
        </w:rPr>
      </w:pPr>
      <w:r w:rsidRPr="00DD60DD">
        <w:rPr>
          <w:rFonts w:asciiTheme="majorHAnsi" w:hAnsiTheme="majorHAnsi"/>
          <w:noProof/>
          <w:sz w:val="20"/>
          <w:szCs w:val="20"/>
          <w:lang w:val="en-US" w:eastAsia="en-US"/>
        </w:rPr>
        <mc:AlternateContent>
          <mc:Choice Requires="wps">
            <w:drawing>
              <wp:anchor distT="0" distB="0" distL="114300" distR="114300" simplePos="0" relativeHeight="251678720" behindDoc="0" locked="0" layoutInCell="1" allowOverlap="1" wp14:anchorId="7E8F1F65" wp14:editId="53B45542">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2752" w:rsidRPr="0019441F" w:rsidRDefault="00E52752" w:rsidP="00113F73">
                            <w:pPr>
                              <w:spacing w:line="276" w:lineRule="auto"/>
                              <w:rPr>
                                <w:rFonts w:asciiTheme="majorHAnsi" w:hAnsiTheme="majorHAnsi"/>
                                <w:color w:val="595959" w:themeColor="text1" w:themeTint="A6"/>
                                <w:sz w:val="18"/>
                                <w:szCs w:val="18"/>
                                <w:lang w:val="en-US"/>
                              </w:rPr>
                            </w:pPr>
                            <w:r w:rsidRPr="0019441F">
                              <w:rPr>
                                <w:rFonts w:asciiTheme="majorHAnsi" w:hAnsiTheme="majorHAnsi"/>
                                <w:b/>
                                <w:color w:val="595959" w:themeColor="text1" w:themeTint="A6"/>
                                <w:sz w:val="18"/>
                                <w:szCs w:val="18"/>
                                <w:lang w:val="en-US"/>
                              </w:rPr>
                              <w:t xml:space="preserve">Cite as: </w:t>
                            </w:r>
                            <w:r w:rsidRPr="0019441F">
                              <w:rPr>
                                <w:rFonts w:asciiTheme="majorHAnsi" w:hAnsiTheme="majorHAnsi"/>
                                <w:color w:val="595959" w:themeColor="text1" w:themeTint="A6"/>
                                <w:sz w:val="18"/>
                                <w:szCs w:val="18"/>
                                <w:lang w:val="en-US"/>
                              </w:rPr>
                              <w:t xml:space="preserve">IACHR, Report No. </w:t>
                            </w:r>
                            <w:r w:rsidR="00341E4C">
                              <w:rPr>
                                <w:rFonts w:asciiTheme="majorHAnsi" w:hAnsiTheme="majorHAnsi"/>
                                <w:color w:val="595959" w:themeColor="text1" w:themeTint="A6"/>
                                <w:sz w:val="18"/>
                                <w:szCs w:val="18"/>
                                <w:lang w:val="en-US"/>
                              </w:rPr>
                              <w:t>36</w:t>
                            </w:r>
                            <w:r w:rsidRPr="0019441F">
                              <w:rPr>
                                <w:rFonts w:asciiTheme="majorHAnsi" w:hAnsiTheme="majorHAnsi"/>
                                <w:color w:val="595959" w:themeColor="text1" w:themeTint="A6"/>
                                <w:sz w:val="18"/>
                                <w:szCs w:val="18"/>
                                <w:lang w:val="en-US"/>
                              </w:rPr>
                              <w:t>/</w:t>
                            </w:r>
                            <w:r w:rsidR="00341E4C">
                              <w:rPr>
                                <w:rFonts w:asciiTheme="majorHAnsi" w:hAnsiTheme="majorHAnsi"/>
                                <w:color w:val="595959" w:themeColor="text1" w:themeTint="A6"/>
                                <w:sz w:val="18"/>
                                <w:szCs w:val="18"/>
                                <w:lang w:val="en-US"/>
                              </w:rPr>
                              <w:t>20</w:t>
                            </w:r>
                            <w:r w:rsidRPr="0019441F">
                              <w:rPr>
                                <w:rFonts w:asciiTheme="majorHAnsi" w:hAnsiTheme="majorHAnsi"/>
                                <w:color w:val="595959" w:themeColor="text1" w:themeTint="A6"/>
                                <w:sz w:val="18"/>
                                <w:szCs w:val="18"/>
                                <w:lang w:val="en-US"/>
                              </w:rPr>
                              <w:t xml:space="preserve">. Petition </w:t>
                            </w:r>
                            <w:r w:rsidR="00341E4C">
                              <w:rPr>
                                <w:rFonts w:asciiTheme="majorHAnsi" w:hAnsiTheme="majorHAnsi"/>
                                <w:color w:val="595959" w:themeColor="text1" w:themeTint="A6"/>
                                <w:sz w:val="18"/>
                                <w:szCs w:val="18"/>
                                <w:lang w:val="en-US"/>
                              </w:rPr>
                              <w:t>879</w:t>
                            </w:r>
                            <w:r w:rsidRPr="0019441F">
                              <w:rPr>
                                <w:rFonts w:asciiTheme="majorHAnsi" w:hAnsiTheme="majorHAnsi"/>
                                <w:color w:val="595959" w:themeColor="text1" w:themeTint="A6"/>
                                <w:sz w:val="18"/>
                                <w:szCs w:val="18"/>
                                <w:lang w:val="en-US"/>
                              </w:rPr>
                              <w:t>-</w:t>
                            </w:r>
                            <w:r w:rsidR="00341E4C">
                              <w:rPr>
                                <w:rFonts w:asciiTheme="majorHAnsi" w:hAnsiTheme="majorHAnsi"/>
                                <w:color w:val="595959" w:themeColor="text1" w:themeTint="A6"/>
                                <w:sz w:val="18"/>
                                <w:szCs w:val="18"/>
                                <w:lang w:val="en-US"/>
                              </w:rPr>
                              <w:t>08</w:t>
                            </w:r>
                            <w:r w:rsidRPr="0019441F">
                              <w:rPr>
                                <w:rFonts w:asciiTheme="majorHAnsi" w:hAnsiTheme="majorHAnsi"/>
                                <w:color w:val="595959" w:themeColor="text1" w:themeTint="A6"/>
                                <w:sz w:val="18"/>
                                <w:szCs w:val="18"/>
                                <w:lang w:val="en-US"/>
                              </w:rPr>
                              <w:t xml:space="preserve">. Admissibility. </w:t>
                            </w:r>
                            <w:r w:rsidR="00341E4C">
                              <w:rPr>
                                <w:rFonts w:asciiTheme="majorHAnsi" w:hAnsiTheme="majorHAnsi"/>
                                <w:color w:val="595959" w:themeColor="text1" w:themeTint="A6"/>
                                <w:sz w:val="18"/>
                                <w:szCs w:val="18"/>
                                <w:lang w:val="en-US"/>
                              </w:rPr>
                              <w:t xml:space="preserve">Rosa Elena </w:t>
                            </w:r>
                            <w:proofErr w:type="spellStart"/>
                            <w:r w:rsidR="00341E4C">
                              <w:rPr>
                                <w:rFonts w:asciiTheme="majorHAnsi" w:hAnsiTheme="majorHAnsi"/>
                                <w:color w:val="595959" w:themeColor="text1" w:themeTint="A6"/>
                                <w:sz w:val="18"/>
                                <w:szCs w:val="18"/>
                                <w:lang w:val="en-US"/>
                              </w:rPr>
                              <w:t>Pariahuachi</w:t>
                            </w:r>
                            <w:proofErr w:type="spellEnd"/>
                            <w:r w:rsidR="00341E4C">
                              <w:rPr>
                                <w:rFonts w:asciiTheme="majorHAnsi" w:hAnsiTheme="majorHAnsi"/>
                                <w:color w:val="595959" w:themeColor="text1" w:themeTint="A6"/>
                                <w:sz w:val="18"/>
                                <w:szCs w:val="18"/>
                                <w:lang w:val="en-US"/>
                              </w:rPr>
                              <w:t xml:space="preserve"> and other workers from the agricultural sector. Peru</w:t>
                            </w:r>
                            <w:r w:rsidRPr="0019441F">
                              <w:rPr>
                                <w:rFonts w:asciiTheme="majorHAnsi" w:hAnsiTheme="majorHAnsi"/>
                                <w:color w:val="595959" w:themeColor="text1" w:themeTint="A6"/>
                                <w:sz w:val="18"/>
                                <w:szCs w:val="18"/>
                                <w:lang w:val="en-US"/>
                              </w:rPr>
                              <w:t xml:space="preserve">. </w:t>
                            </w:r>
                            <w:r w:rsidR="00341E4C">
                              <w:rPr>
                                <w:rFonts w:asciiTheme="majorHAnsi" w:hAnsiTheme="majorHAnsi"/>
                                <w:color w:val="595959" w:themeColor="text1" w:themeTint="A6"/>
                                <w:sz w:val="18"/>
                                <w:szCs w:val="18"/>
                                <w:lang w:val="en-US"/>
                              </w:rPr>
                              <w:t>April 22, 2020</w:t>
                            </w:r>
                            <w:r w:rsidRPr="0019441F">
                              <w:rPr>
                                <w:rFonts w:asciiTheme="majorHAnsi" w:hAnsiTheme="majorHAnsi"/>
                                <w:color w:val="595959" w:themeColor="text1" w:themeTint="A6"/>
                                <w:sz w:val="18"/>
                                <w:szCs w:val="18"/>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F1F65" id="Text Box 10" o:spid="_x0000_s1032"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j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cNIXdkHVFvX21E1McPK6RlFuRIj3wmNEUGKMfbzDRxtC8mkn&#10;cbYk//tv+oRH58LK2QYjV/LwayW84sx8s+jps+F4nGY0H8ZoEBz8oWVxaLGr5pJQlSEWjJNZTPho&#10;elF7ap6wHebpVZiElXi75LEXL2O3CLBdpJrPMwhT6US8sQ9OJupUpNRyj+2T8G7XlxEdfUv9cIrp&#10;m/bssOmmpfkqkq5z76Y8d1nd5R8Tnbt/t33Syjg8Z9Trjpy9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zBf4o34C&#10;AABrBQAADgAAAAAAAAAAAAAAAAAuAgAAZHJzL2Uyb0RvYy54bWxQSwECLQAUAAYACAAAACEAso/Y&#10;1uAAAAAIAQAADwAAAAAAAAAAAAAAAADYBAAAZHJzL2Rvd25yZXYueG1sUEsFBgAAAAAEAAQA8wAA&#10;AOUFAAAAAA==&#10;" filled="f" stroked="f" strokeweight=".5pt">
                <v:textbox>
                  <w:txbxContent>
                    <w:p w:rsidR="00E52752" w:rsidRPr="0019441F" w:rsidRDefault="00E52752" w:rsidP="00113F73">
                      <w:pPr>
                        <w:spacing w:line="276" w:lineRule="auto"/>
                        <w:rPr>
                          <w:rFonts w:asciiTheme="majorHAnsi" w:hAnsiTheme="majorHAnsi"/>
                          <w:color w:val="595959" w:themeColor="text1" w:themeTint="A6"/>
                          <w:sz w:val="18"/>
                          <w:szCs w:val="18"/>
                          <w:lang w:val="en-US"/>
                        </w:rPr>
                      </w:pPr>
                      <w:r w:rsidRPr="0019441F">
                        <w:rPr>
                          <w:rFonts w:asciiTheme="majorHAnsi" w:hAnsiTheme="majorHAnsi"/>
                          <w:b/>
                          <w:color w:val="595959" w:themeColor="text1" w:themeTint="A6"/>
                          <w:sz w:val="18"/>
                          <w:szCs w:val="18"/>
                          <w:lang w:val="en-US"/>
                        </w:rPr>
                        <w:t xml:space="preserve">Cite as: </w:t>
                      </w:r>
                      <w:r w:rsidRPr="0019441F">
                        <w:rPr>
                          <w:rFonts w:asciiTheme="majorHAnsi" w:hAnsiTheme="majorHAnsi"/>
                          <w:color w:val="595959" w:themeColor="text1" w:themeTint="A6"/>
                          <w:sz w:val="18"/>
                          <w:szCs w:val="18"/>
                          <w:lang w:val="en-US"/>
                        </w:rPr>
                        <w:t xml:space="preserve">IACHR, Report No. </w:t>
                      </w:r>
                      <w:r w:rsidR="00341E4C">
                        <w:rPr>
                          <w:rFonts w:asciiTheme="majorHAnsi" w:hAnsiTheme="majorHAnsi"/>
                          <w:color w:val="595959" w:themeColor="text1" w:themeTint="A6"/>
                          <w:sz w:val="18"/>
                          <w:szCs w:val="18"/>
                          <w:lang w:val="en-US"/>
                        </w:rPr>
                        <w:t>36</w:t>
                      </w:r>
                      <w:r w:rsidRPr="0019441F">
                        <w:rPr>
                          <w:rFonts w:asciiTheme="majorHAnsi" w:hAnsiTheme="majorHAnsi"/>
                          <w:color w:val="595959" w:themeColor="text1" w:themeTint="A6"/>
                          <w:sz w:val="18"/>
                          <w:szCs w:val="18"/>
                          <w:lang w:val="en-US"/>
                        </w:rPr>
                        <w:t>/</w:t>
                      </w:r>
                      <w:r w:rsidR="00341E4C">
                        <w:rPr>
                          <w:rFonts w:asciiTheme="majorHAnsi" w:hAnsiTheme="majorHAnsi"/>
                          <w:color w:val="595959" w:themeColor="text1" w:themeTint="A6"/>
                          <w:sz w:val="18"/>
                          <w:szCs w:val="18"/>
                          <w:lang w:val="en-US"/>
                        </w:rPr>
                        <w:t>20</w:t>
                      </w:r>
                      <w:r w:rsidRPr="0019441F">
                        <w:rPr>
                          <w:rFonts w:asciiTheme="majorHAnsi" w:hAnsiTheme="majorHAnsi"/>
                          <w:color w:val="595959" w:themeColor="text1" w:themeTint="A6"/>
                          <w:sz w:val="18"/>
                          <w:szCs w:val="18"/>
                          <w:lang w:val="en-US"/>
                        </w:rPr>
                        <w:t xml:space="preserve">. Petition </w:t>
                      </w:r>
                      <w:r w:rsidR="00341E4C">
                        <w:rPr>
                          <w:rFonts w:asciiTheme="majorHAnsi" w:hAnsiTheme="majorHAnsi"/>
                          <w:color w:val="595959" w:themeColor="text1" w:themeTint="A6"/>
                          <w:sz w:val="18"/>
                          <w:szCs w:val="18"/>
                          <w:lang w:val="en-US"/>
                        </w:rPr>
                        <w:t>879</w:t>
                      </w:r>
                      <w:r w:rsidRPr="0019441F">
                        <w:rPr>
                          <w:rFonts w:asciiTheme="majorHAnsi" w:hAnsiTheme="majorHAnsi"/>
                          <w:color w:val="595959" w:themeColor="text1" w:themeTint="A6"/>
                          <w:sz w:val="18"/>
                          <w:szCs w:val="18"/>
                          <w:lang w:val="en-US"/>
                        </w:rPr>
                        <w:t>-</w:t>
                      </w:r>
                      <w:r w:rsidR="00341E4C">
                        <w:rPr>
                          <w:rFonts w:asciiTheme="majorHAnsi" w:hAnsiTheme="majorHAnsi"/>
                          <w:color w:val="595959" w:themeColor="text1" w:themeTint="A6"/>
                          <w:sz w:val="18"/>
                          <w:szCs w:val="18"/>
                          <w:lang w:val="en-US"/>
                        </w:rPr>
                        <w:t>08</w:t>
                      </w:r>
                      <w:r w:rsidRPr="0019441F">
                        <w:rPr>
                          <w:rFonts w:asciiTheme="majorHAnsi" w:hAnsiTheme="majorHAnsi"/>
                          <w:color w:val="595959" w:themeColor="text1" w:themeTint="A6"/>
                          <w:sz w:val="18"/>
                          <w:szCs w:val="18"/>
                          <w:lang w:val="en-US"/>
                        </w:rPr>
                        <w:t xml:space="preserve">. Admissibility. </w:t>
                      </w:r>
                      <w:r w:rsidR="00341E4C">
                        <w:rPr>
                          <w:rFonts w:asciiTheme="majorHAnsi" w:hAnsiTheme="majorHAnsi"/>
                          <w:color w:val="595959" w:themeColor="text1" w:themeTint="A6"/>
                          <w:sz w:val="18"/>
                          <w:szCs w:val="18"/>
                          <w:lang w:val="en-US"/>
                        </w:rPr>
                        <w:t xml:space="preserve">Rosa Elena </w:t>
                      </w:r>
                      <w:proofErr w:type="spellStart"/>
                      <w:r w:rsidR="00341E4C">
                        <w:rPr>
                          <w:rFonts w:asciiTheme="majorHAnsi" w:hAnsiTheme="majorHAnsi"/>
                          <w:color w:val="595959" w:themeColor="text1" w:themeTint="A6"/>
                          <w:sz w:val="18"/>
                          <w:szCs w:val="18"/>
                          <w:lang w:val="en-US"/>
                        </w:rPr>
                        <w:t>Pariahuachi</w:t>
                      </w:r>
                      <w:proofErr w:type="spellEnd"/>
                      <w:r w:rsidR="00341E4C">
                        <w:rPr>
                          <w:rFonts w:asciiTheme="majorHAnsi" w:hAnsiTheme="majorHAnsi"/>
                          <w:color w:val="595959" w:themeColor="text1" w:themeTint="A6"/>
                          <w:sz w:val="18"/>
                          <w:szCs w:val="18"/>
                          <w:lang w:val="en-US"/>
                        </w:rPr>
                        <w:t xml:space="preserve"> and other workers from the agricultural sector. Peru</w:t>
                      </w:r>
                      <w:r w:rsidRPr="0019441F">
                        <w:rPr>
                          <w:rFonts w:asciiTheme="majorHAnsi" w:hAnsiTheme="majorHAnsi"/>
                          <w:color w:val="595959" w:themeColor="text1" w:themeTint="A6"/>
                          <w:sz w:val="18"/>
                          <w:szCs w:val="18"/>
                          <w:lang w:val="en-US"/>
                        </w:rPr>
                        <w:t xml:space="preserve">. </w:t>
                      </w:r>
                      <w:r w:rsidR="00341E4C">
                        <w:rPr>
                          <w:rFonts w:asciiTheme="majorHAnsi" w:hAnsiTheme="majorHAnsi"/>
                          <w:color w:val="595959" w:themeColor="text1" w:themeTint="A6"/>
                          <w:sz w:val="18"/>
                          <w:szCs w:val="18"/>
                          <w:lang w:val="en-US"/>
                        </w:rPr>
                        <w:t>April 22, 2020</w:t>
                      </w:r>
                      <w:r w:rsidRPr="0019441F">
                        <w:rPr>
                          <w:rFonts w:asciiTheme="majorHAnsi" w:hAnsiTheme="majorHAnsi"/>
                          <w:color w:val="595959" w:themeColor="text1" w:themeTint="A6"/>
                          <w:sz w:val="18"/>
                          <w:szCs w:val="18"/>
                          <w:lang w:val="en-US"/>
                        </w:rPr>
                        <w:t>.</w:t>
                      </w:r>
                    </w:p>
                  </w:txbxContent>
                </v:textbox>
              </v:shape>
            </w:pict>
          </mc:Fallback>
        </mc:AlternateContent>
      </w:r>
    </w:p>
    <w:p w:rsidR="00A50FCF" w:rsidRPr="00DD60DD" w:rsidRDefault="00A50FCF" w:rsidP="00040C3A">
      <w:pPr>
        <w:tabs>
          <w:tab w:val="center" w:pos="5400"/>
        </w:tabs>
        <w:suppressAutoHyphens/>
        <w:jc w:val="center"/>
        <w:rPr>
          <w:rFonts w:asciiTheme="majorHAnsi" w:hAnsiTheme="majorHAnsi"/>
          <w:noProof/>
          <w:sz w:val="20"/>
          <w:szCs w:val="20"/>
          <w:lang w:val="en-US"/>
        </w:rPr>
      </w:pPr>
    </w:p>
    <w:p w:rsidR="0090270B" w:rsidRPr="00DD60DD" w:rsidRDefault="00D306D1" w:rsidP="005516A1">
      <w:pPr>
        <w:tabs>
          <w:tab w:val="center" w:pos="5400"/>
        </w:tabs>
        <w:suppressAutoHyphens/>
        <w:jc w:val="center"/>
        <w:rPr>
          <w:rFonts w:asciiTheme="majorHAnsi" w:hAnsiTheme="majorHAnsi"/>
          <w:b/>
          <w:noProof/>
          <w:sz w:val="20"/>
          <w:szCs w:val="20"/>
          <w:lang w:val="en-US"/>
        </w:rPr>
      </w:pPr>
      <w:r w:rsidRPr="00DD60DD">
        <w:rPr>
          <w:rFonts w:asciiTheme="majorHAnsi" w:hAnsiTheme="majorHAnsi"/>
          <w:noProof/>
          <w:sz w:val="20"/>
          <w:szCs w:val="20"/>
          <w:lang w:val="en-US" w:eastAsia="en-US"/>
        </w:rPr>
        <mc:AlternateContent>
          <mc:Choice Requires="wps">
            <w:drawing>
              <wp:anchor distT="0" distB="0" distL="114300" distR="114300" simplePos="0" relativeHeight="251680768" behindDoc="0" locked="0" layoutInCell="1" allowOverlap="1" wp14:anchorId="4837B0A6" wp14:editId="1B80AAD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2752" w:rsidRPr="00D72DC6" w:rsidRDefault="00434950" w:rsidP="00F02AD1">
                            <w:pPr>
                              <w:rPr>
                                <w:color w:val="FFFFFF" w:themeColor="background1"/>
                                <w14:textFill>
                                  <w14:noFill/>
                                </w14:textFill>
                              </w:rPr>
                            </w:pPr>
                            <w:r>
                              <w:rPr>
                                <w:noProof/>
                              </w:rPr>
                              <w:drawing>
                                <wp:inline distT="0" distB="0" distL="0" distR="0" wp14:anchorId="64D4FEAC" wp14:editId="5A3AEC3E">
                                  <wp:extent cx="1780540" cy="4546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0540" cy="4546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7B0A6" id="Text Box 9" o:spid="_x0000_s1033"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9IZ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" fillcolor="white [3201]" stroked="f" strokeweight=".5pt">
                <v:textbox>
                  <w:txbxContent>
                    <w:p w:rsidR="00E52752" w:rsidRPr="00D72DC6" w:rsidRDefault="00434950" w:rsidP="00F02AD1">
                      <w:pPr>
                        <w:rPr>
                          <w:color w:val="FFFFFF" w:themeColor="background1"/>
                          <w14:textFill>
                            <w14:noFill/>
                          </w14:textFill>
                        </w:rPr>
                      </w:pPr>
                      <w:r>
                        <w:rPr>
                          <w:noProof/>
                        </w:rPr>
                        <w:drawing>
                          <wp:inline distT="0" distB="0" distL="0" distR="0" wp14:anchorId="64D4FEAC" wp14:editId="5A3AEC3E">
                            <wp:extent cx="1780540" cy="4546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0540" cy="454660"/>
                                    </a:xfrm>
                                    <a:prstGeom prst="rect">
                                      <a:avLst/>
                                    </a:prstGeom>
                                  </pic:spPr>
                                </pic:pic>
                              </a:graphicData>
                            </a:graphic>
                          </wp:inline>
                        </w:drawing>
                      </w:r>
                    </w:p>
                  </w:txbxContent>
                </v:textbox>
              </v:shape>
            </w:pict>
          </mc:Fallback>
        </mc:AlternateContent>
      </w:r>
      <w:r w:rsidRPr="00DD60DD">
        <w:rPr>
          <w:rFonts w:asciiTheme="majorHAnsi" w:hAnsiTheme="majorHAnsi"/>
          <w:noProof/>
          <w:sz w:val="20"/>
          <w:szCs w:val="20"/>
          <w:lang w:val="en-US" w:eastAsia="en-US"/>
        </w:rPr>
        <mc:AlternateContent>
          <mc:Choice Requires="wps">
            <w:drawing>
              <wp:anchor distT="0" distB="0" distL="114300" distR="114300" simplePos="0" relativeHeight="251682816" behindDoc="0" locked="0" layoutInCell="1" allowOverlap="1" wp14:anchorId="3225FDF3" wp14:editId="768C2DF0">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2752" w:rsidRPr="004B7EB6" w:rsidRDefault="00E52752"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5FDF3" id="Text Box 4" o:spid="_x0000_s1034"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B5S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Y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Ba&#10;hB5SgQIAAGkFAAAOAAAAAAAAAAAAAAAAAC4CAABkcnMvZTJvRG9jLnhtbFBLAQItABQABgAIAAAA&#10;IQBdLTBP4gAAAAsBAAAPAAAAAAAAAAAAAAAAANsEAABkcnMvZG93bnJldi54bWxQSwUGAAAAAAQA&#10;BADzAAAA6gUAAAAA&#10;" filled="f" stroked="f" strokeweight=".5pt">
                <v:textbox>
                  <w:txbxContent>
                    <w:p w:rsidR="00E52752" w:rsidRPr="004B7EB6" w:rsidRDefault="00E52752"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DD60DD" w:rsidRDefault="004A6A54" w:rsidP="005516A1">
      <w:pPr>
        <w:tabs>
          <w:tab w:val="center" w:pos="5400"/>
        </w:tabs>
        <w:suppressAutoHyphens/>
        <w:jc w:val="center"/>
        <w:rPr>
          <w:rFonts w:asciiTheme="majorHAnsi" w:hAnsiTheme="majorHAnsi"/>
          <w:b/>
          <w:noProof/>
          <w:sz w:val="20"/>
          <w:szCs w:val="20"/>
          <w:lang w:val="en-US"/>
        </w:rPr>
        <w:sectPr w:rsidR="0070697F" w:rsidRPr="00DD60DD"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DD60DD">
        <w:rPr>
          <w:rFonts w:asciiTheme="majorHAnsi" w:hAnsiTheme="majorHAnsi"/>
          <w:b/>
          <w:noProof/>
          <w:sz w:val="20"/>
          <w:szCs w:val="20"/>
          <w:lang w:val="en-US"/>
        </w:rPr>
        <w:tab/>
      </w:r>
    </w:p>
    <w:p w:rsidR="00C740C3" w:rsidRPr="00DD60DD" w:rsidRDefault="003239B8" w:rsidP="00C740C3">
      <w:pPr>
        <w:spacing w:after="240"/>
        <w:ind w:firstLine="720"/>
        <w:jc w:val="both"/>
        <w:rPr>
          <w:rFonts w:asciiTheme="majorHAnsi" w:hAnsiTheme="majorHAnsi"/>
          <w:b/>
          <w:bCs/>
          <w:noProof/>
          <w:sz w:val="20"/>
          <w:szCs w:val="20"/>
          <w:lang w:val="en-US"/>
        </w:rPr>
      </w:pPr>
      <w:r w:rsidRPr="00DD60DD">
        <w:rPr>
          <w:rFonts w:asciiTheme="majorHAnsi" w:hAnsiTheme="majorHAnsi"/>
          <w:b/>
          <w:bCs/>
          <w:noProof/>
          <w:sz w:val="20"/>
          <w:szCs w:val="20"/>
          <w:lang w:val="en-US"/>
        </w:rPr>
        <w:lastRenderedPageBreak/>
        <w:t>I.</w:t>
      </w:r>
      <w:r w:rsidRPr="00DD60DD">
        <w:rPr>
          <w:rFonts w:asciiTheme="majorHAnsi" w:hAnsiTheme="majorHAnsi"/>
          <w:b/>
          <w:bCs/>
          <w:noProof/>
          <w:sz w:val="20"/>
          <w:szCs w:val="20"/>
          <w:lang w:val="en-US"/>
        </w:rPr>
        <w:tab/>
      </w:r>
      <w:r w:rsidR="00C740C3" w:rsidRPr="00DD60DD">
        <w:rPr>
          <w:rFonts w:asciiTheme="majorHAnsi" w:hAnsiTheme="majorHAnsi"/>
          <w:b/>
          <w:bCs/>
          <w:noProof/>
          <w:sz w:val="20"/>
          <w:szCs w:val="20"/>
          <w:lang w:val="en-US"/>
        </w:rPr>
        <w:t xml:space="preserve">INFORMATION ABOUT THE PETITION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3D4386" w:rsidTr="00341E4C">
        <w:tc>
          <w:tcPr>
            <w:tcW w:w="3600" w:type="dxa"/>
            <w:tcBorders>
              <w:top w:val="single" w:sz="4" w:space="0" w:color="auto"/>
              <w:bottom w:val="single" w:sz="6" w:space="0" w:color="auto"/>
            </w:tcBorders>
            <w:shd w:val="clear" w:color="auto" w:fill="67AE3C"/>
            <w:vAlign w:val="center"/>
          </w:tcPr>
          <w:p w:rsidR="003239B8" w:rsidRPr="00DD60DD" w:rsidRDefault="00C740C3" w:rsidP="00C740C3">
            <w:pPr>
              <w:jc w:val="center"/>
              <w:rPr>
                <w:rFonts w:asciiTheme="majorHAnsi" w:hAnsiTheme="majorHAnsi"/>
                <w:b/>
                <w:bCs/>
                <w:noProof/>
                <w:color w:val="FFFFFF" w:themeColor="background1"/>
                <w:sz w:val="20"/>
                <w:szCs w:val="20"/>
                <w:lang w:val="en-US"/>
              </w:rPr>
            </w:pPr>
            <w:r w:rsidRPr="00DD60DD">
              <w:rPr>
                <w:rFonts w:asciiTheme="majorHAnsi" w:hAnsiTheme="majorHAnsi"/>
                <w:b/>
                <w:bCs/>
                <w:noProof/>
                <w:color w:val="FFFFFF" w:themeColor="background1"/>
                <w:sz w:val="20"/>
                <w:szCs w:val="20"/>
                <w:lang w:val="en-US"/>
              </w:rPr>
              <w:t>Petitioner</w:t>
            </w:r>
            <w:r w:rsidR="003239B8" w:rsidRPr="00DD60DD">
              <w:rPr>
                <w:rFonts w:asciiTheme="majorHAnsi" w:hAnsiTheme="majorHAnsi"/>
                <w:b/>
                <w:bCs/>
                <w:noProof/>
                <w:color w:val="FFFFFF" w:themeColor="background1"/>
                <w:sz w:val="20"/>
                <w:szCs w:val="20"/>
                <w:lang w:val="en-US"/>
              </w:rPr>
              <w:t>:</w:t>
            </w:r>
          </w:p>
        </w:tc>
        <w:tc>
          <w:tcPr>
            <w:tcW w:w="5760" w:type="dxa"/>
            <w:vAlign w:val="center"/>
          </w:tcPr>
          <w:p w:rsidR="003239B8" w:rsidRPr="00C27BAB" w:rsidRDefault="00127FC0" w:rsidP="002663F0">
            <w:pPr>
              <w:jc w:val="both"/>
              <w:rPr>
                <w:rFonts w:asciiTheme="majorHAnsi" w:hAnsiTheme="majorHAnsi"/>
                <w:bCs/>
                <w:noProof/>
                <w:sz w:val="20"/>
                <w:szCs w:val="20"/>
                <w:lang w:val="es-US"/>
              </w:rPr>
            </w:pPr>
            <w:r w:rsidRPr="00C27BAB">
              <w:rPr>
                <w:rFonts w:asciiTheme="majorHAnsi" w:hAnsiTheme="majorHAnsi"/>
                <w:bCs/>
                <w:i/>
                <w:noProof/>
                <w:sz w:val="20"/>
                <w:szCs w:val="20"/>
                <w:lang w:val="es-US"/>
              </w:rPr>
              <w:t xml:space="preserve">Centro </w:t>
            </w:r>
            <w:r w:rsidR="002663F0" w:rsidRPr="00C27BAB">
              <w:rPr>
                <w:rFonts w:asciiTheme="majorHAnsi" w:hAnsiTheme="majorHAnsi"/>
                <w:bCs/>
                <w:i/>
                <w:noProof/>
                <w:sz w:val="20"/>
                <w:szCs w:val="20"/>
                <w:lang w:val="es-US"/>
              </w:rPr>
              <w:t>de Derechos y Desarrollo</w:t>
            </w:r>
            <w:r w:rsidR="002663F0" w:rsidRPr="00C27BAB">
              <w:rPr>
                <w:rFonts w:asciiTheme="majorHAnsi" w:hAnsiTheme="majorHAnsi"/>
                <w:bCs/>
                <w:noProof/>
                <w:sz w:val="20"/>
                <w:szCs w:val="20"/>
                <w:lang w:val="es-US"/>
              </w:rPr>
              <w:t xml:space="preserve"> </w:t>
            </w:r>
            <w:r w:rsidR="001115FC" w:rsidRPr="00C27BAB">
              <w:rPr>
                <w:rFonts w:asciiTheme="majorHAnsi" w:hAnsiTheme="majorHAnsi"/>
                <w:bCs/>
                <w:noProof/>
                <w:sz w:val="20"/>
                <w:szCs w:val="20"/>
                <w:lang w:val="es-US"/>
              </w:rPr>
              <w:t>(</w:t>
            </w:r>
            <w:r w:rsidR="00C45E6E" w:rsidRPr="00C27BAB">
              <w:rPr>
                <w:rFonts w:asciiTheme="majorHAnsi" w:hAnsiTheme="majorHAnsi"/>
                <w:bCs/>
                <w:noProof/>
                <w:sz w:val="20"/>
                <w:szCs w:val="20"/>
                <w:lang w:val="es-US"/>
              </w:rPr>
              <w:t>CEDAL</w:t>
            </w:r>
            <w:r w:rsidR="001115FC" w:rsidRPr="00C27BAB">
              <w:rPr>
                <w:rFonts w:asciiTheme="majorHAnsi" w:hAnsiTheme="majorHAnsi"/>
                <w:bCs/>
                <w:noProof/>
                <w:sz w:val="20"/>
                <w:szCs w:val="20"/>
                <w:lang w:val="es-US"/>
              </w:rPr>
              <w:t>)</w:t>
            </w:r>
            <w:r w:rsidR="00C45E6E" w:rsidRPr="00C27BAB">
              <w:rPr>
                <w:rFonts w:asciiTheme="majorHAnsi" w:hAnsiTheme="majorHAnsi"/>
                <w:bCs/>
                <w:noProof/>
                <w:sz w:val="20"/>
                <w:szCs w:val="20"/>
                <w:lang w:val="es-US"/>
              </w:rPr>
              <w:t xml:space="preserve">, </w:t>
            </w:r>
            <w:r w:rsidRPr="00C27BAB">
              <w:rPr>
                <w:rFonts w:asciiTheme="majorHAnsi" w:hAnsiTheme="majorHAnsi"/>
                <w:bCs/>
                <w:i/>
                <w:noProof/>
                <w:sz w:val="20"/>
                <w:szCs w:val="20"/>
                <w:lang w:val="es-US"/>
              </w:rPr>
              <w:t>Asociación Aurora Vivar</w:t>
            </w:r>
            <w:r w:rsidR="0019441F" w:rsidRPr="00C27BAB">
              <w:rPr>
                <w:rFonts w:asciiTheme="majorHAnsi" w:hAnsiTheme="majorHAnsi"/>
                <w:bCs/>
                <w:noProof/>
                <w:sz w:val="20"/>
                <w:szCs w:val="20"/>
                <w:lang w:val="es-US"/>
              </w:rPr>
              <w:t>, and</w:t>
            </w:r>
            <w:r w:rsidR="00C45E6E" w:rsidRPr="00C27BAB">
              <w:rPr>
                <w:rFonts w:asciiTheme="majorHAnsi" w:hAnsiTheme="majorHAnsi"/>
                <w:bCs/>
                <w:noProof/>
                <w:sz w:val="20"/>
                <w:szCs w:val="20"/>
                <w:lang w:val="es-US"/>
              </w:rPr>
              <w:t xml:space="preserve"> Rosa </w:t>
            </w:r>
            <w:r w:rsidR="002663F0" w:rsidRPr="00C27BAB">
              <w:rPr>
                <w:rFonts w:asciiTheme="majorHAnsi" w:hAnsiTheme="majorHAnsi"/>
                <w:bCs/>
                <w:noProof/>
                <w:sz w:val="20"/>
                <w:szCs w:val="20"/>
                <w:lang w:val="es-US"/>
              </w:rPr>
              <w:t xml:space="preserve">Elena </w:t>
            </w:r>
            <w:r w:rsidR="00C45E6E" w:rsidRPr="00C27BAB">
              <w:rPr>
                <w:rFonts w:asciiTheme="majorHAnsi" w:hAnsiTheme="majorHAnsi"/>
                <w:bCs/>
                <w:noProof/>
                <w:sz w:val="20"/>
                <w:szCs w:val="20"/>
                <w:lang w:val="es-US"/>
              </w:rPr>
              <w:t>Pariahuachi Palacios</w:t>
            </w:r>
          </w:p>
        </w:tc>
      </w:tr>
      <w:tr w:rsidR="003239B8" w:rsidRPr="003D4386" w:rsidTr="00341E4C">
        <w:tc>
          <w:tcPr>
            <w:tcW w:w="3600" w:type="dxa"/>
            <w:tcBorders>
              <w:top w:val="single" w:sz="6" w:space="0" w:color="auto"/>
              <w:bottom w:val="single" w:sz="6" w:space="0" w:color="auto"/>
            </w:tcBorders>
            <w:shd w:val="clear" w:color="auto" w:fill="67AE3C"/>
            <w:vAlign w:val="center"/>
          </w:tcPr>
          <w:p w:rsidR="003239B8" w:rsidRPr="00DD60DD" w:rsidRDefault="00C740C3" w:rsidP="004243A6">
            <w:pPr>
              <w:jc w:val="center"/>
              <w:rPr>
                <w:rFonts w:asciiTheme="majorHAnsi" w:hAnsiTheme="majorHAnsi"/>
                <w:b/>
                <w:bCs/>
                <w:noProof/>
                <w:color w:val="FFFFFF" w:themeColor="background1"/>
                <w:sz w:val="20"/>
                <w:szCs w:val="20"/>
                <w:lang w:val="en-US"/>
              </w:rPr>
            </w:pPr>
            <w:r w:rsidRPr="00DD60DD">
              <w:rPr>
                <w:rFonts w:asciiTheme="majorHAnsi" w:hAnsiTheme="majorHAnsi"/>
                <w:b/>
                <w:bCs/>
                <w:noProof/>
                <w:color w:val="FFFFFF" w:themeColor="background1"/>
                <w:sz w:val="20"/>
                <w:szCs w:val="20"/>
                <w:lang w:val="en-US"/>
              </w:rPr>
              <w:t>Alleged victims :</w:t>
            </w:r>
          </w:p>
        </w:tc>
        <w:tc>
          <w:tcPr>
            <w:tcW w:w="5760" w:type="dxa"/>
            <w:vAlign w:val="center"/>
          </w:tcPr>
          <w:p w:rsidR="003239B8" w:rsidRPr="00DD60DD" w:rsidRDefault="00127FC0" w:rsidP="0019441F">
            <w:pPr>
              <w:jc w:val="both"/>
              <w:rPr>
                <w:rFonts w:asciiTheme="majorHAnsi" w:hAnsiTheme="majorHAnsi"/>
                <w:bCs/>
                <w:noProof/>
                <w:sz w:val="20"/>
                <w:szCs w:val="20"/>
                <w:lang w:val="en-US"/>
              </w:rPr>
            </w:pPr>
            <w:r w:rsidRPr="00DD60DD">
              <w:rPr>
                <w:rFonts w:asciiTheme="majorHAnsi" w:hAnsiTheme="majorHAnsi"/>
                <w:bCs/>
                <w:noProof/>
                <w:sz w:val="20"/>
                <w:szCs w:val="20"/>
                <w:lang w:val="en-US"/>
              </w:rPr>
              <w:t xml:space="preserve">Rosa </w:t>
            </w:r>
            <w:r w:rsidR="002663F0" w:rsidRPr="00DD60DD">
              <w:rPr>
                <w:rFonts w:asciiTheme="majorHAnsi" w:hAnsiTheme="majorHAnsi"/>
                <w:bCs/>
                <w:noProof/>
                <w:sz w:val="20"/>
                <w:szCs w:val="20"/>
                <w:lang w:val="en-US"/>
              </w:rPr>
              <w:t xml:space="preserve">Elena </w:t>
            </w:r>
            <w:r w:rsidRPr="00DD60DD">
              <w:rPr>
                <w:rFonts w:asciiTheme="majorHAnsi" w:hAnsiTheme="majorHAnsi"/>
                <w:bCs/>
                <w:noProof/>
                <w:sz w:val="20"/>
                <w:szCs w:val="20"/>
                <w:lang w:val="en-US"/>
              </w:rPr>
              <w:t xml:space="preserve">Pariahuachi Palacios </w:t>
            </w:r>
            <w:r w:rsidR="00843BF8" w:rsidRPr="00DD60DD">
              <w:rPr>
                <w:rFonts w:asciiTheme="majorHAnsi" w:hAnsiTheme="majorHAnsi"/>
                <w:bCs/>
                <w:noProof/>
                <w:sz w:val="20"/>
                <w:szCs w:val="20"/>
                <w:lang w:val="en-US"/>
              </w:rPr>
              <w:t>and other workers from the agr</w:t>
            </w:r>
            <w:r w:rsidR="0019441F" w:rsidRPr="00DD60DD">
              <w:rPr>
                <w:rFonts w:asciiTheme="majorHAnsi" w:hAnsiTheme="majorHAnsi"/>
                <w:bCs/>
                <w:noProof/>
                <w:sz w:val="20"/>
                <w:szCs w:val="20"/>
                <w:lang w:val="en-US"/>
              </w:rPr>
              <w:t>icultural</w:t>
            </w:r>
            <w:r w:rsidR="00843BF8" w:rsidRPr="00DD60DD">
              <w:rPr>
                <w:rFonts w:asciiTheme="majorHAnsi" w:hAnsiTheme="majorHAnsi"/>
                <w:bCs/>
                <w:noProof/>
                <w:sz w:val="20"/>
                <w:szCs w:val="20"/>
                <w:lang w:val="en-US"/>
              </w:rPr>
              <w:t xml:space="preserve"> sector</w:t>
            </w:r>
            <w:r w:rsidR="0093768F" w:rsidRPr="00DD60DD">
              <w:rPr>
                <w:rFonts w:asciiTheme="majorHAnsi" w:hAnsiTheme="majorHAnsi"/>
                <w:bCs/>
                <w:noProof/>
                <w:sz w:val="20"/>
                <w:szCs w:val="20"/>
                <w:lang w:val="en-US"/>
              </w:rPr>
              <w:t xml:space="preserve"> </w:t>
            </w:r>
          </w:p>
        </w:tc>
      </w:tr>
      <w:tr w:rsidR="003239B8" w:rsidRPr="00DD60DD" w:rsidTr="00341E4C">
        <w:tc>
          <w:tcPr>
            <w:tcW w:w="3600" w:type="dxa"/>
            <w:tcBorders>
              <w:top w:val="single" w:sz="6" w:space="0" w:color="auto"/>
              <w:bottom w:val="single" w:sz="6" w:space="0" w:color="auto"/>
            </w:tcBorders>
            <w:shd w:val="clear" w:color="auto" w:fill="67AE3C"/>
            <w:vAlign w:val="center"/>
          </w:tcPr>
          <w:p w:rsidR="003239B8" w:rsidRPr="00DD60DD" w:rsidRDefault="00C740C3" w:rsidP="00C740C3">
            <w:pPr>
              <w:jc w:val="center"/>
              <w:rPr>
                <w:rFonts w:asciiTheme="majorHAnsi" w:hAnsiTheme="majorHAnsi"/>
                <w:b/>
                <w:bCs/>
                <w:noProof/>
                <w:color w:val="FFFFFF" w:themeColor="background1"/>
                <w:sz w:val="20"/>
                <w:szCs w:val="20"/>
                <w:lang w:val="en-US"/>
              </w:rPr>
            </w:pPr>
            <w:r w:rsidRPr="00DD60DD">
              <w:rPr>
                <w:rFonts w:asciiTheme="majorHAnsi" w:hAnsiTheme="majorHAnsi"/>
                <w:b/>
                <w:bCs/>
                <w:noProof/>
                <w:color w:val="FFFFFF" w:themeColor="background1"/>
                <w:sz w:val="20"/>
                <w:szCs w:val="20"/>
                <w:lang w:val="en-US"/>
              </w:rPr>
              <w:t>State denounced</w:t>
            </w:r>
            <w:r w:rsidR="003239B8" w:rsidRPr="00DD60DD">
              <w:rPr>
                <w:rFonts w:asciiTheme="majorHAnsi" w:hAnsiTheme="majorHAnsi"/>
                <w:b/>
                <w:bCs/>
                <w:noProof/>
                <w:color w:val="FFFFFF" w:themeColor="background1"/>
                <w:sz w:val="20"/>
                <w:szCs w:val="20"/>
                <w:lang w:val="en-US"/>
              </w:rPr>
              <w:t>:</w:t>
            </w:r>
          </w:p>
        </w:tc>
        <w:tc>
          <w:tcPr>
            <w:tcW w:w="5760" w:type="dxa"/>
            <w:vAlign w:val="center"/>
          </w:tcPr>
          <w:p w:rsidR="003239B8" w:rsidRPr="00DD60DD" w:rsidRDefault="008D5BA9" w:rsidP="00843BF8">
            <w:pPr>
              <w:jc w:val="both"/>
              <w:rPr>
                <w:rFonts w:asciiTheme="majorHAnsi" w:hAnsiTheme="majorHAnsi"/>
                <w:bCs/>
                <w:noProof/>
                <w:sz w:val="20"/>
                <w:szCs w:val="20"/>
                <w:lang w:val="en-US"/>
              </w:rPr>
            </w:pPr>
            <w:r w:rsidRPr="00DD60DD">
              <w:rPr>
                <w:rFonts w:asciiTheme="majorHAnsi" w:hAnsiTheme="majorHAnsi"/>
                <w:bCs/>
                <w:noProof/>
                <w:sz w:val="20"/>
                <w:szCs w:val="20"/>
                <w:lang w:val="en-US"/>
              </w:rPr>
              <w:t>Per</w:t>
            </w:r>
            <w:r w:rsidR="00843BF8" w:rsidRPr="00DD60DD">
              <w:rPr>
                <w:rFonts w:asciiTheme="majorHAnsi" w:hAnsiTheme="majorHAnsi"/>
                <w:bCs/>
                <w:noProof/>
                <w:sz w:val="20"/>
                <w:szCs w:val="20"/>
                <w:lang w:val="en-US"/>
              </w:rPr>
              <w:t>u</w:t>
            </w:r>
            <w:r w:rsidR="004A6A54" w:rsidRPr="00DD60DD">
              <w:rPr>
                <w:rStyle w:val="FootnoteReference"/>
                <w:rFonts w:asciiTheme="majorHAnsi" w:hAnsiTheme="majorHAnsi"/>
                <w:bCs/>
                <w:noProof/>
                <w:sz w:val="20"/>
                <w:szCs w:val="20"/>
                <w:lang w:val="en-US"/>
              </w:rPr>
              <w:footnoteReference w:id="2"/>
            </w:r>
          </w:p>
        </w:tc>
      </w:tr>
      <w:tr w:rsidR="00223A29" w:rsidRPr="003D4386" w:rsidTr="00341E4C">
        <w:tc>
          <w:tcPr>
            <w:tcW w:w="3600" w:type="dxa"/>
            <w:tcBorders>
              <w:top w:val="single" w:sz="6" w:space="0" w:color="auto"/>
              <w:bottom w:val="single" w:sz="6" w:space="0" w:color="auto"/>
            </w:tcBorders>
            <w:shd w:val="clear" w:color="auto" w:fill="67AE3C"/>
            <w:vAlign w:val="center"/>
          </w:tcPr>
          <w:p w:rsidR="00223A29" w:rsidRPr="00DD60DD" w:rsidRDefault="00C740C3" w:rsidP="00C740C3">
            <w:pPr>
              <w:jc w:val="center"/>
              <w:rPr>
                <w:rFonts w:asciiTheme="majorHAnsi" w:hAnsiTheme="majorHAnsi"/>
                <w:b/>
                <w:bCs/>
                <w:noProof/>
                <w:color w:val="FFFFFF" w:themeColor="background1"/>
                <w:sz w:val="20"/>
                <w:szCs w:val="20"/>
                <w:lang w:val="en-US"/>
              </w:rPr>
            </w:pPr>
            <w:r w:rsidRPr="00DD60DD">
              <w:rPr>
                <w:rFonts w:asciiTheme="majorHAnsi" w:hAnsiTheme="majorHAnsi"/>
                <w:b/>
                <w:bCs/>
                <w:noProof/>
                <w:color w:val="FFFFFF" w:themeColor="background1"/>
                <w:sz w:val="20"/>
                <w:szCs w:val="20"/>
                <w:lang w:val="en-US"/>
              </w:rPr>
              <w:t>Rights invoked</w:t>
            </w:r>
            <w:r w:rsidR="001B3A00" w:rsidRPr="00DD60DD">
              <w:rPr>
                <w:rFonts w:asciiTheme="majorHAnsi" w:hAnsiTheme="majorHAnsi"/>
                <w:b/>
                <w:bCs/>
                <w:noProof/>
                <w:color w:val="FFFFFF" w:themeColor="background1"/>
                <w:sz w:val="20"/>
                <w:szCs w:val="20"/>
                <w:lang w:val="en-US"/>
              </w:rPr>
              <w:t>:</w:t>
            </w:r>
          </w:p>
        </w:tc>
        <w:tc>
          <w:tcPr>
            <w:tcW w:w="5760" w:type="dxa"/>
            <w:vAlign w:val="center"/>
          </w:tcPr>
          <w:p w:rsidR="00223A29" w:rsidRPr="00DD60DD" w:rsidRDefault="00CD2992" w:rsidP="00A12B13">
            <w:pPr>
              <w:jc w:val="both"/>
              <w:rPr>
                <w:rFonts w:asciiTheme="majorHAnsi" w:hAnsiTheme="majorHAnsi"/>
                <w:bCs/>
                <w:noProof/>
                <w:sz w:val="20"/>
                <w:szCs w:val="20"/>
                <w:lang w:val="en-US"/>
              </w:rPr>
            </w:pPr>
            <w:r w:rsidRPr="00DD60DD">
              <w:rPr>
                <w:rFonts w:asciiTheme="majorHAnsi" w:hAnsiTheme="majorHAnsi"/>
                <w:bCs/>
                <w:noProof/>
                <w:sz w:val="20"/>
                <w:szCs w:val="20"/>
                <w:lang w:val="en-US"/>
              </w:rPr>
              <w:t>Ar</w:t>
            </w:r>
            <w:r w:rsidR="00843BF8" w:rsidRPr="00DD60DD">
              <w:rPr>
                <w:rFonts w:asciiTheme="majorHAnsi" w:hAnsiTheme="majorHAnsi"/>
                <w:bCs/>
                <w:noProof/>
                <w:sz w:val="20"/>
                <w:szCs w:val="20"/>
                <w:lang w:val="en-US"/>
              </w:rPr>
              <w:t xml:space="preserve">ticles </w:t>
            </w:r>
            <w:r w:rsidR="002650B4" w:rsidRPr="00DD60DD">
              <w:rPr>
                <w:rFonts w:asciiTheme="majorHAnsi" w:hAnsiTheme="majorHAnsi"/>
                <w:bCs/>
                <w:noProof/>
                <w:sz w:val="20"/>
                <w:szCs w:val="20"/>
                <w:lang w:val="en-US"/>
              </w:rPr>
              <w:t>24 (</w:t>
            </w:r>
            <w:r w:rsidR="0019441F" w:rsidRPr="00DD60DD">
              <w:rPr>
                <w:rFonts w:asciiTheme="majorHAnsi" w:hAnsiTheme="majorHAnsi"/>
                <w:bCs/>
                <w:noProof/>
                <w:sz w:val="20"/>
                <w:szCs w:val="20"/>
                <w:lang w:val="en-US"/>
              </w:rPr>
              <w:t>right to equal protection</w:t>
            </w:r>
            <w:r w:rsidR="002650B4" w:rsidRPr="00DD60DD">
              <w:rPr>
                <w:rFonts w:asciiTheme="majorHAnsi" w:hAnsiTheme="majorHAnsi"/>
                <w:bCs/>
                <w:noProof/>
                <w:sz w:val="20"/>
                <w:szCs w:val="20"/>
                <w:lang w:val="en-US"/>
              </w:rPr>
              <w:t xml:space="preserve">) </w:t>
            </w:r>
            <w:r w:rsidR="00843BF8" w:rsidRPr="00DD60DD">
              <w:rPr>
                <w:rFonts w:asciiTheme="majorHAnsi" w:hAnsiTheme="majorHAnsi"/>
                <w:bCs/>
                <w:noProof/>
                <w:sz w:val="20"/>
                <w:szCs w:val="20"/>
                <w:lang w:val="en-US"/>
              </w:rPr>
              <w:t>and</w:t>
            </w:r>
            <w:r w:rsidRPr="00DD60DD">
              <w:rPr>
                <w:rFonts w:asciiTheme="majorHAnsi" w:hAnsiTheme="majorHAnsi"/>
                <w:bCs/>
                <w:noProof/>
                <w:sz w:val="20"/>
                <w:szCs w:val="20"/>
                <w:lang w:val="en-US"/>
              </w:rPr>
              <w:t xml:space="preserve"> 26 (</w:t>
            </w:r>
            <w:r w:rsidR="0019441F" w:rsidRPr="00DD60DD">
              <w:rPr>
                <w:rFonts w:asciiTheme="majorHAnsi" w:hAnsiTheme="majorHAnsi"/>
                <w:bCs/>
                <w:noProof/>
                <w:sz w:val="20"/>
                <w:szCs w:val="20"/>
                <w:lang w:val="en-US"/>
              </w:rPr>
              <w:t>economic, social, and cultural rights</w:t>
            </w:r>
            <w:r w:rsidRPr="00DD60DD">
              <w:rPr>
                <w:rFonts w:asciiTheme="majorHAnsi" w:hAnsiTheme="majorHAnsi"/>
                <w:bCs/>
                <w:noProof/>
                <w:sz w:val="20"/>
                <w:szCs w:val="20"/>
                <w:lang w:val="en-US"/>
              </w:rPr>
              <w:t xml:space="preserve">) </w:t>
            </w:r>
            <w:r w:rsidR="00843BF8" w:rsidRPr="00DD60DD">
              <w:rPr>
                <w:rFonts w:asciiTheme="majorHAnsi" w:hAnsiTheme="majorHAnsi"/>
                <w:bCs/>
                <w:noProof/>
                <w:sz w:val="20"/>
                <w:szCs w:val="20"/>
                <w:lang w:val="en-US"/>
              </w:rPr>
              <w:t>of the American Convention on Human Rights</w:t>
            </w:r>
            <w:r w:rsidR="00B85F68" w:rsidRPr="00DD60DD">
              <w:rPr>
                <w:rFonts w:asciiTheme="majorHAnsi" w:hAnsiTheme="majorHAnsi"/>
                <w:bCs/>
                <w:noProof/>
                <w:sz w:val="20"/>
                <w:szCs w:val="20"/>
                <w:vertAlign w:val="superscript"/>
                <w:lang w:val="en-US"/>
              </w:rPr>
              <w:t xml:space="preserve">2 </w:t>
            </w:r>
            <w:r w:rsidR="00843BF8" w:rsidRPr="00DD60DD">
              <w:rPr>
                <w:rFonts w:asciiTheme="majorHAnsi" w:hAnsiTheme="majorHAnsi"/>
                <w:bCs/>
                <w:noProof/>
                <w:sz w:val="20"/>
                <w:szCs w:val="20"/>
                <w:lang w:val="en-US"/>
              </w:rPr>
              <w:t>i</w:t>
            </w:r>
            <w:r w:rsidR="00B85F68" w:rsidRPr="00DD60DD">
              <w:rPr>
                <w:rFonts w:asciiTheme="majorHAnsi" w:hAnsiTheme="majorHAnsi"/>
                <w:bCs/>
                <w:noProof/>
                <w:sz w:val="20"/>
                <w:szCs w:val="20"/>
                <w:lang w:val="en-US"/>
              </w:rPr>
              <w:t>n rela</w:t>
            </w:r>
            <w:r w:rsidR="00843BF8" w:rsidRPr="00DD60DD">
              <w:rPr>
                <w:rFonts w:asciiTheme="majorHAnsi" w:hAnsiTheme="majorHAnsi"/>
                <w:bCs/>
                <w:noProof/>
                <w:sz w:val="20"/>
                <w:szCs w:val="20"/>
                <w:lang w:val="en-US"/>
              </w:rPr>
              <w:t>tion to Articles 1(</w:t>
            </w:r>
            <w:r w:rsidR="00B85F68" w:rsidRPr="00DD60DD">
              <w:rPr>
                <w:rFonts w:asciiTheme="majorHAnsi" w:hAnsiTheme="majorHAnsi"/>
                <w:bCs/>
                <w:noProof/>
                <w:sz w:val="20"/>
                <w:szCs w:val="20"/>
                <w:lang w:val="en-US"/>
              </w:rPr>
              <w:t>1</w:t>
            </w:r>
            <w:r w:rsidR="00843BF8" w:rsidRPr="00DD60DD">
              <w:rPr>
                <w:rFonts w:asciiTheme="majorHAnsi" w:hAnsiTheme="majorHAnsi"/>
                <w:bCs/>
                <w:noProof/>
                <w:sz w:val="20"/>
                <w:szCs w:val="20"/>
                <w:lang w:val="en-US"/>
              </w:rPr>
              <w:t>)</w:t>
            </w:r>
            <w:r w:rsidR="00A53CBB" w:rsidRPr="00DD60DD">
              <w:rPr>
                <w:rFonts w:asciiTheme="majorHAnsi" w:hAnsiTheme="majorHAnsi"/>
                <w:bCs/>
                <w:noProof/>
                <w:sz w:val="20"/>
                <w:szCs w:val="20"/>
                <w:lang w:val="en-US"/>
              </w:rPr>
              <w:t xml:space="preserve"> (obliga</w:t>
            </w:r>
            <w:r w:rsidR="0019441F" w:rsidRPr="00DD60DD">
              <w:rPr>
                <w:rFonts w:asciiTheme="majorHAnsi" w:hAnsiTheme="majorHAnsi"/>
                <w:bCs/>
                <w:noProof/>
                <w:sz w:val="20"/>
                <w:szCs w:val="20"/>
                <w:lang w:val="en-US"/>
              </w:rPr>
              <w:t>tion to respect rights</w:t>
            </w:r>
            <w:r w:rsidR="002650B4" w:rsidRPr="00DD60DD">
              <w:rPr>
                <w:rFonts w:asciiTheme="majorHAnsi" w:hAnsiTheme="majorHAnsi"/>
                <w:bCs/>
                <w:noProof/>
                <w:sz w:val="20"/>
                <w:szCs w:val="20"/>
                <w:lang w:val="en-US"/>
              </w:rPr>
              <w:t>)</w:t>
            </w:r>
            <w:r w:rsidR="00A53CBB" w:rsidRPr="00DD60DD">
              <w:rPr>
                <w:rFonts w:asciiTheme="majorHAnsi" w:hAnsiTheme="majorHAnsi"/>
                <w:bCs/>
                <w:noProof/>
                <w:sz w:val="20"/>
                <w:szCs w:val="20"/>
                <w:lang w:val="en-US"/>
              </w:rPr>
              <w:t xml:space="preserve"> </w:t>
            </w:r>
            <w:r w:rsidR="00843BF8" w:rsidRPr="00DD60DD">
              <w:rPr>
                <w:rFonts w:asciiTheme="majorHAnsi" w:hAnsiTheme="majorHAnsi"/>
                <w:bCs/>
                <w:noProof/>
                <w:sz w:val="20"/>
                <w:szCs w:val="20"/>
                <w:lang w:val="en-US"/>
              </w:rPr>
              <w:t>and</w:t>
            </w:r>
            <w:r w:rsidR="00B85F68" w:rsidRPr="00DD60DD">
              <w:rPr>
                <w:rFonts w:asciiTheme="majorHAnsi" w:hAnsiTheme="majorHAnsi"/>
                <w:bCs/>
                <w:noProof/>
                <w:sz w:val="20"/>
                <w:szCs w:val="20"/>
                <w:lang w:val="en-US"/>
              </w:rPr>
              <w:t xml:space="preserve"> 2</w:t>
            </w:r>
            <w:r w:rsidR="00474519" w:rsidRPr="00DD60DD">
              <w:rPr>
                <w:rFonts w:asciiTheme="majorHAnsi" w:hAnsiTheme="majorHAnsi"/>
                <w:bCs/>
                <w:noProof/>
                <w:sz w:val="20"/>
                <w:szCs w:val="20"/>
                <w:lang w:val="en-US"/>
              </w:rPr>
              <w:t xml:space="preserve"> (d</w:t>
            </w:r>
            <w:r w:rsidR="00A12B13" w:rsidRPr="00DD60DD">
              <w:rPr>
                <w:rFonts w:asciiTheme="majorHAnsi" w:hAnsiTheme="majorHAnsi"/>
                <w:bCs/>
                <w:noProof/>
                <w:sz w:val="20"/>
                <w:szCs w:val="20"/>
                <w:lang w:val="en-US"/>
              </w:rPr>
              <w:t>omestic legal effects</w:t>
            </w:r>
            <w:r w:rsidR="00474519" w:rsidRPr="00DD60DD">
              <w:rPr>
                <w:rFonts w:asciiTheme="majorHAnsi" w:hAnsiTheme="majorHAnsi"/>
                <w:bCs/>
                <w:noProof/>
                <w:sz w:val="20"/>
                <w:szCs w:val="20"/>
                <w:lang w:val="en-US"/>
              </w:rPr>
              <w:t>)</w:t>
            </w:r>
            <w:r w:rsidR="00B85F68" w:rsidRPr="00DD60DD">
              <w:rPr>
                <w:rFonts w:asciiTheme="majorHAnsi" w:hAnsiTheme="majorHAnsi"/>
                <w:bCs/>
                <w:noProof/>
                <w:sz w:val="20"/>
                <w:szCs w:val="20"/>
                <w:lang w:val="en-US"/>
              </w:rPr>
              <w:t xml:space="preserve"> </w:t>
            </w:r>
            <w:r w:rsidR="00843BF8" w:rsidRPr="00DD60DD">
              <w:rPr>
                <w:rFonts w:asciiTheme="majorHAnsi" w:hAnsiTheme="majorHAnsi"/>
                <w:bCs/>
                <w:noProof/>
                <w:sz w:val="20"/>
                <w:szCs w:val="20"/>
                <w:lang w:val="en-US"/>
              </w:rPr>
              <w:t>thereof</w:t>
            </w:r>
            <w:r w:rsidR="00B85F68" w:rsidRPr="00DD60DD">
              <w:rPr>
                <w:rFonts w:asciiTheme="majorHAnsi" w:hAnsiTheme="majorHAnsi"/>
                <w:bCs/>
                <w:noProof/>
                <w:sz w:val="20"/>
                <w:szCs w:val="20"/>
                <w:lang w:val="en-US"/>
              </w:rPr>
              <w:t xml:space="preserve">. </w:t>
            </w:r>
          </w:p>
        </w:tc>
      </w:tr>
    </w:tbl>
    <w:p w:rsidR="003239B8" w:rsidRPr="00DD60DD" w:rsidRDefault="003239B8" w:rsidP="003239B8">
      <w:pPr>
        <w:spacing w:before="240" w:after="240"/>
        <w:ind w:firstLine="720"/>
        <w:jc w:val="both"/>
        <w:rPr>
          <w:rFonts w:asciiTheme="majorHAnsi" w:hAnsiTheme="majorHAnsi"/>
          <w:b/>
          <w:bCs/>
          <w:noProof/>
          <w:sz w:val="20"/>
          <w:szCs w:val="20"/>
          <w:lang w:val="en-US"/>
        </w:rPr>
      </w:pPr>
      <w:r w:rsidRPr="00DD60DD">
        <w:rPr>
          <w:rFonts w:asciiTheme="majorHAnsi" w:hAnsiTheme="majorHAnsi"/>
          <w:b/>
          <w:bCs/>
          <w:noProof/>
          <w:sz w:val="20"/>
          <w:szCs w:val="20"/>
          <w:lang w:val="en-US"/>
        </w:rPr>
        <w:t>II.</w:t>
      </w:r>
      <w:r w:rsidRPr="00DD60DD">
        <w:rPr>
          <w:rFonts w:asciiTheme="majorHAnsi" w:hAnsiTheme="majorHAnsi"/>
          <w:b/>
          <w:bCs/>
          <w:noProof/>
          <w:sz w:val="20"/>
          <w:szCs w:val="20"/>
          <w:lang w:val="en-US"/>
        </w:rPr>
        <w:tab/>
      </w:r>
      <w:r w:rsidR="00C740C3" w:rsidRPr="00DD60DD">
        <w:rPr>
          <w:rFonts w:asciiTheme="majorHAnsi" w:hAnsiTheme="majorHAnsi"/>
          <w:b/>
          <w:bCs/>
          <w:noProof/>
          <w:sz w:val="20"/>
          <w:szCs w:val="20"/>
          <w:lang w:val="en-US"/>
        </w:rPr>
        <w:t>PROCEEDINGS BEFORE THE IACHR</w:t>
      </w:r>
      <w:r w:rsidR="00B85F68" w:rsidRPr="00DD60DD">
        <w:rPr>
          <w:rFonts w:asciiTheme="majorHAnsi" w:hAnsiTheme="majorHAnsi"/>
          <w:b/>
          <w:bCs/>
          <w:noProof/>
          <w:sz w:val="20"/>
          <w:szCs w:val="20"/>
          <w:vertAlign w:val="superscript"/>
          <w:lang w:val="en-US"/>
        </w:rPr>
        <w:t>3</w:t>
      </w:r>
      <w:r w:rsidR="008E3BFE" w:rsidRPr="00DD60DD">
        <w:rPr>
          <w:rStyle w:val="FootnoteReference"/>
          <w:rFonts w:asciiTheme="majorHAnsi" w:hAnsiTheme="majorHAnsi"/>
          <w:b/>
          <w:noProof/>
          <w:color w:val="FFFFFF" w:themeColor="background1"/>
          <w:sz w:val="20"/>
          <w:szCs w:val="20"/>
          <w:vertAlign w:val="baseline"/>
          <w:lang w:val="en-US"/>
        </w:rPr>
        <w:footnoteReference w:id="3"/>
      </w:r>
    </w:p>
    <w:tbl>
      <w:tblPr>
        <w:tblStyle w:val="TableGrid"/>
        <w:tblW w:w="9291" w:type="dxa"/>
        <w:tblInd w:w="108" w:type="dxa"/>
        <w:tblBorders>
          <w:insideH w:val="single" w:sz="6" w:space="0" w:color="auto"/>
          <w:insideV w:val="single" w:sz="6" w:space="0" w:color="auto"/>
        </w:tblBorders>
        <w:tblLook w:val="04A0" w:firstRow="1" w:lastRow="0" w:firstColumn="1" w:lastColumn="0" w:noHBand="0" w:noVBand="1"/>
      </w:tblPr>
      <w:tblGrid>
        <w:gridCol w:w="3573"/>
        <w:gridCol w:w="5718"/>
      </w:tblGrid>
      <w:tr w:rsidR="004C2312" w:rsidRPr="00DD60DD" w:rsidTr="00341E4C">
        <w:trPr>
          <w:trHeight w:val="186"/>
        </w:trPr>
        <w:tc>
          <w:tcPr>
            <w:tcW w:w="3573" w:type="dxa"/>
            <w:tcBorders>
              <w:top w:val="single" w:sz="6" w:space="0" w:color="auto"/>
              <w:bottom w:val="single" w:sz="6" w:space="0" w:color="auto"/>
            </w:tcBorders>
            <w:shd w:val="clear" w:color="auto" w:fill="67AE3C"/>
            <w:vAlign w:val="center"/>
          </w:tcPr>
          <w:p w:rsidR="004C2312" w:rsidRPr="00DD60DD" w:rsidRDefault="00E03D35" w:rsidP="004A6A54">
            <w:pPr>
              <w:jc w:val="center"/>
              <w:rPr>
                <w:rFonts w:asciiTheme="majorHAnsi" w:hAnsiTheme="majorHAnsi"/>
                <w:b/>
                <w:bCs/>
                <w:noProof/>
                <w:color w:val="FFFFFF" w:themeColor="background1"/>
                <w:sz w:val="20"/>
                <w:szCs w:val="20"/>
                <w:lang w:val="en-US"/>
              </w:rPr>
            </w:pPr>
            <w:r w:rsidRPr="00DD60DD">
              <w:rPr>
                <w:rFonts w:ascii="Cambria" w:hAnsi="Cambria"/>
                <w:b/>
                <w:bCs/>
                <w:noProof/>
                <w:color w:val="FFFFFF" w:themeColor="background1"/>
                <w:sz w:val="20"/>
                <w:szCs w:val="20"/>
                <w:lang w:val="en-US"/>
              </w:rPr>
              <w:t>Filing of the petition</w:t>
            </w:r>
            <w:r w:rsidR="004C2312" w:rsidRPr="00DD60DD">
              <w:rPr>
                <w:rFonts w:asciiTheme="majorHAnsi" w:hAnsiTheme="majorHAnsi"/>
                <w:b/>
                <w:bCs/>
                <w:noProof/>
                <w:color w:val="FFFFFF" w:themeColor="background1"/>
                <w:sz w:val="20"/>
                <w:szCs w:val="20"/>
                <w:lang w:val="en-US"/>
              </w:rPr>
              <w:t>:</w:t>
            </w:r>
          </w:p>
        </w:tc>
        <w:tc>
          <w:tcPr>
            <w:tcW w:w="5718" w:type="dxa"/>
            <w:vAlign w:val="center"/>
          </w:tcPr>
          <w:p w:rsidR="004C2312" w:rsidRPr="00DD60DD" w:rsidRDefault="00843BF8" w:rsidP="00843BF8">
            <w:pPr>
              <w:jc w:val="both"/>
              <w:rPr>
                <w:rFonts w:asciiTheme="majorHAnsi" w:hAnsiTheme="majorHAnsi"/>
                <w:bCs/>
                <w:noProof/>
                <w:sz w:val="20"/>
                <w:szCs w:val="20"/>
                <w:lang w:val="en-US"/>
              </w:rPr>
            </w:pPr>
            <w:r w:rsidRPr="00DD60DD">
              <w:rPr>
                <w:rFonts w:asciiTheme="majorHAnsi" w:hAnsiTheme="majorHAnsi"/>
                <w:bCs/>
                <w:noProof/>
                <w:sz w:val="20"/>
                <w:szCs w:val="20"/>
                <w:lang w:val="en-US"/>
              </w:rPr>
              <w:t xml:space="preserve">July </w:t>
            </w:r>
            <w:r w:rsidR="0070516A" w:rsidRPr="00DD60DD">
              <w:rPr>
                <w:rFonts w:asciiTheme="majorHAnsi" w:hAnsiTheme="majorHAnsi"/>
                <w:bCs/>
                <w:noProof/>
                <w:sz w:val="20"/>
                <w:szCs w:val="20"/>
                <w:lang w:val="en-US"/>
              </w:rPr>
              <w:t>28</w:t>
            </w:r>
            <w:r w:rsidRPr="00DD60DD">
              <w:rPr>
                <w:rFonts w:asciiTheme="majorHAnsi" w:hAnsiTheme="majorHAnsi"/>
                <w:bCs/>
                <w:noProof/>
                <w:sz w:val="20"/>
                <w:szCs w:val="20"/>
                <w:lang w:val="en-US"/>
              </w:rPr>
              <w:t>,</w:t>
            </w:r>
            <w:r w:rsidR="0070516A" w:rsidRPr="00DD60DD">
              <w:rPr>
                <w:rFonts w:asciiTheme="majorHAnsi" w:hAnsiTheme="majorHAnsi"/>
                <w:bCs/>
                <w:noProof/>
                <w:sz w:val="20"/>
                <w:szCs w:val="20"/>
                <w:lang w:val="en-US"/>
              </w:rPr>
              <w:t xml:space="preserve"> 2008</w:t>
            </w:r>
          </w:p>
        </w:tc>
      </w:tr>
      <w:tr w:rsidR="00E03D35" w:rsidRPr="00DD60DD" w:rsidTr="00341E4C">
        <w:trPr>
          <w:trHeight w:val="383"/>
        </w:trPr>
        <w:tc>
          <w:tcPr>
            <w:tcW w:w="3573" w:type="dxa"/>
            <w:tcBorders>
              <w:top w:val="single" w:sz="6" w:space="0" w:color="auto"/>
              <w:bottom w:val="single" w:sz="6" w:space="0" w:color="auto"/>
            </w:tcBorders>
            <w:shd w:val="clear" w:color="auto" w:fill="67AE3C"/>
            <w:vAlign w:val="center"/>
          </w:tcPr>
          <w:p w:rsidR="00E03D35" w:rsidRPr="00DD60DD" w:rsidRDefault="00E03D35" w:rsidP="00A65D6B">
            <w:pPr>
              <w:jc w:val="center"/>
              <w:rPr>
                <w:rFonts w:ascii="Cambria" w:hAnsi="Cambria"/>
                <w:b/>
                <w:noProof/>
                <w:color w:val="FFFFFF" w:themeColor="background1"/>
                <w:sz w:val="20"/>
                <w:szCs w:val="20"/>
                <w:lang w:val="en-US"/>
              </w:rPr>
            </w:pPr>
            <w:r w:rsidRPr="00DD60DD">
              <w:rPr>
                <w:rFonts w:ascii="Cambria" w:hAnsi="Cambria"/>
                <w:b/>
                <w:noProof/>
                <w:color w:val="FFFFFF" w:themeColor="background1"/>
                <w:sz w:val="20"/>
                <w:szCs w:val="20"/>
                <w:lang w:val="en-US"/>
              </w:rPr>
              <w:t>Additional information received at the stage of initial review:</w:t>
            </w:r>
          </w:p>
        </w:tc>
        <w:tc>
          <w:tcPr>
            <w:tcW w:w="5718" w:type="dxa"/>
            <w:vAlign w:val="center"/>
          </w:tcPr>
          <w:p w:rsidR="00E03D35" w:rsidRPr="00DD60DD" w:rsidRDefault="00843BF8" w:rsidP="002E2C23">
            <w:pPr>
              <w:rPr>
                <w:rFonts w:asciiTheme="majorHAnsi" w:hAnsiTheme="majorHAnsi"/>
                <w:bCs/>
                <w:noProof/>
                <w:color w:val="FFFFFF" w:themeColor="background1"/>
                <w:sz w:val="20"/>
                <w:szCs w:val="20"/>
                <w:lang w:val="en-US"/>
              </w:rPr>
            </w:pPr>
            <w:r w:rsidRPr="00DD60DD">
              <w:rPr>
                <w:rFonts w:asciiTheme="majorHAnsi" w:hAnsiTheme="majorHAnsi"/>
                <w:bCs/>
                <w:noProof/>
                <w:sz w:val="20"/>
                <w:szCs w:val="20"/>
                <w:lang w:val="en-US"/>
              </w:rPr>
              <w:t xml:space="preserve">August </w:t>
            </w:r>
            <w:r w:rsidR="00E03D35" w:rsidRPr="00DD60DD">
              <w:rPr>
                <w:rFonts w:asciiTheme="majorHAnsi" w:hAnsiTheme="majorHAnsi"/>
                <w:bCs/>
                <w:noProof/>
                <w:sz w:val="20"/>
                <w:szCs w:val="20"/>
                <w:lang w:val="en-US"/>
              </w:rPr>
              <w:t>25</w:t>
            </w:r>
            <w:r w:rsidRPr="00DD60DD">
              <w:rPr>
                <w:rFonts w:asciiTheme="majorHAnsi" w:hAnsiTheme="majorHAnsi"/>
                <w:bCs/>
                <w:noProof/>
                <w:sz w:val="20"/>
                <w:szCs w:val="20"/>
                <w:lang w:val="en-US"/>
              </w:rPr>
              <w:t>,</w:t>
            </w:r>
            <w:r w:rsidR="00E03D35" w:rsidRPr="00DD60DD">
              <w:rPr>
                <w:rFonts w:asciiTheme="majorHAnsi" w:hAnsiTheme="majorHAnsi"/>
                <w:bCs/>
                <w:noProof/>
                <w:sz w:val="20"/>
                <w:szCs w:val="20"/>
                <w:lang w:val="en-US"/>
              </w:rPr>
              <w:t xml:space="preserve"> 2008 </w:t>
            </w:r>
            <w:r w:rsidR="002E2C23" w:rsidRPr="00DD60DD">
              <w:rPr>
                <w:rFonts w:asciiTheme="majorHAnsi" w:hAnsiTheme="majorHAnsi"/>
                <w:bCs/>
                <w:noProof/>
                <w:sz w:val="20"/>
                <w:szCs w:val="20"/>
                <w:lang w:val="en-US"/>
              </w:rPr>
              <w:t xml:space="preserve">and March </w:t>
            </w:r>
            <w:r w:rsidR="00E03D35" w:rsidRPr="00DD60DD">
              <w:rPr>
                <w:rFonts w:asciiTheme="majorHAnsi" w:hAnsiTheme="majorHAnsi"/>
                <w:bCs/>
                <w:noProof/>
                <w:sz w:val="20"/>
                <w:szCs w:val="20"/>
                <w:lang w:val="en-US"/>
              </w:rPr>
              <w:t>24</w:t>
            </w:r>
            <w:r w:rsidR="002E2C23" w:rsidRPr="00DD60DD">
              <w:rPr>
                <w:rFonts w:asciiTheme="majorHAnsi" w:hAnsiTheme="majorHAnsi"/>
                <w:bCs/>
                <w:noProof/>
                <w:sz w:val="20"/>
                <w:szCs w:val="20"/>
                <w:lang w:val="en-US"/>
              </w:rPr>
              <w:t>,</w:t>
            </w:r>
            <w:r w:rsidR="00E03D35" w:rsidRPr="00DD60DD">
              <w:rPr>
                <w:rFonts w:asciiTheme="majorHAnsi" w:hAnsiTheme="majorHAnsi"/>
                <w:bCs/>
                <w:noProof/>
                <w:sz w:val="20"/>
                <w:szCs w:val="20"/>
                <w:lang w:val="en-US"/>
              </w:rPr>
              <w:t xml:space="preserve"> 2011</w:t>
            </w:r>
            <w:r w:rsidR="00E03D35" w:rsidRPr="00DD60DD">
              <w:rPr>
                <w:rFonts w:asciiTheme="majorHAnsi" w:hAnsiTheme="majorHAnsi"/>
                <w:b/>
                <w:bCs/>
                <w:noProof/>
                <w:color w:val="FFFFFF" w:themeColor="background1"/>
                <w:sz w:val="20"/>
                <w:szCs w:val="20"/>
                <w:lang w:val="en-US"/>
              </w:rPr>
              <w:t xml:space="preserve"> </w:t>
            </w:r>
          </w:p>
        </w:tc>
      </w:tr>
      <w:tr w:rsidR="00E03D35" w:rsidRPr="00DD60DD" w:rsidTr="00341E4C">
        <w:trPr>
          <w:trHeight w:val="186"/>
        </w:trPr>
        <w:tc>
          <w:tcPr>
            <w:tcW w:w="3573" w:type="dxa"/>
            <w:tcBorders>
              <w:top w:val="single" w:sz="6" w:space="0" w:color="auto"/>
              <w:bottom w:val="single" w:sz="6" w:space="0" w:color="auto"/>
            </w:tcBorders>
            <w:shd w:val="clear" w:color="auto" w:fill="67AE3C"/>
            <w:vAlign w:val="center"/>
          </w:tcPr>
          <w:p w:rsidR="00E03D35" w:rsidRPr="00DD60DD" w:rsidRDefault="00E03D35" w:rsidP="00A65D6B">
            <w:pPr>
              <w:jc w:val="center"/>
              <w:rPr>
                <w:rFonts w:ascii="Cambria" w:hAnsi="Cambria"/>
                <w:b/>
                <w:bCs/>
                <w:noProof/>
                <w:color w:val="FFFFFF" w:themeColor="background1"/>
                <w:sz w:val="20"/>
                <w:szCs w:val="20"/>
                <w:lang w:val="en-US"/>
              </w:rPr>
            </w:pPr>
            <w:r w:rsidRPr="00DD60DD">
              <w:rPr>
                <w:rFonts w:ascii="Cambria" w:hAnsi="Cambria"/>
                <w:b/>
                <w:noProof/>
                <w:color w:val="FFFFFF" w:themeColor="background1"/>
                <w:sz w:val="20"/>
                <w:szCs w:val="20"/>
                <w:lang w:val="en-US"/>
              </w:rPr>
              <w:t>Notification of the petition to the State:</w:t>
            </w:r>
          </w:p>
        </w:tc>
        <w:tc>
          <w:tcPr>
            <w:tcW w:w="5718" w:type="dxa"/>
            <w:vAlign w:val="center"/>
          </w:tcPr>
          <w:p w:rsidR="00E03D35" w:rsidRPr="00DD60DD" w:rsidRDefault="002E2C23" w:rsidP="002E2C23">
            <w:pPr>
              <w:jc w:val="both"/>
              <w:rPr>
                <w:rFonts w:asciiTheme="majorHAnsi" w:hAnsiTheme="majorHAnsi"/>
                <w:bCs/>
                <w:noProof/>
                <w:sz w:val="20"/>
                <w:szCs w:val="20"/>
                <w:lang w:val="en-US"/>
              </w:rPr>
            </w:pPr>
            <w:r w:rsidRPr="00DD60DD">
              <w:rPr>
                <w:rFonts w:asciiTheme="majorHAnsi" w:hAnsiTheme="majorHAnsi"/>
                <w:bCs/>
                <w:noProof/>
                <w:sz w:val="20"/>
                <w:szCs w:val="20"/>
                <w:lang w:val="en-US"/>
              </w:rPr>
              <w:t xml:space="preserve">August </w:t>
            </w:r>
            <w:r w:rsidR="00E03D35" w:rsidRPr="00DD60DD">
              <w:rPr>
                <w:rFonts w:asciiTheme="majorHAnsi" w:hAnsiTheme="majorHAnsi"/>
                <w:bCs/>
                <w:noProof/>
                <w:sz w:val="20"/>
                <w:szCs w:val="20"/>
                <w:lang w:val="en-US"/>
              </w:rPr>
              <w:t>7</w:t>
            </w:r>
            <w:r w:rsidRPr="00DD60DD">
              <w:rPr>
                <w:rFonts w:asciiTheme="majorHAnsi" w:hAnsiTheme="majorHAnsi"/>
                <w:bCs/>
                <w:noProof/>
                <w:sz w:val="20"/>
                <w:szCs w:val="20"/>
                <w:lang w:val="en-US"/>
              </w:rPr>
              <w:t>,</w:t>
            </w:r>
            <w:r w:rsidR="00E03D35" w:rsidRPr="00DD60DD">
              <w:rPr>
                <w:rFonts w:asciiTheme="majorHAnsi" w:hAnsiTheme="majorHAnsi"/>
                <w:bCs/>
                <w:noProof/>
                <w:sz w:val="20"/>
                <w:szCs w:val="20"/>
                <w:lang w:val="en-US"/>
              </w:rPr>
              <w:t xml:space="preserve"> 2013</w:t>
            </w:r>
          </w:p>
        </w:tc>
      </w:tr>
      <w:tr w:rsidR="00E03D35" w:rsidRPr="00DD60DD" w:rsidTr="00341E4C">
        <w:trPr>
          <w:trHeight w:val="196"/>
        </w:trPr>
        <w:tc>
          <w:tcPr>
            <w:tcW w:w="3573" w:type="dxa"/>
            <w:tcBorders>
              <w:top w:val="single" w:sz="6" w:space="0" w:color="auto"/>
              <w:bottom w:val="single" w:sz="6" w:space="0" w:color="auto"/>
            </w:tcBorders>
            <w:shd w:val="clear" w:color="auto" w:fill="67AE3C"/>
            <w:vAlign w:val="center"/>
          </w:tcPr>
          <w:p w:rsidR="00E03D35" w:rsidRPr="00DD60DD" w:rsidRDefault="00E03D35" w:rsidP="00A65D6B">
            <w:pPr>
              <w:jc w:val="center"/>
              <w:rPr>
                <w:rFonts w:ascii="Cambria" w:hAnsi="Cambria"/>
                <w:b/>
                <w:bCs/>
                <w:noProof/>
                <w:color w:val="FFFFFF" w:themeColor="background1"/>
                <w:sz w:val="20"/>
                <w:szCs w:val="20"/>
                <w:lang w:val="en-US"/>
              </w:rPr>
            </w:pPr>
            <w:r w:rsidRPr="00DD60DD">
              <w:rPr>
                <w:rFonts w:ascii="Cambria" w:hAnsi="Cambria"/>
                <w:b/>
                <w:noProof/>
                <w:color w:val="FFFFFF" w:themeColor="background1"/>
                <w:sz w:val="20"/>
                <w:szCs w:val="20"/>
                <w:lang w:val="en-US"/>
              </w:rPr>
              <w:t>State’s first response:</w:t>
            </w:r>
          </w:p>
        </w:tc>
        <w:tc>
          <w:tcPr>
            <w:tcW w:w="5718" w:type="dxa"/>
            <w:vAlign w:val="center"/>
          </w:tcPr>
          <w:p w:rsidR="00E03D35" w:rsidRPr="00DD60DD" w:rsidRDefault="002E2C23" w:rsidP="002E2C23">
            <w:pPr>
              <w:jc w:val="both"/>
              <w:rPr>
                <w:rFonts w:asciiTheme="majorHAnsi" w:hAnsiTheme="majorHAnsi"/>
                <w:bCs/>
                <w:noProof/>
                <w:sz w:val="20"/>
                <w:szCs w:val="20"/>
                <w:lang w:val="en-US"/>
              </w:rPr>
            </w:pPr>
            <w:r w:rsidRPr="00DD60DD">
              <w:rPr>
                <w:rFonts w:asciiTheme="majorHAnsi" w:hAnsiTheme="majorHAnsi"/>
                <w:bCs/>
                <w:noProof/>
                <w:sz w:val="20"/>
                <w:szCs w:val="20"/>
                <w:lang w:val="en-US"/>
              </w:rPr>
              <w:t xml:space="preserve">March </w:t>
            </w:r>
            <w:r w:rsidR="00E03D35" w:rsidRPr="00DD60DD">
              <w:rPr>
                <w:rFonts w:asciiTheme="majorHAnsi" w:hAnsiTheme="majorHAnsi"/>
                <w:bCs/>
                <w:noProof/>
                <w:sz w:val="20"/>
                <w:szCs w:val="20"/>
                <w:lang w:val="en-US"/>
              </w:rPr>
              <w:t>20</w:t>
            </w:r>
            <w:r w:rsidRPr="00DD60DD">
              <w:rPr>
                <w:rFonts w:asciiTheme="majorHAnsi" w:hAnsiTheme="majorHAnsi"/>
                <w:bCs/>
                <w:noProof/>
                <w:sz w:val="20"/>
                <w:szCs w:val="20"/>
                <w:lang w:val="en-US"/>
              </w:rPr>
              <w:t xml:space="preserve">, </w:t>
            </w:r>
            <w:r w:rsidR="00E03D35" w:rsidRPr="00DD60DD">
              <w:rPr>
                <w:rFonts w:asciiTheme="majorHAnsi" w:hAnsiTheme="majorHAnsi"/>
                <w:bCs/>
                <w:noProof/>
                <w:sz w:val="20"/>
                <w:szCs w:val="20"/>
                <w:lang w:val="en-US"/>
              </w:rPr>
              <w:t>2014</w:t>
            </w:r>
          </w:p>
        </w:tc>
      </w:tr>
      <w:tr w:rsidR="00E03D35" w:rsidRPr="00DD60DD" w:rsidTr="00341E4C">
        <w:trPr>
          <w:trHeight w:val="372"/>
        </w:trPr>
        <w:tc>
          <w:tcPr>
            <w:tcW w:w="3573" w:type="dxa"/>
            <w:tcBorders>
              <w:top w:val="single" w:sz="6" w:space="0" w:color="auto"/>
              <w:bottom w:val="single" w:sz="6" w:space="0" w:color="auto"/>
            </w:tcBorders>
            <w:shd w:val="clear" w:color="auto" w:fill="67AE3C"/>
            <w:vAlign w:val="center"/>
          </w:tcPr>
          <w:p w:rsidR="00E03D35" w:rsidRPr="00DD60DD" w:rsidRDefault="00E03D35" w:rsidP="00A65D6B">
            <w:pPr>
              <w:jc w:val="center"/>
              <w:rPr>
                <w:rFonts w:ascii="Cambria" w:hAnsi="Cambria"/>
                <w:b/>
                <w:bCs/>
                <w:noProof/>
                <w:color w:val="FFFFFF" w:themeColor="background1"/>
                <w:sz w:val="20"/>
                <w:szCs w:val="20"/>
                <w:lang w:val="en-US"/>
              </w:rPr>
            </w:pPr>
            <w:r w:rsidRPr="00DD60DD">
              <w:rPr>
                <w:rFonts w:ascii="Cambria" w:hAnsi="Cambria"/>
                <w:b/>
                <w:bCs/>
                <w:noProof/>
                <w:color w:val="FFFFFF" w:themeColor="background1"/>
                <w:sz w:val="20"/>
                <w:szCs w:val="20"/>
                <w:lang w:val="en-US"/>
              </w:rPr>
              <w:t>Additional observations from the petitioner:</w:t>
            </w:r>
          </w:p>
        </w:tc>
        <w:tc>
          <w:tcPr>
            <w:tcW w:w="5718" w:type="dxa"/>
            <w:vAlign w:val="center"/>
          </w:tcPr>
          <w:p w:rsidR="00E03D35" w:rsidRPr="00DD60DD" w:rsidRDefault="002E2C23" w:rsidP="002E2C23">
            <w:pPr>
              <w:jc w:val="both"/>
              <w:rPr>
                <w:rFonts w:asciiTheme="majorHAnsi" w:hAnsiTheme="majorHAnsi"/>
                <w:bCs/>
                <w:noProof/>
                <w:sz w:val="20"/>
                <w:szCs w:val="20"/>
                <w:lang w:val="en-US"/>
              </w:rPr>
            </w:pPr>
            <w:r w:rsidRPr="00DD60DD">
              <w:rPr>
                <w:rFonts w:asciiTheme="majorHAnsi" w:hAnsiTheme="majorHAnsi"/>
                <w:bCs/>
                <w:noProof/>
                <w:sz w:val="20"/>
                <w:szCs w:val="20"/>
                <w:lang w:val="en-US"/>
              </w:rPr>
              <w:t xml:space="preserve">September </w:t>
            </w:r>
            <w:r w:rsidR="00E03D35" w:rsidRPr="00DD60DD">
              <w:rPr>
                <w:rFonts w:asciiTheme="majorHAnsi" w:hAnsiTheme="majorHAnsi"/>
                <w:bCs/>
                <w:noProof/>
                <w:sz w:val="20"/>
                <w:szCs w:val="20"/>
                <w:lang w:val="en-US"/>
              </w:rPr>
              <w:t>1</w:t>
            </w:r>
            <w:r w:rsidRPr="00DD60DD">
              <w:rPr>
                <w:rFonts w:asciiTheme="majorHAnsi" w:hAnsiTheme="majorHAnsi"/>
                <w:bCs/>
                <w:noProof/>
                <w:sz w:val="20"/>
                <w:szCs w:val="20"/>
                <w:lang w:val="en-US"/>
              </w:rPr>
              <w:t>,</w:t>
            </w:r>
            <w:r w:rsidR="00E03D35" w:rsidRPr="00DD60DD">
              <w:rPr>
                <w:rFonts w:asciiTheme="majorHAnsi" w:hAnsiTheme="majorHAnsi"/>
                <w:bCs/>
                <w:noProof/>
                <w:sz w:val="20"/>
                <w:szCs w:val="20"/>
                <w:lang w:val="en-US"/>
              </w:rPr>
              <w:t xml:space="preserve"> 2017</w:t>
            </w:r>
          </w:p>
        </w:tc>
      </w:tr>
      <w:tr w:rsidR="0039792A" w:rsidRPr="00DD60DD" w:rsidTr="00341E4C">
        <w:trPr>
          <w:trHeight w:val="186"/>
        </w:trPr>
        <w:tc>
          <w:tcPr>
            <w:tcW w:w="3573" w:type="dxa"/>
            <w:tcBorders>
              <w:top w:val="single" w:sz="6" w:space="0" w:color="auto"/>
              <w:bottom w:val="single" w:sz="6" w:space="0" w:color="auto"/>
            </w:tcBorders>
            <w:shd w:val="clear" w:color="auto" w:fill="67AE3C"/>
            <w:vAlign w:val="center"/>
          </w:tcPr>
          <w:p w:rsidR="0039792A" w:rsidRPr="00DD60DD" w:rsidDel="000B5897" w:rsidRDefault="00E03D35" w:rsidP="0039792A">
            <w:pPr>
              <w:jc w:val="center"/>
              <w:rPr>
                <w:rFonts w:asciiTheme="majorHAnsi" w:hAnsiTheme="majorHAnsi"/>
                <w:b/>
                <w:bCs/>
                <w:noProof/>
                <w:color w:val="FFFFFF" w:themeColor="background1"/>
                <w:sz w:val="20"/>
                <w:szCs w:val="20"/>
                <w:lang w:val="en-US"/>
              </w:rPr>
            </w:pPr>
            <w:r w:rsidRPr="00DD60DD">
              <w:rPr>
                <w:rFonts w:ascii="Cambria" w:hAnsi="Cambria"/>
                <w:b/>
                <w:bCs/>
                <w:noProof/>
                <w:color w:val="FFFFFF" w:themeColor="background1"/>
                <w:sz w:val="20"/>
                <w:szCs w:val="20"/>
                <w:lang w:val="en-US"/>
              </w:rPr>
              <w:t>Notification of the possible archiving of the petition:</w:t>
            </w:r>
          </w:p>
        </w:tc>
        <w:tc>
          <w:tcPr>
            <w:tcW w:w="5718" w:type="dxa"/>
            <w:vAlign w:val="center"/>
          </w:tcPr>
          <w:p w:rsidR="0039792A" w:rsidRPr="00DD60DD" w:rsidRDefault="002E2C23" w:rsidP="002E2C23">
            <w:pPr>
              <w:jc w:val="both"/>
              <w:rPr>
                <w:rFonts w:asciiTheme="majorHAnsi" w:hAnsiTheme="majorHAnsi"/>
                <w:bCs/>
                <w:noProof/>
                <w:sz w:val="20"/>
                <w:szCs w:val="20"/>
                <w:lang w:val="en-US"/>
              </w:rPr>
            </w:pPr>
            <w:r w:rsidRPr="00DD60DD">
              <w:rPr>
                <w:rFonts w:asciiTheme="majorHAnsi" w:hAnsiTheme="majorHAnsi"/>
                <w:bCs/>
                <w:noProof/>
                <w:sz w:val="20"/>
                <w:szCs w:val="20"/>
                <w:lang w:val="en-US"/>
              </w:rPr>
              <w:t xml:space="preserve">July </w:t>
            </w:r>
            <w:r w:rsidR="003D6337" w:rsidRPr="00DD60DD">
              <w:rPr>
                <w:rFonts w:asciiTheme="majorHAnsi" w:hAnsiTheme="majorHAnsi"/>
                <w:bCs/>
                <w:noProof/>
                <w:sz w:val="20"/>
                <w:szCs w:val="20"/>
                <w:lang w:val="en-US"/>
              </w:rPr>
              <w:t>31</w:t>
            </w:r>
            <w:r w:rsidRPr="00DD60DD">
              <w:rPr>
                <w:rFonts w:asciiTheme="majorHAnsi" w:hAnsiTheme="majorHAnsi"/>
                <w:bCs/>
                <w:noProof/>
                <w:sz w:val="20"/>
                <w:szCs w:val="20"/>
                <w:lang w:val="en-US"/>
              </w:rPr>
              <w:t>,</w:t>
            </w:r>
            <w:r w:rsidR="0039792A" w:rsidRPr="00DD60DD">
              <w:rPr>
                <w:rFonts w:asciiTheme="majorHAnsi" w:hAnsiTheme="majorHAnsi"/>
                <w:bCs/>
                <w:noProof/>
                <w:sz w:val="20"/>
                <w:szCs w:val="20"/>
                <w:lang w:val="en-US"/>
              </w:rPr>
              <w:t xml:space="preserve"> 2017</w:t>
            </w:r>
          </w:p>
        </w:tc>
      </w:tr>
    </w:tbl>
    <w:p w:rsidR="003239B8" w:rsidRPr="00DD60DD" w:rsidRDefault="003239B8" w:rsidP="003239B8">
      <w:pPr>
        <w:spacing w:before="240" w:after="240"/>
        <w:ind w:firstLine="720"/>
        <w:jc w:val="both"/>
        <w:rPr>
          <w:rFonts w:asciiTheme="majorHAnsi" w:hAnsiTheme="majorHAnsi"/>
          <w:b/>
          <w:bCs/>
          <w:noProof/>
          <w:sz w:val="20"/>
          <w:szCs w:val="20"/>
          <w:lang w:val="en-US"/>
        </w:rPr>
      </w:pPr>
      <w:r w:rsidRPr="00DD60DD">
        <w:rPr>
          <w:rFonts w:asciiTheme="majorHAnsi" w:hAnsiTheme="majorHAnsi"/>
          <w:b/>
          <w:bCs/>
          <w:noProof/>
          <w:sz w:val="20"/>
          <w:szCs w:val="20"/>
          <w:lang w:val="en-US"/>
        </w:rPr>
        <w:t xml:space="preserve">III. </w:t>
      </w:r>
      <w:r w:rsidRPr="00DD60DD">
        <w:rPr>
          <w:rFonts w:asciiTheme="majorHAnsi" w:hAnsiTheme="majorHAnsi"/>
          <w:b/>
          <w:bCs/>
          <w:noProof/>
          <w:sz w:val="20"/>
          <w:szCs w:val="20"/>
          <w:lang w:val="en-US"/>
        </w:rPr>
        <w:tab/>
        <w:t>COMPETENC</w:t>
      </w:r>
      <w:r w:rsidR="00E03D35" w:rsidRPr="00DD60DD">
        <w:rPr>
          <w:rFonts w:asciiTheme="majorHAnsi" w:hAnsiTheme="majorHAnsi"/>
          <w:b/>
          <w:bCs/>
          <w:noProof/>
          <w:sz w:val="20"/>
          <w:szCs w:val="20"/>
          <w:lang w:val="en-US"/>
        </w:rPr>
        <w:t>E</w:t>
      </w:r>
      <w:r w:rsidR="00EE00E9" w:rsidRPr="00DD60DD">
        <w:rPr>
          <w:rFonts w:asciiTheme="majorHAnsi" w:hAnsiTheme="majorHAnsi"/>
          <w:b/>
          <w:bCs/>
          <w:noProof/>
          <w:sz w:val="20"/>
          <w:szCs w:val="20"/>
          <w:lang w:val="en-US"/>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03D35" w:rsidRPr="003D4386" w:rsidTr="00341E4C">
        <w:trPr>
          <w:cantSplit/>
        </w:trPr>
        <w:tc>
          <w:tcPr>
            <w:tcW w:w="3600" w:type="dxa"/>
            <w:tcBorders>
              <w:top w:val="single" w:sz="4" w:space="0" w:color="auto"/>
              <w:bottom w:val="single" w:sz="6" w:space="0" w:color="auto"/>
            </w:tcBorders>
            <w:shd w:val="clear" w:color="auto" w:fill="67AE3C"/>
            <w:vAlign w:val="center"/>
          </w:tcPr>
          <w:p w:rsidR="00E03D35" w:rsidRPr="00DD60DD" w:rsidRDefault="00E03D35" w:rsidP="00A65D6B">
            <w:pPr>
              <w:jc w:val="center"/>
              <w:rPr>
                <w:rFonts w:ascii="Cambria" w:hAnsi="Cambria"/>
                <w:b/>
                <w:bCs/>
                <w:i/>
                <w:noProof/>
                <w:color w:val="FFFFFF" w:themeColor="background1"/>
                <w:sz w:val="20"/>
                <w:szCs w:val="20"/>
                <w:lang w:val="en-US"/>
              </w:rPr>
            </w:pPr>
            <w:r w:rsidRPr="00DD60DD">
              <w:rPr>
                <w:rFonts w:ascii="Cambria" w:hAnsi="Cambria"/>
                <w:b/>
                <w:bCs/>
                <w:noProof/>
                <w:color w:val="FFFFFF" w:themeColor="background1"/>
                <w:sz w:val="20"/>
                <w:szCs w:val="20"/>
                <w:lang w:val="en-US"/>
              </w:rPr>
              <w:t>Competence</w:t>
            </w:r>
            <w:r w:rsidRPr="00DD60DD">
              <w:rPr>
                <w:rFonts w:ascii="Cambria" w:hAnsi="Cambria"/>
                <w:b/>
                <w:bCs/>
                <w:i/>
                <w:noProof/>
                <w:color w:val="FFFFFF" w:themeColor="background1"/>
                <w:sz w:val="20"/>
                <w:szCs w:val="20"/>
                <w:lang w:val="en-US"/>
              </w:rPr>
              <w:t xml:space="preserve"> Ratione personae:</w:t>
            </w:r>
          </w:p>
        </w:tc>
        <w:tc>
          <w:tcPr>
            <w:tcW w:w="5760" w:type="dxa"/>
            <w:vAlign w:val="center"/>
          </w:tcPr>
          <w:p w:rsidR="00E03D35" w:rsidRPr="00DD60DD" w:rsidRDefault="002E2C23" w:rsidP="00A12B13">
            <w:pPr>
              <w:rPr>
                <w:rFonts w:asciiTheme="majorHAnsi" w:hAnsiTheme="majorHAnsi"/>
                <w:bCs/>
                <w:noProof/>
                <w:sz w:val="20"/>
                <w:szCs w:val="20"/>
                <w:lang w:val="en-US"/>
              </w:rPr>
            </w:pPr>
            <w:r w:rsidRPr="00DD60DD">
              <w:rPr>
                <w:rFonts w:asciiTheme="majorHAnsi" w:hAnsiTheme="majorHAnsi"/>
                <w:bCs/>
                <w:noProof/>
                <w:sz w:val="20"/>
                <w:szCs w:val="20"/>
                <w:lang w:val="en-US"/>
              </w:rPr>
              <w:t xml:space="preserve">Yes, </w:t>
            </w:r>
            <w:r w:rsidR="00A12B13" w:rsidRPr="00DD60DD">
              <w:rPr>
                <w:rFonts w:asciiTheme="majorHAnsi" w:hAnsiTheme="majorHAnsi"/>
                <w:bCs/>
                <w:noProof/>
                <w:sz w:val="20"/>
                <w:szCs w:val="20"/>
                <w:lang w:val="en-US"/>
              </w:rPr>
              <w:t xml:space="preserve">under the </w:t>
            </w:r>
            <w:r w:rsidRPr="00DD60DD">
              <w:rPr>
                <w:rFonts w:asciiTheme="majorHAnsi" w:hAnsiTheme="majorHAnsi"/>
                <w:bCs/>
                <w:noProof/>
                <w:sz w:val="20"/>
                <w:szCs w:val="20"/>
                <w:lang w:val="en-US"/>
              </w:rPr>
              <w:t xml:space="preserve">terms of section </w:t>
            </w:r>
            <w:r w:rsidR="00E03D35" w:rsidRPr="00DD60DD">
              <w:rPr>
                <w:rFonts w:asciiTheme="majorHAnsi" w:hAnsiTheme="majorHAnsi"/>
                <w:bCs/>
                <w:noProof/>
                <w:sz w:val="20"/>
                <w:szCs w:val="20"/>
                <w:lang w:val="en-US"/>
              </w:rPr>
              <w:t>VI</w:t>
            </w:r>
            <w:r w:rsidRPr="00DD60DD">
              <w:rPr>
                <w:rFonts w:asciiTheme="majorHAnsi" w:hAnsiTheme="majorHAnsi"/>
                <w:bCs/>
                <w:noProof/>
                <w:sz w:val="20"/>
                <w:szCs w:val="20"/>
                <w:lang w:val="en-US"/>
              </w:rPr>
              <w:t>(</w:t>
            </w:r>
            <w:r w:rsidR="00E03D35" w:rsidRPr="00DD60DD">
              <w:rPr>
                <w:rFonts w:asciiTheme="majorHAnsi" w:hAnsiTheme="majorHAnsi"/>
                <w:bCs/>
                <w:noProof/>
                <w:sz w:val="20"/>
                <w:szCs w:val="20"/>
                <w:lang w:val="en-US"/>
              </w:rPr>
              <w:t>A</w:t>
            </w:r>
            <w:r w:rsidRPr="00DD60DD">
              <w:rPr>
                <w:rFonts w:asciiTheme="majorHAnsi" w:hAnsiTheme="majorHAnsi"/>
                <w:bCs/>
                <w:noProof/>
                <w:sz w:val="20"/>
                <w:szCs w:val="20"/>
                <w:lang w:val="en-US"/>
              </w:rPr>
              <w:t>)</w:t>
            </w:r>
          </w:p>
        </w:tc>
      </w:tr>
      <w:tr w:rsidR="00E03D35" w:rsidRPr="00DD60DD" w:rsidTr="00341E4C">
        <w:trPr>
          <w:cantSplit/>
        </w:trPr>
        <w:tc>
          <w:tcPr>
            <w:tcW w:w="3600" w:type="dxa"/>
            <w:tcBorders>
              <w:top w:val="single" w:sz="6" w:space="0" w:color="auto"/>
              <w:bottom w:val="single" w:sz="6" w:space="0" w:color="auto"/>
            </w:tcBorders>
            <w:shd w:val="clear" w:color="auto" w:fill="67AE3C"/>
            <w:vAlign w:val="center"/>
          </w:tcPr>
          <w:p w:rsidR="00E03D35" w:rsidRPr="00DD60DD" w:rsidRDefault="00E03D35" w:rsidP="00A65D6B">
            <w:pPr>
              <w:jc w:val="center"/>
              <w:rPr>
                <w:rFonts w:ascii="Cambria" w:hAnsi="Cambria"/>
                <w:b/>
                <w:bCs/>
                <w:noProof/>
                <w:color w:val="FFFFFF" w:themeColor="background1"/>
                <w:sz w:val="20"/>
                <w:szCs w:val="20"/>
                <w:lang w:val="en-US"/>
              </w:rPr>
            </w:pPr>
            <w:r w:rsidRPr="00DD60DD">
              <w:rPr>
                <w:rFonts w:ascii="Cambria" w:hAnsi="Cambria"/>
                <w:b/>
                <w:bCs/>
                <w:noProof/>
                <w:color w:val="FFFFFF" w:themeColor="background1"/>
                <w:sz w:val="20"/>
                <w:szCs w:val="20"/>
                <w:lang w:val="en-US"/>
              </w:rPr>
              <w:t>Competence</w:t>
            </w:r>
            <w:r w:rsidRPr="00DD60DD">
              <w:rPr>
                <w:rFonts w:ascii="Cambria" w:hAnsi="Cambria"/>
                <w:b/>
                <w:bCs/>
                <w:i/>
                <w:noProof/>
                <w:color w:val="FFFFFF" w:themeColor="background1"/>
                <w:sz w:val="20"/>
                <w:szCs w:val="20"/>
                <w:lang w:val="en-US"/>
              </w:rPr>
              <w:t xml:space="preserve"> Ratione loci</w:t>
            </w:r>
            <w:r w:rsidRPr="00DD60DD">
              <w:rPr>
                <w:rFonts w:ascii="Cambria" w:hAnsi="Cambria"/>
                <w:b/>
                <w:bCs/>
                <w:noProof/>
                <w:color w:val="FFFFFF" w:themeColor="background1"/>
                <w:sz w:val="20"/>
                <w:szCs w:val="20"/>
                <w:lang w:val="en-US"/>
              </w:rPr>
              <w:t>:</w:t>
            </w:r>
          </w:p>
        </w:tc>
        <w:tc>
          <w:tcPr>
            <w:tcW w:w="5760" w:type="dxa"/>
            <w:vAlign w:val="center"/>
          </w:tcPr>
          <w:p w:rsidR="00E03D35" w:rsidRPr="00DD60DD" w:rsidRDefault="002E2C23" w:rsidP="004243A6">
            <w:pPr>
              <w:rPr>
                <w:rFonts w:asciiTheme="majorHAnsi" w:hAnsiTheme="majorHAnsi"/>
                <w:bCs/>
                <w:noProof/>
                <w:sz w:val="20"/>
                <w:szCs w:val="20"/>
                <w:lang w:val="en-US"/>
              </w:rPr>
            </w:pPr>
            <w:r w:rsidRPr="00DD60DD">
              <w:rPr>
                <w:rFonts w:asciiTheme="majorHAnsi" w:hAnsiTheme="majorHAnsi"/>
                <w:bCs/>
                <w:noProof/>
                <w:sz w:val="20"/>
                <w:szCs w:val="20"/>
                <w:lang w:val="en-US"/>
              </w:rPr>
              <w:t>Yes</w:t>
            </w:r>
          </w:p>
        </w:tc>
      </w:tr>
      <w:tr w:rsidR="00E03D35" w:rsidRPr="00DD60DD" w:rsidTr="00341E4C">
        <w:trPr>
          <w:cantSplit/>
        </w:trPr>
        <w:tc>
          <w:tcPr>
            <w:tcW w:w="3600" w:type="dxa"/>
            <w:tcBorders>
              <w:top w:val="single" w:sz="6" w:space="0" w:color="auto"/>
              <w:bottom w:val="single" w:sz="6" w:space="0" w:color="auto"/>
            </w:tcBorders>
            <w:shd w:val="clear" w:color="auto" w:fill="67AE3C"/>
            <w:vAlign w:val="center"/>
          </w:tcPr>
          <w:p w:rsidR="00E03D35" w:rsidRPr="00DD60DD" w:rsidRDefault="00E03D35" w:rsidP="00A65D6B">
            <w:pPr>
              <w:jc w:val="center"/>
              <w:rPr>
                <w:rFonts w:ascii="Cambria" w:hAnsi="Cambria"/>
                <w:b/>
                <w:bCs/>
                <w:noProof/>
                <w:color w:val="FFFFFF" w:themeColor="background1"/>
                <w:sz w:val="20"/>
                <w:szCs w:val="20"/>
                <w:lang w:val="en-US"/>
              </w:rPr>
            </w:pPr>
            <w:r w:rsidRPr="00DD60DD">
              <w:rPr>
                <w:rFonts w:ascii="Cambria" w:hAnsi="Cambria"/>
                <w:b/>
                <w:bCs/>
                <w:noProof/>
                <w:color w:val="FFFFFF" w:themeColor="background1"/>
                <w:sz w:val="20"/>
                <w:szCs w:val="20"/>
                <w:lang w:val="en-US"/>
              </w:rPr>
              <w:t>Competence</w:t>
            </w:r>
            <w:r w:rsidRPr="00DD60DD">
              <w:rPr>
                <w:rFonts w:ascii="Cambria" w:hAnsi="Cambria"/>
                <w:b/>
                <w:bCs/>
                <w:i/>
                <w:noProof/>
                <w:color w:val="FFFFFF" w:themeColor="background1"/>
                <w:sz w:val="20"/>
                <w:szCs w:val="20"/>
                <w:lang w:val="en-US"/>
              </w:rPr>
              <w:t xml:space="preserve"> Ratione temporis</w:t>
            </w:r>
            <w:r w:rsidRPr="00DD60DD">
              <w:rPr>
                <w:rFonts w:ascii="Cambria" w:hAnsi="Cambria"/>
                <w:b/>
                <w:bCs/>
                <w:noProof/>
                <w:color w:val="FFFFFF" w:themeColor="background1"/>
                <w:sz w:val="20"/>
                <w:szCs w:val="20"/>
                <w:lang w:val="en-US"/>
              </w:rPr>
              <w:t>:</w:t>
            </w:r>
          </w:p>
        </w:tc>
        <w:tc>
          <w:tcPr>
            <w:tcW w:w="5760" w:type="dxa"/>
            <w:vAlign w:val="center"/>
          </w:tcPr>
          <w:p w:rsidR="00E03D35" w:rsidRPr="00DD60DD" w:rsidRDefault="002E2C23" w:rsidP="004243A6">
            <w:pPr>
              <w:rPr>
                <w:rFonts w:asciiTheme="majorHAnsi" w:hAnsiTheme="majorHAnsi"/>
                <w:bCs/>
                <w:noProof/>
                <w:sz w:val="20"/>
                <w:szCs w:val="20"/>
                <w:lang w:val="en-US"/>
              </w:rPr>
            </w:pPr>
            <w:r w:rsidRPr="00DD60DD">
              <w:rPr>
                <w:rFonts w:asciiTheme="majorHAnsi" w:hAnsiTheme="majorHAnsi"/>
                <w:bCs/>
                <w:noProof/>
                <w:sz w:val="20"/>
                <w:szCs w:val="20"/>
                <w:lang w:val="en-US"/>
              </w:rPr>
              <w:t>Yes</w:t>
            </w:r>
          </w:p>
        </w:tc>
      </w:tr>
      <w:tr w:rsidR="00E03D35" w:rsidRPr="003D4386" w:rsidTr="00341E4C">
        <w:trPr>
          <w:cantSplit/>
        </w:trPr>
        <w:tc>
          <w:tcPr>
            <w:tcW w:w="3600" w:type="dxa"/>
            <w:tcBorders>
              <w:top w:val="single" w:sz="6" w:space="0" w:color="auto"/>
              <w:bottom w:val="single" w:sz="6" w:space="0" w:color="auto"/>
            </w:tcBorders>
            <w:shd w:val="clear" w:color="auto" w:fill="67AE3C"/>
            <w:vAlign w:val="center"/>
          </w:tcPr>
          <w:p w:rsidR="00E03D35" w:rsidRPr="00DD60DD" w:rsidRDefault="00E03D35" w:rsidP="00A65D6B">
            <w:pPr>
              <w:jc w:val="center"/>
              <w:rPr>
                <w:rFonts w:ascii="Cambria" w:hAnsi="Cambria"/>
                <w:b/>
                <w:bCs/>
                <w:noProof/>
                <w:color w:val="FFFFFF" w:themeColor="background1"/>
                <w:sz w:val="20"/>
                <w:szCs w:val="20"/>
                <w:lang w:val="en-US"/>
              </w:rPr>
            </w:pPr>
            <w:r w:rsidRPr="00DD60DD">
              <w:rPr>
                <w:rFonts w:ascii="Cambria" w:hAnsi="Cambria"/>
                <w:b/>
                <w:bCs/>
                <w:noProof/>
                <w:color w:val="FFFFFF" w:themeColor="background1"/>
                <w:sz w:val="20"/>
                <w:szCs w:val="20"/>
                <w:lang w:val="en-US"/>
              </w:rPr>
              <w:t>Competence</w:t>
            </w:r>
            <w:r w:rsidRPr="00DD60DD">
              <w:rPr>
                <w:rFonts w:ascii="Cambria" w:hAnsi="Cambria"/>
                <w:b/>
                <w:bCs/>
                <w:i/>
                <w:noProof/>
                <w:color w:val="FFFFFF" w:themeColor="background1"/>
                <w:sz w:val="20"/>
                <w:szCs w:val="20"/>
                <w:lang w:val="en-US"/>
              </w:rPr>
              <w:t xml:space="preserve"> Ratione materiae</w:t>
            </w:r>
            <w:r w:rsidRPr="00DD60DD">
              <w:rPr>
                <w:rFonts w:ascii="Cambria" w:hAnsi="Cambria"/>
                <w:b/>
                <w:bCs/>
                <w:noProof/>
                <w:color w:val="FFFFFF" w:themeColor="background1"/>
                <w:sz w:val="20"/>
                <w:szCs w:val="20"/>
                <w:lang w:val="en-US"/>
              </w:rPr>
              <w:t>:</w:t>
            </w:r>
          </w:p>
        </w:tc>
        <w:tc>
          <w:tcPr>
            <w:tcW w:w="5760" w:type="dxa"/>
            <w:vAlign w:val="center"/>
          </w:tcPr>
          <w:p w:rsidR="00E03D35" w:rsidRPr="00DD60DD" w:rsidRDefault="002E2C23" w:rsidP="00A12B13">
            <w:pPr>
              <w:jc w:val="both"/>
              <w:rPr>
                <w:rFonts w:asciiTheme="majorHAnsi" w:hAnsiTheme="majorHAnsi"/>
                <w:bCs/>
                <w:noProof/>
                <w:sz w:val="20"/>
                <w:szCs w:val="20"/>
                <w:lang w:val="en-US"/>
              </w:rPr>
            </w:pPr>
            <w:r w:rsidRPr="00DD60DD">
              <w:rPr>
                <w:rFonts w:asciiTheme="majorHAnsi" w:hAnsiTheme="majorHAnsi"/>
                <w:bCs/>
                <w:noProof/>
                <w:sz w:val="20"/>
                <w:szCs w:val="20"/>
                <w:lang w:val="en-US"/>
              </w:rPr>
              <w:t>Yes</w:t>
            </w:r>
            <w:r w:rsidR="00E03D35" w:rsidRPr="00DD60DD">
              <w:rPr>
                <w:rFonts w:asciiTheme="majorHAnsi" w:hAnsiTheme="majorHAnsi"/>
                <w:bCs/>
                <w:noProof/>
                <w:sz w:val="20"/>
                <w:szCs w:val="20"/>
                <w:lang w:val="en-US"/>
              </w:rPr>
              <w:t xml:space="preserve">, </w:t>
            </w:r>
            <w:r w:rsidRPr="00DD60DD">
              <w:rPr>
                <w:rFonts w:asciiTheme="majorHAnsi" w:hAnsiTheme="majorHAnsi"/>
                <w:bCs/>
                <w:noProof/>
                <w:sz w:val="20"/>
                <w:szCs w:val="20"/>
                <w:lang w:val="en-US"/>
              </w:rPr>
              <w:t>the American Convention</w:t>
            </w:r>
            <w:r w:rsidR="00E03D35" w:rsidRPr="00DD60DD">
              <w:rPr>
                <w:rFonts w:asciiTheme="majorHAnsi" w:hAnsiTheme="majorHAnsi"/>
                <w:bCs/>
                <w:noProof/>
                <w:sz w:val="20"/>
                <w:szCs w:val="20"/>
                <w:lang w:val="en-US"/>
              </w:rPr>
              <w:t xml:space="preserve"> (</w:t>
            </w:r>
            <w:r w:rsidRPr="00DD60DD">
              <w:rPr>
                <w:rFonts w:asciiTheme="majorHAnsi" w:hAnsiTheme="majorHAnsi"/>
                <w:bCs/>
                <w:noProof/>
                <w:sz w:val="20"/>
                <w:szCs w:val="20"/>
                <w:lang w:val="en-US"/>
              </w:rPr>
              <w:t xml:space="preserve">instrument of </w:t>
            </w:r>
            <w:r w:rsidR="00A914CB" w:rsidRPr="00DD60DD">
              <w:rPr>
                <w:rFonts w:asciiTheme="majorHAnsi" w:hAnsiTheme="majorHAnsi"/>
                <w:bCs/>
                <w:noProof/>
                <w:sz w:val="20"/>
                <w:szCs w:val="20"/>
                <w:lang w:val="en-US"/>
              </w:rPr>
              <w:t>ratification deposited</w:t>
            </w:r>
            <w:r w:rsidRPr="00DD60DD">
              <w:rPr>
                <w:rFonts w:asciiTheme="majorHAnsi" w:hAnsiTheme="majorHAnsi"/>
                <w:bCs/>
                <w:noProof/>
                <w:sz w:val="20"/>
                <w:szCs w:val="20"/>
                <w:lang w:val="en-US"/>
              </w:rPr>
              <w:t xml:space="preserve"> on July </w:t>
            </w:r>
            <w:r w:rsidR="00E03D35" w:rsidRPr="00DD60DD">
              <w:rPr>
                <w:rFonts w:asciiTheme="majorHAnsi" w:hAnsiTheme="majorHAnsi"/>
                <w:bCs/>
                <w:noProof/>
                <w:sz w:val="20"/>
                <w:szCs w:val="20"/>
                <w:lang w:val="en-US"/>
              </w:rPr>
              <w:t>28</w:t>
            </w:r>
            <w:r w:rsidRPr="00DD60DD">
              <w:rPr>
                <w:rFonts w:asciiTheme="majorHAnsi" w:hAnsiTheme="majorHAnsi"/>
                <w:bCs/>
                <w:noProof/>
                <w:sz w:val="20"/>
                <w:szCs w:val="20"/>
                <w:lang w:val="en-US"/>
              </w:rPr>
              <w:t>,</w:t>
            </w:r>
            <w:r w:rsidR="00E03D35" w:rsidRPr="00DD60DD">
              <w:rPr>
                <w:rFonts w:asciiTheme="majorHAnsi" w:hAnsiTheme="majorHAnsi"/>
                <w:bCs/>
                <w:noProof/>
                <w:sz w:val="20"/>
                <w:szCs w:val="20"/>
                <w:lang w:val="en-US"/>
              </w:rPr>
              <w:t xml:space="preserve"> 1978).</w:t>
            </w:r>
          </w:p>
        </w:tc>
      </w:tr>
    </w:tbl>
    <w:p w:rsidR="00E03D35" w:rsidRPr="00DD60DD" w:rsidRDefault="003239B8" w:rsidP="00E03D35">
      <w:pPr>
        <w:spacing w:before="240" w:after="240"/>
        <w:ind w:firstLine="720"/>
        <w:jc w:val="both"/>
        <w:rPr>
          <w:rFonts w:asciiTheme="majorHAnsi" w:hAnsiTheme="majorHAnsi"/>
          <w:b/>
          <w:bCs/>
          <w:noProof/>
          <w:sz w:val="20"/>
          <w:szCs w:val="20"/>
          <w:lang w:val="en-US"/>
        </w:rPr>
      </w:pPr>
      <w:r w:rsidRPr="00DD60DD">
        <w:rPr>
          <w:rFonts w:asciiTheme="majorHAnsi" w:hAnsiTheme="majorHAnsi"/>
          <w:b/>
          <w:bCs/>
          <w:noProof/>
          <w:sz w:val="20"/>
          <w:szCs w:val="20"/>
          <w:lang w:val="en-US"/>
        </w:rPr>
        <w:t xml:space="preserve">IV. </w:t>
      </w:r>
      <w:r w:rsidRPr="00DD60DD">
        <w:rPr>
          <w:rFonts w:asciiTheme="majorHAnsi" w:hAnsiTheme="majorHAnsi"/>
          <w:b/>
          <w:bCs/>
          <w:noProof/>
          <w:sz w:val="20"/>
          <w:szCs w:val="20"/>
          <w:lang w:val="en-US"/>
        </w:rPr>
        <w:tab/>
      </w:r>
      <w:r w:rsidR="00E03D35" w:rsidRPr="00DD60DD">
        <w:rPr>
          <w:rFonts w:asciiTheme="majorHAnsi" w:hAnsiTheme="majorHAnsi"/>
          <w:b/>
          <w:bCs/>
          <w:noProof/>
          <w:sz w:val="20"/>
          <w:szCs w:val="20"/>
          <w:lang w:val="en-US"/>
        </w:rPr>
        <w:t xml:space="preserve">DUPLICATION OF PROCEDURES AND INTERNATIONAL </w:t>
      </w:r>
      <w:r w:rsidR="00E03D35" w:rsidRPr="00DD60DD">
        <w:rPr>
          <w:rFonts w:asciiTheme="majorHAnsi" w:hAnsiTheme="majorHAnsi"/>
          <w:b/>
          <w:bCs/>
          <w:i/>
          <w:noProof/>
          <w:sz w:val="20"/>
          <w:szCs w:val="20"/>
          <w:lang w:val="en-US"/>
        </w:rPr>
        <w:t>RES JUDICATA</w:t>
      </w:r>
      <w:r w:rsidR="00E03D35" w:rsidRPr="00DD60DD">
        <w:rPr>
          <w:rFonts w:asciiTheme="majorHAnsi" w:hAnsiTheme="majorHAnsi"/>
          <w:b/>
          <w:bCs/>
          <w:noProof/>
          <w:sz w:val="20"/>
          <w:szCs w:val="20"/>
          <w:lang w:val="en-US"/>
        </w:rPr>
        <w:t>, C</w:t>
      </w:r>
      <w:r w:rsidR="0054479E" w:rsidRPr="00DD60DD">
        <w:rPr>
          <w:rFonts w:asciiTheme="majorHAnsi" w:hAnsiTheme="majorHAnsi"/>
          <w:b/>
          <w:bCs/>
          <w:noProof/>
          <w:sz w:val="20"/>
          <w:szCs w:val="20"/>
          <w:lang w:val="en-US"/>
        </w:rPr>
        <w:t>HARACTERIZATION,</w:t>
      </w:r>
      <w:r w:rsidR="00E03D35" w:rsidRPr="00DD60DD">
        <w:rPr>
          <w:rFonts w:asciiTheme="majorHAnsi" w:hAnsiTheme="majorHAnsi"/>
          <w:b/>
          <w:bCs/>
          <w:noProof/>
          <w:sz w:val="20"/>
          <w:szCs w:val="20"/>
          <w:lang w:val="en-US"/>
        </w:rPr>
        <w:t xml:space="preserve">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03D35" w:rsidRPr="00DD60DD" w:rsidTr="00341E4C">
        <w:trPr>
          <w:cantSplit/>
        </w:trPr>
        <w:tc>
          <w:tcPr>
            <w:tcW w:w="3600" w:type="dxa"/>
            <w:tcBorders>
              <w:top w:val="single" w:sz="4" w:space="0" w:color="auto"/>
              <w:bottom w:val="single" w:sz="6" w:space="0" w:color="auto"/>
            </w:tcBorders>
            <w:shd w:val="clear" w:color="auto" w:fill="67AE3C"/>
            <w:vAlign w:val="center"/>
          </w:tcPr>
          <w:p w:rsidR="00E03D35" w:rsidRPr="00DD60DD" w:rsidRDefault="00E03D35" w:rsidP="00A65D6B">
            <w:pPr>
              <w:jc w:val="center"/>
              <w:rPr>
                <w:rFonts w:ascii="Cambria" w:hAnsi="Cambria"/>
                <w:b/>
                <w:bCs/>
                <w:noProof/>
                <w:color w:val="FFFFFF" w:themeColor="background1"/>
                <w:sz w:val="20"/>
                <w:szCs w:val="20"/>
                <w:lang w:val="en-US"/>
              </w:rPr>
            </w:pPr>
            <w:r w:rsidRPr="00DD60DD">
              <w:rPr>
                <w:rFonts w:ascii="Cambria" w:hAnsi="Cambria"/>
                <w:b/>
                <w:bCs/>
                <w:noProof/>
                <w:color w:val="FFFFFF" w:themeColor="background1"/>
                <w:sz w:val="20"/>
                <w:szCs w:val="20"/>
                <w:lang w:val="en-US"/>
              </w:rPr>
              <w:t xml:space="preserve">Duplication of procedures and International </w:t>
            </w:r>
            <w:r w:rsidRPr="00DD60DD">
              <w:rPr>
                <w:rFonts w:ascii="Cambria" w:hAnsi="Cambria"/>
                <w:b/>
                <w:bCs/>
                <w:i/>
                <w:noProof/>
                <w:color w:val="FFFFFF" w:themeColor="background1"/>
                <w:sz w:val="20"/>
                <w:szCs w:val="20"/>
                <w:lang w:val="en-US"/>
              </w:rPr>
              <w:t>res judicata</w:t>
            </w:r>
            <w:r w:rsidRPr="00DD60DD">
              <w:rPr>
                <w:rFonts w:ascii="Cambria" w:hAnsi="Cambria"/>
                <w:b/>
                <w:bCs/>
                <w:noProof/>
                <w:color w:val="FFFFFF" w:themeColor="background1"/>
                <w:sz w:val="20"/>
                <w:szCs w:val="20"/>
                <w:lang w:val="en-US"/>
              </w:rPr>
              <w:t>:</w:t>
            </w:r>
          </w:p>
        </w:tc>
        <w:tc>
          <w:tcPr>
            <w:tcW w:w="5760" w:type="dxa"/>
            <w:vAlign w:val="center"/>
          </w:tcPr>
          <w:p w:rsidR="00E03D35" w:rsidRPr="00DD60DD" w:rsidRDefault="00E03D35" w:rsidP="004243A6">
            <w:pPr>
              <w:jc w:val="both"/>
              <w:rPr>
                <w:rFonts w:asciiTheme="majorHAnsi" w:hAnsiTheme="majorHAnsi"/>
                <w:bCs/>
                <w:noProof/>
                <w:sz w:val="20"/>
                <w:szCs w:val="20"/>
                <w:lang w:val="en-US"/>
              </w:rPr>
            </w:pPr>
            <w:r w:rsidRPr="00DD60DD">
              <w:rPr>
                <w:rFonts w:asciiTheme="majorHAnsi" w:hAnsiTheme="majorHAnsi"/>
                <w:bCs/>
                <w:noProof/>
                <w:sz w:val="20"/>
                <w:szCs w:val="20"/>
                <w:lang w:val="en-US"/>
              </w:rPr>
              <w:t xml:space="preserve">No </w:t>
            </w:r>
          </w:p>
        </w:tc>
      </w:tr>
      <w:tr w:rsidR="00E03D35" w:rsidRPr="003D4386" w:rsidTr="00341E4C">
        <w:trPr>
          <w:cantSplit/>
        </w:trPr>
        <w:tc>
          <w:tcPr>
            <w:tcW w:w="3600" w:type="dxa"/>
            <w:tcBorders>
              <w:top w:val="single" w:sz="6" w:space="0" w:color="auto"/>
              <w:bottom w:val="single" w:sz="6" w:space="0" w:color="auto"/>
            </w:tcBorders>
            <w:shd w:val="clear" w:color="auto" w:fill="67AE3C"/>
            <w:vAlign w:val="center"/>
          </w:tcPr>
          <w:p w:rsidR="00E03D35" w:rsidRPr="00DD60DD" w:rsidRDefault="00E03D35" w:rsidP="00A65D6B">
            <w:pPr>
              <w:jc w:val="center"/>
              <w:rPr>
                <w:rFonts w:ascii="Cambria" w:hAnsi="Cambria"/>
                <w:b/>
                <w:bCs/>
                <w:i/>
                <w:noProof/>
                <w:color w:val="FFFFFF" w:themeColor="background1"/>
                <w:sz w:val="20"/>
                <w:szCs w:val="20"/>
                <w:lang w:val="en-US"/>
              </w:rPr>
            </w:pPr>
            <w:r w:rsidRPr="00DD60DD">
              <w:rPr>
                <w:rFonts w:ascii="Cambria" w:hAnsi="Cambria"/>
                <w:b/>
                <w:bCs/>
                <w:noProof/>
                <w:color w:val="FFFFFF" w:themeColor="background1"/>
                <w:sz w:val="20"/>
                <w:szCs w:val="20"/>
                <w:lang w:val="en-US"/>
              </w:rPr>
              <w:t>Rights declared admissible</w:t>
            </w:r>
          </w:p>
        </w:tc>
        <w:tc>
          <w:tcPr>
            <w:tcW w:w="5760" w:type="dxa"/>
            <w:vAlign w:val="center"/>
          </w:tcPr>
          <w:p w:rsidR="00E03D35" w:rsidRPr="00DD60DD" w:rsidRDefault="00A12B13" w:rsidP="00A12B13">
            <w:pPr>
              <w:jc w:val="both"/>
              <w:rPr>
                <w:rFonts w:asciiTheme="majorHAnsi" w:hAnsiTheme="majorHAnsi"/>
                <w:bCs/>
                <w:noProof/>
                <w:sz w:val="20"/>
                <w:szCs w:val="20"/>
                <w:lang w:val="en-US"/>
              </w:rPr>
            </w:pPr>
            <w:r w:rsidRPr="00DD60DD">
              <w:rPr>
                <w:rFonts w:asciiTheme="majorHAnsi" w:hAnsiTheme="majorHAnsi"/>
                <w:bCs/>
                <w:noProof/>
                <w:sz w:val="20"/>
                <w:szCs w:val="20"/>
                <w:lang w:val="en-US"/>
              </w:rPr>
              <w:t xml:space="preserve">Articles 24 (right to equal protection), 25 (judicial protection), </w:t>
            </w:r>
            <w:r w:rsidRPr="00ED2F90">
              <w:rPr>
                <w:rFonts w:asciiTheme="majorHAnsi" w:hAnsiTheme="majorHAnsi"/>
                <w:bCs/>
                <w:noProof/>
                <w:sz w:val="20"/>
                <w:szCs w:val="20"/>
                <w:lang w:val="en-US"/>
              </w:rPr>
              <w:t>and 26 (economic, social, and cultural rights) of the American Convention on Human Rights</w:t>
            </w:r>
            <w:r w:rsidRPr="00DD60DD">
              <w:rPr>
                <w:rFonts w:asciiTheme="majorHAnsi" w:hAnsiTheme="majorHAnsi"/>
                <w:bCs/>
                <w:noProof/>
                <w:sz w:val="20"/>
                <w:szCs w:val="20"/>
                <w:vertAlign w:val="superscript"/>
                <w:lang w:val="en-US"/>
              </w:rPr>
              <w:t xml:space="preserve"> </w:t>
            </w:r>
            <w:r w:rsidRPr="00DD60DD">
              <w:rPr>
                <w:rFonts w:asciiTheme="majorHAnsi" w:hAnsiTheme="majorHAnsi"/>
                <w:bCs/>
                <w:noProof/>
                <w:sz w:val="20"/>
                <w:szCs w:val="20"/>
                <w:lang w:val="en-US"/>
              </w:rPr>
              <w:t>in relation to Articles 1(1) (obligation to respect rights) and 2 (domestic legal effects) thereof.</w:t>
            </w:r>
          </w:p>
        </w:tc>
      </w:tr>
      <w:tr w:rsidR="00E03D35" w:rsidRPr="00DD60DD" w:rsidTr="00341E4C">
        <w:trPr>
          <w:cantSplit/>
        </w:trPr>
        <w:tc>
          <w:tcPr>
            <w:tcW w:w="3600" w:type="dxa"/>
            <w:tcBorders>
              <w:top w:val="single" w:sz="6" w:space="0" w:color="auto"/>
              <w:bottom w:val="single" w:sz="6" w:space="0" w:color="auto"/>
            </w:tcBorders>
            <w:shd w:val="clear" w:color="auto" w:fill="67AE3C"/>
            <w:vAlign w:val="center"/>
          </w:tcPr>
          <w:p w:rsidR="00E03D35" w:rsidRPr="00DD60DD" w:rsidRDefault="00E03D35" w:rsidP="00A65D6B">
            <w:pPr>
              <w:jc w:val="center"/>
              <w:rPr>
                <w:rFonts w:ascii="Cambria" w:hAnsi="Cambria"/>
                <w:b/>
                <w:bCs/>
                <w:noProof/>
                <w:color w:val="FFFFFF" w:themeColor="background1"/>
                <w:sz w:val="20"/>
                <w:szCs w:val="20"/>
                <w:lang w:val="en-US"/>
              </w:rPr>
            </w:pPr>
            <w:r w:rsidRPr="00DD60DD">
              <w:rPr>
                <w:rFonts w:ascii="Cambria" w:hAnsi="Cambria"/>
                <w:b/>
                <w:bCs/>
                <w:noProof/>
                <w:color w:val="FFFFFF" w:themeColor="background1"/>
                <w:sz w:val="20"/>
                <w:szCs w:val="20"/>
                <w:lang w:val="en-US"/>
              </w:rPr>
              <w:t>Exhaustion of domestic remedies or applicability of an exception to the rule:</w:t>
            </w:r>
          </w:p>
        </w:tc>
        <w:tc>
          <w:tcPr>
            <w:tcW w:w="5760" w:type="dxa"/>
            <w:vAlign w:val="center"/>
          </w:tcPr>
          <w:p w:rsidR="00E03D35" w:rsidRPr="00DD60DD" w:rsidRDefault="002E2C23" w:rsidP="002E2C23">
            <w:pPr>
              <w:rPr>
                <w:rFonts w:asciiTheme="majorHAnsi" w:hAnsiTheme="majorHAnsi"/>
                <w:bCs/>
                <w:noProof/>
                <w:sz w:val="20"/>
                <w:szCs w:val="20"/>
                <w:lang w:val="en-US"/>
              </w:rPr>
            </w:pPr>
            <w:r w:rsidRPr="00DD60DD">
              <w:rPr>
                <w:rFonts w:asciiTheme="majorHAnsi" w:hAnsiTheme="majorHAnsi"/>
                <w:bCs/>
                <w:noProof/>
                <w:sz w:val="20"/>
                <w:szCs w:val="20"/>
                <w:lang w:val="en-US"/>
              </w:rPr>
              <w:t xml:space="preserve">Yes, February </w:t>
            </w:r>
            <w:r w:rsidR="00E03D35" w:rsidRPr="00DD60DD">
              <w:rPr>
                <w:rFonts w:asciiTheme="majorHAnsi" w:hAnsiTheme="majorHAnsi"/>
                <w:bCs/>
                <w:noProof/>
                <w:sz w:val="20"/>
                <w:szCs w:val="20"/>
                <w:lang w:val="en-US"/>
              </w:rPr>
              <w:t>7</w:t>
            </w:r>
            <w:r w:rsidRPr="00DD60DD">
              <w:rPr>
                <w:rFonts w:asciiTheme="majorHAnsi" w:hAnsiTheme="majorHAnsi"/>
                <w:bCs/>
                <w:noProof/>
                <w:sz w:val="20"/>
                <w:szCs w:val="20"/>
                <w:lang w:val="en-US"/>
              </w:rPr>
              <w:t>,</w:t>
            </w:r>
            <w:r w:rsidR="00E03D35" w:rsidRPr="00DD60DD">
              <w:rPr>
                <w:rFonts w:asciiTheme="majorHAnsi" w:hAnsiTheme="majorHAnsi"/>
                <w:bCs/>
                <w:noProof/>
                <w:sz w:val="20"/>
                <w:szCs w:val="20"/>
                <w:lang w:val="en-US"/>
              </w:rPr>
              <w:t xml:space="preserve"> 2008</w:t>
            </w:r>
          </w:p>
        </w:tc>
      </w:tr>
      <w:tr w:rsidR="00E03D35" w:rsidRPr="00DD60DD" w:rsidTr="00341E4C">
        <w:trPr>
          <w:cantSplit/>
        </w:trPr>
        <w:tc>
          <w:tcPr>
            <w:tcW w:w="3600" w:type="dxa"/>
            <w:tcBorders>
              <w:top w:val="single" w:sz="6" w:space="0" w:color="auto"/>
              <w:bottom w:val="single" w:sz="6" w:space="0" w:color="auto"/>
            </w:tcBorders>
            <w:shd w:val="clear" w:color="auto" w:fill="67AE3C"/>
            <w:vAlign w:val="center"/>
          </w:tcPr>
          <w:p w:rsidR="00E03D35" w:rsidRPr="00DD60DD" w:rsidRDefault="00E03D35" w:rsidP="00A65D6B">
            <w:pPr>
              <w:jc w:val="center"/>
              <w:rPr>
                <w:rFonts w:ascii="Cambria" w:hAnsi="Cambria"/>
                <w:b/>
                <w:bCs/>
                <w:noProof/>
                <w:color w:val="FFFFFF" w:themeColor="background1"/>
                <w:sz w:val="20"/>
                <w:szCs w:val="20"/>
                <w:lang w:val="en-US"/>
              </w:rPr>
            </w:pPr>
            <w:r w:rsidRPr="00DD60DD">
              <w:rPr>
                <w:rFonts w:ascii="Cambria" w:hAnsi="Cambria"/>
                <w:b/>
                <w:bCs/>
                <w:noProof/>
                <w:color w:val="FFFFFF" w:themeColor="background1"/>
                <w:sz w:val="20"/>
                <w:szCs w:val="20"/>
                <w:lang w:val="en-US"/>
              </w:rPr>
              <w:t>Timeliness of the petition:</w:t>
            </w:r>
          </w:p>
        </w:tc>
        <w:tc>
          <w:tcPr>
            <w:tcW w:w="5760" w:type="dxa"/>
            <w:vAlign w:val="center"/>
          </w:tcPr>
          <w:p w:rsidR="00E03D35" w:rsidRPr="00DD60DD" w:rsidRDefault="002E2C23" w:rsidP="002E2C23">
            <w:pPr>
              <w:rPr>
                <w:rFonts w:asciiTheme="majorHAnsi" w:hAnsiTheme="majorHAnsi"/>
                <w:bCs/>
                <w:noProof/>
                <w:sz w:val="20"/>
                <w:szCs w:val="20"/>
                <w:lang w:val="en-US"/>
              </w:rPr>
            </w:pPr>
            <w:r w:rsidRPr="00DD60DD">
              <w:rPr>
                <w:rFonts w:asciiTheme="majorHAnsi" w:hAnsiTheme="majorHAnsi"/>
                <w:bCs/>
                <w:noProof/>
                <w:sz w:val="20"/>
                <w:szCs w:val="20"/>
                <w:lang w:val="en-US"/>
              </w:rPr>
              <w:t xml:space="preserve">Yes, July </w:t>
            </w:r>
            <w:r w:rsidR="00E03D35" w:rsidRPr="00DD60DD">
              <w:rPr>
                <w:rFonts w:asciiTheme="majorHAnsi" w:hAnsiTheme="majorHAnsi"/>
                <w:bCs/>
                <w:noProof/>
                <w:sz w:val="20"/>
                <w:szCs w:val="20"/>
                <w:lang w:val="en-US"/>
              </w:rPr>
              <w:t>28</w:t>
            </w:r>
            <w:r w:rsidRPr="00DD60DD">
              <w:rPr>
                <w:rFonts w:asciiTheme="majorHAnsi" w:hAnsiTheme="majorHAnsi"/>
                <w:bCs/>
                <w:noProof/>
                <w:sz w:val="20"/>
                <w:szCs w:val="20"/>
                <w:lang w:val="en-US"/>
              </w:rPr>
              <w:t>,</w:t>
            </w:r>
            <w:r w:rsidR="00E03D35" w:rsidRPr="00DD60DD">
              <w:rPr>
                <w:rFonts w:asciiTheme="majorHAnsi" w:hAnsiTheme="majorHAnsi"/>
                <w:bCs/>
                <w:noProof/>
                <w:sz w:val="20"/>
                <w:szCs w:val="20"/>
                <w:lang w:val="en-US"/>
              </w:rPr>
              <w:t xml:space="preserve"> 2008.</w:t>
            </w:r>
          </w:p>
        </w:tc>
      </w:tr>
    </w:tbl>
    <w:p w:rsidR="003239B8" w:rsidRPr="00DD60DD" w:rsidRDefault="00223A29" w:rsidP="00661AB0">
      <w:pPr>
        <w:spacing w:before="240" w:after="240"/>
        <w:ind w:firstLine="720"/>
        <w:jc w:val="both"/>
        <w:rPr>
          <w:rFonts w:asciiTheme="majorHAnsi" w:hAnsiTheme="majorHAnsi"/>
          <w:b/>
          <w:noProof/>
          <w:sz w:val="20"/>
          <w:szCs w:val="20"/>
          <w:lang w:val="en-US"/>
        </w:rPr>
      </w:pPr>
      <w:r w:rsidRPr="00DD60DD">
        <w:rPr>
          <w:rFonts w:asciiTheme="majorHAnsi" w:hAnsiTheme="majorHAnsi"/>
          <w:b/>
          <w:noProof/>
          <w:sz w:val="20"/>
          <w:szCs w:val="20"/>
          <w:lang w:val="en-US"/>
        </w:rPr>
        <w:lastRenderedPageBreak/>
        <w:t xml:space="preserve">V. </w:t>
      </w:r>
      <w:r w:rsidRPr="00DD60DD">
        <w:rPr>
          <w:rFonts w:asciiTheme="majorHAnsi" w:hAnsiTheme="majorHAnsi"/>
          <w:b/>
          <w:noProof/>
          <w:sz w:val="20"/>
          <w:szCs w:val="20"/>
          <w:lang w:val="en-US"/>
        </w:rPr>
        <w:tab/>
      </w:r>
      <w:r w:rsidR="002A0412" w:rsidRPr="00DD60DD">
        <w:rPr>
          <w:rFonts w:asciiTheme="majorHAnsi" w:hAnsiTheme="majorHAnsi"/>
          <w:b/>
          <w:noProof/>
          <w:sz w:val="20"/>
          <w:szCs w:val="20"/>
          <w:lang w:val="en-US"/>
        </w:rPr>
        <w:t>ALLEGED FACTS</w:t>
      </w:r>
      <w:r w:rsidR="003239B8" w:rsidRPr="00DD60DD">
        <w:rPr>
          <w:rFonts w:asciiTheme="majorHAnsi" w:hAnsiTheme="majorHAnsi"/>
          <w:b/>
          <w:noProof/>
          <w:sz w:val="20"/>
          <w:szCs w:val="20"/>
          <w:lang w:val="en-US"/>
        </w:rPr>
        <w:t xml:space="preserve"> </w:t>
      </w:r>
    </w:p>
    <w:p w:rsidR="00150198" w:rsidRPr="00DD60DD" w:rsidRDefault="002E2C23" w:rsidP="00150198">
      <w:pPr>
        <w:numPr>
          <w:ilvl w:val="0"/>
          <w:numId w:val="55"/>
        </w:numPr>
        <w:suppressAutoHyphens/>
        <w:spacing w:after="240"/>
        <w:jc w:val="both"/>
        <w:rPr>
          <w:rFonts w:ascii="Cambria" w:hAnsi="Cambria"/>
          <w:noProof/>
          <w:sz w:val="20"/>
          <w:szCs w:val="20"/>
          <w:lang w:val="en-US"/>
        </w:rPr>
      </w:pPr>
      <w:r w:rsidRPr="00DD60DD">
        <w:rPr>
          <w:rFonts w:ascii="Cambria" w:hAnsi="Cambria"/>
          <w:noProof/>
          <w:sz w:val="20"/>
          <w:szCs w:val="20"/>
          <w:lang w:val="en-US"/>
        </w:rPr>
        <w:t xml:space="preserve">The </w:t>
      </w:r>
      <w:r w:rsidR="0010367C" w:rsidRPr="00DD60DD">
        <w:rPr>
          <w:rFonts w:ascii="Cambria" w:hAnsi="Cambria"/>
          <w:bCs/>
          <w:i/>
          <w:noProof/>
          <w:sz w:val="20"/>
          <w:szCs w:val="20"/>
          <w:lang w:val="en-US"/>
        </w:rPr>
        <w:t xml:space="preserve">Centro de </w:t>
      </w:r>
      <w:r w:rsidR="00330FE6" w:rsidRPr="00DD60DD">
        <w:rPr>
          <w:rFonts w:ascii="Cambria" w:hAnsi="Cambria"/>
          <w:bCs/>
          <w:i/>
          <w:noProof/>
          <w:sz w:val="20"/>
          <w:szCs w:val="20"/>
          <w:lang w:val="en-US"/>
        </w:rPr>
        <w:t>Derechos Humanos y Desarrollo</w:t>
      </w:r>
      <w:r w:rsidR="00A12B13" w:rsidRPr="00DD60DD">
        <w:rPr>
          <w:rFonts w:ascii="Cambria" w:hAnsi="Cambria"/>
          <w:bCs/>
          <w:noProof/>
          <w:sz w:val="20"/>
          <w:szCs w:val="20"/>
          <w:lang w:val="en-US"/>
        </w:rPr>
        <w:t xml:space="preserve"> (</w:t>
      </w:r>
      <w:r w:rsidR="00CD4B42" w:rsidRPr="00DD60DD">
        <w:rPr>
          <w:rFonts w:ascii="Cambria" w:hAnsi="Cambria"/>
          <w:bCs/>
          <w:noProof/>
          <w:sz w:val="20"/>
          <w:szCs w:val="20"/>
          <w:lang w:val="en-US"/>
        </w:rPr>
        <w:t>CEDAL</w:t>
      </w:r>
      <w:r w:rsidR="00A12B13" w:rsidRPr="00DD60DD">
        <w:rPr>
          <w:rFonts w:ascii="Cambria" w:hAnsi="Cambria"/>
          <w:bCs/>
          <w:noProof/>
          <w:sz w:val="20"/>
          <w:szCs w:val="20"/>
          <w:lang w:val="en-US"/>
        </w:rPr>
        <w:t>)</w:t>
      </w:r>
      <w:r w:rsidR="0010367C" w:rsidRPr="00DD60DD">
        <w:rPr>
          <w:rFonts w:ascii="Cambria" w:hAnsi="Cambria"/>
          <w:bCs/>
          <w:noProof/>
          <w:sz w:val="20"/>
          <w:szCs w:val="20"/>
          <w:lang w:val="en-US"/>
        </w:rPr>
        <w:t xml:space="preserve"> </w:t>
      </w:r>
      <w:r w:rsidRPr="00DD60DD">
        <w:rPr>
          <w:rFonts w:ascii="Cambria" w:hAnsi="Cambria"/>
          <w:bCs/>
          <w:noProof/>
          <w:sz w:val="20"/>
          <w:szCs w:val="20"/>
          <w:lang w:val="en-US"/>
        </w:rPr>
        <w:t xml:space="preserve">and the </w:t>
      </w:r>
      <w:r w:rsidR="0010367C" w:rsidRPr="00DD60DD">
        <w:rPr>
          <w:rFonts w:ascii="Cambria" w:hAnsi="Cambria"/>
          <w:bCs/>
          <w:i/>
          <w:noProof/>
          <w:sz w:val="20"/>
          <w:szCs w:val="20"/>
          <w:lang w:val="en-US"/>
        </w:rPr>
        <w:t xml:space="preserve">Asociación Aurora Vivar </w:t>
      </w:r>
      <w:r w:rsidR="0010367C" w:rsidRPr="00DD60DD">
        <w:rPr>
          <w:rFonts w:ascii="Cambria" w:hAnsi="Cambria"/>
          <w:bCs/>
          <w:noProof/>
          <w:sz w:val="20"/>
          <w:szCs w:val="20"/>
          <w:lang w:val="en-US"/>
        </w:rPr>
        <w:t>(</w:t>
      </w:r>
      <w:r w:rsidRPr="00DD60DD">
        <w:rPr>
          <w:rFonts w:ascii="Cambria" w:hAnsi="Cambria"/>
          <w:bCs/>
          <w:noProof/>
          <w:sz w:val="20"/>
          <w:szCs w:val="20"/>
          <w:lang w:val="en-US"/>
        </w:rPr>
        <w:t>hereinafter “the petitioners”</w:t>
      </w:r>
      <w:r w:rsidR="0010367C" w:rsidRPr="00DD60DD">
        <w:rPr>
          <w:rFonts w:ascii="Cambria" w:hAnsi="Cambria"/>
          <w:bCs/>
          <w:noProof/>
          <w:sz w:val="20"/>
          <w:szCs w:val="20"/>
          <w:lang w:val="en-US"/>
        </w:rPr>
        <w:t xml:space="preserve">), </w:t>
      </w:r>
      <w:r w:rsidRPr="00DD60DD">
        <w:rPr>
          <w:rFonts w:ascii="Cambria" w:hAnsi="Cambria"/>
          <w:bCs/>
          <w:noProof/>
          <w:sz w:val="20"/>
          <w:szCs w:val="20"/>
          <w:lang w:val="en-US"/>
        </w:rPr>
        <w:t xml:space="preserve">together with Mrs. </w:t>
      </w:r>
      <w:r w:rsidR="0091653F" w:rsidRPr="00DD60DD">
        <w:rPr>
          <w:rFonts w:ascii="Cambria" w:hAnsi="Cambria"/>
          <w:noProof/>
          <w:sz w:val="20"/>
          <w:szCs w:val="20"/>
          <w:lang w:val="en-US"/>
        </w:rPr>
        <w:t>Ro</w:t>
      </w:r>
      <w:r w:rsidR="00A65D6B" w:rsidRPr="00DD60DD">
        <w:rPr>
          <w:rFonts w:ascii="Cambria" w:hAnsi="Cambria"/>
          <w:noProof/>
          <w:sz w:val="20"/>
          <w:szCs w:val="20"/>
          <w:lang w:val="en-US"/>
        </w:rPr>
        <w:t>sa Elena Pariahuachi Palacios (hereinafter</w:t>
      </w:r>
      <w:r w:rsidR="0091653F" w:rsidRPr="00DD60DD">
        <w:rPr>
          <w:rFonts w:ascii="Cambria" w:hAnsi="Cambria"/>
          <w:noProof/>
          <w:sz w:val="20"/>
          <w:szCs w:val="20"/>
          <w:lang w:val="en-US"/>
        </w:rPr>
        <w:t xml:space="preserve"> “</w:t>
      </w:r>
      <w:r w:rsidR="00A65D6B" w:rsidRPr="00DD60DD">
        <w:rPr>
          <w:rFonts w:ascii="Cambria" w:hAnsi="Cambria"/>
          <w:noProof/>
          <w:sz w:val="20"/>
          <w:szCs w:val="20"/>
          <w:lang w:val="en-US"/>
        </w:rPr>
        <w:t>Mrs.</w:t>
      </w:r>
      <w:r w:rsidR="0091653F" w:rsidRPr="00DD60DD">
        <w:rPr>
          <w:rFonts w:ascii="Cambria" w:hAnsi="Cambria"/>
          <w:noProof/>
          <w:sz w:val="20"/>
          <w:szCs w:val="20"/>
          <w:lang w:val="en-US"/>
        </w:rPr>
        <w:t xml:space="preserve"> Pariahuachi” o</w:t>
      </w:r>
      <w:r w:rsidR="00A65D6B" w:rsidRPr="00DD60DD">
        <w:rPr>
          <w:rFonts w:ascii="Cambria" w:hAnsi="Cambria"/>
          <w:noProof/>
          <w:sz w:val="20"/>
          <w:szCs w:val="20"/>
          <w:lang w:val="en-US"/>
        </w:rPr>
        <w:t>r</w:t>
      </w:r>
      <w:r w:rsidR="0091653F" w:rsidRPr="00DD60DD">
        <w:rPr>
          <w:rFonts w:ascii="Cambria" w:hAnsi="Cambria"/>
          <w:noProof/>
          <w:sz w:val="20"/>
          <w:szCs w:val="20"/>
          <w:lang w:val="en-US"/>
        </w:rPr>
        <w:t xml:space="preserve"> “</w:t>
      </w:r>
      <w:r w:rsidR="009E0B75" w:rsidRPr="00DD60DD">
        <w:rPr>
          <w:rFonts w:ascii="Cambria" w:hAnsi="Cambria"/>
          <w:noProof/>
          <w:sz w:val="20"/>
          <w:szCs w:val="20"/>
          <w:lang w:val="en-US"/>
        </w:rPr>
        <w:t>the alleged victim</w:t>
      </w:r>
      <w:r w:rsidR="0091653F" w:rsidRPr="00DD60DD">
        <w:rPr>
          <w:rFonts w:ascii="Cambria" w:hAnsi="Cambria"/>
          <w:noProof/>
          <w:sz w:val="20"/>
          <w:szCs w:val="20"/>
          <w:lang w:val="en-US"/>
        </w:rPr>
        <w:t xml:space="preserve">”) </w:t>
      </w:r>
      <w:r w:rsidR="00CF3D59" w:rsidRPr="00DD60DD">
        <w:rPr>
          <w:rFonts w:ascii="Cambria" w:hAnsi="Cambria"/>
          <w:noProof/>
          <w:sz w:val="20"/>
          <w:szCs w:val="20"/>
          <w:lang w:val="en-US"/>
        </w:rPr>
        <w:t>al</w:t>
      </w:r>
      <w:r w:rsidR="009E0B75" w:rsidRPr="00DD60DD">
        <w:rPr>
          <w:rFonts w:ascii="Cambria" w:hAnsi="Cambria"/>
          <w:noProof/>
          <w:sz w:val="20"/>
          <w:szCs w:val="20"/>
          <w:lang w:val="en-US"/>
        </w:rPr>
        <w:t xml:space="preserve">lege the responsibility of the Peruvian State for having violated the rights </w:t>
      </w:r>
      <w:r w:rsidR="009E0B75" w:rsidRPr="00ED2F90">
        <w:rPr>
          <w:rFonts w:ascii="Cambria" w:hAnsi="Cambria"/>
          <w:noProof/>
          <w:sz w:val="20"/>
          <w:szCs w:val="20"/>
          <w:lang w:val="en-US"/>
        </w:rPr>
        <w:t xml:space="preserve">of </w:t>
      </w:r>
      <w:r w:rsidR="00ED2F90" w:rsidRPr="00ED2F90">
        <w:rPr>
          <w:rFonts w:ascii="Cambria" w:hAnsi="Cambria"/>
          <w:noProof/>
          <w:sz w:val="20"/>
          <w:szCs w:val="20"/>
          <w:lang w:val="en-US"/>
        </w:rPr>
        <w:t>Mrs. Pariahuachi</w:t>
      </w:r>
      <w:r w:rsidR="009E0B75" w:rsidRPr="00ED2F90">
        <w:rPr>
          <w:rFonts w:ascii="Cambria" w:hAnsi="Cambria"/>
          <w:noProof/>
          <w:sz w:val="20"/>
          <w:szCs w:val="20"/>
          <w:lang w:val="en-US"/>
        </w:rPr>
        <w:t xml:space="preserve"> and other workers</w:t>
      </w:r>
      <w:r w:rsidR="00F767A7" w:rsidRPr="00DD60DD">
        <w:rPr>
          <w:rFonts w:ascii="Cambria" w:hAnsi="Cambria"/>
          <w:noProof/>
          <w:sz w:val="20"/>
          <w:szCs w:val="20"/>
          <w:lang w:val="en-US"/>
        </w:rPr>
        <w:t xml:space="preserve"> who are</w:t>
      </w:r>
      <w:r w:rsidR="009E0B75" w:rsidRPr="00DD60DD">
        <w:rPr>
          <w:rFonts w:ascii="Cambria" w:hAnsi="Cambria"/>
          <w:noProof/>
          <w:sz w:val="20"/>
          <w:szCs w:val="20"/>
          <w:lang w:val="en-US"/>
        </w:rPr>
        <w:t xml:space="preserve"> subject to the agricultural employment </w:t>
      </w:r>
      <w:r w:rsidR="002F3317" w:rsidRPr="00DD60DD">
        <w:rPr>
          <w:rFonts w:ascii="Cambria" w:hAnsi="Cambria"/>
          <w:noProof/>
          <w:sz w:val="20"/>
          <w:szCs w:val="20"/>
          <w:lang w:val="en-US"/>
        </w:rPr>
        <w:t>system</w:t>
      </w:r>
      <w:r w:rsidR="009E0B75" w:rsidRPr="00DD60DD">
        <w:rPr>
          <w:rFonts w:ascii="Cambria" w:hAnsi="Cambria"/>
          <w:noProof/>
          <w:sz w:val="20"/>
          <w:szCs w:val="20"/>
          <w:lang w:val="en-US"/>
        </w:rPr>
        <w:t xml:space="preserve"> on the grounds that the</w:t>
      </w:r>
      <w:r w:rsidR="00F767A7" w:rsidRPr="00DD60DD">
        <w:rPr>
          <w:rFonts w:ascii="Cambria" w:hAnsi="Cambria"/>
          <w:noProof/>
          <w:sz w:val="20"/>
          <w:szCs w:val="20"/>
          <w:lang w:val="en-US"/>
        </w:rPr>
        <w:t xml:space="preserve">y </w:t>
      </w:r>
      <w:r w:rsidR="002F3317" w:rsidRPr="00DD60DD">
        <w:rPr>
          <w:rFonts w:ascii="Cambria" w:hAnsi="Cambria"/>
          <w:noProof/>
          <w:sz w:val="20"/>
          <w:szCs w:val="20"/>
          <w:lang w:val="en-US"/>
        </w:rPr>
        <w:t>suffered</w:t>
      </w:r>
      <w:r w:rsidR="00F767A7" w:rsidRPr="00DD60DD">
        <w:rPr>
          <w:rFonts w:ascii="Cambria" w:hAnsi="Cambria"/>
          <w:noProof/>
          <w:sz w:val="20"/>
          <w:szCs w:val="20"/>
          <w:lang w:val="en-US"/>
        </w:rPr>
        <w:t xml:space="preserve"> </w:t>
      </w:r>
      <w:r w:rsidR="009E0B75" w:rsidRPr="00DD60DD">
        <w:rPr>
          <w:rFonts w:ascii="Cambria" w:hAnsi="Cambria"/>
          <w:noProof/>
          <w:sz w:val="20"/>
          <w:szCs w:val="20"/>
          <w:lang w:val="en-US"/>
        </w:rPr>
        <w:t>discriminatory treatment with respect to their employment rights and benefits</w:t>
      </w:r>
      <w:r w:rsidR="00D82120" w:rsidRPr="00DD60DD">
        <w:rPr>
          <w:rFonts w:ascii="Cambria" w:hAnsi="Cambria"/>
          <w:noProof/>
          <w:sz w:val="20"/>
          <w:szCs w:val="20"/>
          <w:lang w:val="en-US"/>
        </w:rPr>
        <w:t>—all of this in a context of historical and structural discrimination towards low-income</w:t>
      </w:r>
      <w:r w:rsidR="00F767A7" w:rsidRPr="00DD60DD">
        <w:rPr>
          <w:rFonts w:ascii="Cambria" w:hAnsi="Cambria"/>
          <w:noProof/>
          <w:sz w:val="20"/>
          <w:szCs w:val="20"/>
          <w:lang w:val="en-US"/>
        </w:rPr>
        <w:t xml:space="preserve"> </w:t>
      </w:r>
      <w:r w:rsidR="00F767A7" w:rsidRPr="00DD60DD">
        <w:rPr>
          <w:rFonts w:ascii="Cambria" w:hAnsi="Cambria"/>
          <w:i/>
          <w:noProof/>
          <w:sz w:val="20"/>
          <w:szCs w:val="20"/>
          <w:lang w:val="en-US"/>
        </w:rPr>
        <w:t>campesino</w:t>
      </w:r>
      <w:r w:rsidR="00F767A7" w:rsidRPr="00DD60DD">
        <w:rPr>
          <w:rFonts w:ascii="Cambria" w:hAnsi="Cambria"/>
          <w:noProof/>
          <w:sz w:val="20"/>
          <w:szCs w:val="20"/>
          <w:lang w:val="en-US"/>
        </w:rPr>
        <w:t xml:space="preserve"> women.</w:t>
      </w:r>
      <w:r w:rsidR="007E5897" w:rsidRPr="00DD60DD">
        <w:rPr>
          <w:rFonts w:ascii="Cambria" w:hAnsi="Cambria"/>
          <w:noProof/>
          <w:sz w:val="20"/>
          <w:szCs w:val="20"/>
          <w:lang w:val="en-US"/>
        </w:rPr>
        <w:t xml:space="preserve"> </w:t>
      </w:r>
    </w:p>
    <w:p w:rsidR="00964378" w:rsidRPr="00DD60DD" w:rsidRDefault="00D82120" w:rsidP="00150198">
      <w:pPr>
        <w:numPr>
          <w:ilvl w:val="0"/>
          <w:numId w:val="55"/>
        </w:numPr>
        <w:suppressAutoHyphens/>
        <w:spacing w:after="240"/>
        <w:jc w:val="both"/>
        <w:rPr>
          <w:rFonts w:ascii="Cambria" w:hAnsi="Cambria"/>
          <w:noProof/>
          <w:sz w:val="20"/>
          <w:szCs w:val="20"/>
          <w:lang w:val="en-US"/>
        </w:rPr>
      </w:pPr>
      <w:r w:rsidRPr="00DD60DD">
        <w:rPr>
          <w:rFonts w:ascii="Cambria" w:hAnsi="Cambria"/>
          <w:noProof/>
          <w:sz w:val="20"/>
          <w:szCs w:val="20"/>
          <w:lang w:val="en-US"/>
        </w:rPr>
        <w:t xml:space="preserve">The petitioners indicate that as </w:t>
      </w:r>
      <w:r w:rsidR="00440AD4" w:rsidRPr="00DD60DD">
        <w:rPr>
          <w:rFonts w:ascii="Cambria" w:hAnsi="Cambria"/>
          <w:noProof/>
          <w:sz w:val="20"/>
          <w:szCs w:val="20"/>
          <w:lang w:val="en-US"/>
        </w:rPr>
        <w:t>of</w:t>
      </w:r>
      <w:r w:rsidRPr="00DD60DD">
        <w:rPr>
          <w:rFonts w:ascii="Cambria" w:hAnsi="Cambria"/>
          <w:noProof/>
          <w:sz w:val="20"/>
          <w:szCs w:val="20"/>
          <w:lang w:val="en-US"/>
        </w:rPr>
        <w:t xml:space="preserve"> 2004 the al</w:t>
      </w:r>
      <w:r w:rsidR="00440AD4" w:rsidRPr="00DD60DD">
        <w:rPr>
          <w:rFonts w:ascii="Cambria" w:hAnsi="Cambria"/>
          <w:noProof/>
          <w:sz w:val="20"/>
          <w:szCs w:val="20"/>
          <w:lang w:val="en-US"/>
        </w:rPr>
        <w:t>leged victim has been a laborer at agri</w:t>
      </w:r>
      <w:r w:rsidRPr="00DD60DD">
        <w:rPr>
          <w:rFonts w:ascii="Cambria" w:hAnsi="Cambria"/>
          <w:noProof/>
          <w:sz w:val="20"/>
          <w:szCs w:val="20"/>
          <w:lang w:val="en-US"/>
        </w:rPr>
        <w:t xml:space="preserve">business companies in Peru, </w:t>
      </w:r>
      <w:r w:rsidR="00440AD4" w:rsidRPr="00DD60DD">
        <w:rPr>
          <w:rFonts w:ascii="Cambria" w:hAnsi="Cambria"/>
          <w:noProof/>
          <w:sz w:val="20"/>
          <w:szCs w:val="20"/>
          <w:lang w:val="en-US"/>
        </w:rPr>
        <w:t>a context in which</w:t>
      </w:r>
      <w:r w:rsidRPr="00DD60DD">
        <w:rPr>
          <w:rFonts w:ascii="Cambria" w:hAnsi="Cambria"/>
          <w:noProof/>
          <w:sz w:val="20"/>
          <w:szCs w:val="20"/>
          <w:lang w:val="en-US"/>
        </w:rPr>
        <w:t xml:space="preserve"> </w:t>
      </w:r>
      <w:r w:rsidR="00440AD4" w:rsidRPr="00DD60DD">
        <w:rPr>
          <w:rFonts w:ascii="Cambria" w:hAnsi="Cambria"/>
          <w:noProof/>
          <w:sz w:val="20"/>
          <w:szCs w:val="20"/>
          <w:lang w:val="en-US"/>
        </w:rPr>
        <w:t>farm laborers—in particular indigenous and Afro-Peruvian women—have historically been discriminated against.</w:t>
      </w:r>
      <w:r w:rsidRPr="00DD60DD">
        <w:rPr>
          <w:rFonts w:ascii="Cambria" w:hAnsi="Cambria"/>
          <w:noProof/>
          <w:sz w:val="20"/>
          <w:szCs w:val="20"/>
          <w:lang w:val="en-US"/>
        </w:rPr>
        <w:t xml:space="preserve"> They add that this discrimination </w:t>
      </w:r>
      <w:r w:rsidR="00440AD4" w:rsidRPr="00DD60DD">
        <w:rPr>
          <w:rFonts w:ascii="Cambria" w:hAnsi="Cambria"/>
          <w:noProof/>
          <w:sz w:val="20"/>
          <w:szCs w:val="20"/>
          <w:lang w:val="en-US"/>
        </w:rPr>
        <w:t>is reflected i</w:t>
      </w:r>
      <w:r w:rsidRPr="00DD60DD">
        <w:rPr>
          <w:rFonts w:ascii="Cambria" w:hAnsi="Cambria"/>
          <w:noProof/>
          <w:sz w:val="20"/>
          <w:szCs w:val="20"/>
          <w:lang w:val="en-US"/>
        </w:rPr>
        <w:t xml:space="preserve">n Law No. 27360 (hereinafter “the Law”) of October 30, 2000, </w:t>
      </w:r>
      <w:r w:rsidR="00440AD4" w:rsidRPr="00DD60DD">
        <w:rPr>
          <w:rFonts w:ascii="Cambria" w:hAnsi="Cambria"/>
          <w:noProof/>
          <w:sz w:val="20"/>
          <w:szCs w:val="20"/>
          <w:lang w:val="en-US"/>
        </w:rPr>
        <w:t xml:space="preserve">under which </w:t>
      </w:r>
      <w:r w:rsidRPr="00DD60DD">
        <w:rPr>
          <w:rFonts w:ascii="Cambria" w:hAnsi="Cambria"/>
          <w:noProof/>
          <w:sz w:val="20"/>
          <w:szCs w:val="20"/>
          <w:lang w:val="en-US"/>
        </w:rPr>
        <w:t>measures to promote the agricultural sector</w:t>
      </w:r>
      <w:r w:rsidR="00440AD4" w:rsidRPr="00DD60DD">
        <w:rPr>
          <w:rFonts w:ascii="Cambria" w:hAnsi="Cambria"/>
          <w:noProof/>
          <w:sz w:val="20"/>
          <w:szCs w:val="20"/>
          <w:lang w:val="en-US"/>
        </w:rPr>
        <w:t xml:space="preserve"> were approved</w:t>
      </w:r>
      <w:r w:rsidRPr="00DD60DD">
        <w:rPr>
          <w:rFonts w:ascii="Cambria" w:hAnsi="Cambria"/>
          <w:noProof/>
          <w:sz w:val="20"/>
          <w:szCs w:val="20"/>
          <w:lang w:val="en-US"/>
        </w:rPr>
        <w:t xml:space="preserve">. They indicate that Article 7 of </w:t>
      </w:r>
      <w:r w:rsidR="002F3317" w:rsidRPr="00DD60DD">
        <w:rPr>
          <w:rFonts w:ascii="Cambria" w:hAnsi="Cambria"/>
          <w:noProof/>
          <w:sz w:val="20"/>
          <w:szCs w:val="20"/>
          <w:lang w:val="en-US"/>
        </w:rPr>
        <w:t>the</w:t>
      </w:r>
      <w:r w:rsidRPr="00DD60DD">
        <w:rPr>
          <w:rFonts w:ascii="Cambria" w:hAnsi="Cambria"/>
          <w:noProof/>
          <w:sz w:val="20"/>
          <w:szCs w:val="20"/>
          <w:lang w:val="en-US"/>
        </w:rPr>
        <w:t xml:space="preserve"> Law </w:t>
      </w:r>
      <w:r w:rsidR="002F3317" w:rsidRPr="00DD60DD">
        <w:rPr>
          <w:rFonts w:ascii="Cambria" w:hAnsi="Cambria"/>
          <w:noProof/>
          <w:sz w:val="20"/>
          <w:szCs w:val="20"/>
          <w:lang w:val="en-US"/>
        </w:rPr>
        <w:t>established</w:t>
      </w:r>
      <w:r w:rsidRPr="00DD60DD">
        <w:rPr>
          <w:rFonts w:ascii="Cambria" w:hAnsi="Cambria"/>
          <w:noProof/>
          <w:sz w:val="20"/>
          <w:szCs w:val="20"/>
          <w:lang w:val="en-US"/>
        </w:rPr>
        <w:t xml:space="preserve"> a</w:t>
      </w:r>
      <w:r w:rsidR="00D557E9" w:rsidRPr="00DD60DD">
        <w:rPr>
          <w:rFonts w:ascii="Cambria" w:hAnsi="Cambria"/>
          <w:noProof/>
          <w:sz w:val="20"/>
          <w:szCs w:val="20"/>
          <w:lang w:val="en-US"/>
        </w:rPr>
        <w:t>n</w:t>
      </w:r>
      <w:r w:rsidRPr="00DD60DD">
        <w:rPr>
          <w:rFonts w:ascii="Cambria" w:hAnsi="Cambria"/>
          <w:noProof/>
          <w:sz w:val="20"/>
          <w:szCs w:val="20"/>
          <w:lang w:val="en-US"/>
        </w:rPr>
        <w:t xml:space="preserve"> employment system </w:t>
      </w:r>
      <w:r w:rsidR="00440AD4" w:rsidRPr="00DD60DD">
        <w:rPr>
          <w:rFonts w:ascii="Cambria" w:hAnsi="Cambria"/>
          <w:noProof/>
          <w:sz w:val="20"/>
          <w:szCs w:val="20"/>
          <w:lang w:val="en-US"/>
        </w:rPr>
        <w:t xml:space="preserve">“of a special and provisional nature” </w:t>
      </w:r>
      <w:r w:rsidRPr="00DD60DD">
        <w:rPr>
          <w:rFonts w:ascii="Cambria" w:hAnsi="Cambria"/>
          <w:noProof/>
          <w:sz w:val="20"/>
          <w:szCs w:val="20"/>
          <w:lang w:val="en-US"/>
        </w:rPr>
        <w:t>applicable to “</w:t>
      </w:r>
      <w:r w:rsidR="00EE3A09" w:rsidRPr="00DD60DD">
        <w:rPr>
          <w:rFonts w:ascii="Cambria" w:hAnsi="Cambria"/>
          <w:noProof/>
          <w:sz w:val="20"/>
          <w:szCs w:val="20"/>
          <w:lang w:val="en-US"/>
        </w:rPr>
        <w:t>individuals or legal en</w:t>
      </w:r>
      <w:r w:rsidRPr="00DD60DD">
        <w:rPr>
          <w:rFonts w:ascii="Cambria" w:hAnsi="Cambria"/>
          <w:noProof/>
          <w:sz w:val="20"/>
          <w:szCs w:val="20"/>
          <w:lang w:val="en-US"/>
        </w:rPr>
        <w:t xml:space="preserve">tities that </w:t>
      </w:r>
      <w:r w:rsidR="00D557E9" w:rsidRPr="00DD60DD">
        <w:rPr>
          <w:rFonts w:ascii="Cambria" w:hAnsi="Cambria"/>
          <w:noProof/>
          <w:sz w:val="20"/>
          <w:szCs w:val="20"/>
          <w:lang w:val="en-US"/>
        </w:rPr>
        <w:t>conduct</w:t>
      </w:r>
      <w:r w:rsidRPr="00DD60DD">
        <w:rPr>
          <w:rFonts w:ascii="Cambria" w:hAnsi="Cambria"/>
          <w:noProof/>
          <w:sz w:val="20"/>
          <w:szCs w:val="20"/>
          <w:lang w:val="en-US"/>
        </w:rPr>
        <w:t xml:space="preserve"> agribusiness activities.” The petitioners a</w:t>
      </w:r>
      <w:r w:rsidR="00F96E59" w:rsidRPr="00DD60DD">
        <w:rPr>
          <w:rFonts w:ascii="Cambria" w:hAnsi="Cambria"/>
          <w:noProof/>
          <w:sz w:val="20"/>
          <w:szCs w:val="20"/>
          <w:lang w:val="en-US"/>
        </w:rPr>
        <w:t>ssert</w:t>
      </w:r>
      <w:r w:rsidRPr="00DD60DD">
        <w:rPr>
          <w:rFonts w:ascii="Cambria" w:hAnsi="Cambria"/>
          <w:noProof/>
          <w:sz w:val="20"/>
          <w:szCs w:val="20"/>
          <w:lang w:val="en-US"/>
        </w:rPr>
        <w:t xml:space="preserve"> that this Law, which </w:t>
      </w:r>
      <w:r w:rsidR="002F3317" w:rsidRPr="00DD60DD">
        <w:rPr>
          <w:rFonts w:ascii="Cambria" w:hAnsi="Cambria"/>
          <w:noProof/>
          <w:sz w:val="20"/>
          <w:szCs w:val="20"/>
          <w:lang w:val="en-US"/>
        </w:rPr>
        <w:t>is applicable</w:t>
      </w:r>
      <w:r w:rsidRPr="00DD60DD">
        <w:rPr>
          <w:rFonts w:ascii="Cambria" w:hAnsi="Cambria"/>
          <w:noProof/>
          <w:sz w:val="20"/>
          <w:szCs w:val="20"/>
          <w:lang w:val="en-US"/>
        </w:rPr>
        <w:t xml:space="preserve"> to the alleged victim as</w:t>
      </w:r>
      <w:r w:rsidR="00D557E9" w:rsidRPr="00DD60DD">
        <w:rPr>
          <w:rFonts w:ascii="Cambria" w:hAnsi="Cambria"/>
          <w:noProof/>
          <w:sz w:val="20"/>
          <w:szCs w:val="20"/>
          <w:lang w:val="en-US"/>
        </w:rPr>
        <w:t xml:space="preserve"> a worker at the </w:t>
      </w:r>
      <w:r w:rsidRPr="00DD60DD">
        <w:rPr>
          <w:rFonts w:ascii="Cambria" w:hAnsi="Cambria"/>
          <w:noProof/>
          <w:sz w:val="20"/>
          <w:szCs w:val="20"/>
          <w:lang w:val="en-US"/>
        </w:rPr>
        <w:t>agribusin</w:t>
      </w:r>
      <w:r w:rsidR="00EE3A09" w:rsidRPr="00DD60DD">
        <w:rPr>
          <w:rFonts w:ascii="Cambria" w:hAnsi="Cambria"/>
          <w:noProof/>
          <w:sz w:val="20"/>
          <w:szCs w:val="20"/>
          <w:lang w:val="en-US"/>
        </w:rPr>
        <w:t>e</w:t>
      </w:r>
      <w:r w:rsidRPr="00DD60DD">
        <w:rPr>
          <w:rFonts w:ascii="Cambria" w:hAnsi="Cambria"/>
          <w:noProof/>
          <w:sz w:val="20"/>
          <w:szCs w:val="20"/>
          <w:lang w:val="en-US"/>
        </w:rPr>
        <w:t xml:space="preserve">ss companies CAMPOSOL S.A. </w:t>
      </w:r>
      <w:r w:rsidR="002F3317" w:rsidRPr="00DD60DD">
        <w:rPr>
          <w:rFonts w:ascii="Cambria" w:hAnsi="Cambria"/>
          <w:noProof/>
          <w:sz w:val="20"/>
          <w:szCs w:val="20"/>
          <w:lang w:val="en-US"/>
        </w:rPr>
        <w:t>and</w:t>
      </w:r>
      <w:r w:rsidRPr="00DD60DD">
        <w:rPr>
          <w:rFonts w:ascii="Cambria" w:hAnsi="Cambria"/>
          <w:noProof/>
          <w:sz w:val="20"/>
          <w:szCs w:val="20"/>
          <w:lang w:val="en-US"/>
        </w:rPr>
        <w:t xml:space="preserve"> GREEN PERÚ, </w:t>
      </w:r>
      <w:r w:rsidR="00D557E9" w:rsidRPr="00DD60DD">
        <w:rPr>
          <w:rFonts w:ascii="Cambria" w:hAnsi="Cambria"/>
          <w:noProof/>
          <w:sz w:val="20"/>
          <w:szCs w:val="20"/>
          <w:lang w:val="en-US"/>
        </w:rPr>
        <w:t xml:space="preserve">provided for </w:t>
      </w:r>
      <w:r w:rsidR="00F31F1D" w:rsidRPr="00DD60DD">
        <w:rPr>
          <w:rFonts w:ascii="Cambria" w:hAnsi="Cambria"/>
          <w:noProof/>
          <w:sz w:val="20"/>
          <w:szCs w:val="20"/>
          <w:lang w:val="en-US"/>
        </w:rPr>
        <w:t xml:space="preserve">a different treatment of </w:t>
      </w:r>
      <w:r w:rsidR="00D557E9" w:rsidRPr="00DD60DD">
        <w:rPr>
          <w:rFonts w:ascii="Cambria" w:hAnsi="Cambria"/>
          <w:noProof/>
          <w:sz w:val="20"/>
          <w:szCs w:val="20"/>
          <w:lang w:val="en-US"/>
        </w:rPr>
        <w:t xml:space="preserve">paid work </w:t>
      </w:r>
      <w:r w:rsidR="00EE3A09" w:rsidRPr="00DD60DD">
        <w:rPr>
          <w:rFonts w:ascii="Cambria" w:hAnsi="Cambria"/>
          <w:noProof/>
          <w:sz w:val="20"/>
          <w:szCs w:val="20"/>
          <w:lang w:val="en-US"/>
        </w:rPr>
        <w:t xml:space="preserve">in the agricultural sector </w:t>
      </w:r>
      <w:r w:rsidR="00F31F1D" w:rsidRPr="00DD60DD">
        <w:rPr>
          <w:rFonts w:ascii="Cambria" w:hAnsi="Cambria"/>
          <w:noProof/>
          <w:sz w:val="20"/>
          <w:szCs w:val="20"/>
          <w:lang w:val="en-US"/>
        </w:rPr>
        <w:t xml:space="preserve">as compared to the treatment afforded to other sectors </w:t>
      </w:r>
      <w:r w:rsidR="004101C0" w:rsidRPr="00DD60DD">
        <w:rPr>
          <w:rFonts w:ascii="Cambria" w:hAnsi="Cambria"/>
          <w:noProof/>
          <w:sz w:val="20"/>
          <w:szCs w:val="20"/>
          <w:lang w:val="en-US"/>
        </w:rPr>
        <w:t>under ordinary labor law</w:t>
      </w:r>
      <w:r w:rsidR="00F31F1D" w:rsidRPr="00DD60DD">
        <w:rPr>
          <w:rFonts w:ascii="Cambria" w:hAnsi="Cambria"/>
          <w:noProof/>
          <w:sz w:val="20"/>
          <w:szCs w:val="20"/>
          <w:lang w:val="en-US"/>
        </w:rPr>
        <w:t>.</w:t>
      </w:r>
      <w:r w:rsidR="00D557E9" w:rsidRPr="00DD60DD">
        <w:rPr>
          <w:rFonts w:ascii="Cambria" w:hAnsi="Cambria"/>
          <w:noProof/>
          <w:sz w:val="20"/>
          <w:szCs w:val="20"/>
          <w:lang w:val="en-US"/>
        </w:rPr>
        <w:t xml:space="preserve"> </w:t>
      </w:r>
      <w:r w:rsidR="005B1157" w:rsidRPr="00DD60DD">
        <w:rPr>
          <w:rFonts w:ascii="Cambria" w:hAnsi="Cambria"/>
          <w:noProof/>
          <w:sz w:val="20"/>
          <w:szCs w:val="20"/>
          <w:lang w:val="en-US"/>
        </w:rPr>
        <w:t xml:space="preserve"> </w:t>
      </w:r>
      <w:r w:rsidR="00C7017B" w:rsidRPr="00DD60DD">
        <w:rPr>
          <w:rFonts w:ascii="Cambria" w:hAnsi="Cambria"/>
          <w:noProof/>
          <w:sz w:val="20"/>
          <w:szCs w:val="20"/>
          <w:lang w:val="en-US"/>
        </w:rPr>
        <w:t xml:space="preserve"> </w:t>
      </w:r>
    </w:p>
    <w:p w:rsidR="00BD2D09" w:rsidRPr="00DD60DD" w:rsidRDefault="00EE3A09" w:rsidP="0083258B">
      <w:pPr>
        <w:numPr>
          <w:ilvl w:val="0"/>
          <w:numId w:val="55"/>
        </w:numPr>
        <w:suppressAutoHyphens/>
        <w:spacing w:after="240"/>
        <w:jc w:val="both"/>
        <w:rPr>
          <w:rFonts w:ascii="Cambria" w:hAnsi="Cambria"/>
          <w:noProof/>
          <w:sz w:val="20"/>
          <w:szCs w:val="20"/>
          <w:lang w:val="en-US"/>
        </w:rPr>
      </w:pPr>
      <w:r w:rsidRPr="00DD60DD">
        <w:rPr>
          <w:rFonts w:ascii="Cambria" w:hAnsi="Cambria"/>
          <w:noProof/>
          <w:sz w:val="20"/>
          <w:szCs w:val="20"/>
          <w:lang w:val="en-US"/>
        </w:rPr>
        <w:t>According to the petitioner</w:t>
      </w:r>
      <w:r w:rsidR="00005C06" w:rsidRPr="00DD60DD">
        <w:rPr>
          <w:rFonts w:ascii="Cambria" w:hAnsi="Cambria"/>
          <w:noProof/>
          <w:sz w:val="20"/>
          <w:szCs w:val="20"/>
          <w:lang w:val="en-US"/>
        </w:rPr>
        <w:t>s</w:t>
      </w:r>
      <w:r w:rsidRPr="00DD60DD">
        <w:rPr>
          <w:rFonts w:ascii="Cambria" w:hAnsi="Cambria"/>
          <w:noProof/>
          <w:sz w:val="20"/>
          <w:szCs w:val="20"/>
          <w:lang w:val="en-US"/>
        </w:rPr>
        <w:t>, the Law meant that workers in the agricultural sector had a longer work day, l</w:t>
      </w:r>
      <w:r w:rsidR="00005C06" w:rsidRPr="00DD60DD">
        <w:rPr>
          <w:rFonts w:ascii="Cambria" w:hAnsi="Cambria"/>
          <w:noProof/>
          <w:sz w:val="20"/>
          <w:szCs w:val="20"/>
          <w:lang w:val="en-US"/>
        </w:rPr>
        <w:t>ower pay</w:t>
      </w:r>
      <w:r w:rsidR="00F31F1D" w:rsidRPr="00DD60DD">
        <w:rPr>
          <w:rFonts w:ascii="Cambria" w:hAnsi="Cambria"/>
          <w:noProof/>
          <w:sz w:val="20"/>
          <w:szCs w:val="20"/>
          <w:lang w:val="en-US"/>
        </w:rPr>
        <w:t>,</w:t>
      </w:r>
      <w:r w:rsidRPr="00DD60DD">
        <w:rPr>
          <w:rFonts w:ascii="Cambria" w:hAnsi="Cambria"/>
          <w:noProof/>
          <w:sz w:val="20"/>
          <w:szCs w:val="20"/>
          <w:lang w:val="en-US"/>
        </w:rPr>
        <w:t xml:space="preserve"> </w:t>
      </w:r>
      <w:r w:rsidR="00005C06" w:rsidRPr="00DD60DD">
        <w:rPr>
          <w:rFonts w:ascii="Cambria" w:hAnsi="Cambria"/>
          <w:noProof/>
          <w:sz w:val="20"/>
          <w:szCs w:val="20"/>
          <w:lang w:val="en-US"/>
        </w:rPr>
        <w:t xml:space="preserve">and less </w:t>
      </w:r>
      <w:r w:rsidRPr="00DD60DD">
        <w:rPr>
          <w:rFonts w:ascii="Cambria" w:hAnsi="Cambria"/>
          <w:noProof/>
          <w:sz w:val="20"/>
          <w:szCs w:val="20"/>
          <w:lang w:val="en-US"/>
        </w:rPr>
        <w:t xml:space="preserve">vacation benefits, employment bonuses, compensation for </w:t>
      </w:r>
      <w:r w:rsidR="00005C06" w:rsidRPr="00DD60DD">
        <w:rPr>
          <w:rFonts w:ascii="Cambria" w:hAnsi="Cambria"/>
          <w:noProof/>
          <w:sz w:val="20"/>
          <w:szCs w:val="20"/>
          <w:lang w:val="en-US"/>
        </w:rPr>
        <w:t xml:space="preserve">years of service, </w:t>
      </w:r>
      <w:r w:rsidRPr="00DD60DD">
        <w:rPr>
          <w:rFonts w:ascii="Cambria" w:hAnsi="Cambria"/>
          <w:noProof/>
          <w:sz w:val="20"/>
          <w:szCs w:val="20"/>
          <w:lang w:val="en-US"/>
        </w:rPr>
        <w:t xml:space="preserve">and severance for arbitrary dismissal than workers </w:t>
      </w:r>
      <w:r w:rsidR="00005C06" w:rsidRPr="00DD60DD">
        <w:rPr>
          <w:rFonts w:ascii="Cambria" w:hAnsi="Cambria"/>
          <w:noProof/>
          <w:sz w:val="20"/>
          <w:szCs w:val="20"/>
          <w:lang w:val="en-US"/>
        </w:rPr>
        <w:t>who are under</w:t>
      </w:r>
      <w:r w:rsidRPr="00DD60DD">
        <w:rPr>
          <w:rFonts w:ascii="Cambria" w:hAnsi="Cambria"/>
          <w:noProof/>
          <w:sz w:val="20"/>
          <w:szCs w:val="20"/>
          <w:lang w:val="en-US"/>
        </w:rPr>
        <w:t xml:space="preserve"> the </w:t>
      </w:r>
      <w:r w:rsidR="00F96E59" w:rsidRPr="00DD60DD">
        <w:rPr>
          <w:rFonts w:ascii="Cambria" w:hAnsi="Cambria"/>
          <w:noProof/>
          <w:sz w:val="20"/>
          <w:szCs w:val="20"/>
          <w:lang w:val="en-US"/>
        </w:rPr>
        <w:t xml:space="preserve">ordinary </w:t>
      </w:r>
      <w:r w:rsidR="00005C06" w:rsidRPr="00DD60DD">
        <w:rPr>
          <w:rFonts w:ascii="Cambria" w:hAnsi="Cambria"/>
          <w:noProof/>
          <w:sz w:val="20"/>
          <w:szCs w:val="20"/>
          <w:lang w:val="en-US"/>
        </w:rPr>
        <w:t xml:space="preserve">[labor law] </w:t>
      </w:r>
      <w:r w:rsidRPr="00DD60DD">
        <w:rPr>
          <w:rFonts w:ascii="Cambria" w:hAnsi="Cambria"/>
          <w:noProof/>
          <w:sz w:val="20"/>
          <w:szCs w:val="20"/>
          <w:lang w:val="en-US"/>
        </w:rPr>
        <w:t xml:space="preserve">system, as well as greater </w:t>
      </w:r>
      <w:r w:rsidR="00005C06" w:rsidRPr="00DD60DD">
        <w:rPr>
          <w:rFonts w:ascii="Cambria" w:hAnsi="Cambria"/>
          <w:noProof/>
          <w:sz w:val="20"/>
          <w:szCs w:val="20"/>
          <w:lang w:val="en-US"/>
        </w:rPr>
        <w:t>restrictions on unionizing</w:t>
      </w:r>
      <w:r w:rsidRPr="00DD60DD">
        <w:rPr>
          <w:rFonts w:ascii="Cambria" w:hAnsi="Cambria"/>
          <w:noProof/>
          <w:sz w:val="20"/>
          <w:szCs w:val="20"/>
          <w:lang w:val="en-US"/>
        </w:rPr>
        <w:t>. The latter meant that agricultural workers are less protected than other workers who exercise their right to unionize. The</w:t>
      </w:r>
      <w:r w:rsidR="00005C06" w:rsidRPr="00DD60DD">
        <w:rPr>
          <w:rFonts w:ascii="Cambria" w:hAnsi="Cambria"/>
          <w:noProof/>
          <w:sz w:val="20"/>
          <w:szCs w:val="20"/>
          <w:lang w:val="en-US"/>
        </w:rPr>
        <w:t xml:space="preserve"> petitioners</w:t>
      </w:r>
      <w:r w:rsidRPr="00DD60DD">
        <w:rPr>
          <w:rFonts w:ascii="Cambria" w:hAnsi="Cambria"/>
          <w:noProof/>
          <w:sz w:val="20"/>
          <w:szCs w:val="20"/>
          <w:lang w:val="en-US"/>
        </w:rPr>
        <w:t xml:space="preserve"> hold that this Law violates the principle of non-regressi</w:t>
      </w:r>
      <w:r w:rsidR="00005C06" w:rsidRPr="00DD60DD">
        <w:rPr>
          <w:rFonts w:ascii="Cambria" w:hAnsi="Cambria"/>
          <w:noProof/>
          <w:sz w:val="20"/>
          <w:szCs w:val="20"/>
          <w:lang w:val="en-US"/>
        </w:rPr>
        <w:t>on</w:t>
      </w:r>
      <w:r w:rsidRPr="00DD60DD">
        <w:rPr>
          <w:rFonts w:ascii="Cambria" w:hAnsi="Cambria"/>
          <w:noProof/>
          <w:sz w:val="20"/>
          <w:szCs w:val="20"/>
          <w:lang w:val="en-US"/>
        </w:rPr>
        <w:t xml:space="preserve"> </w:t>
      </w:r>
      <w:r w:rsidR="00005C06" w:rsidRPr="00DD60DD">
        <w:rPr>
          <w:rFonts w:ascii="Cambria" w:hAnsi="Cambria"/>
          <w:noProof/>
          <w:sz w:val="20"/>
          <w:szCs w:val="20"/>
          <w:lang w:val="en-US"/>
        </w:rPr>
        <w:t>of</w:t>
      </w:r>
      <w:r w:rsidRPr="00DD60DD">
        <w:rPr>
          <w:rFonts w:ascii="Cambria" w:hAnsi="Cambria"/>
          <w:noProof/>
          <w:sz w:val="20"/>
          <w:szCs w:val="20"/>
          <w:lang w:val="en-US"/>
        </w:rPr>
        <w:t xml:space="preserve"> economic</w:t>
      </w:r>
      <w:r w:rsidR="00BE75AD" w:rsidRPr="00DD60DD">
        <w:rPr>
          <w:rFonts w:ascii="Cambria" w:hAnsi="Cambria"/>
          <w:noProof/>
          <w:sz w:val="20"/>
          <w:szCs w:val="20"/>
          <w:lang w:val="en-US"/>
        </w:rPr>
        <w:t>,</w:t>
      </w:r>
      <w:r w:rsidRPr="00DD60DD">
        <w:rPr>
          <w:rFonts w:ascii="Cambria" w:hAnsi="Cambria"/>
          <w:noProof/>
          <w:sz w:val="20"/>
          <w:szCs w:val="20"/>
          <w:lang w:val="en-US"/>
        </w:rPr>
        <w:t xml:space="preserve"> social, and cultural rights. </w:t>
      </w:r>
      <w:r w:rsidR="00F96E59" w:rsidRPr="00DD60DD">
        <w:rPr>
          <w:rFonts w:ascii="Cambria" w:hAnsi="Cambria"/>
          <w:noProof/>
          <w:sz w:val="20"/>
          <w:szCs w:val="20"/>
          <w:lang w:val="en-US"/>
        </w:rPr>
        <w:t>Additionally</w:t>
      </w:r>
      <w:r w:rsidR="005361AA" w:rsidRPr="00DD60DD">
        <w:rPr>
          <w:rFonts w:ascii="Cambria" w:hAnsi="Cambria"/>
          <w:noProof/>
          <w:sz w:val="20"/>
          <w:szCs w:val="20"/>
          <w:lang w:val="en-US"/>
        </w:rPr>
        <w:t xml:space="preserve">, </w:t>
      </w:r>
      <w:r w:rsidR="00BE75AD" w:rsidRPr="00DD60DD">
        <w:rPr>
          <w:rFonts w:ascii="Cambria" w:hAnsi="Cambria"/>
          <w:noProof/>
          <w:sz w:val="20"/>
          <w:szCs w:val="20"/>
          <w:lang w:val="en-US"/>
        </w:rPr>
        <w:t>the petitioners affirm, in keeping with</w:t>
      </w:r>
      <w:r w:rsidR="00F96E59" w:rsidRPr="00DD60DD">
        <w:rPr>
          <w:rFonts w:ascii="Cambria" w:hAnsi="Cambria"/>
          <w:noProof/>
          <w:sz w:val="20"/>
          <w:szCs w:val="20"/>
          <w:lang w:val="en-US"/>
        </w:rPr>
        <w:t xml:space="preserve"> the</w:t>
      </w:r>
      <w:r w:rsidR="005361AA" w:rsidRPr="00DD60DD">
        <w:rPr>
          <w:rFonts w:ascii="Cambria" w:hAnsi="Cambria"/>
          <w:noProof/>
          <w:sz w:val="20"/>
          <w:szCs w:val="20"/>
          <w:lang w:val="en-US"/>
        </w:rPr>
        <w:t xml:space="preserve"> comparative legal analysis of employment systems</w:t>
      </w:r>
      <w:r w:rsidR="00BE75AD" w:rsidRPr="00DD60DD">
        <w:rPr>
          <w:rFonts w:ascii="Cambria" w:hAnsi="Cambria"/>
          <w:noProof/>
          <w:sz w:val="20"/>
          <w:szCs w:val="20"/>
          <w:lang w:val="en-US"/>
        </w:rPr>
        <w:t xml:space="preserve"> they </w:t>
      </w:r>
      <w:r w:rsidR="00F96E59" w:rsidRPr="00DD60DD">
        <w:rPr>
          <w:rFonts w:ascii="Cambria" w:hAnsi="Cambria"/>
          <w:noProof/>
          <w:sz w:val="20"/>
          <w:szCs w:val="20"/>
          <w:lang w:val="en-US"/>
        </w:rPr>
        <w:t xml:space="preserve">have </w:t>
      </w:r>
      <w:r w:rsidR="00BE75AD" w:rsidRPr="00DD60DD">
        <w:rPr>
          <w:rFonts w:ascii="Cambria" w:hAnsi="Cambria"/>
          <w:noProof/>
          <w:sz w:val="20"/>
          <w:szCs w:val="20"/>
          <w:lang w:val="en-US"/>
        </w:rPr>
        <w:t>furnish</w:t>
      </w:r>
      <w:r w:rsidR="00F96E59" w:rsidRPr="00DD60DD">
        <w:rPr>
          <w:rFonts w:ascii="Cambria" w:hAnsi="Cambria"/>
          <w:noProof/>
          <w:sz w:val="20"/>
          <w:szCs w:val="20"/>
          <w:lang w:val="en-US"/>
        </w:rPr>
        <w:t>ed</w:t>
      </w:r>
      <w:r w:rsidR="005361AA" w:rsidRPr="00DD60DD">
        <w:rPr>
          <w:rFonts w:ascii="Cambria" w:hAnsi="Cambria"/>
          <w:noProof/>
          <w:sz w:val="20"/>
          <w:szCs w:val="20"/>
          <w:lang w:val="en-US"/>
        </w:rPr>
        <w:t xml:space="preserve">, that the provisions of Article 7(2) of the Law, which </w:t>
      </w:r>
      <w:r w:rsidR="005361AA" w:rsidRPr="00ED2F90">
        <w:rPr>
          <w:rFonts w:ascii="Cambria" w:hAnsi="Cambria"/>
          <w:noProof/>
          <w:sz w:val="20"/>
          <w:szCs w:val="20"/>
          <w:lang w:val="en-US"/>
        </w:rPr>
        <w:t xml:space="preserve">impose </w:t>
      </w:r>
      <w:r w:rsidR="00BE75AD" w:rsidRPr="00ED2F90">
        <w:rPr>
          <w:rFonts w:ascii="Cambria" w:hAnsi="Cambria"/>
          <w:noProof/>
          <w:sz w:val="20"/>
          <w:szCs w:val="20"/>
          <w:lang w:val="en-US"/>
        </w:rPr>
        <w:t>abusive</w:t>
      </w:r>
      <w:r w:rsidR="005361AA" w:rsidRPr="00ED2F90">
        <w:rPr>
          <w:rFonts w:ascii="Cambria" w:hAnsi="Cambria"/>
          <w:noProof/>
          <w:sz w:val="20"/>
          <w:szCs w:val="20"/>
          <w:lang w:val="en-US"/>
        </w:rPr>
        <w:t xml:space="preserve"> </w:t>
      </w:r>
      <w:r w:rsidR="00BE75AD" w:rsidRPr="00ED2F90">
        <w:rPr>
          <w:rFonts w:ascii="Cambria" w:hAnsi="Cambria"/>
          <w:noProof/>
          <w:sz w:val="20"/>
          <w:szCs w:val="20"/>
          <w:lang w:val="en-US"/>
        </w:rPr>
        <w:t>working c</w:t>
      </w:r>
      <w:r w:rsidR="005361AA" w:rsidRPr="00ED2F90">
        <w:rPr>
          <w:rFonts w:ascii="Cambria" w:hAnsi="Cambria"/>
          <w:noProof/>
          <w:sz w:val="20"/>
          <w:szCs w:val="20"/>
          <w:lang w:val="en-US"/>
        </w:rPr>
        <w:t>onditions</w:t>
      </w:r>
      <w:r w:rsidR="005361AA" w:rsidRPr="00DD60DD">
        <w:rPr>
          <w:rFonts w:ascii="Cambria" w:hAnsi="Cambria"/>
          <w:noProof/>
          <w:sz w:val="20"/>
          <w:szCs w:val="20"/>
          <w:lang w:val="en-US"/>
        </w:rPr>
        <w:t xml:space="preserve"> on </w:t>
      </w:r>
      <w:r w:rsidR="00BE75AD" w:rsidRPr="00DD60DD">
        <w:rPr>
          <w:rFonts w:ascii="Cambria" w:hAnsi="Cambria"/>
          <w:noProof/>
          <w:sz w:val="20"/>
          <w:szCs w:val="20"/>
          <w:lang w:val="en-US"/>
        </w:rPr>
        <w:t>laborers</w:t>
      </w:r>
      <w:r w:rsidR="005361AA" w:rsidRPr="00DD60DD">
        <w:rPr>
          <w:rFonts w:ascii="Cambria" w:hAnsi="Cambria"/>
          <w:noProof/>
          <w:sz w:val="20"/>
          <w:szCs w:val="20"/>
          <w:lang w:val="en-US"/>
        </w:rPr>
        <w:t xml:space="preserve"> in the agricultural sector</w:t>
      </w:r>
      <w:r w:rsidR="00BE75AD" w:rsidRPr="00DD60DD">
        <w:rPr>
          <w:rFonts w:ascii="Cambria" w:hAnsi="Cambria"/>
          <w:noProof/>
          <w:sz w:val="20"/>
          <w:szCs w:val="20"/>
          <w:lang w:val="en-US"/>
        </w:rPr>
        <w:t>,</w:t>
      </w:r>
      <w:r w:rsidR="005361AA" w:rsidRPr="00DD60DD">
        <w:rPr>
          <w:rFonts w:ascii="Cambria" w:hAnsi="Cambria"/>
          <w:noProof/>
          <w:sz w:val="20"/>
          <w:szCs w:val="20"/>
          <w:lang w:val="en-US"/>
        </w:rPr>
        <w:t xml:space="preserve"> are discriminatory. The petitioners argue that Mrs. Pariahuachi</w:t>
      </w:r>
      <w:r w:rsidR="00BE75AD" w:rsidRPr="00DD60DD">
        <w:rPr>
          <w:rFonts w:ascii="Cambria" w:hAnsi="Cambria"/>
          <w:noProof/>
          <w:sz w:val="20"/>
          <w:szCs w:val="20"/>
          <w:lang w:val="en-US"/>
        </w:rPr>
        <w:t xml:space="preserve"> and</w:t>
      </w:r>
      <w:r w:rsidR="005361AA" w:rsidRPr="00DD60DD">
        <w:rPr>
          <w:rFonts w:ascii="Cambria" w:hAnsi="Cambria"/>
          <w:noProof/>
          <w:sz w:val="20"/>
          <w:szCs w:val="20"/>
          <w:lang w:val="en-US"/>
        </w:rPr>
        <w:t xml:space="preserve"> other </w:t>
      </w:r>
      <w:r w:rsidR="00BE75AD" w:rsidRPr="00DD60DD">
        <w:rPr>
          <w:rFonts w:ascii="Cambria" w:hAnsi="Cambria"/>
          <w:noProof/>
          <w:sz w:val="20"/>
          <w:szCs w:val="20"/>
          <w:lang w:val="en-US"/>
        </w:rPr>
        <w:t xml:space="preserve">workers in the </w:t>
      </w:r>
      <w:r w:rsidR="005361AA" w:rsidRPr="00DD60DD">
        <w:rPr>
          <w:rFonts w:ascii="Cambria" w:hAnsi="Cambria"/>
          <w:noProof/>
          <w:sz w:val="20"/>
          <w:szCs w:val="20"/>
          <w:lang w:val="en-US"/>
        </w:rPr>
        <w:t xml:space="preserve">agricultural </w:t>
      </w:r>
      <w:r w:rsidR="00BE75AD" w:rsidRPr="00DD60DD">
        <w:rPr>
          <w:rFonts w:ascii="Cambria" w:hAnsi="Cambria"/>
          <w:noProof/>
          <w:sz w:val="20"/>
          <w:szCs w:val="20"/>
          <w:lang w:val="en-US"/>
        </w:rPr>
        <w:t>sector</w:t>
      </w:r>
      <w:r w:rsidR="005361AA" w:rsidRPr="00DD60DD">
        <w:rPr>
          <w:rFonts w:ascii="Cambria" w:hAnsi="Cambria"/>
          <w:noProof/>
          <w:sz w:val="20"/>
          <w:szCs w:val="20"/>
          <w:lang w:val="en-US"/>
        </w:rPr>
        <w:t xml:space="preserve"> enjoy </w:t>
      </w:r>
      <w:r w:rsidR="00BE75AD" w:rsidRPr="00DD60DD">
        <w:rPr>
          <w:rFonts w:ascii="Cambria" w:hAnsi="Cambria"/>
          <w:noProof/>
          <w:sz w:val="20"/>
          <w:szCs w:val="20"/>
          <w:lang w:val="en-US"/>
        </w:rPr>
        <w:t>fewer</w:t>
      </w:r>
      <w:r w:rsidR="005361AA" w:rsidRPr="00DD60DD">
        <w:rPr>
          <w:rFonts w:ascii="Cambria" w:hAnsi="Cambria"/>
          <w:noProof/>
          <w:sz w:val="20"/>
          <w:szCs w:val="20"/>
          <w:lang w:val="en-US"/>
        </w:rPr>
        <w:t xml:space="preserve"> rights as compared to workers who</w:t>
      </w:r>
      <w:r w:rsidR="00F96E59" w:rsidRPr="00DD60DD">
        <w:rPr>
          <w:rFonts w:ascii="Cambria" w:hAnsi="Cambria"/>
          <w:noProof/>
          <w:sz w:val="20"/>
          <w:szCs w:val="20"/>
          <w:lang w:val="en-US"/>
        </w:rPr>
        <w:t>se</w:t>
      </w:r>
      <w:r w:rsidR="005361AA" w:rsidRPr="00DD60DD">
        <w:rPr>
          <w:rFonts w:ascii="Cambria" w:hAnsi="Cambria"/>
          <w:noProof/>
          <w:sz w:val="20"/>
          <w:szCs w:val="20"/>
          <w:lang w:val="en-US"/>
        </w:rPr>
        <w:t xml:space="preserve"> employment relations are regulated by the </w:t>
      </w:r>
      <w:r w:rsidR="00F96E59" w:rsidRPr="00DD60DD">
        <w:rPr>
          <w:rFonts w:ascii="Cambria" w:hAnsi="Cambria"/>
          <w:noProof/>
          <w:sz w:val="20"/>
          <w:szCs w:val="20"/>
          <w:lang w:val="en-US"/>
        </w:rPr>
        <w:t>ordinary</w:t>
      </w:r>
      <w:r w:rsidR="005361AA" w:rsidRPr="00DD60DD">
        <w:rPr>
          <w:rFonts w:ascii="Cambria" w:hAnsi="Cambria"/>
          <w:noProof/>
          <w:sz w:val="20"/>
          <w:szCs w:val="20"/>
          <w:lang w:val="en-US"/>
        </w:rPr>
        <w:t xml:space="preserve"> system, due to </w:t>
      </w:r>
      <w:r w:rsidR="00BE75AD" w:rsidRPr="00DD60DD">
        <w:rPr>
          <w:rFonts w:ascii="Cambria" w:hAnsi="Cambria"/>
          <w:noProof/>
          <w:sz w:val="20"/>
          <w:szCs w:val="20"/>
          <w:lang w:val="en-US"/>
        </w:rPr>
        <w:t>this L</w:t>
      </w:r>
      <w:r w:rsidR="005361AA" w:rsidRPr="00DD60DD">
        <w:rPr>
          <w:rFonts w:ascii="Cambria" w:hAnsi="Cambria"/>
          <w:noProof/>
          <w:sz w:val="20"/>
          <w:szCs w:val="20"/>
          <w:lang w:val="en-US"/>
        </w:rPr>
        <w:t xml:space="preserve">aw that discriminates against them in an arbitrary and unreasonable manner. </w:t>
      </w:r>
      <w:r w:rsidR="009B256F" w:rsidRPr="00DD60DD">
        <w:rPr>
          <w:rFonts w:ascii="Cambria" w:hAnsi="Cambria"/>
          <w:noProof/>
          <w:sz w:val="20"/>
          <w:szCs w:val="20"/>
          <w:highlight w:val="yellow"/>
          <w:lang w:val="en-US"/>
        </w:rPr>
        <w:t xml:space="preserve"> </w:t>
      </w:r>
    </w:p>
    <w:p w:rsidR="00576D2F" w:rsidRPr="00DD60DD" w:rsidRDefault="00EC5FC5" w:rsidP="0083258B">
      <w:pPr>
        <w:pStyle w:val="ListParagraph"/>
        <w:numPr>
          <w:ilvl w:val="0"/>
          <w:numId w:val="55"/>
        </w:numPr>
        <w:jc w:val="both"/>
        <w:rPr>
          <w:rFonts w:eastAsia="Arial Unicode MS"/>
          <w:noProof/>
          <w:lang w:eastAsia="en-US"/>
        </w:rPr>
      </w:pPr>
      <w:r w:rsidRPr="00DD60DD">
        <w:rPr>
          <w:noProof/>
          <w:color w:val="000000" w:themeColor="text1"/>
          <w:sz w:val="20"/>
          <w:szCs w:val="20"/>
        </w:rPr>
        <w:t>The petitioners indic</w:t>
      </w:r>
      <w:r w:rsidR="002539D0" w:rsidRPr="00DD60DD">
        <w:rPr>
          <w:noProof/>
          <w:color w:val="000000" w:themeColor="text1"/>
          <w:sz w:val="20"/>
          <w:szCs w:val="20"/>
        </w:rPr>
        <w:t xml:space="preserve">ate that the Law was challenged </w:t>
      </w:r>
      <w:r w:rsidR="005E354D" w:rsidRPr="00DD60DD">
        <w:rPr>
          <w:noProof/>
          <w:color w:val="000000" w:themeColor="text1"/>
          <w:sz w:val="20"/>
          <w:szCs w:val="20"/>
        </w:rPr>
        <w:t>via</w:t>
      </w:r>
      <w:r w:rsidR="002539D0" w:rsidRPr="00DD60DD">
        <w:rPr>
          <w:noProof/>
          <w:color w:val="000000" w:themeColor="text1"/>
          <w:sz w:val="20"/>
          <w:szCs w:val="20"/>
        </w:rPr>
        <w:t xml:space="preserve"> a </w:t>
      </w:r>
      <w:r w:rsidRPr="00DD60DD">
        <w:rPr>
          <w:noProof/>
          <w:color w:val="000000" w:themeColor="text1"/>
          <w:sz w:val="20"/>
          <w:szCs w:val="20"/>
        </w:rPr>
        <w:t xml:space="preserve">remedy of unconstitutionality </w:t>
      </w:r>
      <w:r w:rsidR="005E354D" w:rsidRPr="00DD60DD">
        <w:rPr>
          <w:noProof/>
          <w:color w:val="000000" w:themeColor="text1"/>
          <w:sz w:val="20"/>
          <w:szCs w:val="20"/>
        </w:rPr>
        <w:t>[</w:t>
      </w:r>
      <w:r w:rsidR="005E354D" w:rsidRPr="00DD60DD">
        <w:rPr>
          <w:i/>
          <w:noProof/>
          <w:color w:val="000000" w:themeColor="text1"/>
          <w:sz w:val="20"/>
          <w:szCs w:val="20"/>
        </w:rPr>
        <w:t>demanda de inconstitucionalidad</w:t>
      </w:r>
      <w:r w:rsidR="005E354D" w:rsidRPr="00DD60DD">
        <w:rPr>
          <w:noProof/>
          <w:color w:val="000000" w:themeColor="text1"/>
          <w:sz w:val="20"/>
          <w:szCs w:val="20"/>
        </w:rPr>
        <w:t xml:space="preserve">] </w:t>
      </w:r>
      <w:r w:rsidRPr="00DD60DD">
        <w:rPr>
          <w:noProof/>
          <w:color w:val="000000" w:themeColor="text1"/>
          <w:sz w:val="20"/>
          <w:szCs w:val="20"/>
        </w:rPr>
        <w:t xml:space="preserve">filed by the Bar Association of Ica, which they </w:t>
      </w:r>
      <w:r w:rsidR="00BD15F8" w:rsidRPr="00DD60DD">
        <w:rPr>
          <w:noProof/>
          <w:color w:val="000000" w:themeColor="text1"/>
          <w:sz w:val="20"/>
          <w:szCs w:val="20"/>
        </w:rPr>
        <w:t>claim</w:t>
      </w:r>
      <w:r w:rsidRPr="00DD60DD">
        <w:rPr>
          <w:noProof/>
          <w:color w:val="000000" w:themeColor="text1"/>
          <w:sz w:val="20"/>
          <w:szCs w:val="20"/>
        </w:rPr>
        <w:t xml:space="preserve"> was prepared jointly with the petitioners</w:t>
      </w:r>
      <w:r w:rsidR="005E354D" w:rsidRPr="00DD60DD">
        <w:rPr>
          <w:noProof/>
          <w:color w:val="000000" w:themeColor="text1"/>
          <w:sz w:val="20"/>
          <w:szCs w:val="20"/>
        </w:rPr>
        <w:t xml:space="preserve"> and</w:t>
      </w:r>
      <w:r w:rsidRPr="00DD60DD">
        <w:rPr>
          <w:noProof/>
          <w:color w:val="000000" w:themeColor="text1"/>
          <w:sz w:val="20"/>
          <w:szCs w:val="20"/>
        </w:rPr>
        <w:t xml:space="preserve"> an array of social institutions </w:t>
      </w:r>
      <w:r w:rsidR="005E354D" w:rsidRPr="00DD60DD">
        <w:rPr>
          <w:noProof/>
          <w:color w:val="000000" w:themeColor="text1"/>
          <w:sz w:val="20"/>
          <w:szCs w:val="20"/>
        </w:rPr>
        <w:t xml:space="preserve">devoted to </w:t>
      </w:r>
      <w:r w:rsidR="00BD15F8" w:rsidRPr="00DD60DD">
        <w:rPr>
          <w:noProof/>
          <w:color w:val="000000" w:themeColor="text1"/>
          <w:sz w:val="20"/>
          <w:szCs w:val="20"/>
        </w:rPr>
        <w:t>employment</w:t>
      </w:r>
      <w:r w:rsidRPr="00DD60DD">
        <w:rPr>
          <w:noProof/>
          <w:color w:val="000000" w:themeColor="text1"/>
          <w:sz w:val="20"/>
          <w:szCs w:val="20"/>
        </w:rPr>
        <w:t xml:space="preserve"> issue</w:t>
      </w:r>
      <w:r w:rsidR="00BD15F8" w:rsidRPr="00DD60DD">
        <w:rPr>
          <w:noProof/>
          <w:color w:val="000000" w:themeColor="text1"/>
          <w:sz w:val="20"/>
          <w:szCs w:val="20"/>
        </w:rPr>
        <w:t>s</w:t>
      </w:r>
      <w:r w:rsidRPr="00DD60DD">
        <w:rPr>
          <w:noProof/>
          <w:color w:val="000000" w:themeColor="text1"/>
          <w:sz w:val="20"/>
          <w:szCs w:val="20"/>
        </w:rPr>
        <w:t xml:space="preserve">. In its remedy of unconstitutionality, the Bar </w:t>
      </w:r>
      <w:r w:rsidR="00BD15F8" w:rsidRPr="00DD60DD">
        <w:rPr>
          <w:noProof/>
          <w:color w:val="000000" w:themeColor="text1"/>
          <w:sz w:val="20"/>
          <w:szCs w:val="20"/>
        </w:rPr>
        <w:t>Association</w:t>
      </w:r>
      <w:r w:rsidRPr="00DD60DD">
        <w:rPr>
          <w:noProof/>
          <w:color w:val="000000" w:themeColor="text1"/>
          <w:sz w:val="20"/>
          <w:szCs w:val="20"/>
        </w:rPr>
        <w:t xml:space="preserve"> of Ica held that the provisions of</w:t>
      </w:r>
      <w:r w:rsidR="00BD15F8" w:rsidRPr="00DD60DD">
        <w:rPr>
          <w:noProof/>
          <w:color w:val="000000" w:themeColor="text1"/>
          <w:sz w:val="20"/>
          <w:szCs w:val="20"/>
        </w:rPr>
        <w:t xml:space="preserve"> the</w:t>
      </w:r>
      <w:r w:rsidRPr="00DD60DD">
        <w:rPr>
          <w:noProof/>
          <w:color w:val="000000" w:themeColor="text1"/>
          <w:sz w:val="20"/>
          <w:szCs w:val="20"/>
        </w:rPr>
        <w:t xml:space="preserve"> Law that regulate the special system </w:t>
      </w:r>
      <w:r w:rsidR="00BD15F8" w:rsidRPr="00DD60DD">
        <w:rPr>
          <w:noProof/>
          <w:color w:val="000000" w:themeColor="text1"/>
          <w:sz w:val="20"/>
          <w:szCs w:val="20"/>
        </w:rPr>
        <w:t>are contrary to</w:t>
      </w:r>
      <w:r w:rsidRPr="00DD60DD">
        <w:rPr>
          <w:noProof/>
          <w:color w:val="000000" w:themeColor="text1"/>
          <w:sz w:val="20"/>
          <w:szCs w:val="20"/>
        </w:rPr>
        <w:t xml:space="preserve"> the principle of equal </w:t>
      </w:r>
      <w:r w:rsidR="00BD15F8" w:rsidRPr="00DD60DD">
        <w:rPr>
          <w:noProof/>
          <w:color w:val="000000" w:themeColor="text1"/>
          <w:sz w:val="20"/>
          <w:szCs w:val="20"/>
        </w:rPr>
        <w:t>protection</w:t>
      </w:r>
      <w:r w:rsidRPr="00DD60DD">
        <w:rPr>
          <w:noProof/>
          <w:color w:val="000000" w:themeColor="text1"/>
          <w:sz w:val="20"/>
          <w:szCs w:val="20"/>
        </w:rPr>
        <w:t xml:space="preserve"> and non-discrimination and </w:t>
      </w:r>
      <w:r w:rsidR="00F31F1D" w:rsidRPr="00DD60DD">
        <w:rPr>
          <w:noProof/>
          <w:color w:val="000000" w:themeColor="text1"/>
          <w:sz w:val="20"/>
          <w:szCs w:val="20"/>
        </w:rPr>
        <w:t>undermine</w:t>
      </w:r>
      <w:r w:rsidRPr="00DD60DD">
        <w:rPr>
          <w:noProof/>
          <w:color w:val="000000" w:themeColor="text1"/>
          <w:sz w:val="20"/>
          <w:szCs w:val="20"/>
        </w:rPr>
        <w:t xml:space="preserve"> the essential </w:t>
      </w:r>
      <w:r w:rsidR="005E354D" w:rsidRPr="00DD60DD">
        <w:rPr>
          <w:noProof/>
          <w:color w:val="000000" w:themeColor="text1"/>
          <w:sz w:val="20"/>
          <w:szCs w:val="20"/>
        </w:rPr>
        <w:t>provisions</w:t>
      </w:r>
      <w:r w:rsidRPr="00DD60DD">
        <w:rPr>
          <w:noProof/>
          <w:color w:val="000000" w:themeColor="text1"/>
          <w:sz w:val="20"/>
          <w:szCs w:val="20"/>
        </w:rPr>
        <w:t xml:space="preserve"> of </w:t>
      </w:r>
      <w:r w:rsidR="00BD15F8" w:rsidRPr="00DD60DD">
        <w:rPr>
          <w:noProof/>
          <w:color w:val="000000" w:themeColor="text1"/>
          <w:sz w:val="20"/>
          <w:szCs w:val="20"/>
        </w:rPr>
        <w:t>labor</w:t>
      </w:r>
      <w:r w:rsidRPr="00DD60DD">
        <w:rPr>
          <w:noProof/>
          <w:color w:val="000000" w:themeColor="text1"/>
          <w:sz w:val="20"/>
          <w:szCs w:val="20"/>
        </w:rPr>
        <w:t xml:space="preserve"> rights enshrined in the Peruvian constitution. Additionally, the remedy </w:t>
      </w:r>
      <w:r w:rsidR="00BD15F8" w:rsidRPr="00DD60DD">
        <w:rPr>
          <w:noProof/>
          <w:color w:val="000000" w:themeColor="text1"/>
          <w:sz w:val="20"/>
          <w:szCs w:val="20"/>
        </w:rPr>
        <w:t>filed addresses both</w:t>
      </w:r>
      <w:r w:rsidRPr="00DD60DD">
        <w:rPr>
          <w:noProof/>
          <w:color w:val="000000" w:themeColor="text1"/>
          <w:sz w:val="20"/>
          <w:szCs w:val="20"/>
        </w:rPr>
        <w:t xml:space="preserve"> direct and indirect discrimination by furnishing statistical data on the working conditions of women </w:t>
      </w:r>
      <w:r w:rsidR="00BD15F8" w:rsidRPr="00DD60DD">
        <w:rPr>
          <w:noProof/>
          <w:color w:val="000000" w:themeColor="text1"/>
          <w:sz w:val="20"/>
          <w:szCs w:val="20"/>
        </w:rPr>
        <w:t>laborers</w:t>
      </w:r>
      <w:r w:rsidRPr="00DD60DD">
        <w:rPr>
          <w:noProof/>
          <w:color w:val="000000" w:themeColor="text1"/>
          <w:sz w:val="20"/>
          <w:szCs w:val="20"/>
        </w:rPr>
        <w:t xml:space="preserve"> in the agricu</w:t>
      </w:r>
      <w:r w:rsidR="00BD15F8" w:rsidRPr="00DD60DD">
        <w:rPr>
          <w:noProof/>
          <w:color w:val="000000" w:themeColor="text1"/>
          <w:sz w:val="20"/>
          <w:szCs w:val="20"/>
        </w:rPr>
        <w:t>ltural</w:t>
      </w:r>
      <w:r w:rsidRPr="00DD60DD">
        <w:rPr>
          <w:noProof/>
          <w:color w:val="000000" w:themeColor="text1"/>
          <w:sz w:val="20"/>
          <w:szCs w:val="20"/>
        </w:rPr>
        <w:t xml:space="preserve"> sector.  </w:t>
      </w:r>
    </w:p>
    <w:p w:rsidR="00964378" w:rsidRPr="00DD60DD" w:rsidRDefault="00964378" w:rsidP="00964378">
      <w:pPr>
        <w:pStyle w:val="ListParagraph"/>
        <w:jc w:val="both"/>
        <w:rPr>
          <w:rFonts w:eastAsia="Arial Unicode MS"/>
          <w:noProof/>
          <w:lang w:eastAsia="en-US"/>
        </w:rPr>
      </w:pPr>
    </w:p>
    <w:p w:rsidR="00AC770C" w:rsidRPr="00DD60DD" w:rsidRDefault="00EC5FC5" w:rsidP="0083258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noProof/>
          <w:sz w:val="20"/>
          <w:szCs w:val="20"/>
        </w:rPr>
      </w:pPr>
      <w:r w:rsidRPr="00DD60DD">
        <w:rPr>
          <w:noProof/>
          <w:sz w:val="20"/>
          <w:szCs w:val="20"/>
        </w:rPr>
        <w:t xml:space="preserve">On November 21, 2007, the Constitutional Court found the remedy of unconstitutionality “groundless” and held that there is no inconsistency between the Constitution and the law challenged inasmuch as Article 103 of the Peruvian Constitution allows for special and exceptional legislation when “the nature of the situation so warrants.” Furthermore, </w:t>
      </w:r>
      <w:r w:rsidR="00746542" w:rsidRPr="00DD60DD">
        <w:rPr>
          <w:noProof/>
          <w:sz w:val="20"/>
          <w:szCs w:val="20"/>
        </w:rPr>
        <w:t xml:space="preserve">the Court indicated that </w:t>
      </w:r>
      <w:r w:rsidRPr="00DD60DD">
        <w:rPr>
          <w:noProof/>
          <w:sz w:val="20"/>
          <w:szCs w:val="20"/>
        </w:rPr>
        <w:t>in this case</w:t>
      </w:r>
      <w:r w:rsidR="008E6477" w:rsidRPr="00DD60DD">
        <w:rPr>
          <w:noProof/>
          <w:sz w:val="20"/>
          <w:szCs w:val="20"/>
        </w:rPr>
        <w:t xml:space="preserve"> the L</w:t>
      </w:r>
      <w:r w:rsidRPr="00DD60DD">
        <w:rPr>
          <w:noProof/>
          <w:sz w:val="20"/>
          <w:szCs w:val="20"/>
        </w:rPr>
        <w:t xml:space="preserve">aw </w:t>
      </w:r>
      <w:r w:rsidR="008E6477" w:rsidRPr="00DD60DD">
        <w:rPr>
          <w:noProof/>
          <w:sz w:val="20"/>
          <w:szCs w:val="20"/>
        </w:rPr>
        <w:t xml:space="preserve">passed the </w:t>
      </w:r>
      <w:r w:rsidR="003F7B78" w:rsidRPr="00DD60DD">
        <w:rPr>
          <w:noProof/>
          <w:sz w:val="20"/>
          <w:szCs w:val="20"/>
        </w:rPr>
        <w:t>equality</w:t>
      </w:r>
      <w:r w:rsidR="00746542" w:rsidRPr="00DD60DD">
        <w:rPr>
          <w:noProof/>
          <w:sz w:val="20"/>
          <w:szCs w:val="20"/>
        </w:rPr>
        <w:t xml:space="preserve"> test—which</w:t>
      </w:r>
      <w:r w:rsidR="003F7B78" w:rsidRPr="00DD60DD">
        <w:rPr>
          <w:noProof/>
          <w:sz w:val="20"/>
          <w:szCs w:val="20"/>
        </w:rPr>
        <w:t xml:space="preserve"> analyzes the principles of adequacy, ne</w:t>
      </w:r>
      <w:r w:rsidR="008E6477" w:rsidRPr="00DD60DD">
        <w:rPr>
          <w:noProof/>
          <w:sz w:val="20"/>
          <w:szCs w:val="20"/>
        </w:rPr>
        <w:t xml:space="preserve">cessity, and proportionality—to </w:t>
      </w:r>
      <w:r w:rsidR="003F7B78" w:rsidRPr="00DD60DD">
        <w:rPr>
          <w:noProof/>
          <w:sz w:val="20"/>
          <w:szCs w:val="20"/>
        </w:rPr>
        <w:t>the extent that the s</w:t>
      </w:r>
      <w:r w:rsidR="008E6477" w:rsidRPr="00DD60DD">
        <w:rPr>
          <w:noProof/>
          <w:sz w:val="20"/>
          <w:szCs w:val="20"/>
        </w:rPr>
        <w:t>p</w:t>
      </w:r>
      <w:r w:rsidR="003F7B78" w:rsidRPr="00DD60DD">
        <w:rPr>
          <w:noProof/>
          <w:sz w:val="20"/>
          <w:szCs w:val="20"/>
        </w:rPr>
        <w:t xml:space="preserve">ecial regulation of the agricultural sector was established with a legitimate </w:t>
      </w:r>
      <w:r w:rsidR="008E6477" w:rsidRPr="00DD60DD">
        <w:rPr>
          <w:noProof/>
          <w:sz w:val="20"/>
          <w:szCs w:val="20"/>
        </w:rPr>
        <w:t xml:space="preserve">purpose under the </w:t>
      </w:r>
      <w:r w:rsidR="003F7B78" w:rsidRPr="00DD60DD">
        <w:rPr>
          <w:noProof/>
          <w:sz w:val="20"/>
          <w:szCs w:val="20"/>
        </w:rPr>
        <w:t>constitution (promot</w:t>
      </w:r>
      <w:r w:rsidR="0059118B" w:rsidRPr="00DD60DD">
        <w:rPr>
          <w:noProof/>
          <w:sz w:val="20"/>
          <w:szCs w:val="20"/>
        </w:rPr>
        <w:t>ing</w:t>
      </w:r>
      <w:r w:rsidR="003F7B78" w:rsidRPr="00DD60DD">
        <w:rPr>
          <w:noProof/>
          <w:sz w:val="20"/>
          <w:szCs w:val="20"/>
        </w:rPr>
        <w:t xml:space="preserve"> job creation in the agricultural sector); therefore, it </w:t>
      </w:r>
      <w:r w:rsidR="00746542" w:rsidRPr="00DD60DD">
        <w:rPr>
          <w:noProof/>
          <w:sz w:val="20"/>
          <w:szCs w:val="20"/>
        </w:rPr>
        <w:t>proved to be</w:t>
      </w:r>
      <w:r w:rsidR="0059118B" w:rsidRPr="00DD60DD">
        <w:rPr>
          <w:noProof/>
          <w:sz w:val="20"/>
          <w:szCs w:val="20"/>
        </w:rPr>
        <w:t xml:space="preserve"> a less onerous</w:t>
      </w:r>
      <w:r w:rsidR="003F7B78" w:rsidRPr="00DD60DD">
        <w:rPr>
          <w:noProof/>
          <w:sz w:val="20"/>
          <w:szCs w:val="20"/>
        </w:rPr>
        <w:t xml:space="preserve"> measure and </w:t>
      </w:r>
      <w:r w:rsidR="00F31F1D" w:rsidRPr="00DD60DD">
        <w:rPr>
          <w:noProof/>
          <w:sz w:val="20"/>
          <w:szCs w:val="20"/>
        </w:rPr>
        <w:t>its</w:t>
      </w:r>
      <w:r w:rsidR="003F7B78" w:rsidRPr="00DD60DD">
        <w:rPr>
          <w:noProof/>
          <w:sz w:val="20"/>
          <w:szCs w:val="20"/>
        </w:rPr>
        <w:t xml:space="preserve"> </w:t>
      </w:r>
      <w:r w:rsidR="00746542" w:rsidRPr="00DD60DD">
        <w:rPr>
          <w:noProof/>
          <w:sz w:val="20"/>
          <w:szCs w:val="20"/>
        </w:rPr>
        <w:t xml:space="preserve">intended </w:t>
      </w:r>
      <w:r w:rsidR="0059118B" w:rsidRPr="00DD60DD">
        <w:rPr>
          <w:noProof/>
          <w:sz w:val="20"/>
          <w:szCs w:val="20"/>
        </w:rPr>
        <w:t>purpose</w:t>
      </w:r>
      <w:r w:rsidR="003F7B78" w:rsidRPr="00DD60DD">
        <w:rPr>
          <w:noProof/>
          <w:sz w:val="20"/>
          <w:szCs w:val="20"/>
        </w:rPr>
        <w:t xml:space="preserve"> was proportional to the measure adopted. Given this situation, the plaintiffs (Barr Association of Ica), filed a petition for clarification </w:t>
      </w:r>
      <w:r w:rsidR="0059118B" w:rsidRPr="00DD60DD">
        <w:rPr>
          <w:noProof/>
          <w:sz w:val="20"/>
          <w:szCs w:val="20"/>
        </w:rPr>
        <w:t>[</w:t>
      </w:r>
      <w:r w:rsidR="0059118B" w:rsidRPr="00DD60DD">
        <w:rPr>
          <w:i/>
          <w:noProof/>
          <w:sz w:val="20"/>
          <w:szCs w:val="20"/>
        </w:rPr>
        <w:t>recurso de aclaración</w:t>
      </w:r>
      <w:r w:rsidR="0059118B" w:rsidRPr="00DD60DD">
        <w:rPr>
          <w:noProof/>
          <w:sz w:val="20"/>
          <w:szCs w:val="20"/>
        </w:rPr>
        <w:t xml:space="preserve">] </w:t>
      </w:r>
      <w:r w:rsidR="003F7B78" w:rsidRPr="00DD60DD">
        <w:rPr>
          <w:noProof/>
          <w:sz w:val="20"/>
          <w:szCs w:val="20"/>
        </w:rPr>
        <w:t>on February 5, 2008.</w:t>
      </w:r>
    </w:p>
    <w:p w:rsidR="00034C65" w:rsidRPr="00DD60DD" w:rsidRDefault="003F7B78" w:rsidP="0083258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noProof/>
          <w:sz w:val="20"/>
          <w:szCs w:val="20"/>
        </w:rPr>
      </w:pPr>
      <w:r w:rsidRPr="00DD60DD">
        <w:rPr>
          <w:noProof/>
          <w:sz w:val="20"/>
          <w:szCs w:val="20"/>
        </w:rPr>
        <w:t xml:space="preserve">For its part, the State requests the petition be rejected </w:t>
      </w:r>
      <w:r w:rsidR="0059118B" w:rsidRPr="00DD60DD">
        <w:rPr>
          <w:noProof/>
          <w:sz w:val="20"/>
          <w:szCs w:val="20"/>
        </w:rPr>
        <w:t xml:space="preserve">due to </w:t>
      </w:r>
      <w:r w:rsidRPr="00DD60DD">
        <w:rPr>
          <w:noProof/>
          <w:sz w:val="20"/>
          <w:szCs w:val="20"/>
        </w:rPr>
        <w:t xml:space="preserve">lack of competence </w:t>
      </w:r>
      <w:r w:rsidRPr="00DD60DD">
        <w:rPr>
          <w:i/>
          <w:noProof/>
          <w:sz w:val="20"/>
          <w:szCs w:val="20"/>
        </w:rPr>
        <w:t>ratione personae</w:t>
      </w:r>
      <w:r w:rsidRPr="00DD60DD">
        <w:rPr>
          <w:noProof/>
          <w:sz w:val="20"/>
          <w:szCs w:val="20"/>
        </w:rPr>
        <w:t xml:space="preserve"> with respect to the alleged victims identified as a </w:t>
      </w:r>
      <w:r w:rsidR="0059118B" w:rsidRPr="00DD60DD">
        <w:rPr>
          <w:noProof/>
          <w:sz w:val="20"/>
          <w:szCs w:val="20"/>
        </w:rPr>
        <w:t xml:space="preserve">yet to be determined </w:t>
      </w:r>
      <w:r w:rsidRPr="00DD60DD">
        <w:rPr>
          <w:noProof/>
          <w:sz w:val="20"/>
          <w:szCs w:val="20"/>
        </w:rPr>
        <w:t>number of worker</w:t>
      </w:r>
      <w:r w:rsidR="0059118B" w:rsidRPr="00DD60DD">
        <w:rPr>
          <w:noProof/>
          <w:sz w:val="20"/>
          <w:szCs w:val="20"/>
        </w:rPr>
        <w:t>s subject to</w:t>
      </w:r>
      <w:r w:rsidRPr="00DD60DD">
        <w:rPr>
          <w:noProof/>
          <w:sz w:val="20"/>
          <w:szCs w:val="20"/>
        </w:rPr>
        <w:t xml:space="preserve"> the agricultural employment </w:t>
      </w:r>
      <w:r w:rsidR="00746542" w:rsidRPr="00DD60DD">
        <w:rPr>
          <w:noProof/>
          <w:sz w:val="20"/>
          <w:szCs w:val="20"/>
        </w:rPr>
        <w:t>system</w:t>
      </w:r>
      <w:r w:rsidRPr="00DD60DD">
        <w:rPr>
          <w:noProof/>
          <w:sz w:val="20"/>
          <w:szCs w:val="20"/>
        </w:rPr>
        <w:t>. The State h</w:t>
      </w:r>
      <w:r w:rsidR="0059118B" w:rsidRPr="00DD60DD">
        <w:rPr>
          <w:noProof/>
          <w:sz w:val="20"/>
          <w:szCs w:val="20"/>
        </w:rPr>
        <w:t>o</w:t>
      </w:r>
      <w:r w:rsidRPr="00DD60DD">
        <w:rPr>
          <w:noProof/>
          <w:sz w:val="20"/>
          <w:szCs w:val="20"/>
        </w:rPr>
        <w:t xml:space="preserve">lds that this group of individuals is abstract and could potentially cover thousands of </w:t>
      </w:r>
      <w:r w:rsidR="0059118B" w:rsidRPr="00DD60DD">
        <w:rPr>
          <w:noProof/>
          <w:sz w:val="20"/>
          <w:szCs w:val="20"/>
        </w:rPr>
        <w:t xml:space="preserve">unidentified, undetermined, unspecified </w:t>
      </w:r>
      <w:r w:rsidRPr="00DD60DD">
        <w:rPr>
          <w:noProof/>
          <w:sz w:val="20"/>
          <w:szCs w:val="20"/>
        </w:rPr>
        <w:t>people</w:t>
      </w:r>
      <w:r w:rsidR="0059118B" w:rsidRPr="00DD60DD">
        <w:rPr>
          <w:noProof/>
          <w:sz w:val="20"/>
          <w:szCs w:val="20"/>
        </w:rPr>
        <w:t>.</w:t>
      </w:r>
    </w:p>
    <w:p w:rsidR="00BD0EB7" w:rsidRPr="00DD60DD" w:rsidRDefault="0005480D" w:rsidP="0083258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noProof/>
          <w:sz w:val="20"/>
          <w:szCs w:val="20"/>
        </w:rPr>
      </w:pPr>
      <w:r w:rsidRPr="00DD60DD">
        <w:rPr>
          <w:noProof/>
          <w:sz w:val="20"/>
          <w:szCs w:val="20"/>
        </w:rPr>
        <w:lastRenderedPageBreak/>
        <w:t xml:space="preserve">Furthermore, the State </w:t>
      </w:r>
      <w:r w:rsidR="00E50859" w:rsidRPr="00DD60DD">
        <w:rPr>
          <w:noProof/>
          <w:sz w:val="20"/>
          <w:szCs w:val="20"/>
        </w:rPr>
        <w:t xml:space="preserve">adduces </w:t>
      </w:r>
      <w:r w:rsidR="007D00EA" w:rsidRPr="00DD60DD">
        <w:rPr>
          <w:noProof/>
          <w:sz w:val="20"/>
          <w:szCs w:val="20"/>
        </w:rPr>
        <w:t xml:space="preserve">that </w:t>
      </w:r>
      <w:r w:rsidR="00DB2C0A" w:rsidRPr="00DD60DD">
        <w:rPr>
          <w:noProof/>
          <w:sz w:val="20"/>
          <w:szCs w:val="20"/>
        </w:rPr>
        <w:t xml:space="preserve">no factual determination </w:t>
      </w:r>
      <w:r w:rsidR="00746542" w:rsidRPr="00DD60DD">
        <w:rPr>
          <w:noProof/>
          <w:sz w:val="20"/>
          <w:szCs w:val="20"/>
        </w:rPr>
        <w:t xml:space="preserve">is made </w:t>
      </w:r>
      <w:r w:rsidR="002B34FC" w:rsidRPr="00DD60DD">
        <w:rPr>
          <w:noProof/>
          <w:sz w:val="20"/>
          <w:szCs w:val="20"/>
        </w:rPr>
        <w:t>about</w:t>
      </w:r>
      <w:r w:rsidR="00DB2C0A" w:rsidRPr="00DD60DD">
        <w:rPr>
          <w:noProof/>
          <w:sz w:val="20"/>
          <w:szCs w:val="20"/>
        </w:rPr>
        <w:t xml:space="preserve"> a</w:t>
      </w:r>
      <w:r w:rsidRPr="00DD60DD">
        <w:rPr>
          <w:noProof/>
          <w:sz w:val="20"/>
          <w:szCs w:val="20"/>
        </w:rPr>
        <w:t xml:space="preserve">cts imputed to the State </w:t>
      </w:r>
      <w:r w:rsidR="00DB2C0A" w:rsidRPr="00DD60DD">
        <w:rPr>
          <w:noProof/>
          <w:sz w:val="20"/>
          <w:szCs w:val="20"/>
        </w:rPr>
        <w:t>that allegedly i</w:t>
      </w:r>
      <w:r w:rsidR="007D5183" w:rsidRPr="00DD60DD">
        <w:rPr>
          <w:noProof/>
          <w:sz w:val="20"/>
          <w:szCs w:val="20"/>
        </w:rPr>
        <w:t>mpair</w:t>
      </w:r>
      <w:r w:rsidR="00DB2C0A" w:rsidRPr="00DD60DD">
        <w:rPr>
          <w:noProof/>
          <w:sz w:val="20"/>
          <w:szCs w:val="20"/>
        </w:rPr>
        <w:t>ed</w:t>
      </w:r>
      <w:r w:rsidR="007D5183" w:rsidRPr="00DD60DD">
        <w:rPr>
          <w:noProof/>
          <w:sz w:val="20"/>
          <w:szCs w:val="20"/>
        </w:rPr>
        <w:t xml:space="preserve"> human rights</w:t>
      </w:r>
      <w:r w:rsidR="002B34FC" w:rsidRPr="00DD60DD">
        <w:rPr>
          <w:noProof/>
          <w:sz w:val="20"/>
          <w:szCs w:val="20"/>
        </w:rPr>
        <w:t xml:space="preserve">—which </w:t>
      </w:r>
      <w:r w:rsidRPr="00DD60DD">
        <w:rPr>
          <w:noProof/>
          <w:sz w:val="20"/>
          <w:szCs w:val="20"/>
        </w:rPr>
        <w:t xml:space="preserve">is necessary </w:t>
      </w:r>
      <w:r w:rsidR="00DB2C0A" w:rsidRPr="00DD60DD">
        <w:rPr>
          <w:noProof/>
          <w:sz w:val="20"/>
          <w:szCs w:val="20"/>
        </w:rPr>
        <w:t xml:space="preserve">to conduct </w:t>
      </w:r>
      <w:r w:rsidRPr="00DD60DD">
        <w:rPr>
          <w:noProof/>
          <w:sz w:val="20"/>
          <w:szCs w:val="20"/>
        </w:rPr>
        <w:t>the respective analysis</w:t>
      </w:r>
      <w:r w:rsidR="002B34FC" w:rsidRPr="00DD60DD">
        <w:rPr>
          <w:noProof/>
          <w:sz w:val="20"/>
          <w:szCs w:val="20"/>
        </w:rPr>
        <w:t>—in connection with Mrs. Pariahuachi</w:t>
      </w:r>
      <w:r w:rsidRPr="00DD60DD">
        <w:rPr>
          <w:noProof/>
          <w:sz w:val="20"/>
          <w:szCs w:val="20"/>
        </w:rPr>
        <w:t>. Th</w:t>
      </w:r>
      <w:r w:rsidR="00C67626" w:rsidRPr="00DD60DD">
        <w:rPr>
          <w:noProof/>
          <w:sz w:val="20"/>
          <w:szCs w:val="20"/>
        </w:rPr>
        <w:t>e</w:t>
      </w:r>
      <w:r w:rsidR="00746542" w:rsidRPr="00DD60DD">
        <w:rPr>
          <w:noProof/>
          <w:sz w:val="20"/>
          <w:szCs w:val="20"/>
        </w:rPr>
        <w:t xml:space="preserve"> State</w:t>
      </w:r>
      <w:r w:rsidRPr="00DD60DD">
        <w:rPr>
          <w:noProof/>
          <w:sz w:val="20"/>
          <w:szCs w:val="20"/>
        </w:rPr>
        <w:t xml:space="preserve"> hold</w:t>
      </w:r>
      <w:r w:rsidR="00746542" w:rsidRPr="00DD60DD">
        <w:rPr>
          <w:noProof/>
          <w:sz w:val="20"/>
          <w:szCs w:val="20"/>
        </w:rPr>
        <w:t>s</w:t>
      </w:r>
      <w:r w:rsidRPr="00DD60DD">
        <w:rPr>
          <w:noProof/>
          <w:sz w:val="20"/>
          <w:szCs w:val="20"/>
        </w:rPr>
        <w:t xml:space="preserve"> that the petitioners merely are challenging a law (</w:t>
      </w:r>
      <w:r w:rsidR="00AF78EE" w:rsidRPr="00DD60DD">
        <w:rPr>
          <w:noProof/>
          <w:sz w:val="20"/>
          <w:szCs w:val="20"/>
        </w:rPr>
        <w:t>L</w:t>
      </w:r>
      <w:r w:rsidRPr="00DD60DD">
        <w:rPr>
          <w:noProof/>
          <w:sz w:val="20"/>
          <w:szCs w:val="20"/>
        </w:rPr>
        <w:t>aw</w:t>
      </w:r>
      <w:r w:rsidR="00AF78EE" w:rsidRPr="00DD60DD">
        <w:rPr>
          <w:noProof/>
          <w:sz w:val="20"/>
          <w:szCs w:val="20"/>
        </w:rPr>
        <w:t xml:space="preserve"> </w:t>
      </w:r>
      <w:r w:rsidR="00D15E4C" w:rsidRPr="00DD60DD">
        <w:rPr>
          <w:noProof/>
          <w:sz w:val="20"/>
          <w:szCs w:val="20"/>
        </w:rPr>
        <w:t>N°273</w:t>
      </w:r>
      <w:r w:rsidR="003044AD" w:rsidRPr="00DD60DD">
        <w:rPr>
          <w:noProof/>
          <w:sz w:val="20"/>
          <w:szCs w:val="20"/>
        </w:rPr>
        <w:t xml:space="preserve">60 </w:t>
      </w:r>
      <w:r w:rsidRPr="00DD60DD">
        <w:rPr>
          <w:noProof/>
          <w:sz w:val="20"/>
          <w:szCs w:val="20"/>
        </w:rPr>
        <w:t>–</w:t>
      </w:r>
      <w:r w:rsidR="003044AD" w:rsidRPr="00DD60DD">
        <w:rPr>
          <w:noProof/>
          <w:sz w:val="20"/>
          <w:szCs w:val="20"/>
        </w:rPr>
        <w:t xml:space="preserve"> L</w:t>
      </w:r>
      <w:r w:rsidR="00746542" w:rsidRPr="00DD60DD">
        <w:rPr>
          <w:noProof/>
          <w:sz w:val="20"/>
          <w:szCs w:val="20"/>
        </w:rPr>
        <w:t>aw A</w:t>
      </w:r>
      <w:r w:rsidRPr="00DD60DD">
        <w:rPr>
          <w:noProof/>
          <w:sz w:val="20"/>
          <w:szCs w:val="20"/>
        </w:rPr>
        <w:t>pproving Provisions to Promote the Agricultural Sector</w:t>
      </w:r>
      <w:r w:rsidR="00D15E4C" w:rsidRPr="00DD60DD">
        <w:rPr>
          <w:noProof/>
          <w:sz w:val="20"/>
          <w:szCs w:val="20"/>
        </w:rPr>
        <w:t xml:space="preserve">) </w:t>
      </w:r>
      <w:r w:rsidR="00C67626" w:rsidRPr="00DD60DD">
        <w:rPr>
          <w:noProof/>
          <w:sz w:val="20"/>
          <w:szCs w:val="20"/>
        </w:rPr>
        <w:t xml:space="preserve">that purportedly </w:t>
      </w:r>
      <w:r w:rsidR="002B34FC" w:rsidRPr="00DD60DD">
        <w:rPr>
          <w:noProof/>
          <w:sz w:val="20"/>
          <w:szCs w:val="20"/>
        </w:rPr>
        <w:t xml:space="preserve">is applicable </w:t>
      </w:r>
      <w:r w:rsidR="00C67626" w:rsidRPr="00DD60DD">
        <w:rPr>
          <w:noProof/>
          <w:sz w:val="20"/>
          <w:szCs w:val="20"/>
        </w:rPr>
        <w:t>to the</w:t>
      </w:r>
      <w:r w:rsidR="002B34FC" w:rsidRPr="00DD60DD">
        <w:rPr>
          <w:noProof/>
          <w:sz w:val="20"/>
          <w:szCs w:val="20"/>
        </w:rPr>
        <w:t>m</w:t>
      </w:r>
      <w:r w:rsidR="00746542" w:rsidRPr="00DD60DD">
        <w:rPr>
          <w:noProof/>
          <w:sz w:val="20"/>
          <w:szCs w:val="20"/>
        </w:rPr>
        <w:t xml:space="preserve">, but they </w:t>
      </w:r>
      <w:r w:rsidR="00C67626" w:rsidRPr="00DD60DD">
        <w:rPr>
          <w:noProof/>
          <w:sz w:val="20"/>
          <w:szCs w:val="20"/>
        </w:rPr>
        <w:t xml:space="preserve">do not </w:t>
      </w:r>
      <w:r w:rsidR="002B34FC" w:rsidRPr="00DD60DD">
        <w:rPr>
          <w:noProof/>
          <w:sz w:val="20"/>
          <w:szCs w:val="20"/>
        </w:rPr>
        <w:t xml:space="preserve">connect the dots to </w:t>
      </w:r>
      <w:r w:rsidR="00C67626" w:rsidRPr="00DD60DD">
        <w:rPr>
          <w:noProof/>
          <w:sz w:val="20"/>
          <w:szCs w:val="20"/>
        </w:rPr>
        <w:t xml:space="preserve">show how the alleged violations </w:t>
      </w:r>
      <w:r w:rsidR="00F00D3D" w:rsidRPr="00DD60DD">
        <w:rPr>
          <w:noProof/>
          <w:sz w:val="20"/>
          <w:szCs w:val="20"/>
        </w:rPr>
        <w:t xml:space="preserve">specifically </w:t>
      </w:r>
      <w:r w:rsidR="0043000E" w:rsidRPr="00DD60DD">
        <w:rPr>
          <w:noProof/>
          <w:sz w:val="20"/>
          <w:szCs w:val="20"/>
        </w:rPr>
        <w:t xml:space="preserve">played out for </w:t>
      </w:r>
      <w:r w:rsidR="00C67626" w:rsidRPr="00DD60DD">
        <w:rPr>
          <w:noProof/>
          <w:sz w:val="20"/>
          <w:szCs w:val="20"/>
        </w:rPr>
        <w:t xml:space="preserve">Mrs. Rosa Elena Pariahuachi. </w:t>
      </w:r>
      <w:r w:rsidR="0043000E" w:rsidRPr="00DD60DD">
        <w:rPr>
          <w:noProof/>
          <w:sz w:val="20"/>
          <w:szCs w:val="20"/>
        </w:rPr>
        <w:t xml:space="preserve"> In addition to the foregoing, the State </w:t>
      </w:r>
      <w:r w:rsidR="002B34FC" w:rsidRPr="00DD60DD">
        <w:rPr>
          <w:noProof/>
          <w:sz w:val="20"/>
          <w:szCs w:val="20"/>
        </w:rPr>
        <w:t>further adduces</w:t>
      </w:r>
      <w:r w:rsidR="0043000E" w:rsidRPr="00DD60DD">
        <w:rPr>
          <w:noProof/>
          <w:sz w:val="20"/>
          <w:szCs w:val="20"/>
        </w:rPr>
        <w:t xml:space="preserve"> that Mrs. Pariahuachi did not exhaust domestic remedies inasmuch as she failed to file </w:t>
      </w:r>
      <w:r w:rsidR="002B34FC" w:rsidRPr="00DD60DD">
        <w:rPr>
          <w:noProof/>
          <w:sz w:val="20"/>
          <w:szCs w:val="20"/>
        </w:rPr>
        <w:t>on her own behalf</w:t>
      </w:r>
      <w:r w:rsidR="0043000E" w:rsidRPr="00DD60DD">
        <w:rPr>
          <w:noProof/>
          <w:sz w:val="20"/>
          <w:szCs w:val="20"/>
        </w:rPr>
        <w:t xml:space="preserve"> </w:t>
      </w:r>
      <w:r w:rsidR="002B34FC" w:rsidRPr="00DD60DD">
        <w:rPr>
          <w:noProof/>
          <w:sz w:val="20"/>
          <w:szCs w:val="20"/>
        </w:rPr>
        <w:t xml:space="preserve">the appropriate and effective remedies available in the domestic </w:t>
      </w:r>
      <w:r w:rsidR="00F00D3D" w:rsidRPr="00DD60DD">
        <w:rPr>
          <w:noProof/>
          <w:sz w:val="20"/>
          <w:szCs w:val="20"/>
        </w:rPr>
        <w:t>legal system</w:t>
      </w:r>
      <w:r w:rsidR="002B34FC" w:rsidRPr="00DD60DD">
        <w:rPr>
          <w:noProof/>
          <w:sz w:val="20"/>
          <w:szCs w:val="20"/>
        </w:rPr>
        <w:t xml:space="preserve"> prior to turning to the IACHR</w:t>
      </w:r>
      <w:r w:rsidR="0043000E" w:rsidRPr="00DD60DD">
        <w:rPr>
          <w:noProof/>
          <w:sz w:val="20"/>
          <w:szCs w:val="20"/>
        </w:rPr>
        <w:t>.</w:t>
      </w:r>
      <w:r w:rsidR="00C73AA0" w:rsidRPr="00DD60DD">
        <w:rPr>
          <w:noProof/>
          <w:sz w:val="20"/>
          <w:szCs w:val="20"/>
        </w:rPr>
        <w:t xml:space="preserve"> </w:t>
      </w:r>
    </w:p>
    <w:p w:rsidR="00A57903" w:rsidRPr="00DD60DD" w:rsidRDefault="002B34FC" w:rsidP="0083258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noProof/>
          <w:sz w:val="20"/>
          <w:szCs w:val="20"/>
        </w:rPr>
      </w:pPr>
      <w:r w:rsidRPr="00DD60DD">
        <w:rPr>
          <w:noProof/>
          <w:sz w:val="20"/>
          <w:szCs w:val="20"/>
        </w:rPr>
        <w:t>The State</w:t>
      </w:r>
      <w:r w:rsidR="0043000E" w:rsidRPr="00DD60DD">
        <w:rPr>
          <w:noProof/>
          <w:sz w:val="20"/>
          <w:szCs w:val="20"/>
        </w:rPr>
        <w:t xml:space="preserve"> indicates that the Peruvian Constitution of 1993 allows for a law’s constitutionality to be challenged by certain authorities or individuals,</w:t>
      </w:r>
      <w:r w:rsidR="00C12E9F" w:rsidRPr="00DD60DD">
        <w:rPr>
          <w:rStyle w:val="FootnoteReference"/>
          <w:noProof/>
          <w:sz w:val="20"/>
          <w:szCs w:val="20"/>
        </w:rPr>
        <w:footnoteReference w:id="4"/>
      </w:r>
      <w:r w:rsidR="00F42126" w:rsidRPr="00DD60DD">
        <w:rPr>
          <w:noProof/>
          <w:sz w:val="20"/>
          <w:szCs w:val="20"/>
        </w:rPr>
        <w:t xml:space="preserve"> </w:t>
      </w:r>
      <w:r w:rsidR="0043000E" w:rsidRPr="00DD60DD">
        <w:rPr>
          <w:noProof/>
          <w:sz w:val="20"/>
          <w:szCs w:val="20"/>
        </w:rPr>
        <w:t xml:space="preserve">but underscores that the alleged victim is not any of the </w:t>
      </w:r>
      <w:r w:rsidR="00214C8E" w:rsidRPr="00DD60DD">
        <w:rPr>
          <w:noProof/>
          <w:sz w:val="20"/>
          <w:szCs w:val="20"/>
        </w:rPr>
        <w:t>authorities</w:t>
      </w:r>
      <w:r w:rsidR="0043000E" w:rsidRPr="00DD60DD">
        <w:rPr>
          <w:noProof/>
          <w:sz w:val="20"/>
          <w:szCs w:val="20"/>
        </w:rPr>
        <w:t xml:space="preserve"> mentioned nor </w:t>
      </w:r>
      <w:r w:rsidR="00531EA4" w:rsidRPr="00DD60DD">
        <w:rPr>
          <w:noProof/>
          <w:sz w:val="20"/>
          <w:szCs w:val="20"/>
        </w:rPr>
        <w:t>did she take part in</w:t>
      </w:r>
      <w:r w:rsidR="0043000E" w:rsidRPr="00DD60DD">
        <w:rPr>
          <w:noProof/>
          <w:sz w:val="20"/>
          <w:szCs w:val="20"/>
        </w:rPr>
        <w:t xml:space="preserve"> any citizen initiative that challenged the aforementioned Law. The</w:t>
      </w:r>
      <w:r w:rsidR="00531EA4" w:rsidRPr="00DD60DD">
        <w:rPr>
          <w:noProof/>
          <w:sz w:val="20"/>
          <w:szCs w:val="20"/>
        </w:rPr>
        <w:t xml:space="preserve"> State</w:t>
      </w:r>
      <w:r w:rsidR="0043000E" w:rsidRPr="00DD60DD">
        <w:rPr>
          <w:noProof/>
          <w:sz w:val="20"/>
          <w:szCs w:val="20"/>
        </w:rPr>
        <w:t xml:space="preserve"> </w:t>
      </w:r>
      <w:r w:rsidR="00531EA4" w:rsidRPr="00DD60DD">
        <w:rPr>
          <w:noProof/>
          <w:sz w:val="20"/>
          <w:szCs w:val="20"/>
        </w:rPr>
        <w:t>further indicates</w:t>
      </w:r>
      <w:r w:rsidR="0043000E" w:rsidRPr="00DD60DD">
        <w:rPr>
          <w:noProof/>
          <w:sz w:val="20"/>
          <w:szCs w:val="20"/>
        </w:rPr>
        <w:t xml:space="preserve"> that Article 200(2) of the Constitution provides for </w:t>
      </w:r>
      <w:r w:rsidR="0043000E" w:rsidRPr="00DD60DD">
        <w:rPr>
          <w:i/>
          <w:noProof/>
          <w:sz w:val="20"/>
          <w:szCs w:val="20"/>
        </w:rPr>
        <w:t>amparo</w:t>
      </w:r>
      <w:r w:rsidR="0043000E" w:rsidRPr="00DD60DD">
        <w:rPr>
          <w:noProof/>
          <w:sz w:val="20"/>
          <w:szCs w:val="20"/>
        </w:rPr>
        <w:t xml:space="preserve"> appeals as one of the constitutional guarantees that </w:t>
      </w:r>
      <w:r w:rsidR="00531EA4" w:rsidRPr="00DD60DD">
        <w:rPr>
          <w:noProof/>
          <w:sz w:val="20"/>
          <w:szCs w:val="20"/>
        </w:rPr>
        <w:t>is</w:t>
      </w:r>
      <w:r w:rsidR="0043000E" w:rsidRPr="00DD60DD">
        <w:rPr>
          <w:noProof/>
          <w:sz w:val="20"/>
          <w:szCs w:val="20"/>
        </w:rPr>
        <w:t xml:space="preserve"> </w:t>
      </w:r>
      <w:r w:rsidR="00F10E95" w:rsidRPr="00DD60DD">
        <w:rPr>
          <w:noProof/>
          <w:sz w:val="20"/>
          <w:szCs w:val="20"/>
        </w:rPr>
        <w:t>appropriate</w:t>
      </w:r>
      <w:r w:rsidR="0043000E" w:rsidRPr="00DD60DD">
        <w:rPr>
          <w:noProof/>
          <w:sz w:val="20"/>
          <w:szCs w:val="20"/>
        </w:rPr>
        <w:t xml:space="preserve"> when any authority, government employee, or individual’</w:t>
      </w:r>
      <w:r w:rsidR="00214C8E" w:rsidRPr="00DD60DD">
        <w:rPr>
          <w:noProof/>
          <w:sz w:val="20"/>
          <w:szCs w:val="20"/>
        </w:rPr>
        <w:t>s acts or o</w:t>
      </w:r>
      <w:r w:rsidR="0043000E" w:rsidRPr="00DD60DD">
        <w:rPr>
          <w:noProof/>
          <w:sz w:val="20"/>
          <w:szCs w:val="20"/>
        </w:rPr>
        <w:t>missions violate or threaten righ</w:t>
      </w:r>
      <w:r w:rsidR="00214C8E" w:rsidRPr="00DD60DD">
        <w:rPr>
          <w:noProof/>
          <w:sz w:val="20"/>
          <w:szCs w:val="20"/>
        </w:rPr>
        <w:t>t</w:t>
      </w:r>
      <w:r w:rsidR="0043000E" w:rsidRPr="00DD60DD">
        <w:rPr>
          <w:noProof/>
          <w:sz w:val="20"/>
          <w:szCs w:val="20"/>
        </w:rPr>
        <w:t>s s</w:t>
      </w:r>
      <w:r w:rsidR="00214C8E" w:rsidRPr="00DD60DD">
        <w:rPr>
          <w:noProof/>
          <w:sz w:val="20"/>
          <w:szCs w:val="20"/>
        </w:rPr>
        <w:t xml:space="preserve">uch as the right to equal </w:t>
      </w:r>
      <w:r w:rsidR="00F10E95" w:rsidRPr="00DD60DD">
        <w:rPr>
          <w:noProof/>
          <w:sz w:val="20"/>
          <w:szCs w:val="20"/>
        </w:rPr>
        <w:t>protection</w:t>
      </w:r>
      <w:r w:rsidR="0043000E" w:rsidRPr="00DD60DD">
        <w:rPr>
          <w:noProof/>
          <w:sz w:val="20"/>
          <w:szCs w:val="20"/>
        </w:rPr>
        <w:t xml:space="preserve"> and non-</w:t>
      </w:r>
      <w:r w:rsidR="00214C8E" w:rsidRPr="00DD60DD">
        <w:rPr>
          <w:noProof/>
          <w:sz w:val="20"/>
          <w:szCs w:val="20"/>
        </w:rPr>
        <w:t>discrimination</w:t>
      </w:r>
      <w:r w:rsidR="00F10E95" w:rsidRPr="00DD60DD">
        <w:rPr>
          <w:noProof/>
          <w:sz w:val="20"/>
          <w:szCs w:val="20"/>
        </w:rPr>
        <w:t>,</w:t>
      </w:r>
      <w:r w:rsidR="0043000E" w:rsidRPr="00DD60DD">
        <w:rPr>
          <w:noProof/>
          <w:sz w:val="20"/>
          <w:szCs w:val="20"/>
        </w:rPr>
        <w:t xml:space="preserve"> the right to work, among other</w:t>
      </w:r>
      <w:r w:rsidR="00F10E95" w:rsidRPr="00DD60DD">
        <w:rPr>
          <w:noProof/>
          <w:sz w:val="20"/>
          <w:szCs w:val="20"/>
        </w:rPr>
        <w:t>s</w:t>
      </w:r>
      <w:r w:rsidR="0043000E" w:rsidRPr="00DD60DD">
        <w:rPr>
          <w:noProof/>
          <w:sz w:val="20"/>
          <w:szCs w:val="20"/>
        </w:rPr>
        <w:t xml:space="preserve"> reco</w:t>
      </w:r>
      <w:r w:rsidR="00214C8E" w:rsidRPr="00DD60DD">
        <w:rPr>
          <w:noProof/>
          <w:sz w:val="20"/>
          <w:szCs w:val="20"/>
        </w:rPr>
        <w:t>g</w:t>
      </w:r>
      <w:r w:rsidR="0043000E" w:rsidRPr="00DD60DD">
        <w:rPr>
          <w:noProof/>
          <w:sz w:val="20"/>
          <w:szCs w:val="20"/>
        </w:rPr>
        <w:t>nized by the Constitution. Additionally, Article 37 of the Co</w:t>
      </w:r>
      <w:r w:rsidR="00F10E95" w:rsidRPr="00DD60DD">
        <w:rPr>
          <w:noProof/>
          <w:sz w:val="20"/>
          <w:szCs w:val="20"/>
        </w:rPr>
        <w:t>d</w:t>
      </w:r>
      <w:r w:rsidR="0043000E" w:rsidRPr="00DD60DD">
        <w:rPr>
          <w:noProof/>
          <w:sz w:val="20"/>
          <w:szCs w:val="20"/>
        </w:rPr>
        <w:t xml:space="preserve">e of Constitutional Procedure specifies the </w:t>
      </w:r>
      <w:r w:rsidR="00214C8E" w:rsidRPr="00DD60DD">
        <w:rPr>
          <w:noProof/>
          <w:sz w:val="20"/>
          <w:szCs w:val="20"/>
        </w:rPr>
        <w:t>rights</w:t>
      </w:r>
      <w:r w:rsidR="0043000E" w:rsidRPr="00DD60DD">
        <w:rPr>
          <w:noProof/>
          <w:sz w:val="20"/>
          <w:szCs w:val="20"/>
        </w:rPr>
        <w:t xml:space="preserve"> whose protection may be invoked in </w:t>
      </w:r>
      <w:r w:rsidR="0043000E" w:rsidRPr="00DD60DD">
        <w:rPr>
          <w:i/>
          <w:noProof/>
          <w:sz w:val="20"/>
          <w:szCs w:val="20"/>
        </w:rPr>
        <w:t>amparo</w:t>
      </w:r>
      <w:r w:rsidR="0043000E" w:rsidRPr="00DD60DD">
        <w:rPr>
          <w:noProof/>
          <w:sz w:val="20"/>
          <w:szCs w:val="20"/>
        </w:rPr>
        <w:t xml:space="preserve"> proceedings. </w:t>
      </w:r>
      <w:r w:rsidR="00531EA4" w:rsidRPr="00DD60DD">
        <w:rPr>
          <w:noProof/>
          <w:sz w:val="20"/>
          <w:szCs w:val="20"/>
        </w:rPr>
        <w:t>T</w:t>
      </w:r>
      <w:r w:rsidR="0043000E" w:rsidRPr="00DD60DD">
        <w:rPr>
          <w:noProof/>
          <w:sz w:val="20"/>
          <w:szCs w:val="20"/>
        </w:rPr>
        <w:t>he alleged victim</w:t>
      </w:r>
      <w:r w:rsidR="00531EA4" w:rsidRPr="00DD60DD">
        <w:rPr>
          <w:noProof/>
          <w:sz w:val="20"/>
          <w:szCs w:val="20"/>
        </w:rPr>
        <w:t>, however,</w:t>
      </w:r>
      <w:r w:rsidR="0043000E" w:rsidRPr="00DD60DD">
        <w:rPr>
          <w:noProof/>
          <w:sz w:val="20"/>
          <w:szCs w:val="20"/>
        </w:rPr>
        <w:t xml:space="preserve"> decided </w:t>
      </w:r>
      <w:r w:rsidR="00F10E95" w:rsidRPr="00DD60DD">
        <w:rPr>
          <w:noProof/>
          <w:sz w:val="20"/>
          <w:szCs w:val="20"/>
        </w:rPr>
        <w:t>not to</w:t>
      </w:r>
      <w:r w:rsidR="0043000E" w:rsidRPr="00DD60DD">
        <w:rPr>
          <w:noProof/>
          <w:sz w:val="20"/>
          <w:szCs w:val="20"/>
        </w:rPr>
        <w:t xml:space="preserve"> resort to an </w:t>
      </w:r>
      <w:r w:rsidR="0043000E" w:rsidRPr="00DD60DD">
        <w:rPr>
          <w:i/>
          <w:noProof/>
          <w:sz w:val="20"/>
          <w:szCs w:val="20"/>
        </w:rPr>
        <w:t>amparo</w:t>
      </w:r>
      <w:r w:rsidR="0043000E" w:rsidRPr="00DD60DD">
        <w:rPr>
          <w:noProof/>
          <w:sz w:val="20"/>
          <w:szCs w:val="20"/>
        </w:rPr>
        <w:t xml:space="preserve"> appeal even though it would have </w:t>
      </w:r>
      <w:r w:rsidR="00F10E95" w:rsidRPr="00DD60DD">
        <w:rPr>
          <w:noProof/>
          <w:sz w:val="20"/>
          <w:szCs w:val="20"/>
        </w:rPr>
        <w:t xml:space="preserve">thereby </w:t>
      </w:r>
      <w:r w:rsidR="00214C8E" w:rsidRPr="00DD60DD">
        <w:rPr>
          <w:noProof/>
          <w:sz w:val="20"/>
          <w:szCs w:val="20"/>
        </w:rPr>
        <w:t xml:space="preserve">been possible for the </w:t>
      </w:r>
      <w:r w:rsidR="00F10E95" w:rsidRPr="00DD60DD">
        <w:rPr>
          <w:noProof/>
          <w:sz w:val="20"/>
          <w:szCs w:val="20"/>
        </w:rPr>
        <w:t>domestic</w:t>
      </w:r>
      <w:r w:rsidR="00214C8E" w:rsidRPr="00DD60DD">
        <w:rPr>
          <w:noProof/>
          <w:sz w:val="20"/>
          <w:szCs w:val="20"/>
        </w:rPr>
        <w:t xml:space="preserve"> c</w:t>
      </w:r>
      <w:r w:rsidR="0043000E" w:rsidRPr="00DD60DD">
        <w:rPr>
          <w:noProof/>
          <w:sz w:val="20"/>
          <w:szCs w:val="20"/>
        </w:rPr>
        <w:t xml:space="preserve">ourts to hear and review the situation </w:t>
      </w:r>
      <w:r w:rsidR="00214C8E" w:rsidRPr="00DD60DD">
        <w:rPr>
          <w:noProof/>
          <w:sz w:val="20"/>
          <w:szCs w:val="20"/>
        </w:rPr>
        <w:t xml:space="preserve">that Mrs. Pariahuachi </w:t>
      </w:r>
      <w:r w:rsidR="00F10E95" w:rsidRPr="00DD60DD">
        <w:rPr>
          <w:noProof/>
          <w:sz w:val="20"/>
          <w:szCs w:val="20"/>
        </w:rPr>
        <w:t>asserts violated her</w:t>
      </w:r>
      <w:r w:rsidR="00214C8E" w:rsidRPr="00DD60DD">
        <w:rPr>
          <w:noProof/>
          <w:sz w:val="20"/>
          <w:szCs w:val="20"/>
        </w:rPr>
        <w:t xml:space="preserve"> rights. The State claims that the alleged victim failed to </w:t>
      </w:r>
      <w:r w:rsidR="00F10E95" w:rsidRPr="00DD60DD">
        <w:rPr>
          <w:noProof/>
          <w:sz w:val="20"/>
          <w:szCs w:val="20"/>
        </w:rPr>
        <w:t>provide</w:t>
      </w:r>
      <w:r w:rsidR="00531EA4" w:rsidRPr="00DD60DD">
        <w:rPr>
          <w:noProof/>
          <w:sz w:val="20"/>
          <w:szCs w:val="20"/>
        </w:rPr>
        <w:t xml:space="preserve"> information about </w:t>
      </w:r>
      <w:r w:rsidR="00531EA4" w:rsidRPr="00ED2F90">
        <w:rPr>
          <w:noProof/>
          <w:sz w:val="20"/>
          <w:szCs w:val="20"/>
        </w:rPr>
        <w:t>her grievance</w:t>
      </w:r>
      <w:r w:rsidR="00214C8E" w:rsidRPr="00ED2F90">
        <w:rPr>
          <w:noProof/>
          <w:sz w:val="20"/>
          <w:szCs w:val="20"/>
        </w:rPr>
        <w:t xml:space="preserve"> </w:t>
      </w:r>
      <w:r w:rsidR="00AC0993" w:rsidRPr="00ED2F90">
        <w:rPr>
          <w:noProof/>
          <w:sz w:val="20"/>
          <w:szCs w:val="20"/>
        </w:rPr>
        <w:t>for</w:t>
      </w:r>
      <w:r w:rsidR="00AC0993" w:rsidRPr="00AC0993">
        <w:rPr>
          <w:noProof/>
          <w:sz w:val="20"/>
          <w:szCs w:val="20"/>
        </w:rPr>
        <w:t xml:space="preserve"> the purpose of not being discriminated against in the application of the Law</w:t>
      </w:r>
      <w:r w:rsidR="00AC0993" w:rsidRPr="00DD60DD">
        <w:rPr>
          <w:noProof/>
          <w:sz w:val="20"/>
          <w:szCs w:val="20"/>
        </w:rPr>
        <w:t xml:space="preserve"> </w:t>
      </w:r>
      <w:r w:rsidR="00F10E95" w:rsidRPr="00DD60DD">
        <w:rPr>
          <w:noProof/>
          <w:sz w:val="20"/>
          <w:szCs w:val="20"/>
        </w:rPr>
        <w:t xml:space="preserve">via </w:t>
      </w:r>
      <w:r w:rsidR="00214C8E" w:rsidRPr="00DD60DD">
        <w:rPr>
          <w:noProof/>
          <w:sz w:val="20"/>
          <w:szCs w:val="20"/>
        </w:rPr>
        <w:t xml:space="preserve">specific </w:t>
      </w:r>
      <w:r w:rsidR="00F10E95" w:rsidRPr="00DD60DD">
        <w:rPr>
          <w:noProof/>
          <w:sz w:val="20"/>
          <w:szCs w:val="20"/>
        </w:rPr>
        <w:t xml:space="preserve">labor </w:t>
      </w:r>
      <w:r w:rsidR="00214C8E" w:rsidRPr="00DD60DD">
        <w:rPr>
          <w:noProof/>
          <w:sz w:val="20"/>
          <w:szCs w:val="20"/>
        </w:rPr>
        <w:t xml:space="preserve">proceedings </w:t>
      </w:r>
      <w:r w:rsidR="00FF3509" w:rsidRPr="00DD60DD">
        <w:rPr>
          <w:noProof/>
          <w:sz w:val="20"/>
          <w:szCs w:val="20"/>
        </w:rPr>
        <w:t>that concerned</w:t>
      </w:r>
      <w:r w:rsidR="00F10E95" w:rsidRPr="00DD60DD">
        <w:rPr>
          <w:noProof/>
          <w:sz w:val="20"/>
          <w:szCs w:val="20"/>
        </w:rPr>
        <w:t xml:space="preserve"> </w:t>
      </w:r>
      <w:r w:rsidR="00531EA4" w:rsidRPr="00DD60DD">
        <w:rPr>
          <w:noProof/>
          <w:sz w:val="20"/>
          <w:szCs w:val="20"/>
        </w:rPr>
        <w:t xml:space="preserve">the </w:t>
      </w:r>
      <w:r w:rsidR="00214C8E" w:rsidRPr="00DD60DD">
        <w:rPr>
          <w:noProof/>
          <w:sz w:val="20"/>
          <w:szCs w:val="20"/>
        </w:rPr>
        <w:t>right</w:t>
      </w:r>
      <w:r w:rsidR="00F10E95" w:rsidRPr="00DD60DD">
        <w:rPr>
          <w:noProof/>
          <w:sz w:val="20"/>
          <w:szCs w:val="20"/>
        </w:rPr>
        <w:t>s, which</w:t>
      </w:r>
      <w:r w:rsidR="00214C8E" w:rsidRPr="00DD60DD">
        <w:rPr>
          <w:noProof/>
          <w:sz w:val="20"/>
          <w:szCs w:val="20"/>
        </w:rPr>
        <w:t xml:space="preserve">, as an agricultural worker, </w:t>
      </w:r>
      <w:r w:rsidR="00F10E95" w:rsidRPr="00DD60DD">
        <w:rPr>
          <w:noProof/>
          <w:sz w:val="20"/>
          <w:szCs w:val="20"/>
        </w:rPr>
        <w:t xml:space="preserve">she deemed had </w:t>
      </w:r>
      <w:r w:rsidR="00214C8E" w:rsidRPr="00DD60DD">
        <w:rPr>
          <w:noProof/>
          <w:sz w:val="20"/>
          <w:szCs w:val="20"/>
        </w:rPr>
        <w:t>been violated.</w:t>
      </w:r>
    </w:p>
    <w:p w:rsidR="005041F0" w:rsidRPr="00DD60DD" w:rsidRDefault="00A54832" w:rsidP="0083258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noProof/>
          <w:sz w:val="20"/>
          <w:szCs w:val="20"/>
        </w:rPr>
      </w:pPr>
      <w:r w:rsidRPr="00DD60DD">
        <w:rPr>
          <w:noProof/>
          <w:sz w:val="20"/>
          <w:szCs w:val="20"/>
        </w:rPr>
        <w:t>With respect to competence</w:t>
      </w:r>
      <w:r w:rsidR="0042347A" w:rsidRPr="00DD60DD">
        <w:rPr>
          <w:noProof/>
          <w:sz w:val="20"/>
          <w:szCs w:val="20"/>
        </w:rPr>
        <w:t xml:space="preserve"> </w:t>
      </w:r>
      <w:r w:rsidR="0042347A" w:rsidRPr="00DD60DD">
        <w:rPr>
          <w:i/>
          <w:noProof/>
          <w:sz w:val="20"/>
          <w:szCs w:val="20"/>
        </w:rPr>
        <w:t>ratione personae</w:t>
      </w:r>
      <w:r w:rsidR="005041F0" w:rsidRPr="00DD60DD">
        <w:rPr>
          <w:noProof/>
          <w:sz w:val="20"/>
          <w:szCs w:val="20"/>
        </w:rPr>
        <w:t>,</w:t>
      </w:r>
      <w:r w:rsidR="00BC4F75" w:rsidRPr="00DD60DD">
        <w:rPr>
          <w:noProof/>
          <w:sz w:val="20"/>
          <w:szCs w:val="20"/>
        </w:rPr>
        <w:t xml:space="preserve"> </w:t>
      </w:r>
      <w:r w:rsidR="008E6CBA" w:rsidRPr="00DD60DD">
        <w:rPr>
          <w:noProof/>
          <w:sz w:val="20"/>
          <w:szCs w:val="20"/>
        </w:rPr>
        <w:t>the State claim</w:t>
      </w:r>
      <w:r w:rsidRPr="00DD60DD">
        <w:rPr>
          <w:noProof/>
          <w:sz w:val="20"/>
          <w:szCs w:val="20"/>
        </w:rPr>
        <w:t xml:space="preserve">s that the IACHR lacks competence to analyze </w:t>
      </w:r>
      <w:r w:rsidR="008E6CBA" w:rsidRPr="00DD60DD">
        <w:rPr>
          <w:noProof/>
          <w:sz w:val="20"/>
          <w:szCs w:val="20"/>
        </w:rPr>
        <w:t xml:space="preserve">labor </w:t>
      </w:r>
      <w:r w:rsidRPr="00DD60DD">
        <w:rPr>
          <w:noProof/>
          <w:sz w:val="20"/>
          <w:szCs w:val="20"/>
        </w:rPr>
        <w:t>rights, which</w:t>
      </w:r>
      <w:r w:rsidR="00FF3509" w:rsidRPr="00DD60DD">
        <w:rPr>
          <w:noProof/>
          <w:sz w:val="20"/>
          <w:szCs w:val="20"/>
        </w:rPr>
        <w:t>,</w:t>
      </w:r>
      <w:r w:rsidRPr="00DD60DD">
        <w:rPr>
          <w:noProof/>
          <w:sz w:val="20"/>
          <w:szCs w:val="20"/>
        </w:rPr>
        <w:t xml:space="preserve"> although provided for and protected in the Additional Protocol to the American Convention </w:t>
      </w:r>
      <w:r w:rsidR="008E6CBA" w:rsidRPr="00DD60DD">
        <w:rPr>
          <w:noProof/>
          <w:sz w:val="20"/>
          <w:szCs w:val="20"/>
        </w:rPr>
        <w:t>in the Area of</w:t>
      </w:r>
      <w:r w:rsidRPr="00DD60DD">
        <w:rPr>
          <w:noProof/>
          <w:sz w:val="20"/>
          <w:szCs w:val="20"/>
        </w:rPr>
        <w:t xml:space="preserve"> Economic, </w:t>
      </w:r>
      <w:r w:rsidR="008E6CBA" w:rsidRPr="00DD60DD">
        <w:rPr>
          <w:noProof/>
          <w:sz w:val="20"/>
          <w:szCs w:val="20"/>
        </w:rPr>
        <w:t>Social, and Cultural Rights, “Protocol</w:t>
      </w:r>
      <w:r w:rsidRPr="00DD60DD">
        <w:rPr>
          <w:noProof/>
          <w:sz w:val="20"/>
          <w:szCs w:val="20"/>
        </w:rPr>
        <w:t xml:space="preserve"> of San Salvador,</w:t>
      </w:r>
      <w:r w:rsidR="008E6CBA" w:rsidRPr="00DD60DD">
        <w:rPr>
          <w:noProof/>
          <w:sz w:val="20"/>
          <w:szCs w:val="20"/>
        </w:rPr>
        <w:t>”</w:t>
      </w:r>
      <w:r w:rsidRPr="00DD60DD">
        <w:rPr>
          <w:noProof/>
          <w:sz w:val="20"/>
          <w:szCs w:val="20"/>
        </w:rPr>
        <w:t xml:space="preserve">  may not be subject to the petition system. Peru holds that in keeping with Article 19(6) o</w:t>
      </w:r>
      <w:r w:rsidR="008E6CBA" w:rsidRPr="00DD60DD">
        <w:rPr>
          <w:noProof/>
          <w:sz w:val="20"/>
          <w:szCs w:val="20"/>
        </w:rPr>
        <w:t>f the aforementioned Protocol thi</w:t>
      </w:r>
      <w:r w:rsidRPr="00DD60DD">
        <w:rPr>
          <w:noProof/>
          <w:sz w:val="20"/>
          <w:szCs w:val="20"/>
        </w:rPr>
        <w:t>s right may not be argued under th</w:t>
      </w:r>
      <w:r w:rsidR="0047091F" w:rsidRPr="00DD60DD">
        <w:rPr>
          <w:noProof/>
          <w:sz w:val="20"/>
          <w:szCs w:val="20"/>
        </w:rPr>
        <w:t>e individual petition system bef</w:t>
      </w:r>
      <w:r w:rsidRPr="00DD60DD">
        <w:rPr>
          <w:noProof/>
          <w:sz w:val="20"/>
          <w:szCs w:val="20"/>
        </w:rPr>
        <w:t xml:space="preserve">ore the Inter-American Commission, which is why </w:t>
      </w:r>
      <w:r w:rsidR="008E6CBA" w:rsidRPr="00DD60DD">
        <w:rPr>
          <w:noProof/>
          <w:sz w:val="20"/>
          <w:szCs w:val="20"/>
        </w:rPr>
        <w:t xml:space="preserve">the plea </w:t>
      </w:r>
      <w:r w:rsidR="00FF3509" w:rsidRPr="00DD60DD">
        <w:rPr>
          <w:noProof/>
          <w:sz w:val="20"/>
          <w:szCs w:val="20"/>
        </w:rPr>
        <w:t>regarding</w:t>
      </w:r>
      <w:r w:rsidR="008E6CBA" w:rsidRPr="00DD60DD">
        <w:rPr>
          <w:noProof/>
          <w:sz w:val="20"/>
          <w:szCs w:val="20"/>
        </w:rPr>
        <w:t xml:space="preserve"> </w:t>
      </w:r>
      <w:r w:rsidRPr="00DD60DD">
        <w:rPr>
          <w:noProof/>
          <w:sz w:val="20"/>
          <w:szCs w:val="20"/>
        </w:rPr>
        <w:t xml:space="preserve">lack of competence applies </w:t>
      </w:r>
      <w:r w:rsidR="00FF3509" w:rsidRPr="00DD60DD">
        <w:rPr>
          <w:noProof/>
          <w:sz w:val="20"/>
          <w:szCs w:val="20"/>
        </w:rPr>
        <w:t>in</w:t>
      </w:r>
      <w:r w:rsidRPr="00DD60DD">
        <w:rPr>
          <w:noProof/>
          <w:sz w:val="20"/>
          <w:szCs w:val="20"/>
        </w:rPr>
        <w:t xml:space="preserve"> this matter.  In addition to the </w:t>
      </w:r>
      <w:r w:rsidR="008E6CBA" w:rsidRPr="00DD60DD">
        <w:rPr>
          <w:noProof/>
          <w:sz w:val="20"/>
          <w:szCs w:val="20"/>
        </w:rPr>
        <w:t>pleas noted</w:t>
      </w:r>
      <w:r w:rsidRPr="00DD60DD">
        <w:rPr>
          <w:noProof/>
          <w:sz w:val="20"/>
          <w:szCs w:val="20"/>
        </w:rPr>
        <w:t>, the Peruvian State alleges that the mandatory requirement to file and exhaust domestic remedies was no</w:t>
      </w:r>
      <w:r w:rsidR="0047091F" w:rsidRPr="00DD60DD">
        <w:rPr>
          <w:noProof/>
          <w:sz w:val="20"/>
          <w:szCs w:val="20"/>
        </w:rPr>
        <w:t xml:space="preserve">t fulfilled and that </w:t>
      </w:r>
      <w:r w:rsidR="008E6CBA" w:rsidRPr="00DD60DD">
        <w:rPr>
          <w:noProof/>
          <w:sz w:val="20"/>
          <w:szCs w:val="20"/>
        </w:rPr>
        <w:t xml:space="preserve">the </w:t>
      </w:r>
      <w:r w:rsidR="0047596F" w:rsidRPr="00DD60DD">
        <w:rPr>
          <w:noProof/>
          <w:sz w:val="20"/>
          <w:szCs w:val="20"/>
        </w:rPr>
        <w:t xml:space="preserve">purported violation of </w:t>
      </w:r>
      <w:r w:rsidR="0047091F" w:rsidRPr="00DD60DD">
        <w:rPr>
          <w:noProof/>
          <w:sz w:val="20"/>
          <w:szCs w:val="20"/>
        </w:rPr>
        <w:t>the alleged victim</w:t>
      </w:r>
      <w:r w:rsidR="0047596F" w:rsidRPr="00DD60DD">
        <w:rPr>
          <w:noProof/>
          <w:sz w:val="20"/>
          <w:szCs w:val="20"/>
        </w:rPr>
        <w:t>’s rights has not been shown</w:t>
      </w:r>
      <w:r w:rsidR="0047091F" w:rsidRPr="00DD60DD">
        <w:rPr>
          <w:noProof/>
          <w:sz w:val="20"/>
          <w:szCs w:val="20"/>
        </w:rPr>
        <w:t>.  The State adds that the petition</w:t>
      </w:r>
      <w:r w:rsidR="0047596F" w:rsidRPr="00DD60DD">
        <w:rPr>
          <w:noProof/>
          <w:sz w:val="20"/>
          <w:szCs w:val="20"/>
        </w:rPr>
        <w:t>er</w:t>
      </w:r>
      <w:r w:rsidR="0047091F" w:rsidRPr="00DD60DD">
        <w:rPr>
          <w:noProof/>
          <w:sz w:val="20"/>
          <w:szCs w:val="20"/>
        </w:rPr>
        <w:t xml:space="preserve">s seek to have the IACHR review in a general manner specific international obligations and their abstract application to </w:t>
      </w:r>
      <w:r w:rsidR="00936A10" w:rsidRPr="00DD60DD">
        <w:rPr>
          <w:noProof/>
          <w:sz w:val="20"/>
          <w:szCs w:val="20"/>
        </w:rPr>
        <w:t>Mrs.</w:t>
      </w:r>
      <w:r w:rsidR="0047091F" w:rsidRPr="00DD60DD">
        <w:rPr>
          <w:noProof/>
          <w:sz w:val="20"/>
          <w:szCs w:val="20"/>
        </w:rPr>
        <w:t xml:space="preserve"> Pariahuachi and all the individuals to whom </w:t>
      </w:r>
      <w:r w:rsidR="0047596F" w:rsidRPr="00DD60DD">
        <w:rPr>
          <w:noProof/>
          <w:sz w:val="20"/>
          <w:szCs w:val="20"/>
        </w:rPr>
        <w:t>said Law</w:t>
      </w:r>
      <w:r w:rsidR="0047091F" w:rsidRPr="00DD60DD">
        <w:rPr>
          <w:noProof/>
          <w:sz w:val="20"/>
          <w:szCs w:val="20"/>
        </w:rPr>
        <w:t xml:space="preserve"> applies.  </w:t>
      </w:r>
    </w:p>
    <w:p w:rsidR="00A57903" w:rsidRPr="00DD60DD" w:rsidRDefault="003239B8" w:rsidP="0083258B">
      <w:pPr>
        <w:spacing w:before="240" w:after="240"/>
        <w:ind w:firstLine="720"/>
        <w:jc w:val="both"/>
        <w:rPr>
          <w:rFonts w:asciiTheme="majorHAnsi" w:eastAsia="Cambria" w:hAnsiTheme="majorHAnsi" w:cs="Cambria"/>
          <w:b/>
          <w:bCs/>
          <w:noProof/>
          <w:color w:val="000000"/>
          <w:sz w:val="20"/>
          <w:szCs w:val="20"/>
          <w:u w:color="000000"/>
          <w:lang w:val="en-US" w:eastAsia="es-ES"/>
        </w:rPr>
      </w:pPr>
      <w:r w:rsidRPr="00DD60DD">
        <w:rPr>
          <w:rFonts w:asciiTheme="majorHAnsi" w:eastAsia="Cambria" w:hAnsiTheme="majorHAnsi" w:cs="Cambria"/>
          <w:b/>
          <w:bCs/>
          <w:noProof/>
          <w:color w:val="000000"/>
          <w:sz w:val="20"/>
          <w:szCs w:val="20"/>
          <w:u w:color="000000"/>
          <w:lang w:val="en-US" w:eastAsia="es-ES"/>
        </w:rPr>
        <w:t>VI.</w:t>
      </w:r>
      <w:r w:rsidRPr="00DD60DD">
        <w:rPr>
          <w:rFonts w:asciiTheme="majorHAnsi" w:eastAsia="Cambria" w:hAnsiTheme="majorHAnsi" w:cs="Cambria"/>
          <w:b/>
          <w:bCs/>
          <w:noProof/>
          <w:color w:val="000000"/>
          <w:sz w:val="20"/>
          <w:szCs w:val="20"/>
          <w:u w:color="000000"/>
          <w:lang w:val="en-US" w:eastAsia="es-ES"/>
        </w:rPr>
        <w:tab/>
      </w:r>
      <w:r w:rsidR="004A6A54" w:rsidRPr="00DD60DD">
        <w:rPr>
          <w:rFonts w:asciiTheme="majorHAnsi" w:hAnsiTheme="majorHAnsi"/>
          <w:b/>
          <w:bCs/>
          <w:noProof/>
          <w:sz w:val="20"/>
          <w:szCs w:val="20"/>
          <w:lang w:val="en-US"/>
        </w:rPr>
        <w:t>AN</w:t>
      </w:r>
      <w:r w:rsidR="002A0412" w:rsidRPr="00DD60DD">
        <w:rPr>
          <w:rFonts w:asciiTheme="majorHAnsi" w:hAnsiTheme="majorHAnsi"/>
          <w:b/>
          <w:bCs/>
          <w:noProof/>
          <w:sz w:val="20"/>
          <w:szCs w:val="20"/>
          <w:lang w:val="en-US"/>
        </w:rPr>
        <w:t>ALYSIS OF ADMISSIBILITY</w:t>
      </w:r>
      <w:r w:rsidR="00C21FEF" w:rsidRPr="00DD60DD">
        <w:rPr>
          <w:rFonts w:asciiTheme="majorHAnsi" w:eastAsia="Cambria" w:hAnsiTheme="majorHAnsi" w:cs="Cambria"/>
          <w:b/>
          <w:bCs/>
          <w:noProof/>
          <w:color w:val="000000"/>
          <w:sz w:val="20"/>
          <w:szCs w:val="20"/>
          <w:u w:color="000000"/>
          <w:lang w:val="en-US" w:eastAsia="es-ES"/>
        </w:rPr>
        <w:t xml:space="preserve"> </w:t>
      </w:r>
    </w:p>
    <w:p w:rsidR="00C63BFC" w:rsidRPr="00DD60DD" w:rsidRDefault="00CC26F4" w:rsidP="00434950">
      <w:pPr>
        <w:pStyle w:val="ListParagraph"/>
        <w:numPr>
          <w:ilvl w:val="0"/>
          <w:numId w:val="57"/>
        </w:numPr>
        <w:spacing w:before="240" w:after="240"/>
        <w:ind w:left="1440" w:hanging="720"/>
        <w:jc w:val="both"/>
        <w:rPr>
          <w:rFonts w:asciiTheme="majorHAnsi" w:hAnsiTheme="majorHAnsi"/>
          <w:b/>
          <w:bCs/>
          <w:i/>
          <w:noProof/>
          <w:sz w:val="20"/>
          <w:szCs w:val="20"/>
        </w:rPr>
      </w:pPr>
      <w:r w:rsidRPr="00DD60DD">
        <w:rPr>
          <w:rFonts w:asciiTheme="majorHAnsi" w:hAnsiTheme="majorHAnsi"/>
          <w:b/>
          <w:bCs/>
          <w:noProof/>
          <w:sz w:val="20"/>
          <w:szCs w:val="20"/>
        </w:rPr>
        <w:t>Considera</w:t>
      </w:r>
      <w:r w:rsidR="00E074BE" w:rsidRPr="00DD60DD">
        <w:rPr>
          <w:rFonts w:asciiTheme="majorHAnsi" w:hAnsiTheme="majorHAnsi"/>
          <w:b/>
          <w:bCs/>
          <w:noProof/>
          <w:sz w:val="20"/>
          <w:szCs w:val="20"/>
        </w:rPr>
        <w:t xml:space="preserve">tions regarding competence </w:t>
      </w:r>
      <w:r w:rsidR="00D524BA" w:rsidRPr="00DD60DD">
        <w:rPr>
          <w:rFonts w:asciiTheme="majorHAnsi" w:hAnsiTheme="majorHAnsi"/>
          <w:b/>
          <w:bCs/>
          <w:i/>
          <w:noProof/>
          <w:sz w:val="20"/>
          <w:szCs w:val="20"/>
        </w:rPr>
        <w:t>ratione personae</w:t>
      </w:r>
    </w:p>
    <w:p w:rsidR="00EB07FF" w:rsidRPr="00DD60DD" w:rsidRDefault="00805E0F" w:rsidP="00EB07F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noProof/>
          <w:sz w:val="20"/>
          <w:szCs w:val="20"/>
        </w:rPr>
      </w:pPr>
      <w:r w:rsidRPr="00DD60DD">
        <w:rPr>
          <w:noProof/>
          <w:sz w:val="20"/>
          <w:szCs w:val="20"/>
        </w:rPr>
        <w:t>The petition states</w:t>
      </w:r>
      <w:r w:rsidR="00E27166" w:rsidRPr="00DD60DD">
        <w:rPr>
          <w:noProof/>
          <w:sz w:val="20"/>
          <w:szCs w:val="20"/>
        </w:rPr>
        <w:t xml:space="preserve"> that</w:t>
      </w:r>
      <w:r w:rsidRPr="00DD60DD">
        <w:rPr>
          <w:noProof/>
          <w:sz w:val="20"/>
          <w:szCs w:val="20"/>
        </w:rPr>
        <w:t xml:space="preserve"> the alleged victim is Mrs. Rosa </w:t>
      </w:r>
      <w:r w:rsidR="005D44A4" w:rsidRPr="00DD60DD">
        <w:rPr>
          <w:noProof/>
          <w:sz w:val="20"/>
          <w:szCs w:val="20"/>
        </w:rPr>
        <w:t xml:space="preserve">Elena Pariahuachi Palacios </w:t>
      </w:r>
      <w:r w:rsidRPr="00DD60DD">
        <w:rPr>
          <w:noProof/>
          <w:sz w:val="20"/>
          <w:szCs w:val="20"/>
        </w:rPr>
        <w:t xml:space="preserve">and </w:t>
      </w:r>
      <w:r w:rsidR="00E27166" w:rsidRPr="00DD60DD">
        <w:rPr>
          <w:noProof/>
          <w:sz w:val="20"/>
          <w:szCs w:val="20"/>
        </w:rPr>
        <w:t xml:space="preserve">also </w:t>
      </w:r>
      <w:r w:rsidRPr="00DD60DD">
        <w:rPr>
          <w:noProof/>
          <w:sz w:val="20"/>
          <w:szCs w:val="20"/>
        </w:rPr>
        <w:t>refers to a group of “workers subject to the special emplo</w:t>
      </w:r>
      <w:r w:rsidR="00E27166" w:rsidRPr="00DD60DD">
        <w:rPr>
          <w:noProof/>
          <w:sz w:val="20"/>
          <w:szCs w:val="20"/>
        </w:rPr>
        <w:t>y</w:t>
      </w:r>
      <w:r w:rsidRPr="00DD60DD">
        <w:rPr>
          <w:noProof/>
          <w:sz w:val="20"/>
          <w:szCs w:val="20"/>
        </w:rPr>
        <w:t xml:space="preserve">ment </w:t>
      </w:r>
      <w:r w:rsidR="00E27166" w:rsidRPr="00DD60DD">
        <w:rPr>
          <w:noProof/>
          <w:sz w:val="20"/>
          <w:szCs w:val="20"/>
        </w:rPr>
        <w:t>system</w:t>
      </w:r>
      <w:r w:rsidRPr="00DD60DD">
        <w:rPr>
          <w:noProof/>
          <w:sz w:val="20"/>
          <w:szCs w:val="20"/>
        </w:rPr>
        <w:t xml:space="preserve">” </w:t>
      </w:r>
      <w:r w:rsidRPr="004C5DF6">
        <w:rPr>
          <w:noProof/>
          <w:sz w:val="20"/>
          <w:szCs w:val="20"/>
        </w:rPr>
        <w:t>a</w:t>
      </w:r>
      <w:r w:rsidR="00E27166" w:rsidRPr="004C5DF6">
        <w:rPr>
          <w:noProof/>
          <w:sz w:val="20"/>
          <w:szCs w:val="20"/>
        </w:rPr>
        <w:t xml:space="preserve">s </w:t>
      </w:r>
      <w:r w:rsidR="004C5DF6">
        <w:rPr>
          <w:noProof/>
          <w:sz w:val="20"/>
          <w:szCs w:val="20"/>
        </w:rPr>
        <w:t>a collective</w:t>
      </w:r>
      <w:r w:rsidR="004C5DF6" w:rsidRPr="004C5DF6">
        <w:rPr>
          <w:noProof/>
          <w:sz w:val="20"/>
          <w:szCs w:val="20"/>
        </w:rPr>
        <w:t xml:space="preserve"> </w:t>
      </w:r>
      <w:r w:rsidRPr="004C5DF6">
        <w:rPr>
          <w:noProof/>
          <w:sz w:val="20"/>
          <w:szCs w:val="20"/>
        </w:rPr>
        <w:t>of</w:t>
      </w:r>
      <w:r w:rsidRPr="00DD60DD">
        <w:rPr>
          <w:noProof/>
          <w:sz w:val="20"/>
          <w:szCs w:val="20"/>
        </w:rPr>
        <w:t xml:space="preserve"> alleged victims. The State objects to the competence </w:t>
      </w:r>
      <w:r w:rsidR="00EB07FF" w:rsidRPr="00DD60DD">
        <w:rPr>
          <w:i/>
          <w:noProof/>
          <w:sz w:val="20"/>
          <w:szCs w:val="20"/>
        </w:rPr>
        <w:t>ratione personae</w:t>
      </w:r>
      <w:r w:rsidR="00EB07FF" w:rsidRPr="00DD60DD">
        <w:rPr>
          <w:noProof/>
          <w:sz w:val="20"/>
          <w:szCs w:val="20"/>
        </w:rPr>
        <w:t xml:space="preserve"> </w:t>
      </w:r>
      <w:r w:rsidR="00E27166" w:rsidRPr="00DD60DD">
        <w:rPr>
          <w:noProof/>
          <w:sz w:val="20"/>
          <w:szCs w:val="20"/>
        </w:rPr>
        <w:t>o</w:t>
      </w:r>
      <w:r w:rsidRPr="00DD60DD">
        <w:rPr>
          <w:noProof/>
          <w:sz w:val="20"/>
          <w:szCs w:val="20"/>
        </w:rPr>
        <w:t>f alleged victims identified as a number of yet to be determined workers subject to the agricultural employ</w:t>
      </w:r>
      <w:r w:rsidR="00E27166" w:rsidRPr="00DD60DD">
        <w:rPr>
          <w:noProof/>
          <w:sz w:val="20"/>
          <w:szCs w:val="20"/>
        </w:rPr>
        <w:t>ment system</w:t>
      </w:r>
      <w:r w:rsidRPr="00DD60DD">
        <w:rPr>
          <w:noProof/>
          <w:sz w:val="20"/>
          <w:szCs w:val="20"/>
        </w:rPr>
        <w:t>, claiming that th</w:t>
      </w:r>
      <w:r w:rsidR="00E27166" w:rsidRPr="00DD60DD">
        <w:rPr>
          <w:noProof/>
          <w:sz w:val="20"/>
          <w:szCs w:val="20"/>
        </w:rPr>
        <w:t xml:space="preserve">is group of people </w:t>
      </w:r>
      <w:r w:rsidRPr="00DD60DD">
        <w:rPr>
          <w:noProof/>
          <w:sz w:val="20"/>
          <w:szCs w:val="20"/>
        </w:rPr>
        <w:t>is abstract.</w:t>
      </w:r>
      <w:r w:rsidR="00EB07FF" w:rsidRPr="00DD60DD">
        <w:rPr>
          <w:noProof/>
          <w:sz w:val="20"/>
          <w:szCs w:val="20"/>
        </w:rPr>
        <w:t xml:space="preserve"> </w:t>
      </w:r>
    </w:p>
    <w:p w:rsidR="00C63BFC" w:rsidRPr="00BE0104" w:rsidRDefault="00D149E4" w:rsidP="00E765B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noProof/>
          <w:sz w:val="20"/>
          <w:szCs w:val="20"/>
        </w:rPr>
      </w:pPr>
      <w:r w:rsidRPr="00BE0104">
        <w:rPr>
          <w:noProof/>
          <w:sz w:val="20"/>
          <w:szCs w:val="20"/>
        </w:rPr>
        <w:t xml:space="preserve">With respect to the foregoing </w:t>
      </w:r>
      <w:r w:rsidR="00805E0F" w:rsidRPr="00BE0104">
        <w:rPr>
          <w:noProof/>
          <w:sz w:val="20"/>
          <w:szCs w:val="20"/>
        </w:rPr>
        <w:t>arguments</w:t>
      </w:r>
      <w:r w:rsidRPr="00BE0104">
        <w:rPr>
          <w:noProof/>
          <w:sz w:val="20"/>
          <w:szCs w:val="20"/>
        </w:rPr>
        <w:t>,</w:t>
      </w:r>
      <w:r w:rsidR="00805E0F" w:rsidRPr="00BE0104">
        <w:rPr>
          <w:noProof/>
          <w:sz w:val="20"/>
          <w:szCs w:val="20"/>
        </w:rPr>
        <w:t xml:space="preserve"> the Commission points out that the language of Article 44 of the Convention, which empowers “</w:t>
      </w:r>
      <w:r w:rsidRPr="00BE0104">
        <w:rPr>
          <w:noProof/>
          <w:sz w:val="20"/>
          <w:szCs w:val="20"/>
        </w:rPr>
        <w:t>a</w:t>
      </w:r>
      <w:r w:rsidR="00805E0F" w:rsidRPr="00BE0104">
        <w:rPr>
          <w:noProof/>
          <w:sz w:val="20"/>
          <w:szCs w:val="20"/>
        </w:rPr>
        <w:t>ny person or group of persons, or any nongovernmental entity […]</w:t>
      </w:r>
      <w:r w:rsidRPr="00BE0104">
        <w:rPr>
          <w:noProof/>
          <w:sz w:val="20"/>
          <w:szCs w:val="20"/>
        </w:rPr>
        <w:t xml:space="preserve"> [to]</w:t>
      </w:r>
      <w:r w:rsidR="00805E0F" w:rsidRPr="00BE0104">
        <w:rPr>
          <w:noProof/>
          <w:sz w:val="20"/>
          <w:szCs w:val="20"/>
        </w:rPr>
        <w:t xml:space="preserve"> lodge petitions with the Commission containing denunciations or complaints of violation […] by a State Party,” </w:t>
      </w:r>
      <w:r w:rsidRPr="00BE0104">
        <w:rPr>
          <w:noProof/>
          <w:sz w:val="20"/>
          <w:szCs w:val="20"/>
        </w:rPr>
        <w:t>places</w:t>
      </w:r>
      <w:r w:rsidR="00805E0F" w:rsidRPr="00BE0104">
        <w:rPr>
          <w:noProof/>
          <w:sz w:val="20"/>
          <w:szCs w:val="20"/>
        </w:rPr>
        <w:t xml:space="preserve"> no</w:t>
      </w:r>
      <w:r w:rsidRPr="00BE0104">
        <w:rPr>
          <w:noProof/>
          <w:sz w:val="20"/>
          <w:szCs w:val="20"/>
        </w:rPr>
        <w:t xml:space="preserve"> restrictions on</w:t>
      </w:r>
      <w:r w:rsidR="00805E0F" w:rsidRPr="00BE0104">
        <w:rPr>
          <w:noProof/>
          <w:sz w:val="20"/>
          <w:szCs w:val="20"/>
        </w:rPr>
        <w:t xml:space="preserve"> competence in terms of “</w:t>
      </w:r>
      <w:r w:rsidRPr="00BE0104">
        <w:rPr>
          <w:noProof/>
          <w:sz w:val="20"/>
          <w:szCs w:val="20"/>
        </w:rPr>
        <w:t>complete</w:t>
      </w:r>
      <w:r w:rsidR="00805E0F" w:rsidRPr="00BE0104">
        <w:rPr>
          <w:noProof/>
          <w:sz w:val="20"/>
          <w:szCs w:val="20"/>
        </w:rPr>
        <w:t xml:space="preserve"> and total” </w:t>
      </w:r>
      <w:r w:rsidR="00A36903" w:rsidRPr="00BE0104">
        <w:rPr>
          <w:noProof/>
          <w:sz w:val="20"/>
          <w:szCs w:val="20"/>
        </w:rPr>
        <w:t>identification</w:t>
      </w:r>
      <w:r w:rsidR="00805E0F" w:rsidRPr="00BE0104">
        <w:rPr>
          <w:noProof/>
          <w:sz w:val="20"/>
          <w:szCs w:val="20"/>
        </w:rPr>
        <w:t xml:space="preserve"> of the individuals affected by the violation. Indeed, it allows for review of violation</w:t>
      </w:r>
      <w:r w:rsidRPr="00BE0104">
        <w:rPr>
          <w:noProof/>
          <w:sz w:val="20"/>
          <w:szCs w:val="20"/>
        </w:rPr>
        <w:t>s</w:t>
      </w:r>
      <w:r w:rsidR="00805E0F" w:rsidRPr="00BE0104">
        <w:rPr>
          <w:noProof/>
          <w:sz w:val="20"/>
          <w:szCs w:val="20"/>
        </w:rPr>
        <w:t xml:space="preserve"> of human rights that</w:t>
      </w:r>
      <w:r w:rsidR="00D94C30" w:rsidRPr="00BE0104">
        <w:rPr>
          <w:noProof/>
          <w:sz w:val="20"/>
          <w:szCs w:val="20"/>
        </w:rPr>
        <w:t xml:space="preserve"> may affect </w:t>
      </w:r>
      <w:r w:rsidR="00805E0F" w:rsidRPr="00BE0104">
        <w:rPr>
          <w:noProof/>
          <w:sz w:val="20"/>
          <w:szCs w:val="20"/>
        </w:rPr>
        <w:t>—</w:t>
      </w:r>
      <w:r w:rsidR="00252311" w:rsidRPr="00BE0104">
        <w:rPr>
          <w:noProof/>
          <w:sz w:val="20"/>
          <w:szCs w:val="20"/>
        </w:rPr>
        <w:t xml:space="preserve">because of </w:t>
      </w:r>
      <w:r w:rsidR="00805E0F" w:rsidRPr="00BE0104">
        <w:rPr>
          <w:noProof/>
          <w:sz w:val="20"/>
          <w:szCs w:val="20"/>
        </w:rPr>
        <w:lastRenderedPageBreak/>
        <w:t xml:space="preserve">their </w:t>
      </w:r>
      <w:r w:rsidR="00A36903" w:rsidRPr="00BE0104">
        <w:rPr>
          <w:noProof/>
          <w:sz w:val="20"/>
          <w:szCs w:val="20"/>
        </w:rPr>
        <w:t>characteristics</w:t>
      </w:r>
      <w:r w:rsidR="00805E0F" w:rsidRPr="00BE0104">
        <w:rPr>
          <w:noProof/>
          <w:sz w:val="20"/>
          <w:szCs w:val="20"/>
        </w:rPr>
        <w:t xml:space="preserve">—an individual or group of specific individuals, but who have not </w:t>
      </w:r>
      <w:r w:rsidR="00A36903" w:rsidRPr="00BE0104">
        <w:rPr>
          <w:noProof/>
          <w:sz w:val="20"/>
          <w:szCs w:val="20"/>
        </w:rPr>
        <w:t>necessarily</w:t>
      </w:r>
      <w:r w:rsidR="00805E0F" w:rsidRPr="00BE0104">
        <w:rPr>
          <w:noProof/>
          <w:sz w:val="20"/>
          <w:szCs w:val="20"/>
        </w:rPr>
        <w:t xml:space="preserve"> been fully identified.</w:t>
      </w:r>
      <w:r w:rsidR="001459CD" w:rsidRPr="00BE0104">
        <w:rPr>
          <w:rStyle w:val="FootnoteReference"/>
          <w:noProof/>
          <w:sz w:val="20"/>
          <w:szCs w:val="20"/>
        </w:rPr>
        <w:footnoteReference w:id="5"/>
      </w:r>
      <w:r w:rsidR="005D44A4" w:rsidRPr="00BE0104">
        <w:rPr>
          <w:noProof/>
          <w:sz w:val="20"/>
          <w:szCs w:val="20"/>
        </w:rPr>
        <w:t xml:space="preserve"> </w:t>
      </w:r>
      <w:r w:rsidR="00A36903" w:rsidRPr="00BE0104">
        <w:rPr>
          <w:noProof/>
          <w:sz w:val="20"/>
          <w:szCs w:val="20"/>
        </w:rPr>
        <w:t xml:space="preserve">In the </w:t>
      </w:r>
      <w:r w:rsidR="00D94C30" w:rsidRPr="00BE0104">
        <w:rPr>
          <w:noProof/>
          <w:sz w:val="20"/>
          <w:szCs w:val="20"/>
        </w:rPr>
        <w:t>instant</w:t>
      </w:r>
      <w:r w:rsidR="00A36903" w:rsidRPr="00BE0104">
        <w:rPr>
          <w:noProof/>
          <w:sz w:val="20"/>
          <w:szCs w:val="20"/>
        </w:rPr>
        <w:t xml:space="preserve"> case, although the petitioners have identified an alleged victim throughout the proceedings (Mrs.</w:t>
      </w:r>
      <w:r w:rsidR="00EB07FF" w:rsidRPr="00BE0104">
        <w:rPr>
          <w:noProof/>
          <w:sz w:val="20"/>
          <w:szCs w:val="20"/>
        </w:rPr>
        <w:t xml:space="preserve"> Rosa Elena Pariahuachi Palacios)</w:t>
      </w:r>
      <w:r w:rsidR="005D44A4" w:rsidRPr="00BE0104">
        <w:rPr>
          <w:noProof/>
          <w:sz w:val="20"/>
          <w:szCs w:val="20"/>
        </w:rPr>
        <w:t xml:space="preserve">, </w:t>
      </w:r>
      <w:r w:rsidR="00A36903" w:rsidRPr="00BE0104">
        <w:rPr>
          <w:noProof/>
          <w:sz w:val="20"/>
          <w:szCs w:val="20"/>
        </w:rPr>
        <w:t xml:space="preserve">the Commission takes note of the difficulties </w:t>
      </w:r>
      <w:r w:rsidRPr="00BE0104">
        <w:rPr>
          <w:noProof/>
          <w:sz w:val="20"/>
          <w:szCs w:val="20"/>
        </w:rPr>
        <w:t xml:space="preserve">entailed in </w:t>
      </w:r>
      <w:r w:rsidR="00A36903" w:rsidRPr="00BE0104">
        <w:rPr>
          <w:noProof/>
          <w:sz w:val="20"/>
          <w:szCs w:val="20"/>
        </w:rPr>
        <w:t>identify</w:t>
      </w:r>
      <w:r w:rsidRPr="00BE0104">
        <w:rPr>
          <w:noProof/>
          <w:sz w:val="20"/>
          <w:szCs w:val="20"/>
        </w:rPr>
        <w:t>ing</w:t>
      </w:r>
      <w:r w:rsidR="00A36903" w:rsidRPr="00BE0104">
        <w:rPr>
          <w:noProof/>
          <w:sz w:val="20"/>
          <w:szCs w:val="20"/>
        </w:rPr>
        <w:t xml:space="preserve"> all of the alleged victims</w:t>
      </w:r>
      <w:r w:rsidRPr="00BE0104">
        <w:rPr>
          <w:noProof/>
          <w:sz w:val="20"/>
          <w:szCs w:val="20"/>
        </w:rPr>
        <w:t>. Furthermore, the Commission</w:t>
      </w:r>
      <w:r w:rsidR="00A36903" w:rsidRPr="00BE0104">
        <w:rPr>
          <w:noProof/>
          <w:sz w:val="20"/>
          <w:szCs w:val="20"/>
        </w:rPr>
        <w:t xml:space="preserve"> considers that in cases such as this one, where the acts denounced are alleged</w:t>
      </w:r>
      <w:r w:rsidRPr="00BE0104">
        <w:rPr>
          <w:noProof/>
          <w:sz w:val="20"/>
          <w:szCs w:val="20"/>
        </w:rPr>
        <w:t>ly</w:t>
      </w:r>
      <w:r w:rsidR="00A36903" w:rsidRPr="00BE0104">
        <w:rPr>
          <w:noProof/>
          <w:sz w:val="20"/>
          <w:szCs w:val="20"/>
        </w:rPr>
        <w:t xml:space="preserve"> related to impairment</w:t>
      </w:r>
      <w:r w:rsidRPr="00BE0104">
        <w:rPr>
          <w:noProof/>
          <w:sz w:val="20"/>
          <w:szCs w:val="20"/>
        </w:rPr>
        <w:t xml:space="preserve"> of a group’s </w:t>
      </w:r>
      <w:r w:rsidR="00A36903" w:rsidRPr="00BE0104">
        <w:rPr>
          <w:noProof/>
          <w:sz w:val="20"/>
          <w:szCs w:val="20"/>
        </w:rPr>
        <w:t xml:space="preserve">rights </w:t>
      </w:r>
      <w:r w:rsidRPr="00BE0104">
        <w:rPr>
          <w:noProof/>
          <w:sz w:val="20"/>
          <w:szCs w:val="20"/>
        </w:rPr>
        <w:t>because</w:t>
      </w:r>
      <w:r w:rsidR="00D26FB9" w:rsidRPr="00BE0104">
        <w:rPr>
          <w:noProof/>
          <w:sz w:val="20"/>
          <w:szCs w:val="20"/>
        </w:rPr>
        <w:t xml:space="preserve"> of</w:t>
      </w:r>
      <w:r w:rsidR="00A36903" w:rsidRPr="00BE0104">
        <w:rPr>
          <w:noProof/>
          <w:sz w:val="20"/>
          <w:szCs w:val="20"/>
        </w:rPr>
        <w:t xml:space="preserve"> the fact that they belong to </w:t>
      </w:r>
      <w:r w:rsidR="00252311" w:rsidRPr="00BE0104">
        <w:rPr>
          <w:noProof/>
          <w:sz w:val="20"/>
          <w:szCs w:val="20"/>
        </w:rPr>
        <w:t>said</w:t>
      </w:r>
      <w:r w:rsidR="00A36903" w:rsidRPr="00BE0104">
        <w:rPr>
          <w:noProof/>
          <w:sz w:val="20"/>
          <w:szCs w:val="20"/>
        </w:rPr>
        <w:t xml:space="preserve"> group, the criteria for identifying victims must be flexible and complete identification of all victims will be determined by the evidence presented by the parties at the merits stage.</w:t>
      </w:r>
      <w:r w:rsidR="008B7A8B" w:rsidRPr="00BE0104">
        <w:rPr>
          <w:noProof/>
          <w:sz w:val="20"/>
          <w:szCs w:val="20"/>
          <w:vertAlign w:val="superscript"/>
        </w:rPr>
        <w:footnoteReference w:id="6"/>
      </w:r>
    </w:p>
    <w:p w:rsidR="004107DB" w:rsidRPr="00DD60DD" w:rsidRDefault="00E074BE" w:rsidP="00434950">
      <w:pPr>
        <w:pStyle w:val="ListParagraph"/>
        <w:numPr>
          <w:ilvl w:val="0"/>
          <w:numId w:val="57"/>
        </w:numPr>
        <w:spacing w:before="240" w:after="240"/>
        <w:ind w:left="1440" w:hanging="720"/>
        <w:jc w:val="both"/>
        <w:rPr>
          <w:rFonts w:asciiTheme="majorHAnsi" w:hAnsiTheme="majorHAnsi"/>
          <w:b/>
          <w:noProof/>
        </w:rPr>
      </w:pPr>
      <w:r w:rsidRPr="00DD60DD">
        <w:rPr>
          <w:rFonts w:asciiTheme="majorHAnsi" w:hAnsiTheme="majorHAnsi"/>
          <w:b/>
          <w:noProof/>
          <w:sz w:val="20"/>
          <w:szCs w:val="20"/>
        </w:rPr>
        <w:t xml:space="preserve">Exhaustion of domestic remedies and timeliness of the petition </w:t>
      </w:r>
    </w:p>
    <w:p w:rsidR="00C0562F" w:rsidRPr="00DD60DD" w:rsidRDefault="00C0562F" w:rsidP="00C0562F">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noProof/>
          <w:color w:val="000000" w:themeColor="text1"/>
          <w:sz w:val="20"/>
          <w:szCs w:val="20"/>
        </w:rPr>
      </w:pPr>
      <w:r w:rsidRPr="00DD60DD">
        <w:rPr>
          <w:noProof/>
          <w:color w:val="000000" w:themeColor="text1"/>
          <w:sz w:val="20"/>
          <w:szCs w:val="20"/>
        </w:rPr>
        <w:t xml:space="preserve">10. </w:t>
      </w:r>
      <w:r w:rsidRPr="00DD60DD">
        <w:rPr>
          <w:noProof/>
          <w:color w:val="000000" w:themeColor="text1"/>
          <w:sz w:val="20"/>
          <w:szCs w:val="20"/>
        </w:rPr>
        <w:tab/>
      </w:r>
      <w:r w:rsidR="00A36903" w:rsidRPr="00DD60DD">
        <w:rPr>
          <w:noProof/>
          <w:color w:val="000000" w:themeColor="text1"/>
          <w:sz w:val="20"/>
          <w:szCs w:val="20"/>
        </w:rPr>
        <w:t xml:space="preserve">The petitioners allege that the applicable domestic legal remedies were exhausted by a remedy for unconstitutionality filed by the Bar Association of Ica challenging Article 7(2) of Law </w:t>
      </w:r>
      <w:r w:rsidR="002237A3" w:rsidRPr="00DD60DD">
        <w:rPr>
          <w:noProof/>
          <w:color w:val="000000" w:themeColor="text1"/>
          <w:sz w:val="20"/>
          <w:szCs w:val="20"/>
        </w:rPr>
        <w:t>N° 27360</w:t>
      </w:r>
      <w:r w:rsidR="005A1C40" w:rsidRPr="00DD60DD">
        <w:rPr>
          <w:noProof/>
          <w:color w:val="000000" w:themeColor="text1"/>
          <w:sz w:val="20"/>
          <w:szCs w:val="20"/>
        </w:rPr>
        <w:t xml:space="preserve"> that establishes</w:t>
      </w:r>
      <w:r w:rsidR="00A36903" w:rsidRPr="00DD60DD">
        <w:rPr>
          <w:noProof/>
          <w:color w:val="000000" w:themeColor="text1"/>
          <w:sz w:val="20"/>
          <w:szCs w:val="20"/>
        </w:rPr>
        <w:t xml:space="preserve"> a special employment system for workers in the agricultural sector. The Constitutional Court of Peru issued its decision </w:t>
      </w:r>
      <w:r w:rsidR="00252311" w:rsidRPr="00DD60DD">
        <w:rPr>
          <w:noProof/>
          <w:color w:val="000000" w:themeColor="text1"/>
          <w:sz w:val="20"/>
          <w:szCs w:val="20"/>
        </w:rPr>
        <w:t xml:space="preserve">thereon </w:t>
      </w:r>
      <w:r w:rsidR="00A36903" w:rsidRPr="00DD60DD">
        <w:rPr>
          <w:noProof/>
          <w:color w:val="000000" w:themeColor="text1"/>
          <w:sz w:val="20"/>
          <w:szCs w:val="20"/>
        </w:rPr>
        <w:t xml:space="preserve">on November 21, 2008, which was officially published on February 2, 2008. </w:t>
      </w:r>
      <w:r w:rsidR="002237A3" w:rsidRPr="00DD60DD">
        <w:rPr>
          <w:noProof/>
          <w:color w:val="000000" w:themeColor="text1"/>
          <w:sz w:val="20"/>
          <w:szCs w:val="20"/>
        </w:rPr>
        <w:t xml:space="preserve"> </w:t>
      </w:r>
    </w:p>
    <w:p w:rsidR="00C0562F" w:rsidRPr="00DD60DD" w:rsidRDefault="00C0562F" w:rsidP="00C0562F">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noProof/>
          <w:sz w:val="20"/>
          <w:szCs w:val="20"/>
        </w:rPr>
      </w:pPr>
      <w:r w:rsidRPr="00DD60DD">
        <w:rPr>
          <w:noProof/>
          <w:color w:val="000000" w:themeColor="text1"/>
          <w:sz w:val="20"/>
          <w:szCs w:val="20"/>
        </w:rPr>
        <w:t>11.</w:t>
      </w:r>
      <w:r w:rsidRPr="00DD60DD">
        <w:rPr>
          <w:noProof/>
          <w:color w:val="000000" w:themeColor="text1"/>
          <w:sz w:val="20"/>
          <w:szCs w:val="20"/>
        </w:rPr>
        <w:tab/>
      </w:r>
      <w:r w:rsidR="00A36903" w:rsidRPr="00DD60DD">
        <w:rPr>
          <w:noProof/>
          <w:color w:val="000000" w:themeColor="text1"/>
          <w:sz w:val="20"/>
          <w:szCs w:val="20"/>
        </w:rPr>
        <w:t xml:space="preserve">For its part, the State </w:t>
      </w:r>
      <w:r w:rsidR="00936A10" w:rsidRPr="00DD60DD">
        <w:rPr>
          <w:noProof/>
          <w:color w:val="000000" w:themeColor="text1"/>
          <w:sz w:val="20"/>
          <w:szCs w:val="20"/>
        </w:rPr>
        <w:t>argues</w:t>
      </w:r>
      <w:r w:rsidR="00A36903" w:rsidRPr="00DD60DD">
        <w:rPr>
          <w:noProof/>
          <w:color w:val="000000" w:themeColor="text1"/>
          <w:sz w:val="20"/>
          <w:szCs w:val="20"/>
        </w:rPr>
        <w:t xml:space="preserve"> that </w:t>
      </w:r>
      <w:r w:rsidR="00D81F54" w:rsidRPr="00DD60DD">
        <w:rPr>
          <w:noProof/>
          <w:color w:val="000000" w:themeColor="text1"/>
          <w:sz w:val="20"/>
          <w:szCs w:val="20"/>
        </w:rPr>
        <w:t xml:space="preserve">there was no exhaustion of domestic remedies because the remedy for unconstitutionality filed was not the appropriate and suitable remedy </w:t>
      </w:r>
      <w:r w:rsidR="00252311" w:rsidRPr="00DD60DD">
        <w:rPr>
          <w:noProof/>
          <w:color w:val="000000" w:themeColor="text1"/>
          <w:sz w:val="20"/>
          <w:szCs w:val="20"/>
        </w:rPr>
        <w:t>for lodging</w:t>
      </w:r>
      <w:r w:rsidR="005A1C40" w:rsidRPr="00DD60DD">
        <w:rPr>
          <w:noProof/>
          <w:color w:val="000000" w:themeColor="text1"/>
          <w:sz w:val="20"/>
          <w:szCs w:val="20"/>
        </w:rPr>
        <w:t xml:space="preserve"> </w:t>
      </w:r>
      <w:r w:rsidR="00252311" w:rsidRPr="00DD60DD">
        <w:rPr>
          <w:noProof/>
          <w:color w:val="000000" w:themeColor="text1"/>
          <w:sz w:val="20"/>
          <w:szCs w:val="20"/>
        </w:rPr>
        <w:t xml:space="preserve">the </w:t>
      </w:r>
      <w:r w:rsidR="005A1C40" w:rsidRPr="00DD60DD">
        <w:rPr>
          <w:noProof/>
          <w:color w:val="000000" w:themeColor="text1"/>
          <w:sz w:val="20"/>
          <w:szCs w:val="20"/>
        </w:rPr>
        <w:t xml:space="preserve">claims </w:t>
      </w:r>
      <w:r w:rsidR="00252311" w:rsidRPr="00DD60DD">
        <w:rPr>
          <w:noProof/>
          <w:color w:val="000000" w:themeColor="text1"/>
          <w:sz w:val="20"/>
          <w:szCs w:val="20"/>
        </w:rPr>
        <w:t xml:space="preserve">of </w:t>
      </w:r>
      <w:r w:rsidR="005A1C40" w:rsidRPr="00DD60DD">
        <w:rPr>
          <w:noProof/>
          <w:color w:val="000000" w:themeColor="text1"/>
          <w:sz w:val="20"/>
          <w:szCs w:val="20"/>
        </w:rPr>
        <w:t>harm to the</w:t>
      </w:r>
      <w:r w:rsidR="00D81F54" w:rsidRPr="00DD60DD">
        <w:rPr>
          <w:noProof/>
          <w:color w:val="000000" w:themeColor="text1"/>
          <w:sz w:val="20"/>
          <w:szCs w:val="20"/>
        </w:rPr>
        <w:t xml:space="preserve"> alleged victim. First</w:t>
      </w:r>
      <w:r w:rsidR="00252311" w:rsidRPr="00DD60DD">
        <w:rPr>
          <w:noProof/>
          <w:color w:val="000000" w:themeColor="text1"/>
          <w:sz w:val="20"/>
          <w:szCs w:val="20"/>
        </w:rPr>
        <w:t>ly</w:t>
      </w:r>
      <w:r w:rsidR="00D81F54" w:rsidRPr="00DD60DD">
        <w:rPr>
          <w:noProof/>
          <w:color w:val="000000" w:themeColor="text1"/>
          <w:sz w:val="20"/>
          <w:szCs w:val="20"/>
        </w:rPr>
        <w:t>, the State holds that Mrs. Pariahuachi Palacios did not make use of domestic remedies before resorting to the inter-American protection system, nor did she participate in the suit filed before the Constitutional Court. Th</w:t>
      </w:r>
      <w:r w:rsidR="005A1C40" w:rsidRPr="00DD60DD">
        <w:rPr>
          <w:noProof/>
          <w:color w:val="000000" w:themeColor="text1"/>
          <w:sz w:val="20"/>
          <w:szCs w:val="20"/>
        </w:rPr>
        <w:t>e State indicates that Article 203 of the Peruvian C</w:t>
      </w:r>
      <w:r w:rsidR="00D81F54" w:rsidRPr="00DD60DD">
        <w:rPr>
          <w:noProof/>
          <w:color w:val="000000" w:themeColor="text1"/>
          <w:sz w:val="20"/>
          <w:szCs w:val="20"/>
        </w:rPr>
        <w:t xml:space="preserve">onstitution of 1993 expressly provides that specific authorities or </w:t>
      </w:r>
      <w:r w:rsidR="005A1C40" w:rsidRPr="00DD60DD">
        <w:rPr>
          <w:noProof/>
          <w:color w:val="000000" w:themeColor="text1"/>
          <w:sz w:val="20"/>
          <w:szCs w:val="20"/>
        </w:rPr>
        <w:t>eligible</w:t>
      </w:r>
      <w:r w:rsidR="00D81F54" w:rsidRPr="00DD60DD">
        <w:rPr>
          <w:noProof/>
          <w:color w:val="000000" w:themeColor="text1"/>
          <w:sz w:val="20"/>
          <w:szCs w:val="20"/>
        </w:rPr>
        <w:t xml:space="preserve"> individuals may challenge the constitutionality of a law;</w:t>
      </w:r>
      <w:r w:rsidR="00E12054" w:rsidRPr="00DD60DD">
        <w:rPr>
          <w:rStyle w:val="FootnoteReference"/>
          <w:noProof/>
          <w:color w:val="000000" w:themeColor="text1"/>
          <w:sz w:val="20"/>
          <w:szCs w:val="20"/>
        </w:rPr>
        <w:footnoteReference w:id="7"/>
      </w:r>
      <w:r w:rsidR="00D81F54" w:rsidRPr="00DD60DD">
        <w:rPr>
          <w:noProof/>
          <w:sz w:val="20"/>
          <w:szCs w:val="20"/>
        </w:rPr>
        <w:t xml:space="preserve"> </w:t>
      </w:r>
      <w:r w:rsidR="005C5210" w:rsidRPr="00DD60DD">
        <w:rPr>
          <w:noProof/>
          <w:sz w:val="20"/>
          <w:szCs w:val="20"/>
        </w:rPr>
        <w:t>given that</w:t>
      </w:r>
      <w:r w:rsidR="00D81F54" w:rsidRPr="00DD60DD">
        <w:rPr>
          <w:noProof/>
          <w:sz w:val="20"/>
          <w:szCs w:val="20"/>
        </w:rPr>
        <w:t xml:space="preserve"> </w:t>
      </w:r>
      <w:r w:rsidR="005A1C40" w:rsidRPr="00DD60DD">
        <w:rPr>
          <w:noProof/>
          <w:sz w:val="20"/>
          <w:szCs w:val="20"/>
        </w:rPr>
        <w:t xml:space="preserve">Mrs. Pariahuachi Palacios </w:t>
      </w:r>
      <w:r w:rsidR="00D81F54" w:rsidRPr="00DD60DD">
        <w:rPr>
          <w:noProof/>
          <w:sz w:val="20"/>
          <w:szCs w:val="20"/>
        </w:rPr>
        <w:t xml:space="preserve">is not any of the authorities mentioned, nor </w:t>
      </w:r>
      <w:r w:rsidR="005C5210" w:rsidRPr="00DD60DD">
        <w:rPr>
          <w:noProof/>
          <w:sz w:val="20"/>
          <w:szCs w:val="20"/>
        </w:rPr>
        <w:t>did she take part in</w:t>
      </w:r>
      <w:r w:rsidR="00D81F54" w:rsidRPr="00DD60DD">
        <w:rPr>
          <w:noProof/>
          <w:sz w:val="20"/>
          <w:szCs w:val="20"/>
        </w:rPr>
        <w:t xml:space="preserve"> any citizen initiative to challenge the aforementioned Law, the State considers that she did not file or exhaust domestic remedies.</w:t>
      </w:r>
    </w:p>
    <w:p w:rsidR="002237A3" w:rsidRPr="00DD60DD" w:rsidRDefault="00C0562F" w:rsidP="00C0562F">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noProof/>
          <w:color w:val="000000" w:themeColor="text1"/>
          <w:sz w:val="20"/>
          <w:szCs w:val="20"/>
        </w:rPr>
      </w:pPr>
      <w:r w:rsidRPr="00DD60DD">
        <w:rPr>
          <w:noProof/>
          <w:sz w:val="20"/>
          <w:szCs w:val="20"/>
        </w:rPr>
        <w:t xml:space="preserve">12. </w:t>
      </w:r>
      <w:r w:rsidRPr="00DD60DD">
        <w:rPr>
          <w:noProof/>
          <w:sz w:val="20"/>
          <w:szCs w:val="20"/>
        </w:rPr>
        <w:tab/>
      </w:r>
      <w:r w:rsidR="00D81F54" w:rsidRPr="00DD60DD">
        <w:rPr>
          <w:noProof/>
          <w:sz w:val="20"/>
          <w:szCs w:val="20"/>
        </w:rPr>
        <w:t>Secondly, the State deems that domestic remedies were not exhausted because the purpose of the remedy of unconstitutional</w:t>
      </w:r>
      <w:r w:rsidR="005A1C40" w:rsidRPr="00DD60DD">
        <w:rPr>
          <w:noProof/>
          <w:sz w:val="20"/>
          <w:szCs w:val="20"/>
        </w:rPr>
        <w:t>ity</w:t>
      </w:r>
      <w:r w:rsidR="00D81F54" w:rsidRPr="00DD60DD">
        <w:rPr>
          <w:noProof/>
          <w:sz w:val="20"/>
          <w:szCs w:val="20"/>
        </w:rPr>
        <w:t xml:space="preserve"> filed was to </w:t>
      </w:r>
      <w:r w:rsidR="00A708C7" w:rsidRPr="00DD60DD">
        <w:rPr>
          <w:noProof/>
          <w:sz w:val="20"/>
          <w:szCs w:val="20"/>
        </w:rPr>
        <w:t xml:space="preserve">abstractly </w:t>
      </w:r>
      <w:r w:rsidR="00D81F54" w:rsidRPr="00DD60DD">
        <w:rPr>
          <w:noProof/>
          <w:sz w:val="20"/>
          <w:szCs w:val="20"/>
        </w:rPr>
        <w:t xml:space="preserve">challenge the constitutionally of the law and not </w:t>
      </w:r>
      <w:r w:rsidR="00A708C7" w:rsidRPr="00DD60DD">
        <w:rPr>
          <w:noProof/>
          <w:sz w:val="20"/>
          <w:szCs w:val="20"/>
        </w:rPr>
        <w:t xml:space="preserve">to have </w:t>
      </w:r>
      <w:r w:rsidR="00D94C30" w:rsidRPr="00DD60DD">
        <w:rPr>
          <w:noProof/>
          <w:sz w:val="20"/>
          <w:szCs w:val="20"/>
        </w:rPr>
        <w:t>the Court</w:t>
      </w:r>
      <w:r w:rsidR="00A708C7" w:rsidRPr="00DD60DD">
        <w:rPr>
          <w:noProof/>
          <w:sz w:val="20"/>
          <w:szCs w:val="20"/>
        </w:rPr>
        <w:t xml:space="preserve"> </w:t>
      </w:r>
      <w:r w:rsidR="00D81F54" w:rsidRPr="00DD60DD">
        <w:rPr>
          <w:noProof/>
          <w:sz w:val="20"/>
          <w:szCs w:val="20"/>
        </w:rPr>
        <w:t>review</w:t>
      </w:r>
      <w:r w:rsidR="00A708C7" w:rsidRPr="00DD60DD">
        <w:rPr>
          <w:noProof/>
          <w:sz w:val="20"/>
          <w:szCs w:val="20"/>
        </w:rPr>
        <w:t xml:space="preserve"> </w:t>
      </w:r>
      <w:r w:rsidR="00D81F54" w:rsidRPr="00DD60DD">
        <w:rPr>
          <w:noProof/>
          <w:sz w:val="20"/>
          <w:szCs w:val="20"/>
        </w:rPr>
        <w:t xml:space="preserve">a specific </w:t>
      </w:r>
      <w:r w:rsidR="00E87E95" w:rsidRPr="00DD60DD">
        <w:rPr>
          <w:noProof/>
          <w:sz w:val="20"/>
          <w:szCs w:val="20"/>
        </w:rPr>
        <w:t xml:space="preserve">act that </w:t>
      </w:r>
      <w:r w:rsidR="00D81F54" w:rsidRPr="00DD60DD">
        <w:rPr>
          <w:noProof/>
          <w:sz w:val="20"/>
          <w:szCs w:val="20"/>
        </w:rPr>
        <w:t>alleged</w:t>
      </w:r>
      <w:r w:rsidR="00E87E95" w:rsidRPr="00DD60DD">
        <w:rPr>
          <w:noProof/>
          <w:sz w:val="20"/>
          <w:szCs w:val="20"/>
        </w:rPr>
        <w:t>ly violated the rights invoked by the alleged victim. In th</w:t>
      </w:r>
      <w:r w:rsidR="005A1C40" w:rsidRPr="00DD60DD">
        <w:rPr>
          <w:noProof/>
          <w:sz w:val="20"/>
          <w:szCs w:val="20"/>
        </w:rPr>
        <w:t>i</w:t>
      </w:r>
      <w:r w:rsidR="00E87E95" w:rsidRPr="00DD60DD">
        <w:rPr>
          <w:noProof/>
          <w:sz w:val="20"/>
          <w:szCs w:val="20"/>
        </w:rPr>
        <w:t xml:space="preserve">s respect, the State </w:t>
      </w:r>
      <w:r w:rsidR="005A1C40" w:rsidRPr="00DD60DD">
        <w:rPr>
          <w:noProof/>
          <w:sz w:val="20"/>
          <w:szCs w:val="20"/>
        </w:rPr>
        <w:t>notes</w:t>
      </w:r>
      <w:r w:rsidR="00E87E95" w:rsidRPr="00DD60DD">
        <w:rPr>
          <w:noProof/>
          <w:sz w:val="20"/>
          <w:szCs w:val="20"/>
        </w:rPr>
        <w:t xml:space="preserve"> that </w:t>
      </w:r>
      <w:r w:rsidR="00E87E95" w:rsidRPr="00DD60DD">
        <w:rPr>
          <w:i/>
          <w:noProof/>
          <w:sz w:val="20"/>
          <w:szCs w:val="20"/>
        </w:rPr>
        <w:t xml:space="preserve">amparo </w:t>
      </w:r>
      <w:r w:rsidR="00E87E95" w:rsidRPr="00DD60DD">
        <w:rPr>
          <w:noProof/>
          <w:sz w:val="20"/>
          <w:szCs w:val="20"/>
        </w:rPr>
        <w:t>appeals are provided for as one of the constitutional guarantees to protect the rights invoked by the alleged victim.</w:t>
      </w:r>
      <w:r w:rsidR="002237A3" w:rsidRPr="00DD60DD">
        <w:rPr>
          <w:noProof/>
          <w:color w:val="000000" w:themeColor="text1"/>
          <w:sz w:val="20"/>
          <w:szCs w:val="20"/>
        </w:rPr>
        <w:t xml:space="preserve"> </w:t>
      </w:r>
    </w:p>
    <w:p w:rsidR="00C0562F" w:rsidRPr="00DD60DD" w:rsidRDefault="00E87E95" w:rsidP="00C0562F">
      <w:pPr>
        <w:pStyle w:val="ListParagraph"/>
        <w:numPr>
          <w:ilvl w:val="0"/>
          <w:numId w:val="62"/>
        </w:numPr>
        <w:suppressAutoHyphens/>
        <w:spacing w:after="240"/>
        <w:ind w:left="0" w:firstLine="720"/>
        <w:jc w:val="both"/>
        <w:rPr>
          <w:noProof/>
          <w:color w:val="000000" w:themeColor="text1"/>
          <w:sz w:val="20"/>
          <w:szCs w:val="20"/>
        </w:rPr>
      </w:pPr>
      <w:r w:rsidRPr="00DD60DD">
        <w:rPr>
          <w:noProof/>
          <w:color w:val="000000" w:themeColor="text1"/>
          <w:sz w:val="20"/>
          <w:szCs w:val="20"/>
        </w:rPr>
        <w:t xml:space="preserve">The Commission recalls that the rule for exhaustion of domestic remedies stipulated in Article 46(1)(a) of the American Convention provides that the appropriate remedies available in the domestic legal system must be </w:t>
      </w:r>
      <w:r w:rsidR="005164D7" w:rsidRPr="00DD60DD">
        <w:rPr>
          <w:noProof/>
          <w:color w:val="000000" w:themeColor="text1"/>
          <w:sz w:val="20"/>
          <w:szCs w:val="20"/>
        </w:rPr>
        <w:t>pur</w:t>
      </w:r>
      <w:r w:rsidR="003A4282" w:rsidRPr="00DD60DD">
        <w:rPr>
          <w:noProof/>
          <w:color w:val="000000" w:themeColor="text1"/>
          <w:sz w:val="20"/>
          <w:szCs w:val="20"/>
        </w:rPr>
        <w:t>sued</w:t>
      </w:r>
      <w:r w:rsidRPr="00DD60DD">
        <w:rPr>
          <w:noProof/>
          <w:color w:val="000000" w:themeColor="text1"/>
          <w:sz w:val="20"/>
          <w:szCs w:val="20"/>
        </w:rPr>
        <w:t xml:space="preserve"> first to remedy the situation denounced.</w:t>
      </w:r>
      <w:r w:rsidR="002237A3" w:rsidRPr="00DD60DD">
        <w:rPr>
          <w:rStyle w:val="FootnoteReference"/>
          <w:noProof/>
          <w:color w:val="000000" w:themeColor="text1"/>
          <w:sz w:val="20"/>
          <w:szCs w:val="20"/>
        </w:rPr>
        <w:footnoteReference w:id="8"/>
      </w:r>
      <w:r w:rsidR="00E12054" w:rsidRPr="00DD60DD">
        <w:rPr>
          <w:noProof/>
          <w:color w:val="000000" w:themeColor="text1"/>
          <w:sz w:val="20"/>
          <w:szCs w:val="20"/>
        </w:rPr>
        <w:t xml:space="preserve"> </w:t>
      </w:r>
      <w:r w:rsidRPr="00DD60DD">
        <w:rPr>
          <w:noProof/>
          <w:color w:val="000000" w:themeColor="text1"/>
          <w:sz w:val="20"/>
          <w:szCs w:val="20"/>
        </w:rPr>
        <w:t xml:space="preserve">Furthermore, the IACHR </w:t>
      </w:r>
      <w:r w:rsidR="005164D7" w:rsidRPr="00DD60DD">
        <w:rPr>
          <w:noProof/>
          <w:color w:val="000000" w:themeColor="text1"/>
          <w:sz w:val="20"/>
          <w:szCs w:val="20"/>
        </w:rPr>
        <w:t xml:space="preserve">has deemed </w:t>
      </w:r>
      <w:r w:rsidRPr="00DD60DD">
        <w:rPr>
          <w:noProof/>
          <w:color w:val="000000" w:themeColor="text1"/>
          <w:sz w:val="20"/>
          <w:szCs w:val="20"/>
        </w:rPr>
        <w:t xml:space="preserve">that when the legislative provisions whose constitutionality is challenged have a direct effect on the rights of the alleged victims, who </w:t>
      </w:r>
      <w:r w:rsidR="00A708C7" w:rsidRPr="00DD60DD">
        <w:rPr>
          <w:noProof/>
          <w:color w:val="000000" w:themeColor="text1"/>
          <w:sz w:val="20"/>
          <w:szCs w:val="20"/>
        </w:rPr>
        <w:t>claim</w:t>
      </w:r>
      <w:r w:rsidRPr="00DD60DD">
        <w:rPr>
          <w:noProof/>
          <w:color w:val="000000" w:themeColor="text1"/>
          <w:sz w:val="20"/>
          <w:szCs w:val="20"/>
        </w:rPr>
        <w:t xml:space="preserve"> that a law is discriminatory, the remedy of unconstitutionality is an appropriate remedy to protect the legal situation infringed.</w:t>
      </w:r>
      <w:r w:rsidR="00E12054" w:rsidRPr="00DD60DD">
        <w:rPr>
          <w:rStyle w:val="FootnoteReference"/>
          <w:rFonts w:cs="Calibri"/>
          <w:noProof/>
          <w:color w:val="000000" w:themeColor="text1"/>
          <w:sz w:val="20"/>
          <w:szCs w:val="20"/>
        </w:rPr>
        <w:footnoteReference w:id="9"/>
      </w:r>
    </w:p>
    <w:p w:rsidR="00A87D98" w:rsidRPr="00DD60DD" w:rsidRDefault="005565EE" w:rsidP="00C0562F">
      <w:pPr>
        <w:pStyle w:val="ListParagraph"/>
        <w:numPr>
          <w:ilvl w:val="0"/>
          <w:numId w:val="62"/>
        </w:numPr>
        <w:suppressAutoHyphens/>
        <w:spacing w:after="240"/>
        <w:ind w:left="0" w:firstLine="720"/>
        <w:jc w:val="both"/>
        <w:rPr>
          <w:noProof/>
          <w:color w:val="000000" w:themeColor="text1"/>
          <w:sz w:val="20"/>
          <w:szCs w:val="20"/>
        </w:rPr>
      </w:pPr>
      <w:r w:rsidRPr="00DD60DD">
        <w:rPr>
          <w:rFonts w:asciiTheme="majorHAnsi" w:hAnsiTheme="majorHAnsi" w:cs="Calibri"/>
          <w:noProof/>
          <w:color w:val="000000" w:themeColor="text1"/>
          <w:sz w:val="20"/>
          <w:szCs w:val="20"/>
        </w:rPr>
        <w:lastRenderedPageBreak/>
        <w:t>Additionally, t</w:t>
      </w:r>
      <w:r w:rsidR="00E87E95" w:rsidRPr="00DD60DD">
        <w:rPr>
          <w:rFonts w:asciiTheme="majorHAnsi" w:hAnsiTheme="majorHAnsi" w:cs="Calibri"/>
          <w:noProof/>
          <w:color w:val="000000" w:themeColor="text1"/>
          <w:sz w:val="20"/>
          <w:szCs w:val="20"/>
        </w:rPr>
        <w:t xml:space="preserve">he Commission </w:t>
      </w:r>
      <w:r w:rsidR="002A0ED6" w:rsidRPr="00DD60DD">
        <w:rPr>
          <w:rFonts w:asciiTheme="majorHAnsi" w:hAnsiTheme="majorHAnsi" w:cs="Calibri"/>
          <w:noProof/>
          <w:color w:val="000000" w:themeColor="text1"/>
          <w:sz w:val="20"/>
          <w:szCs w:val="20"/>
        </w:rPr>
        <w:t xml:space="preserve">notes that although the </w:t>
      </w:r>
      <w:r w:rsidR="002A0ED6" w:rsidRPr="00DD60DD">
        <w:rPr>
          <w:rFonts w:asciiTheme="majorHAnsi" w:hAnsiTheme="majorHAnsi" w:cs="Calibri"/>
          <w:i/>
          <w:noProof/>
          <w:color w:val="000000" w:themeColor="text1"/>
          <w:sz w:val="20"/>
          <w:szCs w:val="20"/>
        </w:rPr>
        <w:t>amparo</w:t>
      </w:r>
      <w:r w:rsidR="002A0ED6" w:rsidRPr="00DD60DD">
        <w:rPr>
          <w:rFonts w:asciiTheme="majorHAnsi" w:hAnsiTheme="majorHAnsi" w:cs="Calibri"/>
          <w:noProof/>
          <w:color w:val="000000" w:themeColor="text1"/>
          <w:sz w:val="20"/>
          <w:szCs w:val="20"/>
        </w:rPr>
        <w:t xml:space="preserve"> appeal </w:t>
      </w:r>
      <w:r w:rsidR="002A0ED6" w:rsidRPr="008B020B">
        <w:rPr>
          <w:rFonts w:asciiTheme="majorHAnsi" w:hAnsiTheme="majorHAnsi" w:cs="Calibri"/>
          <w:noProof/>
          <w:color w:val="000000" w:themeColor="text1"/>
          <w:sz w:val="20"/>
          <w:szCs w:val="20"/>
        </w:rPr>
        <w:t xml:space="preserve">would </w:t>
      </w:r>
      <w:r w:rsidR="00D94C30" w:rsidRPr="008B020B">
        <w:rPr>
          <w:rFonts w:asciiTheme="majorHAnsi" w:hAnsiTheme="majorHAnsi" w:cs="Calibri"/>
          <w:noProof/>
          <w:color w:val="000000" w:themeColor="text1"/>
          <w:sz w:val="20"/>
          <w:szCs w:val="20"/>
        </w:rPr>
        <w:t xml:space="preserve">have </w:t>
      </w:r>
      <w:r w:rsidR="00443D38" w:rsidRPr="008B020B">
        <w:rPr>
          <w:rFonts w:asciiTheme="majorHAnsi" w:hAnsiTheme="majorHAnsi" w:cs="Calibri"/>
          <w:noProof/>
          <w:color w:val="000000" w:themeColor="text1"/>
          <w:sz w:val="20"/>
          <w:szCs w:val="20"/>
        </w:rPr>
        <w:t>serve</w:t>
      </w:r>
      <w:r w:rsidR="00D94C30" w:rsidRPr="008B020B">
        <w:rPr>
          <w:rFonts w:asciiTheme="majorHAnsi" w:hAnsiTheme="majorHAnsi" w:cs="Calibri"/>
          <w:noProof/>
          <w:color w:val="000000" w:themeColor="text1"/>
          <w:sz w:val="20"/>
          <w:szCs w:val="20"/>
        </w:rPr>
        <w:t>d</w:t>
      </w:r>
      <w:r w:rsidR="00443D38" w:rsidRPr="008B020B">
        <w:rPr>
          <w:rFonts w:asciiTheme="majorHAnsi" w:hAnsiTheme="majorHAnsi" w:cs="Calibri"/>
          <w:noProof/>
          <w:color w:val="000000" w:themeColor="text1"/>
          <w:sz w:val="20"/>
          <w:szCs w:val="20"/>
        </w:rPr>
        <w:t xml:space="preserve"> the purpose of addressing</w:t>
      </w:r>
      <w:r w:rsidR="002A0ED6" w:rsidRPr="008B020B">
        <w:rPr>
          <w:rFonts w:asciiTheme="majorHAnsi" w:hAnsiTheme="majorHAnsi" w:cs="Calibri"/>
          <w:noProof/>
          <w:color w:val="000000" w:themeColor="text1"/>
          <w:sz w:val="20"/>
          <w:szCs w:val="20"/>
        </w:rPr>
        <w:t xml:space="preserve"> the specific situation of the alleged victim, th</w:t>
      </w:r>
      <w:r w:rsidR="006F6D98" w:rsidRPr="008B020B">
        <w:rPr>
          <w:rFonts w:asciiTheme="majorHAnsi" w:hAnsiTheme="majorHAnsi" w:cs="Calibri"/>
          <w:noProof/>
          <w:color w:val="000000" w:themeColor="text1"/>
          <w:sz w:val="20"/>
          <w:szCs w:val="20"/>
        </w:rPr>
        <w:t xml:space="preserve">is </w:t>
      </w:r>
      <w:r w:rsidR="002A0ED6" w:rsidRPr="008B020B">
        <w:rPr>
          <w:rFonts w:asciiTheme="majorHAnsi" w:hAnsiTheme="majorHAnsi" w:cs="Calibri"/>
          <w:noProof/>
          <w:color w:val="000000" w:themeColor="text1"/>
          <w:sz w:val="20"/>
          <w:szCs w:val="20"/>
        </w:rPr>
        <w:t xml:space="preserve">constitutional review of the </w:t>
      </w:r>
      <w:r w:rsidR="00443D38" w:rsidRPr="008B020B">
        <w:rPr>
          <w:rFonts w:asciiTheme="majorHAnsi" w:hAnsiTheme="majorHAnsi" w:cs="Calibri"/>
          <w:noProof/>
          <w:color w:val="000000" w:themeColor="text1"/>
          <w:sz w:val="20"/>
          <w:szCs w:val="20"/>
        </w:rPr>
        <w:t xml:space="preserve">allegedly discriminatory </w:t>
      </w:r>
      <w:r w:rsidR="002A0ED6" w:rsidRPr="008B020B">
        <w:rPr>
          <w:rFonts w:asciiTheme="majorHAnsi" w:hAnsiTheme="majorHAnsi" w:cs="Calibri"/>
          <w:noProof/>
          <w:color w:val="000000" w:themeColor="text1"/>
          <w:sz w:val="20"/>
          <w:szCs w:val="20"/>
        </w:rPr>
        <w:t xml:space="preserve">law would have been consistent with the review </w:t>
      </w:r>
      <w:r w:rsidRPr="008B020B">
        <w:rPr>
          <w:rFonts w:asciiTheme="majorHAnsi" w:hAnsiTheme="majorHAnsi" w:cs="Calibri"/>
          <w:noProof/>
          <w:color w:val="000000" w:themeColor="text1"/>
          <w:sz w:val="20"/>
          <w:szCs w:val="20"/>
        </w:rPr>
        <w:t xml:space="preserve">that was </w:t>
      </w:r>
      <w:r w:rsidR="002A0ED6" w:rsidRPr="008B020B">
        <w:rPr>
          <w:rFonts w:asciiTheme="majorHAnsi" w:hAnsiTheme="majorHAnsi" w:cs="Calibri"/>
          <w:noProof/>
          <w:color w:val="000000" w:themeColor="text1"/>
          <w:sz w:val="20"/>
          <w:szCs w:val="20"/>
        </w:rPr>
        <w:t>undertaken</w:t>
      </w:r>
      <w:r w:rsidR="002A0ED6" w:rsidRPr="00DD60DD">
        <w:rPr>
          <w:rFonts w:asciiTheme="majorHAnsi" w:hAnsiTheme="majorHAnsi" w:cs="Calibri"/>
          <w:noProof/>
          <w:color w:val="000000" w:themeColor="text1"/>
          <w:sz w:val="20"/>
          <w:szCs w:val="20"/>
        </w:rPr>
        <w:t xml:space="preserve"> in the </w:t>
      </w:r>
      <w:r w:rsidR="00A95938" w:rsidRPr="00DD60DD">
        <w:rPr>
          <w:rFonts w:asciiTheme="majorHAnsi" w:hAnsiTheme="majorHAnsi" w:cs="Calibri"/>
          <w:noProof/>
          <w:color w:val="000000" w:themeColor="text1"/>
          <w:sz w:val="20"/>
          <w:szCs w:val="20"/>
        </w:rPr>
        <w:t>remedy of unconstitutionality.  In this sense, the Commission recalls that it is not necessary to exhaust all possible remedies, bu</w:t>
      </w:r>
      <w:r w:rsidRPr="00DD60DD">
        <w:rPr>
          <w:rFonts w:asciiTheme="majorHAnsi" w:hAnsiTheme="majorHAnsi" w:cs="Calibri"/>
          <w:noProof/>
          <w:color w:val="000000" w:themeColor="text1"/>
          <w:sz w:val="20"/>
          <w:szCs w:val="20"/>
        </w:rPr>
        <w:t>t</w:t>
      </w:r>
      <w:r w:rsidR="006F6D98" w:rsidRPr="00DD60DD">
        <w:rPr>
          <w:rFonts w:asciiTheme="majorHAnsi" w:hAnsiTheme="majorHAnsi" w:cs="Calibri"/>
          <w:noProof/>
          <w:color w:val="000000" w:themeColor="text1"/>
          <w:sz w:val="20"/>
          <w:szCs w:val="20"/>
        </w:rPr>
        <w:t>,</w:t>
      </w:r>
      <w:r w:rsidR="00A95938" w:rsidRPr="00DD60DD">
        <w:rPr>
          <w:rFonts w:asciiTheme="majorHAnsi" w:hAnsiTheme="majorHAnsi" w:cs="Calibri"/>
          <w:noProof/>
          <w:color w:val="000000" w:themeColor="text1"/>
          <w:sz w:val="20"/>
          <w:szCs w:val="20"/>
        </w:rPr>
        <w:t xml:space="preserve"> rather, those that are effective to address the situation denounced.</w:t>
      </w:r>
      <w:r w:rsidR="00A87D98" w:rsidRPr="00DD60DD">
        <w:rPr>
          <w:noProof/>
          <w:color w:val="000000" w:themeColor="text1"/>
          <w:sz w:val="20"/>
          <w:szCs w:val="20"/>
        </w:rPr>
        <w:t xml:space="preserve"> </w:t>
      </w:r>
    </w:p>
    <w:p w:rsidR="00C0562F" w:rsidRPr="00DD60DD" w:rsidRDefault="005D2FD2" w:rsidP="004671AC">
      <w:pPr>
        <w:pStyle w:val="ListParagraph"/>
        <w:numPr>
          <w:ilvl w:val="0"/>
          <w:numId w:val="62"/>
        </w:numPr>
        <w:suppressAutoHyphens/>
        <w:spacing w:after="240"/>
        <w:ind w:left="0" w:firstLine="720"/>
        <w:jc w:val="both"/>
        <w:rPr>
          <w:noProof/>
          <w:color w:val="000000" w:themeColor="text1"/>
          <w:sz w:val="20"/>
          <w:szCs w:val="20"/>
        </w:rPr>
      </w:pPr>
      <w:r w:rsidRPr="00DD60DD">
        <w:rPr>
          <w:noProof/>
          <w:color w:val="000000" w:themeColor="text1"/>
          <w:sz w:val="20"/>
          <w:szCs w:val="20"/>
        </w:rPr>
        <w:t>In this case, the Commission notes that the purpose of the remedy filed was to challenge t</w:t>
      </w:r>
      <w:r w:rsidR="005565EE" w:rsidRPr="00DD60DD">
        <w:rPr>
          <w:noProof/>
          <w:color w:val="000000" w:themeColor="text1"/>
          <w:sz w:val="20"/>
          <w:szCs w:val="20"/>
        </w:rPr>
        <w:t>he</w:t>
      </w:r>
      <w:r w:rsidRPr="00DD60DD">
        <w:rPr>
          <w:noProof/>
          <w:color w:val="000000" w:themeColor="text1"/>
          <w:sz w:val="20"/>
          <w:szCs w:val="20"/>
        </w:rPr>
        <w:t xml:space="preserve"> constitutionality of </w:t>
      </w:r>
      <w:r w:rsidR="005565EE" w:rsidRPr="00DD60DD">
        <w:rPr>
          <w:noProof/>
          <w:color w:val="000000" w:themeColor="text1"/>
          <w:sz w:val="20"/>
          <w:szCs w:val="20"/>
        </w:rPr>
        <w:t xml:space="preserve">the </w:t>
      </w:r>
      <w:r w:rsidRPr="00DD60DD">
        <w:rPr>
          <w:noProof/>
          <w:color w:val="000000" w:themeColor="text1"/>
          <w:sz w:val="20"/>
          <w:szCs w:val="20"/>
        </w:rPr>
        <w:t xml:space="preserve">provisions that </w:t>
      </w:r>
      <w:r w:rsidR="005565EE" w:rsidRPr="00DD60DD">
        <w:rPr>
          <w:noProof/>
          <w:color w:val="000000" w:themeColor="text1"/>
          <w:sz w:val="20"/>
          <w:szCs w:val="20"/>
        </w:rPr>
        <w:t xml:space="preserve">establish </w:t>
      </w:r>
      <w:r w:rsidRPr="00DD60DD">
        <w:rPr>
          <w:noProof/>
          <w:color w:val="000000" w:themeColor="text1"/>
          <w:sz w:val="20"/>
          <w:szCs w:val="20"/>
        </w:rPr>
        <w:t xml:space="preserve">a special system </w:t>
      </w:r>
      <w:r w:rsidR="005565EE" w:rsidRPr="00DD60DD">
        <w:rPr>
          <w:noProof/>
          <w:color w:val="000000" w:themeColor="text1"/>
          <w:sz w:val="20"/>
          <w:szCs w:val="20"/>
        </w:rPr>
        <w:t xml:space="preserve">for </w:t>
      </w:r>
      <w:r w:rsidRPr="00DD60DD">
        <w:rPr>
          <w:noProof/>
          <w:color w:val="000000" w:themeColor="text1"/>
          <w:sz w:val="20"/>
          <w:szCs w:val="20"/>
        </w:rPr>
        <w:t>workers from the agricultural sector. It is precisely these provisions that the petitioner</w:t>
      </w:r>
      <w:r w:rsidR="005565EE" w:rsidRPr="00DD60DD">
        <w:rPr>
          <w:noProof/>
          <w:color w:val="000000" w:themeColor="text1"/>
          <w:sz w:val="20"/>
          <w:szCs w:val="20"/>
        </w:rPr>
        <w:t>s</w:t>
      </w:r>
      <w:r w:rsidRPr="00DD60DD">
        <w:rPr>
          <w:noProof/>
          <w:color w:val="000000" w:themeColor="text1"/>
          <w:sz w:val="20"/>
          <w:szCs w:val="20"/>
        </w:rPr>
        <w:t xml:space="preserve"> invoke before the Commission as grounds for po</w:t>
      </w:r>
      <w:r w:rsidR="005565EE" w:rsidRPr="00DD60DD">
        <w:rPr>
          <w:noProof/>
          <w:color w:val="000000" w:themeColor="text1"/>
          <w:sz w:val="20"/>
          <w:szCs w:val="20"/>
        </w:rPr>
        <w:t xml:space="preserve">tential </w:t>
      </w:r>
      <w:r w:rsidRPr="00DD60DD">
        <w:rPr>
          <w:noProof/>
          <w:color w:val="000000" w:themeColor="text1"/>
          <w:sz w:val="20"/>
          <w:szCs w:val="20"/>
        </w:rPr>
        <w:t>violations of rights of the alleged victim a</w:t>
      </w:r>
      <w:r w:rsidR="00443D38" w:rsidRPr="00DD60DD">
        <w:rPr>
          <w:noProof/>
          <w:color w:val="000000" w:themeColor="text1"/>
          <w:sz w:val="20"/>
          <w:szCs w:val="20"/>
        </w:rPr>
        <w:t>nd</w:t>
      </w:r>
      <w:r w:rsidR="005565EE" w:rsidRPr="00DD60DD">
        <w:rPr>
          <w:noProof/>
          <w:color w:val="000000" w:themeColor="text1"/>
          <w:sz w:val="20"/>
          <w:szCs w:val="20"/>
        </w:rPr>
        <w:t xml:space="preserve"> </w:t>
      </w:r>
      <w:r w:rsidRPr="008B020B">
        <w:rPr>
          <w:noProof/>
          <w:color w:val="000000" w:themeColor="text1"/>
          <w:sz w:val="20"/>
          <w:szCs w:val="20"/>
        </w:rPr>
        <w:t xml:space="preserve">the victims </w:t>
      </w:r>
      <w:r w:rsidR="005565EE" w:rsidRPr="008B020B">
        <w:rPr>
          <w:noProof/>
          <w:color w:val="000000" w:themeColor="text1"/>
          <w:sz w:val="20"/>
          <w:szCs w:val="20"/>
        </w:rPr>
        <w:t>whose number</w:t>
      </w:r>
      <w:r w:rsidRPr="008B020B">
        <w:rPr>
          <w:noProof/>
          <w:color w:val="000000" w:themeColor="text1"/>
          <w:sz w:val="20"/>
          <w:szCs w:val="20"/>
        </w:rPr>
        <w:t xml:space="preserve"> will be determined with the evidence provided by the parties during the merits stage. Furthermore, it is noted that if a favorable decision had been handed down, this would have benefited the alleged victim and the </w:t>
      </w:r>
      <w:r w:rsidR="005565EE" w:rsidRPr="008B020B">
        <w:rPr>
          <w:noProof/>
          <w:color w:val="000000" w:themeColor="text1"/>
          <w:sz w:val="20"/>
          <w:szCs w:val="20"/>
        </w:rPr>
        <w:t xml:space="preserve">number of victims </w:t>
      </w:r>
      <w:r w:rsidRPr="008B020B">
        <w:rPr>
          <w:noProof/>
          <w:color w:val="000000" w:themeColor="text1"/>
          <w:sz w:val="20"/>
          <w:szCs w:val="20"/>
        </w:rPr>
        <w:t>determine</w:t>
      </w:r>
      <w:r w:rsidR="005565EE" w:rsidRPr="008B020B">
        <w:rPr>
          <w:noProof/>
          <w:color w:val="000000" w:themeColor="text1"/>
          <w:sz w:val="20"/>
          <w:szCs w:val="20"/>
        </w:rPr>
        <w:t>d</w:t>
      </w:r>
      <w:r w:rsidRPr="008B020B">
        <w:rPr>
          <w:noProof/>
          <w:color w:val="000000" w:themeColor="text1"/>
          <w:sz w:val="20"/>
          <w:szCs w:val="20"/>
        </w:rPr>
        <w:t xml:space="preserve"> during the merits stage.</w:t>
      </w:r>
      <w:r w:rsidRPr="00DD60DD">
        <w:rPr>
          <w:noProof/>
          <w:color w:val="000000" w:themeColor="text1"/>
          <w:sz w:val="20"/>
          <w:szCs w:val="20"/>
        </w:rPr>
        <w:t xml:space="preserve"> What is more, the Constitutional Court admitted the remedy and ruled on </w:t>
      </w:r>
      <w:r w:rsidR="005565EE" w:rsidRPr="00DD60DD">
        <w:rPr>
          <w:noProof/>
          <w:color w:val="000000" w:themeColor="text1"/>
          <w:sz w:val="20"/>
          <w:szCs w:val="20"/>
        </w:rPr>
        <w:t>its</w:t>
      </w:r>
      <w:r w:rsidRPr="00DD60DD">
        <w:rPr>
          <w:noProof/>
          <w:color w:val="000000" w:themeColor="text1"/>
          <w:sz w:val="20"/>
          <w:szCs w:val="20"/>
        </w:rPr>
        <w:t xml:space="preserve"> merits. Th</w:t>
      </w:r>
      <w:r w:rsidR="005565EE" w:rsidRPr="00DD60DD">
        <w:rPr>
          <w:noProof/>
          <w:color w:val="000000" w:themeColor="text1"/>
          <w:sz w:val="20"/>
          <w:szCs w:val="20"/>
        </w:rPr>
        <w:t>erefore</w:t>
      </w:r>
      <w:r w:rsidRPr="00DD60DD">
        <w:rPr>
          <w:noProof/>
          <w:color w:val="000000" w:themeColor="text1"/>
          <w:sz w:val="20"/>
          <w:szCs w:val="20"/>
        </w:rPr>
        <w:t>, the IACHR deems that the remedy of unconstitutionality was indeed a</w:t>
      </w:r>
      <w:r w:rsidR="005565EE" w:rsidRPr="00DD60DD">
        <w:rPr>
          <w:noProof/>
          <w:color w:val="000000" w:themeColor="text1"/>
          <w:sz w:val="20"/>
          <w:szCs w:val="20"/>
        </w:rPr>
        <w:t xml:space="preserve"> suitable</w:t>
      </w:r>
      <w:r w:rsidRPr="00DD60DD">
        <w:rPr>
          <w:noProof/>
          <w:color w:val="000000" w:themeColor="text1"/>
          <w:sz w:val="20"/>
          <w:szCs w:val="20"/>
        </w:rPr>
        <w:t xml:space="preserve"> remedy to addre</w:t>
      </w:r>
      <w:r w:rsidR="00D63BC0" w:rsidRPr="00DD60DD">
        <w:rPr>
          <w:noProof/>
          <w:color w:val="000000" w:themeColor="text1"/>
          <w:sz w:val="20"/>
          <w:szCs w:val="20"/>
        </w:rPr>
        <w:t xml:space="preserve">ss the situation denounced and </w:t>
      </w:r>
      <w:r w:rsidRPr="00DD60DD">
        <w:rPr>
          <w:noProof/>
          <w:color w:val="000000" w:themeColor="text1"/>
          <w:sz w:val="20"/>
          <w:szCs w:val="20"/>
        </w:rPr>
        <w:t xml:space="preserve">that the State had the opportunity to address the alleged violation prior to </w:t>
      </w:r>
      <w:r w:rsidR="00DC77E3" w:rsidRPr="00DD60DD">
        <w:rPr>
          <w:noProof/>
          <w:color w:val="000000" w:themeColor="text1"/>
          <w:sz w:val="20"/>
          <w:szCs w:val="20"/>
        </w:rPr>
        <w:t>it being heard by the bodies of the inter-American system.</w:t>
      </w:r>
      <w:r w:rsidR="00E12054" w:rsidRPr="00DD60DD">
        <w:rPr>
          <w:rStyle w:val="FootnoteReference"/>
          <w:rFonts w:eastAsia="Times New Roman" w:cs="Calibri"/>
          <w:noProof/>
          <w:color w:val="000000" w:themeColor="text1"/>
          <w:sz w:val="20"/>
          <w:szCs w:val="20"/>
        </w:rPr>
        <w:footnoteReference w:id="10"/>
      </w:r>
      <w:r w:rsidR="00A87D98" w:rsidRPr="00DD60DD">
        <w:rPr>
          <w:rFonts w:eastAsia="Times New Roman" w:cs="Calibri"/>
          <w:noProof/>
          <w:color w:val="000000" w:themeColor="text1"/>
          <w:sz w:val="20"/>
          <w:szCs w:val="20"/>
        </w:rPr>
        <w:t xml:space="preserve"> </w:t>
      </w:r>
      <w:r w:rsidR="005565EE" w:rsidRPr="00DD60DD">
        <w:rPr>
          <w:rFonts w:eastAsia="Times New Roman" w:cs="Calibri"/>
          <w:noProof/>
          <w:color w:val="000000" w:themeColor="text1"/>
          <w:sz w:val="20"/>
          <w:szCs w:val="20"/>
        </w:rPr>
        <w:t>T</w:t>
      </w:r>
      <w:r w:rsidR="00DC77E3" w:rsidRPr="00DD60DD">
        <w:rPr>
          <w:rFonts w:eastAsia="Times New Roman" w:cs="Calibri"/>
          <w:noProof/>
          <w:color w:val="000000" w:themeColor="text1"/>
          <w:sz w:val="20"/>
          <w:szCs w:val="20"/>
        </w:rPr>
        <w:t xml:space="preserve">he Commission </w:t>
      </w:r>
      <w:r w:rsidR="005565EE" w:rsidRPr="00DD60DD">
        <w:rPr>
          <w:rFonts w:eastAsia="Times New Roman" w:cs="Calibri"/>
          <w:noProof/>
          <w:color w:val="000000" w:themeColor="text1"/>
          <w:sz w:val="20"/>
          <w:szCs w:val="20"/>
        </w:rPr>
        <w:t xml:space="preserve">thus </w:t>
      </w:r>
      <w:r w:rsidR="00DC77E3" w:rsidRPr="00DD60DD">
        <w:rPr>
          <w:rFonts w:eastAsia="Times New Roman" w:cs="Calibri"/>
          <w:noProof/>
          <w:color w:val="000000" w:themeColor="text1"/>
          <w:sz w:val="20"/>
          <w:szCs w:val="20"/>
        </w:rPr>
        <w:t>considers that domestic remedies have been exhausted as provided for under Article 46(1)(a) of the American Convention.</w:t>
      </w:r>
    </w:p>
    <w:p w:rsidR="0083258B" w:rsidRPr="00DD60DD" w:rsidRDefault="00DC77E3" w:rsidP="00C0562F">
      <w:pPr>
        <w:pStyle w:val="ListParagraph"/>
        <w:numPr>
          <w:ilvl w:val="0"/>
          <w:numId w:val="62"/>
        </w:numPr>
        <w:suppressAutoHyphens/>
        <w:spacing w:after="240"/>
        <w:ind w:left="0" w:firstLine="720"/>
        <w:jc w:val="both"/>
        <w:rPr>
          <w:noProof/>
          <w:color w:val="000000" w:themeColor="text1"/>
          <w:sz w:val="20"/>
          <w:szCs w:val="20"/>
        </w:rPr>
      </w:pPr>
      <w:r w:rsidRPr="00DD60DD">
        <w:rPr>
          <w:rFonts w:cs="Calibri"/>
          <w:noProof/>
          <w:color w:val="000000" w:themeColor="text1"/>
          <w:sz w:val="20"/>
          <w:szCs w:val="20"/>
        </w:rPr>
        <w:t xml:space="preserve">In relation to the timeliness of the petition, it was presented to the IACHR on July 28, 2008 and the remedies </w:t>
      </w:r>
      <w:r w:rsidR="005565EE" w:rsidRPr="00DD60DD">
        <w:rPr>
          <w:rFonts w:cs="Calibri"/>
          <w:noProof/>
          <w:color w:val="000000" w:themeColor="text1"/>
          <w:sz w:val="20"/>
          <w:szCs w:val="20"/>
        </w:rPr>
        <w:t>filed</w:t>
      </w:r>
      <w:r w:rsidRPr="00DD60DD">
        <w:rPr>
          <w:rFonts w:cs="Calibri"/>
          <w:noProof/>
          <w:color w:val="000000" w:themeColor="text1"/>
          <w:sz w:val="20"/>
          <w:szCs w:val="20"/>
        </w:rPr>
        <w:t xml:space="preserve"> were exhausted </w:t>
      </w:r>
      <w:r w:rsidR="00D63BC0" w:rsidRPr="00DD60DD">
        <w:rPr>
          <w:rFonts w:cs="Calibri"/>
          <w:noProof/>
          <w:color w:val="000000" w:themeColor="text1"/>
          <w:sz w:val="20"/>
          <w:szCs w:val="20"/>
        </w:rPr>
        <w:t xml:space="preserve">on February 7, 2008, </w:t>
      </w:r>
      <w:r w:rsidRPr="00DD60DD">
        <w:rPr>
          <w:rFonts w:cs="Calibri"/>
          <w:noProof/>
          <w:color w:val="000000" w:themeColor="text1"/>
          <w:sz w:val="20"/>
          <w:szCs w:val="20"/>
        </w:rPr>
        <w:t>w</w:t>
      </w:r>
      <w:r w:rsidR="00C50C76" w:rsidRPr="00DD60DD">
        <w:rPr>
          <w:rFonts w:cs="Calibri"/>
          <w:noProof/>
          <w:color w:val="000000" w:themeColor="text1"/>
          <w:sz w:val="20"/>
          <w:szCs w:val="20"/>
        </w:rPr>
        <w:t xml:space="preserve">hen notice </w:t>
      </w:r>
      <w:r w:rsidR="005565EE" w:rsidRPr="00DD60DD">
        <w:rPr>
          <w:rFonts w:cs="Calibri"/>
          <w:noProof/>
          <w:color w:val="000000" w:themeColor="text1"/>
          <w:sz w:val="20"/>
          <w:szCs w:val="20"/>
        </w:rPr>
        <w:t>was provided that the</w:t>
      </w:r>
      <w:r w:rsidR="00D63BC0" w:rsidRPr="00DD60DD">
        <w:rPr>
          <w:rFonts w:cs="Calibri"/>
          <w:noProof/>
          <w:color w:val="000000" w:themeColor="text1"/>
          <w:sz w:val="20"/>
          <w:szCs w:val="20"/>
        </w:rPr>
        <w:t xml:space="preserve"> remedy of unconstitutionality</w:t>
      </w:r>
      <w:r w:rsidR="005565EE" w:rsidRPr="00DD60DD">
        <w:rPr>
          <w:rFonts w:cs="Calibri"/>
          <w:noProof/>
          <w:color w:val="000000" w:themeColor="text1"/>
          <w:sz w:val="20"/>
          <w:szCs w:val="20"/>
        </w:rPr>
        <w:t xml:space="preserve"> had been </w:t>
      </w:r>
      <w:r w:rsidR="00E52752" w:rsidRPr="00DD60DD">
        <w:rPr>
          <w:rFonts w:cs="Calibri"/>
          <w:noProof/>
          <w:color w:val="000000" w:themeColor="text1"/>
          <w:sz w:val="20"/>
          <w:szCs w:val="20"/>
        </w:rPr>
        <w:t>rejected</w:t>
      </w:r>
      <w:r w:rsidR="00331B6C" w:rsidRPr="00DD60DD">
        <w:rPr>
          <w:rFonts w:cs="Calibri"/>
          <w:noProof/>
          <w:color w:val="000000" w:themeColor="text1"/>
          <w:sz w:val="20"/>
          <w:szCs w:val="20"/>
        </w:rPr>
        <w:t>. Therefore, the Commission notes that</w:t>
      </w:r>
      <w:r w:rsidR="00E52752" w:rsidRPr="00DD60DD">
        <w:rPr>
          <w:rFonts w:cs="Calibri"/>
          <w:noProof/>
          <w:color w:val="000000" w:themeColor="text1"/>
          <w:sz w:val="20"/>
          <w:szCs w:val="20"/>
        </w:rPr>
        <w:t xml:space="preserve"> the petition was presented by the six-month </w:t>
      </w:r>
      <w:r w:rsidR="00331B6C" w:rsidRPr="00DD60DD">
        <w:rPr>
          <w:rFonts w:cs="Calibri"/>
          <w:noProof/>
          <w:color w:val="000000" w:themeColor="text1"/>
          <w:sz w:val="20"/>
          <w:szCs w:val="20"/>
        </w:rPr>
        <w:t>deadline</w:t>
      </w:r>
      <w:r w:rsidR="00E52752" w:rsidRPr="00DD60DD">
        <w:rPr>
          <w:rFonts w:cs="Calibri"/>
          <w:noProof/>
          <w:color w:val="000000" w:themeColor="text1"/>
          <w:sz w:val="20"/>
          <w:szCs w:val="20"/>
        </w:rPr>
        <w:t>,</w:t>
      </w:r>
      <w:r w:rsidR="00331B6C" w:rsidRPr="00DD60DD">
        <w:rPr>
          <w:rFonts w:cs="Calibri"/>
          <w:noProof/>
          <w:color w:val="000000" w:themeColor="text1"/>
          <w:sz w:val="20"/>
          <w:szCs w:val="20"/>
        </w:rPr>
        <w:t xml:space="preserve"> in compliance with</w:t>
      </w:r>
      <w:r w:rsidR="00E52752" w:rsidRPr="00DD60DD">
        <w:rPr>
          <w:rFonts w:cs="Calibri"/>
          <w:noProof/>
          <w:color w:val="000000" w:themeColor="text1"/>
          <w:sz w:val="20"/>
          <w:szCs w:val="20"/>
        </w:rPr>
        <w:t xml:space="preserve"> the requirement provided for under</w:t>
      </w:r>
      <w:r w:rsidR="00331B6C" w:rsidRPr="00DD60DD">
        <w:rPr>
          <w:rFonts w:cs="Calibri"/>
          <w:noProof/>
          <w:color w:val="000000" w:themeColor="text1"/>
          <w:sz w:val="20"/>
          <w:szCs w:val="20"/>
        </w:rPr>
        <w:t xml:space="preserve"> Article 46(1)(b) of the American Convention</w:t>
      </w:r>
      <w:r w:rsidR="000C1399" w:rsidRPr="00DD60DD">
        <w:rPr>
          <w:rFonts w:cs="Calibri"/>
          <w:noProof/>
          <w:color w:val="000000" w:themeColor="text1"/>
          <w:sz w:val="20"/>
          <w:szCs w:val="20"/>
        </w:rPr>
        <w:t>.</w:t>
      </w:r>
    </w:p>
    <w:p w:rsidR="00A063D3" w:rsidRPr="00DD60DD" w:rsidRDefault="0079622B" w:rsidP="00C4461A">
      <w:pPr>
        <w:pStyle w:val="ListParagraph"/>
        <w:spacing w:before="240" w:after="240"/>
        <w:jc w:val="both"/>
        <w:rPr>
          <w:rFonts w:asciiTheme="majorHAnsi" w:hAnsiTheme="majorHAnsi"/>
          <w:b/>
          <w:bCs/>
          <w:noProof/>
          <w:sz w:val="20"/>
          <w:szCs w:val="20"/>
        </w:rPr>
      </w:pPr>
      <w:r w:rsidRPr="00DD60DD">
        <w:rPr>
          <w:rFonts w:asciiTheme="majorHAnsi" w:hAnsiTheme="majorHAnsi"/>
          <w:b/>
          <w:bCs/>
          <w:noProof/>
          <w:sz w:val="20"/>
          <w:szCs w:val="20"/>
        </w:rPr>
        <w:t>VI</w:t>
      </w:r>
      <w:r w:rsidR="003239B8" w:rsidRPr="00DD60DD">
        <w:rPr>
          <w:rFonts w:asciiTheme="majorHAnsi" w:hAnsiTheme="majorHAnsi"/>
          <w:b/>
          <w:bCs/>
          <w:noProof/>
          <w:sz w:val="20"/>
          <w:szCs w:val="20"/>
        </w:rPr>
        <w:t>I.</w:t>
      </w:r>
      <w:r w:rsidR="003239B8" w:rsidRPr="00DD60DD">
        <w:rPr>
          <w:rFonts w:asciiTheme="majorHAnsi" w:hAnsiTheme="majorHAnsi"/>
          <w:b/>
          <w:bCs/>
          <w:noProof/>
          <w:sz w:val="20"/>
          <w:szCs w:val="20"/>
        </w:rPr>
        <w:tab/>
      </w:r>
      <w:r w:rsidR="004A6A54" w:rsidRPr="00DD60DD">
        <w:rPr>
          <w:rFonts w:asciiTheme="majorHAnsi" w:hAnsiTheme="majorHAnsi"/>
          <w:b/>
          <w:bCs/>
          <w:noProof/>
          <w:sz w:val="20"/>
          <w:szCs w:val="20"/>
        </w:rPr>
        <w:t>AN</w:t>
      </w:r>
      <w:r w:rsidR="00E074BE" w:rsidRPr="00DD60DD">
        <w:rPr>
          <w:rFonts w:asciiTheme="majorHAnsi" w:hAnsiTheme="majorHAnsi"/>
          <w:b/>
          <w:bCs/>
          <w:noProof/>
          <w:sz w:val="20"/>
          <w:szCs w:val="20"/>
        </w:rPr>
        <w:t xml:space="preserve">ALYSIS OF </w:t>
      </w:r>
      <w:r w:rsidR="00331B6C" w:rsidRPr="00DD60DD">
        <w:rPr>
          <w:rFonts w:asciiTheme="majorHAnsi" w:hAnsiTheme="majorHAnsi"/>
          <w:b/>
          <w:bCs/>
          <w:noProof/>
          <w:sz w:val="20"/>
          <w:szCs w:val="20"/>
        </w:rPr>
        <w:t xml:space="preserve">CHARACTERIZATION OF </w:t>
      </w:r>
      <w:r w:rsidR="00E52752" w:rsidRPr="00DD60DD">
        <w:rPr>
          <w:rFonts w:asciiTheme="majorHAnsi" w:hAnsiTheme="majorHAnsi"/>
          <w:b/>
          <w:bCs/>
          <w:noProof/>
          <w:sz w:val="20"/>
          <w:szCs w:val="20"/>
        </w:rPr>
        <w:t xml:space="preserve">THE </w:t>
      </w:r>
      <w:r w:rsidR="00331B6C" w:rsidRPr="00DD60DD">
        <w:rPr>
          <w:rFonts w:asciiTheme="majorHAnsi" w:hAnsiTheme="majorHAnsi"/>
          <w:b/>
          <w:bCs/>
          <w:noProof/>
          <w:sz w:val="20"/>
          <w:szCs w:val="20"/>
        </w:rPr>
        <w:t>FACTS ALLEGED</w:t>
      </w:r>
    </w:p>
    <w:p w:rsidR="00C0562F" w:rsidRPr="00DD60DD" w:rsidRDefault="00C50C76" w:rsidP="00A65D6B">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noProof/>
          <w:sz w:val="20"/>
          <w:szCs w:val="20"/>
        </w:rPr>
      </w:pPr>
      <w:r w:rsidRPr="00DD60DD">
        <w:rPr>
          <w:noProof/>
          <w:sz w:val="20"/>
          <w:szCs w:val="20"/>
        </w:rPr>
        <w:t xml:space="preserve">The petitioners </w:t>
      </w:r>
      <w:r w:rsidR="00E52752" w:rsidRPr="00DD60DD">
        <w:rPr>
          <w:noProof/>
          <w:sz w:val="20"/>
          <w:szCs w:val="20"/>
        </w:rPr>
        <w:t>contend</w:t>
      </w:r>
      <w:r w:rsidRPr="00DD60DD">
        <w:rPr>
          <w:noProof/>
          <w:sz w:val="20"/>
          <w:szCs w:val="20"/>
        </w:rPr>
        <w:t xml:space="preserve"> that the State is responsible for violating the rights of Mrs. </w:t>
      </w:r>
      <w:r w:rsidR="00481B0B" w:rsidRPr="00DD60DD">
        <w:rPr>
          <w:noProof/>
          <w:sz w:val="20"/>
          <w:szCs w:val="20"/>
        </w:rPr>
        <w:t xml:space="preserve">Rosa Elena Pariahuachi Palacios </w:t>
      </w:r>
      <w:r w:rsidRPr="00DD60DD">
        <w:rPr>
          <w:noProof/>
          <w:sz w:val="20"/>
          <w:szCs w:val="20"/>
        </w:rPr>
        <w:t xml:space="preserve">and other workers from </w:t>
      </w:r>
      <w:r w:rsidR="00E52752" w:rsidRPr="00DD60DD">
        <w:rPr>
          <w:noProof/>
          <w:sz w:val="20"/>
          <w:szCs w:val="20"/>
        </w:rPr>
        <w:t xml:space="preserve">the </w:t>
      </w:r>
      <w:r w:rsidRPr="00DD60DD">
        <w:rPr>
          <w:noProof/>
          <w:sz w:val="20"/>
          <w:szCs w:val="20"/>
        </w:rPr>
        <w:t xml:space="preserve">agricultural sector inasmuch as they </w:t>
      </w:r>
      <w:r w:rsidR="00E52752" w:rsidRPr="00DD60DD">
        <w:rPr>
          <w:noProof/>
          <w:sz w:val="20"/>
          <w:szCs w:val="20"/>
        </w:rPr>
        <w:t xml:space="preserve">consider </w:t>
      </w:r>
      <w:r w:rsidRPr="00DD60DD">
        <w:rPr>
          <w:noProof/>
          <w:sz w:val="20"/>
          <w:szCs w:val="20"/>
        </w:rPr>
        <w:t>that as of the entry in</w:t>
      </w:r>
      <w:r w:rsidR="00E52752" w:rsidRPr="00DD60DD">
        <w:rPr>
          <w:noProof/>
          <w:sz w:val="20"/>
          <w:szCs w:val="20"/>
        </w:rPr>
        <w:t>to</w:t>
      </w:r>
      <w:r w:rsidRPr="00DD60DD">
        <w:rPr>
          <w:noProof/>
          <w:sz w:val="20"/>
          <w:szCs w:val="20"/>
        </w:rPr>
        <w:t xml:space="preserve"> force of Law </w:t>
      </w:r>
      <w:r w:rsidR="00A87D98" w:rsidRPr="00DD60DD">
        <w:rPr>
          <w:rFonts w:asciiTheme="majorHAnsi" w:hAnsiTheme="majorHAnsi"/>
          <w:noProof/>
          <w:sz w:val="20"/>
          <w:szCs w:val="20"/>
        </w:rPr>
        <w:t>N°27360</w:t>
      </w:r>
      <w:r w:rsidR="00E52752" w:rsidRPr="00DD60DD">
        <w:rPr>
          <w:rFonts w:asciiTheme="majorHAnsi" w:hAnsiTheme="majorHAnsi"/>
          <w:noProof/>
          <w:sz w:val="20"/>
          <w:szCs w:val="20"/>
        </w:rPr>
        <w:t xml:space="preserve">, they </w:t>
      </w:r>
      <w:r w:rsidRPr="00DD60DD">
        <w:rPr>
          <w:rFonts w:asciiTheme="majorHAnsi" w:hAnsiTheme="majorHAnsi"/>
          <w:noProof/>
          <w:sz w:val="20"/>
          <w:szCs w:val="20"/>
        </w:rPr>
        <w:t>were subject to discriminatory treatment with respect to their employment rights and benefits.</w:t>
      </w:r>
      <w:r w:rsidR="00CD5777" w:rsidRPr="00DD60DD">
        <w:rPr>
          <w:rFonts w:asciiTheme="majorHAnsi" w:hAnsiTheme="majorHAnsi"/>
          <w:noProof/>
          <w:sz w:val="20"/>
          <w:szCs w:val="20"/>
        </w:rPr>
        <w:t xml:space="preserve"> At the same time, the State affirms that the facts alleged do not characterize violations because it holds that differentiation does not necessarily entail discriminatory treatment, reiterating the arguments contained in the decision of the Constitutional Court of Peru</w:t>
      </w:r>
      <w:r w:rsidR="00D662DF" w:rsidRPr="00DD60DD">
        <w:rPr>
          <w:noProof/>
          <w:sz w:val="20"/>
          <w:szCs w:val="20"/>
        </w:rPr>
        <w:t>.</w:t>
      </w:r>
      <w:r w:rsidR="00E765BD" w:rsidRPr="00DD60DD">
        <w:rPr>
          <w:noProof/>
        </w:rPr>
        <w:t xml:space="preserve"> </w:t>
      </w:r>
    </w:p>
    <w:p w:rsidR="00C0562F" w:rsidRPr="00DD60DD" w:rsidRDefault="00CD5777" w:rsidP="00C0562F">
      <w:pPr>
        <w:pStyle w:val="ListParagraph"/>
        <w:numPr>
          <w:ilvl w:val="0"/>
          <w:numId w:val="62"/>
        </w:numPr>
        <w:suppressAutoHyphens/>
        <w:spacing w:after="240"/>
        <w:ind w:left="0" w:firstLine="720"/>
        <w:jc w:val="both"/>
        <w:rPr>
          <w:noProof/>
          <w:sz w:val="20"/>
          <w:szCs w:val="20"/>
        </w:rPr>
      </w:pPr>
      <w:r w:rsidRPr="00DD60DD">
        <w:rPr>
          <w:noProof/>
          <w:sz w:val="20"/>
          <w:szCs w:val="20"/>
        </w:rPr>
        <w:t xml:space="preserve">The facts </w:t>
      </w:r>
      <w:r w:rsidR="00E52752" w:rsidRPr="00DD60DD">
        <w:rPr>
          <w:noProof/>
          <w:sz w:val="20"/>
          <w:szCs w:val="20"/>
        </w:rPr>
        <w:t>regarding the impact</w:t>
      </w:r>
      <w:r w:rsidRPr="00DD60DD">
        <w:rPr>
          <w:noProof/>
          <w:sz w:val="20"/>
          <w:szCs w:val="20"/>
        </w:rPr>
        <w:t xml:space="preserve"> on the rights of individuals subject to the special system for the agricultural sector may</w:t>
      </w:r>
      <w:r w:rsidR="00E52752" w:rsidRPr="00DD60DD">
        <w:rPr>
          <w:noProof/>
          <w:sz w:val="20"/>
          <w:szCs w:val="20"/>
        </w:rPr>
        <w:t>,</w:t>
      </w:r>
      <w:r w:rsidRPr="00DD60DD">
        <w:rPr>
          <w:noProof/>
          <w:sz w:val="20"/>
          <w:szCs w:val="20"/>
        </w:rPr>
        <w:t xml:space="preserve"> </w:t>
      </w:r>
      <w:r w:rsidR="00D662DF" w:rsidRPr="00DD60DD">
        <w:rPr>
          <w:i/>
          <w:noProof/>
          <w:sz w:val="20"/>
          <w:szCs w:val="20"/>
        </w:rPr>
        <w:t>prima facie</w:t>
      </w:r>
      <w:r w:rsidR="00E52752" w:rsidRPr="00DD60DD">
        <w:rPr>
          <w:noProof/>
          <w:sz w:val="20"/>
          <w:szCs w:val="20"/>
        </w:rPr>
        <w:t>,</w:t>
      </w:r>
      <w:r w:rsidR="00D662DF" w:rsidRPr="00DD60DD">
        <w:rPr>
          <w:noProof/>
          <w:sz w:val="20"/>
          <w:szCs w:val="20"/>
        </w:rPr>
        <w:t xml:space="preserve"> </w:t>
      </w:r>
      <w:r w:rsidR="006D52DE" w:rsidRPr="00DD60DD">
        <w:rPr>
          <w:noProof/>
          <w:sz w:val="20"/>
          <w:szCs w:val="20"/>
        </w:rPr>
        <w:t>characterize a violation of the obligations of Article 24 of the American Convention. In particular, the Commission will evaluate the purported discri</w:t>
      </w:r>
      <w:r w:rsidR="00E52752" w:rsidRPr="00DD60DD">
        <w:rPr>
          <w:noProof/>
          <w:sz w:val="20"/>
          <w:szCs w:val="20"/>
        </w:rPr>
        <w:t>mi</w:t>
      </w:r>
      <w:r w:rsidR="006D52DE" w:rsidRPr="00DD60DD">
        <w:rPr>
          <w:noProof/>
          <w:sz w:val="20"/>
          <w:szCs w:val="20"/>
        </w:rPr>
        <w:t xml:space="preserve">natory treatment in light of the Peruvian context of alleged historic and structural discrimination towards low-income </w:t>
      </w:r>
      <w:r w:rsidR="00D63BC0" w:rsidRPr="00DD60DD">
        <w:rPr>
          <w:i/>
          <w:noProof/>
          <w:sz w:val="20"/>
          <w:szCs w:val="20"/>
        </w:rPr>
        <w:t>campesino</w:t>
      </w:r>
      <w:r w:rsidR="00E52752" w:rsidRPr="00DD60DD">
        <w:rPr>
          <w:i/>
          <w:noProof/>
          <w:sz w:val="20"/>
          <w:szCs w:val="20"/>
        </w:rPr>
        <w:t xml:space="preserve"> </w:t>
      </w:r>
      <w:r w:rsidR="00E52752" w:rsidRPr="00DD60DD">
        <w:rPr>
          <w:noProof/>
          <w:sz w:val="20"/>
          <w:szCs w:val="20"/>
        </w:rPr>
        <w:t>women</w:t>
      </w:r>
      <w:r w:rsidR="006D52DE" w:rsidRPr="00DD60DD">
        <w:rPr>
          <w:noProof/>
          <w:sz w:val="20"/>
          <w:szCs w:val="20"/>
        </w:rPr>
        <w:t>. Without prejudging the merits of the case, the Commission recalls that a violation of the right to equal</w:t>
      </w:r>
      <w:r w:rsidR="00E52752" w:rsidRPr="00DD60DD">
        <w:rPr>
          <w:noProof/>
          <w:sz w:val="20"/>
          <w:szCs w:val="20"/>
        </w:rPr>
        <w:t xml:space="preserve"> protection</w:t>
      </w:r>
      <w:r w:rsidR="006D52DE" w:rsidRPr="00DD60DD">
        <w:rPr>
          <w:noProof/>
          <w:sz w:val="20"/>
          <w:szCs w:val="20"/>
        </w:rPr>
        <w:t xml:space="preserve"> and non-discrimination may also occur in situations and cases of indirect discrimination</w:t>
      </w:r>
      <w:r w:rsidR="00E52752" w:rsidRPr="00DD60DD">
        <w:rPr>
          <w:noProof/>
          <w:sz w:val="20"/>
          <w:szCs w:val="20"/>
        </w:rPr>
        <w:t xml:space="preserve">, </w:t>
      </w:r>
      <w:r w:rsidR="006D52DE" w:rsidRPr="00DD60DD">
        <w:rPr>
          <w:noProof/>
          <w:sz w:val="20"/>
          <w:szCs w:val="20"/>
        </w:rPr>
        <w:t xml:space="preserve">reflected in </w:t>
      </w:r>
      <w:r w:rsidR="00D63BC0" w:rsidRPr="00DD60DD">
        <w:rPr>
          <w:noProof/>
          <w:sz w:val="20"/>
          <w:szCs w:val="20"/>
        </w:rPr>
        <w:t>a</w:t>
      </w:r>
      <w:r w:rsidR="006D52DE" w:rsidRPr="00DD60DD">
        <w:rPr>
          <w:noProof/>
          <w:sz w:val="20"/>
          <w:szCs w:val="20"/>
        </w:rPr>
        <w:t xml:space="preserve"> disproportionate impact of provisions that, even when they are or seem to be neutral in their formulation or have a general </w:t>
      </w:r>
      <w:r w:rsidR="005C2631" w:rsidRPr="00DD60DD">
        <w:rPr>
          <w:noProof/>
          <w:sz w:val="20"/>
          <w:szCs w:val="20"/>
        </w:rPr>
        <w:t>undifferentiated</w:t>
      </w:r>
      <w:r w:rsidR="006D52DE" w:rsidRPr="00DD60DD">
        <w:rPr>
          <w:noProof/>
          <w:sz w:val="20"/>
          <w:szCs w:val="20"/>
        </w:rPr>
        <w:t xml:space="preserve"> scop</w:t>
      </w:r>
      <w:r w:rsidR="005C2631" w:rsidRPr="00DD60DD">
        <w:rPr>
          <w:noProof/>
          <w:sz w:val="20"/>
          <w:szCs w:val="20"/>
        </w:rPr>
        <w:t>e</w:t>
      </w:r>
      <w:r w:rsidR="006D52DE" w:rsidRPr="00DD60DD">
        <w:rPr>
          <w:noProof/>
          <w:sz w:val="20"/>
          <w:szCs w:val="20"/>
        </w:rPr>
        <w:t xml:space="preserve">, </w:t>
      </w:r>
      <w:r w:rsidR="00E52752" w:rsidRPr="00DD60DD">
        <w:rPr>
          <w:noProof/>
          <w:sz w:val="20"/>
          <w:szCs w:val="20"/>
        </w:rPr>
        <w:t xml:space="preserve">have </w:t>
      </w:r>
      <w:r w:rsidR="006D52DE" w:rsidRPr="00DD60DD">
        <w:rPr>
          <w:noProof/>
          <w:sz w:val="20"/>
          <w:szCs w:val="20"/>
        </w:rPr>
        <w:t>adverse effects on certain vulnerable groups.</w:t>
      </w:r>
      <w:r w:rsidR="00D662DF" w:rsidRPr="00DD60DD">
        <w:rPr>
          <w:rStyle w:val="FootnoteReference"/>
          <w:noProof/>
          <w:sz w:val="20"/>
          <w:szCs w:val="20"/>
        </w:rPr>
        <w:footnoteReference w:id="11"/>
      </w:r>
      <w:r w:rsidR="00D662DF" w:rsidRPr="00DD60DD">
        <w:rPr>
          <w:noProof/>
          <w:sz w:val="20"/>
          <w:szCs w:val="20"/>
        </w:rPr>
        <w:t xml:space="preserve"> </w:t>
      </w:r>
      <w:r w:rsidR="00E52752" w:rsidRPr="00DD60DD">
        <w:rPr>
          <w:noProof/>
          <w:sz w:val="20"/>
          <w:szCs w:val="20"/>
        </w:rPr>
        <w:t>The IACHR and the Rapporteurship on the Rights of Women have noted t</w:t>
      </w:r>
      <w:r w:rsidR="005C2631" w:rsidRPr="00DD60DD">
        <w:rPr>
          <w:noProof/>
          <w:sz w:val="20"/>
          <w:szCs w:val="20"/>
        </w:rPr>
        <w:t xml:space="preserve">his pattern of discrimination </w:t>
      </w:r>
      <w:r w:rsidR="003D7B32" w:rsidRPr="00DD60DD">
        <w:rPr>
          <w:noProof/>
          <w:sz w:val="20"/>
          <w:szCs w:val="20"/>
        </w:rPr>
        <w:t xml:space="preserve">with respect to </w:t>
      </w:r>
      <w:r w:rsidR="005C2631" w:rsidRPr="00DD60DD">
        <w:rPr>
          <w:noProof/>
          <w:sz w:val="20"/>
          <w:szCs w:val="20"/>
        </w:rPr>
        <w:t xml:space="preserve">women in </w:t>
      </w:r>
      <w:r w:rsidR="00E52752" w:rsidRPr="00DD60DD">
        <w:rPr>
          <w:noProof/>
          <w:sz w:val="20"/>
          <w:szCs w:val="20"/>
        </w:rPr>
        <w:t>the workplace</w:t>
      </w:r>
      <w:r w:rsidR="005C2631" w:rsidRPr="00DD60DD">
        <w:rPr>
          <w:noProof/>
          <w:sz w:val="20"/>
          <w:szCs w:val="20"/>
        </w:rPr>
        <w:t>.</w:t>
      </w:r>
      <w:r w:rsidR="00BE3DB3" w:rsidRPr="00DD60DD">
        <w:rPr>
          <w:rStyle w:val="FootnoteReference"/>
          <w:rFonts w:eastAsia="Trebuchet MS" w:cs="Calibri"/>
          <w:noProof/>
          <w:sz w:val="20"/>
          <w:szCs w:val="20"/>
        </w:rPr>
        <w:footnoteReference w:id="12"/>
      </w:r>
    </w:p>
    <w:p w:rsidR="00C0562F" w:rsidRPr="00DD60DD" w:rsidRDefault="00586E66" w:rsidP="00C0562F">
      <w:pPr>
        <w:pStyle w:val="ListParagraph"/>
        <w:numPr>
          <w:ilvl w:val="0"/>
          <w:numId w:val="62"/>
        </w:numPr>
        <w:suppressAutoHyphens/>
        <w:spacing w:after="240"/>
        <w:ind w:left="0" w:firstLine="720"/>
        <w:jc w:val="both"/>
        <w:rPr>
          <w:noProof/>
          <w:sz w:val="20"/>
          <w:szCs w:val="20"/>
        </w:rPr>
      </w:pPr>
      <w:r w:rsidRPr="00DD60DD">
        <w:rPr>
          <w:noProof/>
          <w:sz w:val="20"/>
          <w:szCs w:val="20"/>
        </w:rPr>
        <w:t xml:space="preserve">As for the State’s arguments regarding the lack of competence </w:t>
      </w:r>
      <w:r w:rsidR="00D662DF" w:rsidRPr="00DD60DD">
        <w:rPr>
          <w:i/>
          <w:noProof/>
          <w:sz w:val="20"/>
          <w:szCs w:val="20"/>
        </w:rPr>
        <w:t>ratione materiae</w:t>
      </w:r>
      <w:r w:rsidR="00D63BC0" w:rsidRPr="00DD60DD">
        <w:rPr>
          <w:noProof/>
          <w:sz w:val="20"/>
          <w:szCs w:val="20"/>
        </w:rPr>
        <w:t>,</w:t>
      </w:r>
      <w:r w:rsidRPr="00DD60DD">
        <w:rPr>
          <w:i/>
          <w:noProof/>
          <w:sz w:val="20"/>
          <w:szCs w:val="20"/>
        </w:rPr>
        <w:t xml:space="preserve"> </w:t>
      </w:r>
      <w:r w:rsidRPr="00DD60DD">
        <w:rPr>
          <w:noProof/>
          <w:sz w:val="20"/>
          <w:szCs w:val="20"/>
        </w:rPr>
        <w:t>given that Mrs.</w:t>
      </w:r>
      <w:r w:rsidR="00D662DF" w:rsidRPr="00DD60DD">
        <w:rPr>
          <w:noProof/>
          <w:sz w:val="20"/>
          <w:szCs w:val="20"/>
        </w:rPr>
        <w:t xml:space="preserve"> Pariahuachi</w:t>
      </w:r>
      <w:r w:rsidRPr="00DD60DD">
        <w:rPr>
          <w:noProof/>
          <w:sz w:val="20"/>
          <w:szCs w:val="20"/>
        </w:rPr>
        <w:t xml:space="preserve">’s claims involve employment rights provided for in the Additional Protocol to the American Convention </w:t>
      </w:r>
      <w:r w:rsidR="003D7B32" w:rsidRPr="00DD60DD">
        <w:rPr>
          <w:noProof/>
          <w:sz w:val="20"/>
          <w:szCs w:val="20"/>
        </w:rPr>
        <w:t>in the Area of</w:t>
      </w:r>
      <w:r w:rsidRPr="00DD60DD">
        <w:rPr>
          <w:noProof/>
          <w:sz w:val="20"/>
          <w:szCs w:val="20"/>
        </w:rPr>
        <w:t xml:space="preserve"> Economic, Social, and Cultural Rights, the IACHR notes that the petitioners did not allege violations of any Article of said Protocol.  </w:t>
      </w:r>
      <w:r w:rsidR="00D63BC0" w:rsidRPr="00DD60DD">
        <w:rPr>
          <w:noProof/>
          <w:sz w:val="20"/>
          <w:szCs w:val="20"/>
        </w:rPr>
        <w:t>This notwithstanding, t</w:t>
      </w:r>
      <w:r w:rsidRPr="00DD60DD">
        <w:rPr>
          <w:noProof/>
          <w:sz w:val="20"/>
          <w:szCs w:val="20"/>
        </w:rPr>
        <w:t xml:space="preserve">he Commission also recalls that, although it lacks competence </w:t>
      </w:r>
      <w:r w:rsidR="009C0828" w:rsidRPr="00DD60DD">
        <w:rPr>
          <w:rFonts w:asciiTheme="majorHAnsi" w:hAnsiTheme="majorHAnsi"/>
          <w:i/>
          <w:noProof/>
          <w:sz w:val="20"/>
          <w:szCs w:val="20"/>
        </w:rPr>
        <w:t>ratione materiae</w:t>
      </w:r>
      <w:r w:rsidR="009C0828" w:rsidRPr="00DD60DD">
        <w:rPr>
          <w:rFonts w:asciiTheme="majorHAnsi" w:hAnsiTheme="majorHAnsi"/>
          <w:noProof/>
          <w:sz w:val="20"/>
          <w:szCs w:val="20"/>
        </w:rPr>
        <w:t xml:space="preserve"> </w:t>
      </w:r>
      <w:r w:rsidRPr="00DD60DD">
        <w:rPr>
          <w:rFonts w:asciiTheme="majorHAnsi" w:hAnsiTheme="majorHAnsi"/>
          <w:noProof/>
          <w:sz w:val="20"/>
          <w:szCs w:val="20"/>
        </w:rPr>
        <w:t>to make rulings under its petition</w:t>
      </w:r>
      <w:r w:rsidR="00936A10" w:rsidRPr="00DD60DD">
        <w:rPr>
          <w:rFonts w:asciiTheme="majorHAnsi" w:hAnsiTheme="majorHAnsi"/>
          <w:noProof/>
          <w:sz w:val="20"/>
          <w:szCs w:val="20"/>
        </w:rPr>
        <w:t>s’ procedure</w:t>
      </w:r>
      <w:r w:rsidRPr="00DD60DD">
        <w:rPr>
          <w:rFonts w:asciiTheme="majorHAnsi" w:hAnsiTheme="majorHAnsi"/>
          <w:noProof/>
          <w:sz w:val="20"/>
          <w:szCs w:val="20"/>
        </w:rPr>
        <w:t xml:space="preserve"> on possible </w:t>
      </w:r>
      <w:r w:rsidRPr="00DD60DD">
        <w:rPr>
          <w:rFonts w:asciiTheme="majorHAnsi" w:hAnsiTheme="majorHAnsi"/>
          <w:noProof/>
          <w:sz w:val="20"/>
          <w:szCs w:val="20"/>
        </w:rPr>
        <w:lastRenderedPageBreak/>
        <w:t xml:space="preserve">violations of the Articles of the Protocol of San Salvador other than those provided for in Article 19(6) thereof, </w:t>
      </w:r>
      <w:r w:rsidR="003D7B32" w:rsidRPr="00DD60DD">
        <w:rPr>
          <w:rFonts w:asciiTheme="majorHAnsi" w:hAnsiTheme="majorHAnsi"/>
          <w:noProof/>
          <w:sz w:val="20"/>
          <w:szCs w:val="20"/>
        </w:rPr>
        <w:t xml:space="preserve">that </w:t>
      </w:r>
      <w:r w:rsidRPr="00DD60DD">
        <w:rPr>
          <w:rFonts w:asciiTheme="majorHAnsi" w:hAnsiTheme="majorHAnsi"/>
          <w:noProof/>
          <w:sz w:val="20"/>
          <w:szCs w:val="20"/>
        </w:rPr>
        <w:t>in keeping with Article 29 of the American Convention, the Commission may take said international instrument into account when interpreting and applying the Convention.</w:t>
      </w:r>
    </w:p>
    <w:p w:rsidR="00C0562F" w:rsidRPr="00DD60DD" w:rsidRDefault="00586E66" w:rsidP="00C0562F">
      <w:pPr>
        <w:pStyle w:val="ListParagraph"/>
        <w:numPr>
          <w:ilvl w:val="0"/>
          <w:numId w:val="62"/>
        </w:numPr>
        <w:suppressAutoHyphens/>
        <w:spacing w:after="240"/>
        <w:ind w:left="0" w:firstLine="720"/>
        <w:jc w:val="both"/>
        <w:rPr>
          <w:noProof/>
          <w:sz w:val="20"/>
          <w:szCs w:val="20"/>
        </w:rPr>
      </w:pPr>
      <w:r w:rsidRPr="00DD60DD">
        <w:rPr>
          <w:rFonts w:asciiTheme="majorHAnsi" w:hAnsiTheme="majorHAnsi"/>
          <w:noProof/>
          <w:sz w:val="20"/>
          <w:szCs w:val="20"/>
        </w:rPr>
        <w:t>With respect to the State’</w:t>
      </w:r>
      <w:r w:rsidR="005E1437" w:rsidRPr="00DD60DD">
        <w:rPr>
          <w:rFonts w:asciiTheme="majorHAnsi" w:hAnsiTheme="majorHAnsi"/>
          <w:noProof/>
          <w:sz w:val="20"/>
          <w:szCs w:val="20"/>
        </w:rPr>
        <w:t xml:space="preserve">s </w:t>
      </w:r>
      <w:r w:rsidR="003D7B32" w:rsidRPr="00DD60DD">
        <w:rPr>
          <w:rFonts w:asciiTheme="majorHAnsi" w:hAnsiTheme="majorHAnsi"/>
          <w:noProof/>
          <w:sz w:val="20"/>
          <w:szCs w:val="20"/>
        </w:rPr>
        <w:t xml:space="preserve">fourth instance </w:t>
      </w:r>
      <w:r w:rsidR="005E1437" w:rsidRPr="00DD60DD">
        <w:rPr>
          <w:rFonts w:asciiTheme="majorHAnsi" w:hAnsiTheme="majorHAnsi"/>
          <w:noProof/>
          <w:sz w:val="20"/>
          <w:szCs w:val="20"/>
        </w:rPr>
        <w:t xml:space="preserve">arguments, the Commission reiterates that in the framework of its mandate, it is competent to decide that a petition is admissible and rule on its merits when </w:t>
      </w:r>
      <w:r w:rsidR="003D7B32" w:rsidRPr="00DD60DD">
        <w:rPr>
          <w:rFonts w:asciiTheme="majorHAnsi" w:hAnsiTheme="majorHAnsi"/>
          <w:noProof/>
          <w:sz w:val="20"/>
          <w:szCs w:val="20"/>
        </w:rPr>
        <w:t>it</w:t>
      </w:r>
      <w:r w:rsidR="005E1437" w:rsidRPr="00DD60DD">
        <w:rPr>
          <w:rFonts w:asciiTheme="majorHAnsi" w:hAnsiTheme="majorHAnsi"/>
          <w:noProof/>
          <w:sz w:val="20"/>
          <w:szCs w:val="20"/>
        </w:rPr>
        <w:t xml:space="preserve"> refers to domestic proceedings that </w:t>
      </w:r>
      <w:r w:rsidR="00936A10" w:rsidRPr="00DD60DD">
        <w:rPr>
          <w:rFonts w:asciiTheme="majorHAnsi" w:hAnsiTheme="majorHAnsi"/>
          <w:noProof/>
          <w:sz w:val="20"/>
          <w:szCs w:val="20"/>
        </w:rPr>
        <w:t>may</w:t>
      </w:r>
      <w:r w:rsidR="005E1437" w:rsidRPr="00DD60DD">
        <w:rPr>
          <w:rFonts w:asciiTheme="majorHAnsi" w:hAnsiTheme="majorHAnsi"/>
          <w:noProof/>
          <w:sz w:val="20"/>
          <w:szCs w:val="20"/>
        </w:rPr>
        <w:t xml:space="preserve"> violate r</w:t>
      </w:r>
      <w:r w:rsidR="00936A10" w:rsidRPr="00DD60DD">
        <w:rPr>
          <w:rFonts w:asciiTheme="majorHAnsi" w:hAnsiTheme="majorHAnsi"/>
          <w:noProof/>
          <w:sz w:val="20"/>
          <w:szCs w:val="20"/>
        </w:rPr>
        <w:t>ights</w:t>
      </w:r>
      <w:r w:rsidR="005E1437" w:rsidRPr="00DD60DD">
        <w:rPr>
          <w:rFonts w:asciiTheme="majorHAnsi" w:hAnsiTheme="majorHAnsi"/>
          <w:noProof/>
          <w:sz w:val="20"/>
          <w:szCs w:val="20"/>
        </w:rPr>
        <w:t xml:space="preserve"> guaranteed </w:t>
      </w:r>
      <w:r w:rsidR="003D7B32" w:rsidRPr="00DD60DD">
        <w:rPr>
          <w:rFonts w:asciiTheme="majorHAnsi" w:hAnsiTheme="majorHAnsi"/>
          <w:noProof/>
          <w:sz w:val="20"/>
          <w:szCs w:val="20"/>
        </w:rPr>
        <w:t>under</w:t>
      </w:r>
      <w:r w:rsidR="005E1437" w:rsidRPr="00DD60DD">
        <w:rPr>
          <w:rFonts w:asciiTheme="majorHAnsi" w:hAnsiTheme="majorHAnsi"/>
          <w:noProof/>
          <w:sz w:val="20"/>
          <w:szCs w:val="20"/>
        </w:rPr>
        <w:t xml:space="preserve"> the American Convention.</w:t>
      </w:r>
    </w:p>
    <w:p w:rsidR="008079C4" w:rsidRPr="00DD60DD" w:rsidRDefault="005E1437" w:rsidP="00C0562F">
      <w:pPr>
        <w:pStyle w:val="ListParagraph"/>
        <w:numPr>
          <w:ilvl w:val="0"/>
          <w:numId w:val="62"/>
        </w:numPr>
        <w:suppressAutoHyphens/>
        <w:spacing w:after="240"/>
        <w:ind w:left="0" w:firstLine="720"/>
        <w:jc w:val="both"/>
        <w:rPr>
          <w:noProof/>
          <w:sz w:val="20"/>
          <w:szCs w:val="20"/>
        </w:rPr>
      </w:pPr>
      <w:r w:rsidRPr="00DD60DD">
        <w:rPr>
          <w:noProof/>
          <w:sz w:val="20"/>
          <w:szCs w:val="20"/>
        </w:rPr>
        <w:t xml:space="preserve">In that sense, </w:t>
      </w:r>
      <w:r w:rsidR="003D7B32" w:rsidRPr="00DD60DD">
        <w:rPr>
          <w:noProof/>
          <w:sz w:val="20"/>
          <w:szCs w:val="20"/>
        </w:rPr>
        <w:t>the IACHR finds</w:t>
      </w:r>
      <w:r w:rsidR="00936A10" w:rsidRPr="00DD60DD">
        <w:rPr>
          <w:noProof/>
          <w:sz w:val="20"/>
          <w:szCs w:val="20"/>
        </w:rPr>
        <w:t xml:space="preserve"> that</w:t>
      </w:r>
      <w:r w:rsidR="003D7B32" w:rsidRPr="00DD60DD">
        <w:rPr>
          <w:noProof/>
          <w:sz w:val="20"/>
          <w:szCs w:val="20"/>
        </w:rPr>
        <w:t xml:space="preserve">, </w:t>
      </w:r>
      <w:r w:rsidRPr="00DD60DD">
        <w:rPr>
          <w:noProof/>
          <w:sz w:val="20"/>
          <w:szCs w:val="20"/>
        </w:rPr>
        <w:t>given the</w:t>
      </w:r>
      <w:r w:rsidR="003D7B32" w:rsidRPr="00DD60DD">
        <w:rPr>
          <w:noProof/>
          <w:sz w:val="20"/>
          <w:szCs w:val="20"/>
        </w:rPr>
        <w:t xml:space="preserve"> factual and legal</w:t>
      </w:r>
      <w:r w:rsidRPr="00DD60DD">
        <w:rPr>
          <w:noProof/>
          <w:sz w:val="20"/>
          <w:szCs w:val="20"/>
        </w:rPr>
        <w:t xml:space="preserve"> </w:t>
      </w:r>
      <w:r w:rsidR="003D7B32" w:rsidRPr="00DD60DD">
        <w:rPr>
          <w:noProof/>
          <w:sz w:val="20"/>
          <w:szCs w:val="20"/>
        </w:rPr>
        <w:t>arguments</w:t>
      </w:r>
      <w:r w:rsidRPr="00DD60DD">
        <w:rPr>
          <w:noProof/>
          <w:sz w:val="20"/>
          <w:szCs w:val="20"/>
        </w:rPr>
        <w:t xml:space="preserve"> presented by the parties and the nature of the matter brought </w:t>
      </w:r>
      <w:r w:rsidR="003D7B32" w:rsidRPr="00DD60DD">
        <w:rPr>
          <w:noProof/>
          <w:sz w:val="20"/>
          <w:szCs w:val="20"/>
        </w:rPr>
        <w:t>before it</w:t>
      </w:r>
      <w:r w:rsidRPr="00DD60DD">
        <w:rPr>
          <w:noProof/>
          <w:sz w:val="20"/>
          <w:szCs w:val="20"/>
        </w:rPr>
        <w:t>, the petitioners’ arguments regarding the alleged violation of the right to work in fair and equitable conditions and the right to equal</w:t>
      </w:r>
      <w:r w:rsidR="003D7B32" w:rsidRPr="00DD60DD">
        <w:rPr>
          <w:noProof/>
          <w:sz w:val="20"/>
          <w:szCs w:val="20"/>
        </w:rPr>
        <w:t xml:space="preserve"> protection</w:t>
      </w:r>
      <w:r w:rsidRPr="00DD60DD">
        <w:rPr>
          <w:noProof/>
          <w:sz w:val="20"/>
          <w:szCs w:val="20"/>
        </w:rPr>
        <w:t xml:space="preserve"> and non-discrimination </w:t>
      </w:r>
      <w:r w:rsidR="00936A10" w:rsidRPr="00DD60DD">
        <w:rPr>
          <w:noProof/>
          <w:sz w:val="20"/>
          <w:szCs w:val="20"/>
        </w:rPr>
        <w:t xml:space="preserve">in this case </w:t>
      </w:r>
      <w:r w:rsidRPr="00DD60DD">
        <w:rPr>
          <w:noProof/>
          <w:sz w:val="20"/>
          <w:szCs w:val="20"/>
        </w:rPr>
        <w:t xml:space="preserve">are not manifestly unfounded and therefore </w:t>
      </w:r>
      <w:r w:rsidR="003D7B32" w:rsidRPr="00DD60DD">
        <w:rPr>
          <w:noProof/>
          <w:sz w:val="20"/>
          <w:szCs w:val="20"/>
        </w:rPr>
        <w:t>demand</w:t>
      </w:r>
      <w:r w:rsidRPr="00DD60DD">
        <w:rPr>
          <w:noProof/>
          <w:sz w:val="20"/>
          <w:szCs w:val="20"/>
        </w:rPr>
        <w:t xml:space="preserve"> a review o</w:t>
      </w:r>
      <w:r w:rsidR="003D7B32" w:rsidRPr="00DD60DD">
        <w:rPr>
          <w:noProof/>
          <w:sz w:val="20"/>
          <w:szCs w:val="20"/>
        </w:rPr>
        <w:t>n</w:t>
      </w:r>
      <w:r w:rsidRPr="00DD60DD">
        <w:rPr>
          <w:noProof/>
          <w:sz w:val="20"/>
          <w:szCs w:val="20"/>
        </w:rPr>
        <w:t xml:space="preserve"> the merits. Indeed, if these alleged violations were found to be true, they may characterize violations of rights protected under Articles 24 </w:t>
      </w:r>
      <w:r w:rsidR="0056709D" w:rsidRPr="00DD60DD">
        <w:rPr>
          <w:rFonts w:asciiTheme="majorHAnsi" w:hAnsiTheme="majorHAnsi"/>
          <w:bCs/>
          <w:noProof/>
          <w:sz w:val="20"/>
          <w:szCs w:val="20"/>
        </w:rPr>
        <w:t>(</w:t>
      </w:r>
      <w:r w:rsidRPr="00DD60DD">
        <w:rPr>
          <w:rFonts w:asciiTheme="majorHAnsi" w:hAnsiTheme="majorHAnsi"/>
          <w:bCs/>
          <w:noProof/>
          <w:sz w:val="20"/>
          <w:szCs w:val="20"/>
        </w:rPr>
        <w:t xml:space="preserve">equal </w:t>
      </w:r>
      <w:r w:rsidR="003D7B32" w:rsidRPr="00DD60DD">
        <w:rPr>
          <w:rFonts w:asciiTheme="majorHAnsi" w:hAnsiTheme="majorHAnsi"/>
          <w:bCs/>
          <w:noProof/>
          <w:sz w:val="20"/>
          <w:szCs w:val="20"/>
        </w:rPr>
        <w:t>protection)</w:t>
      </w:r>
      <w:r w:rsidR="0056709D" w:rsidRPr="00DD60DD">
        <w:rPr>
          <w:rFonts w:asciiTheme="majorHAnsi" w:hAnsiTheme="majorHAnsi"/>
          <w:bCs/>
          <w:noProof/>
          <w:sz w:val="20"/>
          <w:szCs w:val="20"/>
        </w:rPr>
        <w:t>, 25 (judicial</w:t>
      </w:r>
      <w:r w:rsidRPr="00DD60DD">
        <w:rPr>
          <w:rFonts w:asciiTheme="majorHAnsi" w:hAnsiTheme="majorHAnsi"/>
          <w:bCs/>
          <w:noProof/>
          <w:sz w:val="20"/>
          <w:szCs w:val="20"/>
        </w:rPr>
        <w:t xml:space="preserve"> protection</w:t>
      </w:r>
      <w:r w:rsidR="0056709D" w:rsidRPr="00DD60DD">
        <w:rPr>
          <w:rFonts w:asciiTheme="majorHAnsi" w:hAnsiTheme="majorHAnsi"/>
          <w:bCs/>
          <w:noProof/>
          <w:sz w:val="20"/>
          <w:szCs w:val="20"/>
        </w:rPr>
        <w:t>)</w:t>
      </w:r>
      <w:r w:rsidRPr="00DD60DD">
        <w:rPr>
          <w:rFonts w:asciiTheme="majorHAnsi" w:hAnsiTheme="majorHAnsi"/>
          <w:bCs/>
          <w:noProof/>
          <w:sz w:val="20"/>
          <w:szCs w:val="20"/>
        </w:rPr>
        <w:t>, and</w:t>
      </w:r>
      <w:r w:rsidR="0056709D" w:rsidRPr="00DD60DD">
        <w:rPr>
          <w:rFonts w:asciiTheme="majorHAnsi" w:hAnsiTheme="majorHAnsi"/>
          <w:bCs/>
          <w:noProof/>
          <w:sz w:val="20"/>
          <w:szCs w:val="20"/>
        </w:rPr>
        <w:t xml:space="preserve"> 26 (</w:t>
      </w:r>
      <w:r w:rsidRPr="00DD60DD">
        <w:rPr>
          <w:rFonts w:asciiTheme="majorHAnsi" w:hAnsiTheme="majorHAnsi"/>
          <w:bCs/>
          <w:noProof/>
          <w:sz w:val="20"/>
          <w:szCs w:val="20"/>
        </w:rPr>
        <w:t>economic, social, and cultural rights</w:t>
      </w:r>
      <w:r w:rsidR="0056709D" w:rsidRPr="00DD60DD">
        <w:rPr>
          <w:rFonts w:asciiTheme="majorHAnsi" w:hAnsiTheme="majorHAnsi"/>
          <w:bCs/>
          <w:noProof/>
          <w:sz w:val="20"/>
          <w:szCs w:val="20"/>
        </w:rPr>
        <w:t xml:space="preserve">) </w:t>
      </w:r>
      <w:r w:rsidRPr="00DD60DD">
        <w:rPr>
          <w:rFonts w:asciiTheme="majorHAnsi" w:hAnsiTheme="majorHAnsi"/>
          <w:bCs/>
          <w:noProof/>
          <w:sz w:val="20"/>
          <w:szCs w:val="20"/>
        </w:rPr>
        <w:t xml:space="preserve">of the American Convention in relation to Articles 1(1) </w:t>
      </w:r>
      <w:r w:rsidR="0056709D" w:rsidRPr="00DD60DD">
        <w:rPr>
          <w:rFonts w:asciiTheme="majorHAnsi" w:hAnsiTheme="majorHAnsi"/>
          <w:bCs/>
          <w:noProof/>
          <w:sz w:val="20"/>
          <w:szCs w:val="20"/>
        </w:rPr>
        <w:t>(obliga</w:t>
      </w:r>
      <w:r w:rsidRPr="00DD60DD">
        <w:rPr>
          <w:rFonts w:asciiTheme="majorHAnsi" w:hAnsiTheme="majorHAnsi"/>
          <w:bCs/>
          <w:noProof/>
          <w:sz w:val="20"/>
          <w:szCs w:val="20"/>
        </w:rPr>
        <w:t>tion to respect rights)</w:t>
      </w:r>
      <w:r w:rsidR="0056709D" w:rsidRPr="00DD60DD">
        <w:rPr>
          <w:rFonts w:asciiTheme="majorHAnsi" w:hAnsiTheme="majorHAnsi"/>
          <w:bCs/>
          <w:noProof/>
          <w:sz w:val="20"/>
          <w:szCs w:val="20"/>
        </w:rPr>
        <w:t xml:space="preserve"> </w:t>
      </w:r>
      <w:r w:rsidRPr="00DD60DD">
        <w:rPr>
          <w:rFonts w:asciiTheme="majorHAnsi" w:hAnsiTheme="majorHAnsi"/>
          <w:bCs/>
          <w:noProof/>
          <w:sz w:val="20"/>
          <w:szCs w:val="20"/>
        </w:rPr>
        <w:t>and</w:t>
      </w:r>
      <w:r w:rsidR="0056709D" w:rsidRPr="00DD60DD">
        <w:rPr>
          <w:rFonts w:asciiTheme="majorHAnsi" w:hAnsiTheme="majorHAnsi"/>
          <w:bCs/>
          <w:noProof/>
          <w:sz w:val="20"/>
          <w:szCs w:val="20"/>
        </w:rPr>
        <w:t xml:space="preserve"> 2 (</w:t>
      </w:r>
      <w:r w:rsidR="003D7B32" w:rsidRPr="00DD60DD">
        <w:rPr>
          <w:rFonts w:asciiTheme="majorHAnsi" w:hAnsiTheme="majorHAnsi"/>
          <w:bCs/>
          <w:noProof/>
          <w:sz w:val="20"/>
          <w:szCs w:val="20"/>
        </w:rPr>
        <w:t>domestic legal effects</w:t>
      </w:r>
      <w:r w:rsidR="0056709D" w:rsidRPr="00DD60DD">
        <w:rPr>
          <w:rFonts w:asciiTheme="majorHAnsi" w:hAnsiTheme="majorHAnsi"/>
          <w:bCs/>
          <w:noProof/>
          <w:sz w:val="20"/>
          <w:szCs w:val="20"/>
        </w:rPr>
        <w:t xml:space="preserve">) </w:t>
      </w:r>
      <w:r w:rsidR="00251515" w:rsidRPr="00DD60DD">
        <w:rPr>
          <w:rFonts w:asciiTheme="majorHAnsi" w:hAnsiTheme="majorHAnsi"/>
          <w:bCs/>
          <w:noProof/>
          <w:sz w:val="20"/>
          <w:szCs w:val="20"/>
        </w:rPr>
        <w:t xml:space="preserve">thereof. </w:t>
      </w:r>
      <w:r w:rsidR="008079C4" w:rsidRPr="00DD60DD">
        <w:rPr>
          <w:noProof/>
          <w:sz w:val="20"/>
          <w:szCs w:val="20"/>
        </w:rPr>
        <w:t xml:space="preserve"> </w:t>
      </w:r>
    </w:p>
    <w:p w:rsidR="003239B8" w:rsidRPr="00DD60DD" w:rsidRDefault="003239B8" w:rsidP="00D662DF">
      <w:pPr>
        <w:pStyle w:val="ListParagraph"/>
        <w:spacing w:before="240" w:after="240"/>
        <w:jc w:val="both"/>
        <w:rPr>
          <w:rFonts w:asciiTheme="majorHAnsi" w:hAnsiTheme="majorHAnsi"/>
          <w:b/>
          <w:bCs/>
          <w:noProof/>
          <w:sz w:val="20"/>
          <w:szCs w:val="20"/>
        </w:rPr>
      </w:pPr>
      <w:r w:rsidRPr="00DD60DD">
        <w:rPr>
          <w:rFonts w:asciiTheme="majorHAnsi" w:hAnsiTheme="majorHAnsi"/>
          <w:b/>
          <w:bCs/>
          <w:noProof/>
          <w:sz w:val="20"/>
          <w:szCs w:val="20"/>
        </w:rPr>
        <w:t xml:space="preserve">VIII. </w:t>
      </w:r>
      <w:r w:rsidRPr="00DD60DD">
        <w:rPr>
          <w:rFonts w:asciiTheme="majorHAnsi" w:hAnsiTheme="majorHAnsi"/>
          <w:b/>
          <w:bCs/>
          <w:noProof/>
          <w:sz w:val="20"/>
          <w:szCs w:val="20"/>
        </w:rPr>
        <w:tab/>
        <w:t>DECI</w:t>
      </w:r>
      <w:r w:rsidR="00E074BE" w:rsidRPr="00DD60DD">
        <w:rPr>
          <w:rFonts w:asciiTheme="majorHAnsi" w:hAnsiTheme="majorHAnsi"/>
          <w:b/>
          <w:bCs/>
          <w:noProof/>
          <w:sz w:val="20"/>
          <w:szCs w:val="20"/>
        </w:rPr>
        <w:t>SION</w:t>
      </w:r>
    </w:p>
    <w:p w:rsidR="003239B8" w:rsidRPr="00DD60DD" w:rsidRDefault="00E074BE" w:rsidP="00911FCC">
      <w:pPr>
        <w:numPr>
          <w:ilvl w:val="0"/>
          <w:numId w:val="56"/>
        </w:numPr>
        <w:suppressAutoHyphens/>
        <w:spacing w:after="240"/>
        <w:jc w:val="both"/>
        <w:rPr>
          <w:rFonts w:ascii="Cambria" w:hAnsi="Cambria"/>
          <w:noProof/>
          <w:sz w:val="20"/>
          <w:szCs w:val="20"/>
          <w:lang w:val="en-US"/>
        </w:rPr>
      </w:pPr>
      <w:r w:rsidRPr="00DD60DD">
        <w:rPr>
          <w:rFonts w:asciiTheme="majorHAnsi" w:hAnsiTheme="majorHAnsi"/>
          <w:noProof/>
          <w:sz w:val="20"/>
          <w:szCs w:val="20"/>
          <w:lang w:val="en-US"/>
        </w:rPr>
        <w:t>To find the instant petition admissible in relation to Articles</w:t>
      </w:r>
      <w:r w:rsidRPr="00DD60DD">
        <w:rPr>
          <w:rFonts w:ascii="Cambria" w:hAnsi="Cambria"/>
          <w:noProof/>
          <w:sz w:val="20"/>
          <w:szCs w:val="20"/>
          <w:lang w:val="en-US"/>
        </w:rPr>
        <w:t xml:space="preserve"> </w:t>
      </w:r>
      <w:r w:rsidR="003224FD" w:rsidRPr="00DD60DD">
        <w:rPr>
          <w:rFonts w:ascii="Cambria" w:hAnsi="Cambria"/>
          <w:noProof/>
          <w:sz w:val="20"/>
          <w:szCs w:val="20"/>
          <w:lang w:val="en-US"/>
        </w:rPr>
        <w:t>24</w:t>
      </w:r>
      <w:r w:rsidR="009C0828" w:rsidRPr="00DD60DD">
        <w:rPr>
          <w:rFonts w:ascii="Cambria" w:hAnsi="Cambria"/>
          <w:noProof/>
          <w:sz w:val="20"/>
          <w:szCs w:val="20"/>
          <w:lang w:val="en-US"/>
        </w:rPr>
        <w:t>, 25</w:t>
      </w:r>
      <w:r w:rsidRPr="00DD60DD">
        <w:rPr>
          <w:rFonts w:ascii="Cambria" w:hAnsi="Cambria"/>
          <w:noProof/>
          <w:sz w:val="20"/>
          <w:szCs w:val="20"/>
          <w:lang w:val="en-US"/>
        </w:rPr>
        <w:t>, and</w:t>
      </w:r>
      <w:r w:rsidR="003224FD" w:rsidRPr="00DD60DD">
        <w:rPr>
          <w:rFonts w:ascii="Cambria" w:hAnsi="Cambria"/>
          <w:noProof/>
          <w:sz w:val="20"/>
          <w:szCs w:val="20"/>
          <w:lang w:val="en-US"/>
        </w:rPr>
        <w:t xml:space="preserve"> 26 </w:t>
      </w:r>
      <w:r w:rsidRPr="00DD60DD">
        <w:rPr>
          <w:rFonts w:ascii="Cambria" w:hAnsi="Cambria"/>
          <w:noProof/>
          <w:sz w:val="20"/>
          <w:szCs w:val="20"/>
          <w:lang w:val="en-US"/>
        </w:rPr>
        <w:t>of the American Convention, in keeping with Article</w:t>
      </w:r>
      <w:r w:rsidR="003D7B32" w:rsidRPr="00DD60DD">
        <w:rPr>
          <w:rFonts w:ascii="Cambria" w:hAnsi="Cambria"/>
          <w:noProof/>
          <w:sz w:val="20"/>
          <w:szCs w:val="20"/>
          <w:lang w:val="en-US"/>
        </w:rPr>
        <w:t>s</w:t>
      </w:r>
      <w:r w:rsidRPr="00DD60DD">
        <w:rPr>
          <w:rFonts w:ascii="Cambria" w:hAnsi="Cambria"/>
          <w:noProof/>
          <w:sz w:val="20"/>
          <w:szCs w:val="20"/>
          <w:lang w:val="en-US"/>
        </w:rPr>
        <w:t xml:space="preserve"> 1(1) and 2 thereof.</w:t>
      </w:r>
    </w:p>
    <w:p w:rsidR="00E074BE" w:rsidRPr="00DD60DD" w:rsidRDefault="00E074BE" w:rsidP="00D20380">
      <w:pPr>
        <w:numPr>
          <w:ilvl w:val="0"/>
          <w:numId w:val="56"/>
        </w:numPr>
        <w:suppressAutoHyphens/>
        <w:spacing w:after="240"/>
        <w:jc w:val="both"/>
        <w:rPr>
          <w:rFonts w:ascii="Cambria" w:hAnsi="Cambria"/>
          <w:noProof/>
          <w:sz w:val="20"/>
          <w:szCs w:val="20"/>
          <w:lang w:val="en-US"/>
        </w:rPr>
      </w:pPr>
      <w:r w:rsidRPr="00DD60DD">
        <w:rPr>
          <w:rFonts w:asciiTheme="majorHAnsi" w:hAnsiTheme="majorHAnsi"/>
          <w:noProof/>
          <w:sz w:val="20"/>
          <w:szCs w:val="20"/>
          <w:lang w:val="en-US"/>
        </w:rPr>
        <w:t>To notify the parties of this decision; to continue with the analysis on the merits; and to publish this decision and include it in its Annual Report to the General Assembly of the Organization of American States</w:t>
      </w:r>
      <w:r w:rsidR="003D7B32" w:rsidRPr="00DD60DD">
        <w:rPr>
          <w:rFonts w:asciiTheme="majorHAnsi" w:hAnsiTheme="majorHAnsi"/>
          <w:noProof/>
          <w:sz w:val="20"/>
          <w:szCs w:val="20"/>
          <w:lang w:val="en-US"/>
        </w:rPr>
        <w:t>.</w:t>
      </w:r>
      <w:r w:rsidR="00E175B5">
        <w:rPr>
          <w:rFonts w:asciiTheme="majorHAnsi" w:hAnsiTheme="majorHAnsi"/>
          <w:noProof/>
          <w:sz w:val="20"/>
          <w:szCs w:val="20"/>
          <w:lang w:val="en-US"/>
        </w:rPr>
        <w:t xml:space="preserve"> </w:t>
      </w:r>
    </w:p>
    <w:p w:rsidR="00341E4C" w:rsidRPr="00365F2F" w:rsidRDefault="00341E4C" w:rsidP="00341E4C">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sidR="00E175B5">
        <w:rPr>
          <w:rFonts w:asciiTheme="majorHAnsi" w:hAnsiTheme="majorHAnsi"/>
          <w:noProof/>
          <w:sz w:val="20"/>
          <w:szCs w:val="20"/>
          <w:lang w:val="en-US"/>
        </w:rPr>
        <w:t>22</w:t>
      </w:r>
      <w:r w:rsidR="00E175B5" w:rsidRPr="00E175B5">
        <w:rPr>
          <w:rFonts w:asciiTheme="majorHAnsi" w:hAnsiTheme="majorHAnsi"/>
          <w:noProof/>
          <w:sz w:val="20"/>
          <w:szCs w:val="20"/>
          <w:vertAlign w:val="superscript"/>
          <w:lang w:val="en-US"/>
        </w:rPr>
        <w:t>nd</w:t>
      </w:r>
      <w:r>
        <w:rPr>
          <w:rFonts w:ascii="Cambria" w:hAnsi="Cambria"/>
          <w:spacing w:val="-2"/>
          <w:sz w:val="20"/>
        </w:rPr>
        <w:t xml:space="preserve"> </w:t>
      </w:r>
      <w:r w:rsidRPr="00365F2F">
        <w:rPr>
          <w:rFonts w:ascii="Cambria" w:hAnsi="Cambria"/>
          <w:spacing w:val="-2"/>
          <w:sz w:val="20"/>
        </w:rPr>
        <w:t xml:space="preserve">day of the month of </w:t>
      </w:r>
      <w:r w:rsidR="0081489F">
        <w:rPr>
          <w:rFonts w:ascii="Cambria" w:hAnsi="Cambria"/>
          <w:spacing w:val="-2"/>
          <w:sz w:val="20"/>
        </w:rPr>
        <w:t>April</w:t>
      </w:r>
      <w:r>
        <w:rPr>
          <w:rFonts w:ascii="Cambria" w:hAnsi="Cambria"/>
          <w:spacing w:val="-2"/>
          <w:sz w:val="20"/>
        </w:rPr>
        <w:t>,</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Pr="007F3C48">
        <w:rPr>
          <w:rFonts w:asciiTheme="majorHAnsi" w:hAnsiTheme="majorHAnsi" w:cs="Arial"/>
          <w:noProof/>
          <w:spacing w:val="-2"/>
          <w:sz w:val="20"/>
          <w:szCs w:val="20"/>
        </w:rPr>
        <w:t>rejola, First Vice President; Flávia Piovesan, Second Vice President;</w:t>
      </w:r>
      <w:r w:rsidR="00EB0930">
        <w:rPr>
          <w:rFonts w:asciiTheme="majorHAnsi" w:hAnsiTheme="majorHAnsi" w:cs="Arial"/>
          <w:noProof/>
          <w:spacing w:val="-2"/>
          <w:sz w:val="20"/>
          <w:szCs w:val="20"/>
        </w:rPr>
        <w:t xml:space="preserve"> </w:t>
      </w:r>
      <w:r w:rsidR="00EB0930" w:rsidRPr="007F3C48">
        <w:rPr>
          <w:rFonts w:asciiTheme="majorHAnsi" w:hAnsiTheme="majorHAnsi" w:cs="Arial"/>
          <w:noProof/>
          <w:spacing w:val="-2"/>
          <w:sz w:val="20"/>
          <w:szCs w:val="20"/>
        </w:rPr>
        <w:t>Margarette May Macaulay,</w:t>
      </w:r>
      <w:r w:rsidR="00EB0930">
        <w:rPr>
          <w:rFonts w:asciiTheme="majorHAnsi" w:hAnsiTheme="majorHAnsi" w:cs="Arial"/>
          <w:noProof/>
          <w:spacing w:val="-2"/>
          <w:sz w:val="20"/>
          <w:szCs w:val="20"/>
        </w:rPr>
        <w:t xml:space="preserve"> and</w:t>
      </w:r>
      <w:r w:rsidRPr="007F3C48">
        <w:rPr>
          <w:rFonts w:asciiTheme="majorHAnsi" w:hAnsiTheme="majorHAnsi" w:cs="Arial"/>
          <w:noProof/>
          <w:spacing w:val="-2"/>
          <w:sz w:val="20"/>
          <w:szCs w:val="20"/>
        </w:rPr>
        <w:t xml:space="preserve"> Esmeralda E</w:t>
      </w:r>
      <w:r>
        <w:rPr>
          <w:rFonts w:asciiTheme="majorHAnsi" w:hAnsiTheme="majorHAnsi" w:cs="Arial"/>
          <w:noProof/>
          <w:spacing w:val="-2"/>
          <w:sz w:val="20"/>
          <w:szCs w:val="20"/>
        </w:rPr>
        <w:t xml:space="preserve">. Arosemena Bernal de Troitiño, </w:t>
      </w:r>
      <w:r w:rsidRPr="00365F2F">
        <w:rPr>
          <w:rFonts w:ascii="Cambria" w:hAnsi="Cambria"/>
          <w:spacing w:val="-2"/>
          <w:sz w:val="20"/>
        </w:rPr>
        <w:t>Commissioners.</w:t>
      </w:r>
    </w:p>
    <w:p w:rsidR="009200C1" w:rsidRPr="00341E4C" w:rsidRDefault="00EB0930" w:rsidP="00A747B8">
      <w:pPr>
        <w:suppressAutoHyphens/>
        <w:spacing w:after="240"/>
        <w:jc w:val="both"/>
        <w:rPr>
          <w:rFonts w:asciiTheme="majorHAnsi" w:hAnsiTheme="majorHAnsi"/>
          <w:noProof/>
          <w:sz w:val="20"/>
          <w:szCs w:val="20"/>
        </w:rPr>
      </w:pPr>
      <w:r>
        <w:rPr>
          <w:rFonts w:asciiTheme="majorHAnsi" w:hAnsiTheme="majorHAnsi"/>
          <w:noProof/>
          <w:sz w:val="20"/>
          <w:szCs w:val="20"/>
        </w:rPr>
        <w:t xml:space="preserve"> </w:t>
      </w:r>
    </w:p>
    <w:sectPr w:rsidR="009200C1" w:rsidRPr="00341E4C"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BF4" w:rsidRDefault="00545BF4">
      <w:r>
        <w:separator/>
      </w:r>
    </w:p>
  </w:endnote>
  <w:endnote w:type="continuationSeparator" w:id="0">
    <w:p w:rsidR="00545BF4" w:rsidRDefault="0054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79766"/>
      <w:docPartObj>
        <w:docPartGallery w:val="Page Numbers (Bottom of Page)"/>
        <w:docPartUnique/>
      </w:docPartObj>
    </w:sdtPr>
    <w:sdtEndPr>
      <w:rPr>
        <w:noProof/>
        <w:sz w:val="16"/>
        <w:szCs w:val="16"/>
      </w:rPr>
    </w:sdtEndPr>
    <w:sdtContent>
      <w:p w:rsidR="00E52752" w:rsidRPr="00830045" w:rsidRDefault="00E52752">
        <w:pPr>
          <w:pStyle w:val="Footer"/>
          <w:jc w:val="center"/>
          <w:rPr>
            <w:sz w:val="16"/>
            <w:szCs w:val="16"/>
          </w:rPr>
        </w:pPr>
        <w:r w:rsidRPr="00830045">
          <w:rPr>
            <w:sz w:val="16"/>
            <w:szCs w:val="16"/>
          </w:rPr>
          <w:fldChar w:fldCharType="begin"/>
        </w:r>
        <w:r w:rsidRPr="00830045">
          <w:rPr>
            <w:sz w:val="16"/>
            <w:szCs w:val="16"/>
          </w:rPr>
          <w:instrText xml:space="preserve"> PAGE   \* MERGEFORMAT </w:instrText>
        </w:r>
        <w:r w:rsidRPr="00830045">
          <w:rPr>
            <w:sz w:val="16"/>
            <w:szCs w:val="16"/>
          </w:rPr>
          <w:fldChar w:fldCharType="separate"/>
        </w:r>
        <w:r w:rsidR="00AA22C6">
          <w:rPr>
            <w:noProof/>
            <w:sz w:val="16"/>
            <w:szCs w:val="16"/>
          </w:rPr>
          <w:t>6</w:t>
        </w:r>
        <w:r w:rsidRPr="00830045">
          <w:rPr>
            <w:noProof/>
            <w:sz w:val="16"/>
            <w:szCs w:val="16"/>
          </w:rPr>
          <w:fldChar w:fldCharType="end"/>
        </w:r>
      </w:p>
    </w:sdtContent>
  </w:sdt>
  <w:p w:rsidR="00E52752" w:rsidRDefault="00E527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752" w:rsidRPr="00934A2C" w:rsidRDefault="00E52752">
    <w:pPr>
      <w:pStyle w:val="Footer"/>
      <w:jc w:val="center"/>
      <w:rPr>
        <w:sz w:val="16"/>
        <w:szCs w:val="22"/>
      </w:rPr>
    </w:pPr>
  </w:p>
  <w:p w:rsidR="00E52752" w:rsidRDefault="00E527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BF4" w:rsidRPr="000F35ED" w:rsidRDefault="00545BF4">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545BF4" w:rsidRPr="000F35ED" w:rsidRDefault="00545BF4" w:rsidP="000F35ED">
      <w:pPr>
        <w:rPr>
          <w:rFonts w:asciiTheme="majorHAnsi" w:hAnsiTheme="majorHAnsi"/>
          <w:sz w:val="16"/>
          <w:szCs w:val="16"/>
        </w:rPr>
      </w:pPr>
      <w:r w:rsidRPr="000F35ED">
        <w:rPr>
          <w:rFonts w:asciiTheme="majorHAnsi" w:hAnsiTheme="majorHAnsi"/>
          <w:sz w:val="16"/>
          <w:szCs w:val="16"/>
        </w:rPr>
        <w:separator/>
      </w:r>
    </w:p>
    <w:p w:rsidR="00545BF4" w:rsidRPr="000F35ED" w:rsidRDefault="00545BF4"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545BF4" w:rsidRPr="000F35ED" w:rsidRDefault="00545BF4"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E52752" w:rsidRPr="00E03D35" w:rsidRDefault="00E52752" w:rsidP="008C0BBD">
      <w:pPr>
        <w:pStyle w:val="FootnoteText"/>
        <w:jc w:val="both"/>
        <w:rPr>
          <w:rFonts w:asciiTheme="majorHAnsi" w:hAnsiTheme="majorHAnsi"/>
          <w:sz w:val="16"/>
          <w:szCs w:val="16"/>
        </w:rPr>
      </w:pPr>
      <w:r w:rsidRPr="00E03D35">
        <w:rPr>
          <w:rStyle w:val="FootnoteReference"/>
          <w:rFonts w:asciiTheme="majorHAnsi" w:hAnsiTheme="majorHAnsi"/>
          <w:sz w:val="16"/>
          <w:szCs w:val="16"/>
        </w:rPr>
        <w:footnoteRef/>
      </w:r>
      <w:r w:rsidRPr="00E03D35">
        <w:rPr>
          <w:rFonts w:asciiTheme="majorHAnsi" w:hAnsiTheme="majorHAnsi"/>
          <w:sz w:val="16"/>
          <w:szCs w:val="16"/>
        </w:rPr>
        <w:t xml:space="preserve"> In keeping with the provision</w:t>
      </w:r>
      <w:r>
        <w:rPr>
          <w:rFonts w:asciiTheme="majorHAnsi" w:hAnsiTheme="majorHAnsi"/>
          <w:sz w:val="16"/>
          <w:szCs w:val="16"/>
        </w:rPr>
        <w:t>s</w:t>
      </w:r>
      <w:r w:rsidRPr="00E03D35">
        <w:rPr>
          <w:rFonts w:asciiTheme="majorHAnsi" w:hAnsiTheme="majorHAnsi"/>
          <w:sz w:val="16"/>
          <w:szCs w:val="16"/>
        </w:rPr>
        <w:t xml:space="preserve"> of Articl</w:t>
      </w:r>
      <w:r>
        <w:rPr>
          <w:rFonts w:asciiTheme="majorHAnsi" w:hAnsiTheme="majorHAnsi"/>
          <w:sz w:val="16"/>
          <w:szCs w:val="16"/>
        </w:rPr>
        <w:t>e 17(2</w:t>
      </w:r>
      <w:proofErr w:type="gramStart"/>
      <w:r>
        <w:rPr>
          <w:rFonts w:asciiTheme="majorHAnsi" w:hAnsiTheme="majorHAnsi"/>
          <w:sz w:val="16"/>
          <w:szCs w:val="16"/>
        </w:rPr>
        <w:t>)(</w:t>
      </w:r>
      <w:proofErr w:type="gramEnd"/>
      <w:r>
        <w:rPr>
          <w:rFonts w:asciiTheme="majorHAnsi" w:hAnsiTheme="majorHAnsi"/>
          <w:sz w:val="16"/>
          <w:szCs w:val="16"/>
        </w:rPr>
        <w:t>a) of the Commission’s Rules of P</w:t>
      </w:r>
      <w:r w:rsidRPr="00E03D35">
        <w:rPr>
          <w:rFonts w:asciiTheme="majorHAnsi" w:hAnsiTheme="majorHAnsi"/>
          <w:sz w:val="16"/>
          <w:szCs w:val="16"/>
        </w:rPr>
        <w:t xml:space="preserve">rocedure, Commissioner Julissa Mantilla Falcón, a Peruvian national, did not participate in the </w:t>
      </w:r>
      <w:r w:rsidR="00A914CB">
        <w:rPr>
          <w:rFonts w:asciiTheme="majorHAnsi" w:hAnsiTheme="majorHAnsi"/>
          <w:sz w:val="16"/>
          <w:szCs w:val="16"/>
        </w:rPr>
        <w:t xml:space="preserve">debate or </w:t>
      </w:r>
      <w:r w:rsidRPr="00E03D35">
        <w:rPr>
          <w:rFonts w:asciiTheme="majorHAnsi" w:hAnsiTheme="majorHAnsi"/>
          <w:sz w:val="16"/>
          <w:szCs w:val="16"/>
        </w:rPr>
        <w:t>decision on this matter.</w:t>
      </w:r>
    </w:p>
    <w:p w:rsidR="00E52752" w:rsidRPr="00E03D35" w:rsidRDefault="00E52752" w:rsidP="008C0BBD">
      <w:pPr>
        <w:pStyle w:val="FootnoteText"/>
        <w:jc w:val="both"/>
        <w:rPr>
          <w:rFonts w:asciiTheme="majorHAnsi" w:hAnsiTheme="majorHAnsi"/>
          <w:sz w:val="16"/>
          <w:szCs w:val="16"/>
        </w:rPr>
      </w:pPr>
      <w:r w:rsidRPr="00E03D35">
        <w:rPr>
          <w:rFonts w:asciiTheme="majorHAnsi" w:hAnsiTheme="majorHAnsi"/>
          <w:sz w:val="16"/>
          <w:szCs w:val="16"/>
          <w:vertAlign w:val="superscript"/>
        </w:rPr>
        <w:t xml:space="preserve"> 2 </w:t>
      </w:r>
      <w:r w:rsidRPr="00E03D35">
        <w:rPr>
          <w:rFonts w:asciiTheme="majorHAnsi" w:hAnsiTheme="majorHAnsi"/>
          <w:sz w:val="16"/>
          <w:szCs w:val="16"/>
        </w:rPr>
        <w:t>Hereinafter</w:t>
      </w:r>
      <w:r>
        <w:rPr>
          <w:rFonts w:asciiTheme="majorHAnsi" w:hAnsiTheme="majorHAnsi"/>
          <w:sz w:val="16"/>
          <w:szCs w:val="16"/>
        </w:rPr>
        <w:t xml:space="preserve"> </w:t>
      </w:r>
      <w:r w:rsidRPr="00E03D35">
        <w:rPr>
          <w:rFonts w:asciiTheme="majorHAnsi" w:hAnsiTheme="majorHAnsi"/>
          <w:sz w:val="16"/>
          <w:szCs w:val="16"/>
        </w:rPr>
        <w:t>“the Convention” or “the American Convention.”</w:t>
      </w:r>
    </w:p>
  </w:footnote>
  <w:footnote w:id="3">
    <w:p w:rsidR="00E52752" w:rsidRPr="00E03D35" w:rsidRDefault="00E52752" w:rsidP="008C0BBD">
      <w:pPr>
        <w:pStyle w:val="FootnoteText"/>
        <w:spacing w:after="120"/>
        <w:jc w:val="both"/>
        <w:rPr>
          <w:rFonts w:ascii="Cambria" w:hAnsi="Cambria"/>
          <w:sz w:val="16"/>
          <w:szCs w:val="16"/>
        </w:rPr>
      </w:pPr>
      <w:r w:rsidRPr="00E03D35">
        <w:rPr>
          <w:rFonts w:asciiTheme="majorHAnsi" w:hAnsiTheme="majorHAnsi"/>
          <w:sz w:val="16"/>
          <w:szCs w:val="16"/>
          <w:vertAlign w:val="superscript"/>
        </w:rPr>
        <w:t xml:space="preserve"> 3 </w:t>
      </w:r>
      <w:r w:rsidRPr="00E03D35">
        <w:rPr>
          <w:rFonts w:asciiTheme="majorHAnsi" w:hAnsiTheme="majorHAnsi"/>
          <w:sz w:val="16"/>
          <w:szCs w:val="16"/>
        </w:rPr>
        <w:t xml:space="preserve">The observations submitted by each party were duly transmitted to the opposing party. </w:t>
      </w:r>
    </w:p>
  </w:footnote>
  <w:footnote w:id="4">
    <w:p w:rsidR="00E52752" w:rsidRPr="00E03D35" w:rsidRDefault="00E52752" w:rsidP="008C0BBD">
      <w:pPr>
        <w:pStyle w:val="FootnoteText"/>
        <w:jc w:val="both"/>
        <w:rPr>
          <w:rFonts w:ascii="Cambria" w:hAnsi="Cambria"/>
          <w:sz w:val="16"/>
          <w:szCs w:val="16"/>
        </w:rPr>
      </w:pPr>
      <w:r w:rsidRPr="00E03D35">
        <w:rPr>
          <w:rStyle w:val="FootnoteReference"/>
          <w:rFonts w:ascii="Cambria" w:hAnsi="Cambria"/>
          <w:sz w:val="16"/>
          <w:szCs w:val="16"/>
        </w:rPr>
        <w:footnoteRef/>
      </w:r>
      <w:r w:rsidRPr="00E03D35">
        <w:rPr>
          <w:rFonts w:ascii="Cambria" w:hAnsi="Cambria"/>
          <w:sz w:val="16"/>
          <w:szCs w:val="16"/>
        </w:rPr>
        <w:t xml:space="preserve"> </w:t>
      </w:r>
      <w:r>
        <w:rPr>
          <w:rFonts w:ascii="Cambria" w:hAnsi="Cambria"/>
          <w:sz w:val="16"/>
          <w:szCs w:val="16"/>
        </w:rPr>
        <w:t xml:space="preserve">Article </w:t>
      </w:r>
      <w:r w:rsidRPr="00E03D35">
        <w:rPr>
          <w:rFonts w:asciiTheme="majorHAnsi" w:hAnsiTheme="majorHAnsi"/>
          <w:sz w:val="16"/>
          <w:szCs w:val="16"/>
        </w:rPr>
        <w:t xml:space="preserve">203 </w:t>
      </w:r>
      <w:r>
        <w:rPr>
          <w:rFonts w:asciiTheme="majorHAnsi" w:hAnsiTheme="majorHAnsi"/>
          <w:sz w:val="16"/>
          <w:szCs w:val="16"/>
        </w:rPr>
        <w:t>of the Peruvian constitution in force at the time of the events provided that th</w:t>
      </w:r>
      <w:r w:rsidR="00BE7A67">
        <w:rPr>
          <w:rFonts w:asciiTheme="majorHAnsi" w:hAnsiTheme="majorHAnsi"/>
          <w:sz w:val="16"/>
          <w:szCs w:val="16"/>
        </w:rPr>
        <w:t>ose</w:t>
      </w:r>
      <w:r>
        <w:rPr>
          <w:rFonts w:asciiTheme="majorHAnsi" w:hAnsiTheme="majorHAnsi"/>
          <w:sz w:val="16"/>
          <w:szCs w:val="16"/>
        </w:rPr>
        <w:t xml:space="preserve"> empowered </w:t>
      </w:r>
      <w:r w:rsidR="00BE7A67" w:rsidRPr="00BE7A67">
        <w:rPr>
          <w:rFonts w:asciiTheme="majorHAnsi" w:hAnsiTheme="majorHAnsi"/>
          <w:sz w:val="16"/>
          <w:szCs w:val="16"/>
        </w:rPr>
        <w:t>to file a remedy of unconstitutionality are</w:t>
      </w:r>
      <w:r w:rsidR="00BE7A67">
        <w:rPr>
          <w:rFonts w:asciiTheme="majorHAnsi" w:hAnsiTheme="majorHAnsi"/>
          <w:sz w:val="16"/>
          <w:szCs w:val="16"/>
        </w:rPr>
        <w:t>: t</w:t>
      </w:r>
      <w:r w:rsidRPr="00BE7A67">
        <w:rPr>
          <w:rFonts w:asciiTheme="majorHAnsi" w:hAnsiTheme="majorHAnsi"/>
          <w:sz w:val="16"/>
          <w:szCs w:val="16"/>
        </w:rPr>
        <w:t>he President of the Republic, the Attorney General, the Ombudsman, 25% of the legal number of congressmen</w:t>
      </w:r>
      <w:r>
        <w:rPr>
          <w:rFonts w:asciiTheme="majorHAnsi" w:hAnsiTheme="majorHAnsi"/>
          <w:sz w:val="16"/>
          <w:szCs w:val="16"/>
        </w:rPr>
        <w:t xml:space="preserve">, 5,000 citizens whose signatures are verified by the National Elections Jury, the regional governors </w:t>
      </w:r>
      <w:r w:rsidR="006A6CC5">
        <w:rPr>
          <w:rFonts w:asciiTheme="majorHAnsi" w:hAnsiTheme="majorHAnsi"/>
          <w:sz w:val="16"/>
          <w:szCs w:val="16"/>
        </w:rPr>
        <w:t xml:space="preserve">with the </w:t>
      </w:r>
      <w:r>
        <w:rPr>
          <w:rFonts w:asciiTheme="majorHAnsi" w:hAnsiTheme="majorHAnsi"/>
          <w:sz w:val="16"/>
          <w:szCs w:val="16"/>
        </w:rPr>
        <w:t xml:space="preserve">agreement </w:t>
      </w:r>
      <w:r w:rsidR="006A6CC5">
        <w:rPr>
          <w:rFonts w:asciiTheme="majorHAnsi" w:hAnsiTheme="majorHAnsi"/>
          <w:sz w:val="16"/>
          <w:szCs w:val="16"/>
        </w:rPr>
        <w:t>of</w:t>
      </w:r>
      <w:r>
        <w:rPr>
          <w:rFonts w:asciiTheme="majorHAnsi" w:hAnsiTheme="majorHAnsi"/>
          <w:sz w:val="16"/>
          <w:szCs w:val="16"/>
        </w:rPr>
        <w:t xml:space="preserve"> the Regional Council, or provincial mayors with the agreement of their Council, in matters under their remit, and professional associations, in matters </w:t>
      </w:r>
      <w:r w:rsidR="00F75ADE">
        <w:rPr>
          <w:rFonts w:asciiTheme="majorHAnsi" w:hAnsiTheme="majorHAnsi"/>
          <w:sz w:val="16"/>
          <w:szCs w:val="16"/>
        </w:rPr>
        <w:t>related to</w:t>
      </w:r>
      <w:r>
        <w:rPr>
          <w:rFonts w:asciiTheme="majorHAnsi" w:hAnsiTheme="majorHAnsi"/>
          <w:sz w:val="16"/>
          <w:szCs w:val="16"/>
        </w:rPr>
        <w:t xml:space="preserve"> their area of expertise.</w:t>
      </w:r>
    </w:p>
  </w:footnote>
  <w:footnote w:id="5">
    <w:p w:rsidR="00E52752" w:rsidRPr="008B020B" w:rsidRDefault="00E52752" w:rsidP="001459CD">
      <w:pPr>
        <w:pStyle w:val="NormalWeb"/>
        <w:rPr>
          <w:rFonts w:ascii="Cambria" w:hAnsi="Cambria"/>
          <w:sz w:val="16"/>
          <w:szCs w:val="16"/>
          <w:lang w:val="en-US" w:eastAsia="en-US"/>
        </w:rPr>
      </w:pPr>
      <w:r w:rsidRPr="008B020B">
        <w:rPr>
          <w:rStyle w:val="FootnoteReference"/>
          <w:rFonts w:ascii="Cambria" w:hAnsi="Cambria"/>
          <w:sz w:val="16"/>
          <w:szCs w:val="16"/>
          <w:lang w:val="en-US"/>
        </w:rPr>
        <w:footnoteRef/>
      </w:r>
      <w:r w:rsidRPr="008B020B">
        <w:rPr>
          <w:rFonts w:ascii="Cambria" w:hAnsi="Cambria"/>
          <w:sz w:val="16"/>
          <w:szCs w:val="16"/>
          <w:lang w:val="en-US"/>
        </w:rPr>
        <w:t xml:space="preserve"> IACHR, Report No</w:t>
      </w:r>
      <w:r w:rsidR="006A6CC5" w:rsidRPr="008B020B">
        <w:rPr>
          <w:rFonts w:ascii="Cambria" w:hAnsi="Cambria"/>
          <w:sz w:val="16"/>
          <w:szCs w:val="16"/>
          <w:lang w:val="en-US"/>
        </w:rPr>
        <w:t>.</w:t>
      </w:r>
      <w:r w:rsidRPr="008B020B">
        <w:rPr>
          <w:rFonts w:ascii="Cambria" w:hAnsi="Cambria"/>
          <w:sz w:val="16"/>
          <w:szCs w:val="16"/>
          <w:lang w:val="en-US"/>
        </w:rPr>
        <w:t xml:space="preserve"> 51/10, Petition 1166-05, Admissibility, </w:t>
      </w:r>
      <w:proofErr w:type="spellStart"/>
      <w:r w:rsidRPr="008B020B">
        <w:rPr>
          <w:rFonts w:ascii="Cambria" w:hAnsi="Cambria"/>
          <w:sz w:val="16"/>
          <w:szCs w:val="16"/>
          <w:lang w:val="en-US"/>
        </w:rPr>
        <w:t>Tibu</w:t>
      </w:r>
      <w:proofErr w:type="spellEnd"/>
      <w:r w:rsidRPr="008B020B">
        <w:rPr>
          <w:rFonts w:ascii="Cambria" w:hAnsi="Cambria"/>
          <w:sz w:val="16"/>
          <w:szCs w:val="16"/>
          <w:lang w:val="en-US"/>
        </w:rPr>
        <w:t xml:space="preserve">́ Massacres, Colombia, para. 102; IACHR, Report No. 86/06 Marino </w:t>
      </w:r>
      <w:proofErr w:type="spellStart"/>
      <w:r w:rsidRPr="008B020B">
        <w:rPr>
          <w:rFonts w:ascii="Cambria" w:hAnsi="Cambria"/>
          <w:sz w:val="16"/>
          <w:szCs w:val="16"/>
          <w:lang w:val="en-US"/>
        </w:rPr>
        <w:t>López</w:t>
      </w:r>
      <w:proofErr w:type="spellEnd"/>
      <w:r w:rsidRPr="008B020B">
        <w:rPr>
          <w:rFonts w:ascii="Cambria" w:hAnsi="Cambria"/>
          <w:sz w:val="16"/>
          <w:szCs w:val="16"/>
          <w:lang w:val="en-US"/>
        </w:rPr>
        <w:t xml:space="preserve"> et al. (Genesis Operation), para. 34, and Report No. 15/09, Massacre and Forced Displacement of Montes de </w:t>
      </w:r>
      <w:proofErr w:type="spellStart"/>
      <w:r w:rsidRPr="008B020B">
        <w:rPr>
          <w:rFonts w:ascii="Cambria" w:hAnsi="Cambria"/>
          <w:sz w:val="16"/>
          <w:szCs w:val="16"/>
          <w:lang w:val="en-US"/>
        </w:rPr>
        <w:t>María</w:t>
      </w:r>
      <w:proofErr w:type="spellEnd"/>
      <w:r w:rsidRPr="008B020B">
        <w:rPr>
          <w:rFonts w:ascii="Cambria" w:hAnsi="Cambria"/>
          <w:sz w:val="16"/>
          <w:szCs w:val="16"/>
          <w:lang w:val="en-US"/>
        </w:rPr>
        <w:t xml:space="preserve">, para. 47. </w:t>
      </w:r>
    </w:p>
  </w:footnote>
  <w:footnote w:id="6">
    <w:p w:rsidR="00E52752" w:rsidRPr="00E03D35" w:rsidRDefault="00E52752" w:rsidP="008B7A8B">
      <w:pPr>
        <w:jc w:val="both"/>
        <w:rPr>
          <w:rFonts w:ascii="Cambria" w:hAnsi="Cambria"/>
          <w:sz w:val="16"/>
          <w:szCs w:val="16"/>
          <w:lang w:val="en-US"/>
        </w:rPr>
      </w:pPr>
      <w:r w:rsidRPr="008B020B">
        <w:rPr>
          <w:rStyle w:val="FootnoteReference"/>
          <w:rFonts w:ascii="Cambria" w:hAnsi="Cambria"/>
          <w:sz w:val="16"/>
          <w:szCs w:val="16"/>
          <w:lang w:val="en-US"/>
        </w:rPr>
        <w:footnoteRef/>
      </w:r>
      <w:r w:rsidRPr="008B020B">
        <w:rPr>
          <w:rFonts w:ascii="Cambria" w:hAnsi="Cambria"/>
          <w:sz w:val="16"/>
          <w:szCs w:val="16"/>
          <w:lang w:val="en-US"/>
        </w:rPr>
        <w:t xml:space="preserve"> IACHR, Report No. 61/16, Petition 12.325. Admissibility. Peace Community of San José de </w:t>
      </w:r>
      <w:proofErr w:type="spellStart"/>
      <w:r w:rsidRPr="008B020B">
        <w:rPr>
          <w:rFonts w:ascii="Cambria" w:hAnsi="Cambria"/>
          <w:sz w:val="16"/>
          <w:szCs w:val="16"/>
          <w:lang w:val="en-US"/>
        </w:rPr>
        <w:t>Apartadó</w:t>
      </w:r>
      <w:proofErr w:type="spellEnd"/>
      <w:r w:rsidRPr="008B020B">
        <w:rPr>
          <w:rFonts w:ascii="Cambria" w:hAnsi="Cambria"/>
          <w:sz w:val="16"/>
          <w:szCs w:val="16"/>
          <w:lang w:val="en-US"/>
        </w:rPr>
        <w:t xml:space="preserve">. Colombia. December 6, 2016, para. 62; IACHR, Report No. 64/15 Petition 663-04. Admissibility. Mayan People and Members of the Cristo Rey, </w:t>
      </w:r>
      <w:proofErr w:type="spellStart"/>
      <w:r w:rsidRPr="008B020B">
        <w:rPr>
          <w:rFonts w:ascii="Cambria" w:hAnsi="Cambria"/>
          <w:sz w:val="16"/>
          <w:szCs w:val="16"/>
          <w:lang w:val="en-US"/>
        </w:rPr>
        <w:t>Belluet</w:t>
      </w:r>
      <w:proofErr w:type="spellEnd"/>
      <w:r w:rsidRPr="008B020B">
        <w:rPr>
          <w:rFonts w:ascii="Cambria" w:hAnsi="Cambria"/>
          <w:sz w:val="16"/>
          <w:szCs w:val="16"/>
          <w:lang w:val="en-US"/>
        </w:rPr>
        <w:t xml:space="preserve"> Tree, San Ignacio, Santa Elena, and Santa </w:t>
      </w:r>
      <w:proofErr w:type="spellStart"/>
      <w:r w:rsidRPr="008B020B">
        <w:rPr>
          <w:rFonts w:ascii="Cambria" w:hAnsi="Cambria"/>
          <w:sz w:val="16"/>
          <w:szCs w:val="16"/>
          <w:lang w:val="en-US"/>
        </w:rPr>
        <w:t>Familia</w:t>
      </w:r>
      <w:proofErr w:type="spellEnd"/>
      <w:r w:rsidRPr="008B020B">
        <w:rPr>
          <w:rFonts w:ascii="Cambria" w:hAnsi="Cambria"/>
          <w:sz w:val="16"/>
          <w:szCs w:val="16"/>
          <w:lang w:val="en-US"/>
        </w:rPr>
        <w:t xml:space="preserve"> Communities. Belize, para. 27; IACHR, Report Nº 51/10, Petition 1166-05, Admissibility, </w:t>
      </w:r>
      <w:proofErr w:type="spellStart"/>
      <w:r w:rsidRPr="008B020B">
        <w:rPr>
          <w:rFonts w:ascii="Cambria" w:hAnsi="Cambria"/>
          <w:sz w:val="16"/>
          <w:szCs w:val="16"/>
          <w:lang w:val="en-US"/>
        </w:rPr>
        <w:t>Tibú</w:t>
      </w:r>
      <w:proofErr w:type="spellEnd"/>
      <w:r w:rsidRPr="008B020B">
        <w:rPr>
          <w:rFonts w:ascii="Cambria" w:hAnsi="Cambria"/>
          <w:sz w:val="16"/>
          <w:szCs w:val="16"/>
          <w:lang w:val="en-US"/>
        </w:rPr>
        <w:t xml:space="preserve"> Massacres, Colombia, para. 102; IACHR Report No. 86/06 Marino </w:t>
      </w:r>
      <w:proofErr w:type="spellStart"/>
      <w:r w:rsidRPr="008B020B">
        <w:rPr>
          <w:rFonts w:ascii="Cambria" w:hAnsi="Cambria"/>
          <w:sz w:val="16"/>
          <w:szCs w:val="16"/>
          <w:lang w:val="en-US"/>
        </w:rPr>
        <w:t>López</w:t>
      </w:r>
      <w:proofErr w:type="spellEnd"/>
      <w:r w:rsidRPr="008B020B">
        <w:rPr>
          <w:rFonts w:ascii="Cambria" w:hAnsi="Cambria"/>
          <w:sz w:val="16"/>
          <w:szCs w:val="16"/>
          <w:lang w:val="en-US"/>
        </w:rPr>
        <w:t xml:space="preserve"> et al. (Genesis Operation), para. 34.)</w:t>
      </w:r>
    </w:p>
    <w:p w:rsidR="00E52752" w:rsidRPr="00E03D35" w:rsidRDefault="00E52752" w:rsidP="008B7A8B">
      <w:pPr>
        <w:pStyle w:val="FootnoteText"/>
        <w:keepNext/>
        <w:keepLines/>
        <w:jc w:val="both"/>
        <w:rPr>
          <w:rFonts w:ascii="Cambria" w:hAnsi="Cambria"/>
          <w:sz w:val="16"/>
          <w:szCs w:val="16"/>
        </w:rPr>
      </w:pPr>
    </w:p>
  </w:footnote>
  <w:footnote w:id="7">
    <w:p w:rsidR="00E52752" w:rsidRPr="00E03D35" w:rsidRDefault="00E52752" w:rsidP="008B7A8B">
      <w:pPr>
        <w:pStyle w:val="FootnoteText"/>
        <w:keepNext/>
        <w:keepLines/>
        <w:jc w:val="both"/>
        <w:rPr>
          <w:rFonts w:asciiTheme="majorHAnsi" w:hAnsiTheme="majorHAnsi"/>
          <w:sz w:val="16"/>
          <w:szCs w:val="16"/>
        </w:rPr>
      </w:pPr>
      <w:r w:rsidRPr="00E03D35">
        <w:rPr>
          <w:rStyle w:val="FootnoteReference"/>
          <w:rFonts w:ascii="Cambria" w:hAnsi="Cambria"/>
          <w:color w:val="000000" w:themeColor="text1"/>
          <w:sz w:val="16"/>
          <w:szCs w:val="16"/>
        </w:rPr>
        <w:footnoteRef/>
      </w:r>
      <w:r w:rsidRPr="00E03D35">
        <w:rPr>
          <w:rFonts w:ascii="Cambria" w:hAnsi="Cambria"/>
          <w:color w:val="000000" w:themeColor="text1"/>
          <w:sz w:val="16"/>
          <w:szCs w:val="16"/>
        </w:rPr>
        <w:t xml:space="preserve"> </w:t>
      </w:r>
      <w:r>
        <w:rPr>
          <w:rFonts w:asciiTheme="majorHAnsi" w:hAnsiTheme="majorHAnsi"/>
          <w:sz w:val="16"/>
          <w:szCs w:val="16"/>
        </w:rPr>
        <w:t xml:space="preserve">The President of the Republic, the Attorney General, the Ombudsman, 25% of the legal number of congressmen, 5,000 citizens whose signatures are verified by the National Elections </w:t>
      </w:r>
      <w:r w:rsidR="006A6CC5">
        <w:rPr>
          <w:rFonts w:asciiTheme="majorHAnsi" w:hAnsiTheme="majorHAnsi"/>
          <w:sz w:val="16"/>
          <w:szCs w:val="16"/>
        </w:rPr>
        <w:t xml:space="preserve">Jury, the regional governors with the </w:t>
      </w:r>
      <w:r>
        <w:rPr>
          <w:rFonts w:asciiTheme="majorHAnsi" w:hAnsiTheme="majorHAnsi"/>
          <w:sz w:val="16"/>
          <w:szCs w:val="16"/>
        </w:rPr>
        <w:t>agreement of the Regional Council, or provincial mayors with the agreement of their Council, in matters under their remit, and professional associations, in matters addressing their area of expertise</w:t>
      </w:r>
      <w:r w:rsidRPr="00E03D35">
        <w:rPr>
          <w:rFonts w:asciiTheme="majorHAnsi" w:hAnsiTheme="majorHAnsi"/>
          <w:color w:val="000000" w:themeColor="text1"/>
          <w:sz w:val="16"/>
          <w:szCs w:val="16"/>
        </w:rPr>
        <w:t>.</w:t>
      </w:r>
    </w:p>
  </w:footnote>
  <w:footnote w:id="8">
    <w:p w:rsidR="00E52752" w:rsidRPr="00E03D35" w:rsidRDefault="00E52752" w:rsidP="008B7A8B">
      <w:pPr>
        <w:pStyle w:val="FootnoteText"/>
        <w:rPr>
          <w:rFonts w:asciiTheme="majorHAnsi" w:hAnsiTheme="majorHAnsi"/>
          <w:sz w:val="16"/>
          <w:szCs w:val="16"/>
        </w:rPr>
      </w:pPr>
      <w:r w:rsidRPr="00E03D35">
        <w:rPr>
          <w:rStyle w:val="FootnoteReference"/>
          <w:rFonts w:asciiTheme="majorHAnsi" w:hAnsiTheme="majorHAnsi"/>
          <w:sz w:val="16"/>
          <w:szCs w:val="16"/>
        </w:rPr>
        <w:footnoteRef/>
      </w:r>
      <w:r w:rsidRPr="00E03D35">
        <w:rPr>
          <w:rFonts w:asciiTheme="majorHAnsi" w:hAnsiTheme="majorHAnsi"/>
          <w:sz w:val="16"/>
          <w:szCs w:val="16"/>
        </w:rPr>
        <w:t xml:space="preserve"> </w:t>
      </w:r>
      <w:r>
        <w:rPr>
          <w:rFonts w:asciiTheme="majorHAnsi" w:hAnsiTheme="majorHAnsi"/>
          <w:sz w:val="16"/>
          <w:szCs w:val="16"/>
        </w:rPr>
        <w:t>IACHR</w:t>
      </w:r>
      <w:r w:rsidRPr="00E03D35">
        <w:rPr>
          <w:rFonts w:asciiTheme="majorHAnsi" w:hAnsiTheme="majorHAnsi"/>
          <w:sz w:val="16"/>
          <w:szCs w:val="16"/>
        </w:rPr>
        <w:t xml:space="preserve">, </w:t>
      </w:r>
      <w:r>
        <w:rPr>
          <w:rFonts w:asciiTheme="majorHAnsi" w:hAnsiTheme="majorHAnsi"/>
          <w:sz w:val="16"/>
          <w:szCs w:val="16"/>
        </w:rPr>
        <w:t>Report</w:t>
      </w:r>
      <w:r w:rsidRPr="00E03D35">
        <w:rPr>
          <w:rFonts w:asciiTheme="majorHAnsi" w:hAnsiTheme="majorHAnsi"/>
          <w:sz w:val="16"/>
          <w:szCs w:val="16"/>
        </w:rPr>
        <w:t xml:space="preserve"> No. 16/18, </w:t>
      </w:r>
      <w:r>
        <w:rPr>
          <w:rFonts w:asciiTheme="majorHAnsi" w:hAnsiTheme="majorHAnsi"/>
          <w:sz w:val="16"/>
          <w:szCs w:val="16"/>
        </w:rPr>
        <w:t>Petition</w:t>
      </w:r>
      <w:r w:rsidRPr="00E03D35">
        <w:rPr>
          <w:rFonts w:asciiTheme="majorHAnsi" w:hAnsiTheme="majorHAnsi"/>
          <w:sz w:val="16"/>
          <w:szCs w:val="16"/>
        </w:rPr>
        <w:t xml:space="preserve"> 884-07. </w:t>
      </w:r>
      <w:r>
        <w:rPr>
          <w:rFonts w:asciiTheme="majorHAnsi" w:hAnsiTheme="majorHAnsi"/>
          <w:sz w:val="16"/>
          <w:szCs w:val="16"/>
        </w:rPr>
        <w:t xml:space="preserve">Admissibility. </w:t>
      </w:r>
      <w:r w:rsidRPr="002606B4">
        <w:rPr>
          <w:rFonts w:asciiTheme="majorHAnsi" w:hAnsiTheme="majorHAnsi"/>
          <w:sz w:val="16"/>
          <w:szCs w:val="16"/>
          <w:lang w:val="es-US"/>
        </w:rPr>
        <w:t xml:space="preserve">Victoria Piedad Palacios Tejada de Saavedra. </w:t>
      </w:r>
      <w:r>
        <w:rPr>
          <w:rFonts w:asciiTheme="majorHAnsi" w:hAnsiTheme="majorHAnsi"/>
          <w:sz w:val="16"/>
          <w:szCs w:val="16"/>
        </w:rPr>
        <w:t>Peru</w:t>
      </w:r>
      <w:r w:rsidRPr="00E03D35">
        <w:rPr>
          <w:rFonts w:asciiTheme="majorHAnsi" w:hAnsiTheme="majorHAnsi"/>
          <w:sz w:val="16"/>
          <w:szCs w:val="16"/>
        </w:rPr>
        <w:t xml:space="preserve">. </w:t>
      </w:r>
      <w:r>
        <w:rPr>
          <w:rFonts w:asciiTheme="majorHAnsi" w:hAnsiTheme="majorHAnsi"/>
          <w:sz w:val="16"/>
          <w:szCs w:val="16"/>
        </w:rPr>
        <w:t xml:space="preserve">February </w:t>
      </w:r>
      <w:r w:rsidRPr="00E03D35">
        <w:rPr>
          <w:rFonts w:asciiTheme="majorHAnsi" w:hAnsiTheme="majorHAnsi"/>
          <w:sz w:val="16"/>
          <w:szCs w:val="16"/>
        </w:rPr>
        <w:t>24</w:t>
      </w:r>
      <w:r>
        <w:rPr>
          <w:rFonts w:asciiTheme="majorHAnsi" w:hAnsiTheme="majorHAnsi"/>
          <w:sz w:val="16"/>
          <w:szCs w:val="16"/>
        </w:rPr>
        <w:t>,</w:t>
      </w:r>
      <w:r w:rsidRPr="00E03D35">
        <w:rPr>
          <w:rFonts w:asciiTheme="majorHAnsi" w:hAnsiTheme="majorHAnsi"/>
          <w:sz w:val="16"/>
          <w:szCs w:val="16"/>
        </w:rPr>
        <w:t xml:space="preserve"> 2018, p</w:t>
      </w:r>
      <w:r>
        <w:rPr>
          <w:rFonts w:asciiTheme="majorHAnsi" w:hAnsiTheme="majorHAnsi"/>
          <w:sz w:val="16"/>
          <w:szCs w:val="16"/>
        </w:rPr>
        <w:t>ara</w:t>
      </w:r>
      <w:r w:rsidRPr="00E03D35">
        <w:rPr>
          <w:rFonts w:asciiTheme="majorHAnsi" w:hAnsiTheme="majorHAnsi"/>
          <w:sz w:val="16"/>
          <w:szCs w:val="16"/>
        </w:rPr>
        <w:t>. 12.</w:t>
      </w:r>
    </w:p>
  </w:footnote>
  <w:footnote w:id="9">
    <w:p w:rsidR="00E52752" w:rsidRPr="00E03D35" w:rsidRDefault="00E52752" w:rsidP="008B7A8B">
      <w:pPr>
        <w:pStyle w:val="FootnoteText"/>
        <w:rPr>
          <w:rFonts w:asciiTheme="majorHAnsi" w:hAnsiTheme="majorHAnsi"/>
          <w:sz w:val="16"/>
          <w:szCs w:val="16"/>
        </w:rPr>
      </w:pPr>
      <w:r w:rsidRPr="00E03D35">
        <w:rPr>
          <w:rStyle w:val="FootnoteReference"/>
          <w:rFonts w:asciiTheme="majorHAnsi" w:hAnsiTheme="majorHAnsi"/>
          <w:sz w:val="16"/>
          <w:szCs w:val="16"/>
        </w:rPr>
        <w:footnoteRef/>
      </w:r>
      <w:r w:rsidRPr="00E03D35">
        <w:rPr>
          <w:rFonts w:asciiTheme="majorHAnsi" w:hAnsiTheme="majorHAnsi"/>
          <w:sz w:val="16"/>
          <w:szCs w:val="16"/>
        </w:rPr>
        <w:t xml:space="preserve"> </w:t>
      </w:r>
      <w:r>
        <w:rPr>
          <w:rFonts w:asciiTheme="majorHAnsi" w:hAnsiTheme="majorHAnsi"/>
          <w:sz w:val="16"/>
          <w:szCs w:val="16"/>
        </w:rPr>
        <w:t>IACHR</w:t>
      </w:r>
      <w:r w:rsidRPr="00E03D35">
        <w:rPr>
          <w:rFonts w:asciiTheme="majorHAnsi" w:hAnsiTheme="majorHAnsi"/>
          <w:sz w:val="16"/>
          <w:szCs w:val="16"/>
        </w:rPr>
        <w:t xml:space="preserve">, </w:t>
      </w:r>
      <w:r>
        <w:rPr>
          <w:rFonts w:asciiTheme="majorHAnsi" w:hAnsiTheme="majorHAnsi"/>
          <w:sz w:val="16"/>
          <w:szCs w:val="16"/>
        </w:rPr>
        <w:t>Report</w:t>
      </w:r>
      <w:r w:rsidRPr="00E03D35">
        <w:rPr>
          <w:rFonts w:asciiTheme="majorHAnsi" w:hAnsiTheme="majorHAnsi"/>
          <w:sz w:val="16"/>
          <w:szCs w:val="16"/>
        </w:rPr>
        <w:t xml:space="preserve"> No. 51/18, </w:t>
      </w:r>
      <w:r>
        <w:rPr>
          <w:rFonts w:asciiTheme="majorHAnsi" w:hAnsiTheme="majorHAnsi"/>
          <w:sz w:val="16"/>
          <w:szCs w:val="16"/>
        </w:rPr>
        <w:t>Petition</w:t>
      </w:r>
      <w:r w:rsidRPr="00E03D35">
        <w:rPr>
          <w:rFonts w:asciiTheme="majorHAnsi" w:hAnsiTheme="majorHAnsi"/>
          <w:sz w:val="16"/>
          <w:szCs w:val="16"/>
        </w:rPr>
        <w:t xml:space="preserve"> 1779-12. </w:t>
      </w:r>
      <w:r>
        <w:rPr>
          <w:rFonts w:asciiTheme="majorHAnsi" w:hAnsiTheme="majorHAnsi"/>
          <w:sz w:val="16"/>
          <w:szCs w:val="16"/>
        </w:rPr>
        <w:t>Admissibility</w:t>
      </w:r>
      <w:r w:rsidRPr="00E03D35">
        <w:rPr>
          <w:rFonts w:asciiTheme="majorHAnsi" w:hAnsiTheme="majorHAnsi"/>
          <w:sz w:val="16"/>
          <w:szCs w:val="16"/>
        </w:rPr>
        <w:t xml:space="preserve">. </w:t>
      </w:r>
      <w:proofErr w:type="spellStart"/>
      <w:r w:rsidRPr="00E03D35">
        <w:rPr>
          <w:rFonts w:asciiTheme="majorHAnsi" w:hAnsiTheme="majorHAnsi"/>
          <w:sz w:val="16"/>
          <w:szCs w:val="16"/>
        </w:rPr>
        <w:t>Kaqchikuel</w:t>
      </w:r>
      <w:proofErr w:type="spellEnd"/>
      <w:r w:rsidRPr="00E03D35">
        <w:rPr>
          <w:rFonts w:asciiTheme="majorHAnsi" w:hAnsiTheme="majorHAnsi"/>
          <w:sz w:val="16"/>
          <w:szCs w:val="16"/>
        </w:rPr>
        <w:t xml:space="preserve"> </w:t>
      </w:r>
      <w:r>
        <w:rPr>
          <w:rFonts w:asciiTheme="majorHAnsi" w:hAnsiTheme="majorHAnsi"/>
          <w:sz w:val="16"/>
          <w:szCs w:val="16"/>
        </w:rPr>
        <w:t xml:space="preserve">Maya Indigenous People of </w:t>
      </w:r>
      <w:proofErr w:type="spellStart"/>
      <w:r w:rsidRPr="00E03D35">
        <w:rPr>
          <w:rFonts w:asciiTheme="majorHAnsi" w:hAnsiTheme="majorHAnsi"/>
          <w:sz w:val="16"/>
          <w:szCs w:val="16"/>
        </w:rPr>
        <w:t>Sumpango</w:t>
      </w:r>
      <w:proofErr w:type="spellEnd"/>
      <w:r w:rsidRPr="00E03D35">
        <w:rPr>
          <w:rFonts w:asciiTheme="majorHAnsi" w:hAnsiTheme="majorHAnsi"/>
          <w:sz w:val="16"/>
          <w:szCs w:val="16"/>
        </w:rPr>
        <w:t xml:space="preserve"> </w:t>
      </w:r>
      <w:r>
        <w:rPr>
          <w:rFonts w:asciiTheme="majorHAnsi" w:hAnsiTheme="majorHAnsi"/>
          <w:sz w:val="16"/>
          <w:szCs w:val="16"/>
        </w:rPr>
        <w:t>et al.</w:t>
      </w:r>
      <w:r w:rsidRPr="00E03D35">
        <w:rPr>
          <w:rFonts w:asciiTheme="majorHAnsi" w:hAnsiTheme="majorHAnsi"/>
          <w:sz w:val="16"/>
          <w:szCs w:val="16"/>
        </w:rPr>
        <w:t xml:space="preserve"> Guatemala. </w:t>
      </w:r>
      <w:r>
        <w:rPr>
          <w:rFonts w:asciiTheme="majorHAnsi" w:hAnsiTheme="majorHAnsi"/>
          <w:sz w:val="16"/>
          <w:szCs w:val="16"/>
        </w:rPr>
        <w:t xml:space="preserve">May </w:t>
      </w:r>
      <w:r w:rsidRPr="00E03D35">
        <w:rPr>
          <w:rFonts w:asciiTheme="majorHAnsi" w:hAnsiTheme="majorHAnsi"/>
          <w:sz w:val="16"/>
          <w:szCs w:val="16"/>
        </w:rPr>
        <w:t>5</w:t>
      </w:r>
      <w:r>
        <w:rPr>
          <w:rFonts w:asciiTheme="majorHAnsi" w:hAnsiTheme="majorHAnsi"/>
          <w:sz w:val="16"/>
          <w:szCs w:val="16"/>
        </w:rPr>
        <w:t>,</w:t>
      </w:r>
      <w:r w:rsidRPr="00E03D35">
        <w:rPr>
          <w:rFonts w:asciiTheme="majorHAnsi" w:hAnsiTheme="majorHAnsi"/>
          <w:sz w:val="16"/>
          <w:szCs w:val="16"/>
        </w:rPr>
        <w:t xml:space="preserve"> 2018, p</w:t>
      </w:r>
      <w:r>
        <w:rPr>
          <w:rFonts w:asciiTheme="majorHAnsi" w:hAnsiTheme="majorHAnsi"/>
          <w:sz w:val="16"/>
          <w:szCs w:val="16"/>
        </w:rPr>
        <w:t>aras</w:t>
      </w:r>
      <w:r w:rsidRPr="00E03D35">
        <w:rPr>
          <w:rFonts w:asciiTheme="majorHAnsi" w:hAnsiTheme="majorHAnsi"/>
          <w:sz w:val="16"/>
          <w:szCs w:val="16"/>
        </w:rPr>
        <w:t>. 13, 14</w:t>
      </w:r>
      <w:r>
        <w:rPr>
          <w:rFonts w:asciiTheme="majorHAnsi" w:hAnsiTheme="majorHAnsi"/>
          <w:sz w:val="16"/>
          <w:szCs w:val="16"/>
        </w:rPr>
        <w:t>, and</w:t>
      </w:r>
      <w:r w:rsidRPr="00E03D35">
        <w:rPr>
          <w:rFonts w:asciiTheme="majorHAnsi" w:hAnsiTheme="majorHAnsi"/>
          <w:sz w:val="16"/>
          <w:szCs w:val="16"/>
        </w:rPr>
        <w:t xml:space="preserve"> 16.</w:t>
      </w:r>
    </w:p>
  </w:footnote>
  <w:footnote w:id="10">
    <w:p w:rsidR="00E52752" w:rsidRPr="00E03D35" w:rsidRDefault="00E52752" w:rsidP="008B7A8B">
      <w:pPr>
        <w:pStyle w:val="FootnoteText"/>
        <w:jc w:val="both"/>
        <w:rPr>
          <w:rFonts w:asciiTheme="majorHAnsi" w:hAnsiTheme="majorHAnsi"/>
          <w:sz w:val="16"/>
          <w:szCs w:val="16"/>
        </w:rPr>
      </w:pPr>
      <w:r w:rsidRPr="00E03D35">
        <w:rPr>
          <w:rStyle w:val="FootnoteReference"/>
          <w:rFonts w:asciiTheme="majorHAnsi" w:hAnsiTheme="majorHAnsi"/>
          <w:sz w:val="16"/>
          <w:szCs w:val="16"/>
        </w:rPr>
        <w:footnoteRef/>
      </w:r>
      <w:r w:rsidRPr="00E03D35">
        <w:rPr>
          <w:rFonts w:asciiTheme="majorHAnsi" w:hAnsiTheme="majorHAnsi"/>
          <w:sz w:val="16"/>
          <w:szCs w:val="16"/>
        </w:rPr>
        <w:t xml:space="preserve"> </w:t>
      </w:r>
      <w:r>
        <w:rPr>
          <w:rFonts w:asciiTheme="majorHAnsi" w:hAnsiTheme="majorHAnsi"/>
          <w:sz w:val="16"/>
          <w:szCs w:val="16"/>
        </w:rPr>
        <w:t>IACHR</w:t>
      </w:r>
      <w:r w:rsidRPr="00E03D35">
        <w:rPr>
          <w:rFonts w:asciiTheme="majorHAnsi" w:hAnsiTheme="majorHAnsi"/>
          <w:sz w:val="16"/>
          <w:szCs w:val="16"/>
        </w:rPr>
        <w:t xml:space="preserve">, </w:t>
      </w:r>
      <w:r>
        <w:rPr>
          <w:rFonts w:asciiTheme="majorHAnsi" w:hAnsiTheme="majorHAnsi"/>
          <w:sz w:val="16"/>
          <w:szCs w:val="16"/>
        </w:rPr>
        <w:t>Report</w:t>
      </w:r>
      <w:r w:rsidRPr="00E03D35">
        <w:rPr>
          <w:rFonts w:asciiTheme="majorHAnsi" w:hAnsiTheme="majorHAnsi"/>
          <w:sz w:val="16"/>
          <w:szCs w:val="16"/>
        </w:rPr>
        <w:t xml:space="preserve"> No. 75/14, </w:t>
      </w:r>
      <w:r>
        <w:rPr>
          <w:rFonts w:asciiTheme="majorHAnsi" w:hAnsiTheme="majorHAnsi"/>
          <w:sz w:val="16"/>
          <w:szCs w:val="16"/>
        </w:rPr>
        <w:t>Petition</w:t>
      </w:r>
      <w:r w:rsidRPr="00E03D35">
        <w:rPr>
          <w:rFonts w:asciiTheme="majorHAnsi" w:hAnsiTheme="majorHAnsi"/>
          <w:sz w:val="16"/>
          <w:szCs w:val="16"/>
        </w:rPr>
        <w:t xml:space="preserve"> 1018-08. </w:t>
      </w:r>
      <w:r>
        <w:rPr>
          <w:rFonts w:asciiTheme="majorHAnsi" w:hAnsiTheme="majorHAnsi"/>
          <w:sz w:val="16"/>
          <w:szCs w:val="16"/>
        </w:rPr>
        <w:t>Admissibility</w:t>
      </w:r>
      <w:r w:rsidRPr="00E03D35">
        <w:rPr>
          <w:rFonts w:asciiTheme="majorHAnsi" w:hAnsiTheme="majorHAnsi"/>
          <w:sz w:val="16"/>
          <w:szCs w:val="16"/>
        </w:rPr>
        <w:t xml:space="preserve">. Ronald Moya </w:t>
      </w:r>
      <w:proofErr w:type="spellStart"/>
      <w:r w:rsidRPr="00E03D35">
        <w:rPr>
          <w:rFonts w:asciiTheme="majorHAnsi" w:hAnsiTheme="majorHAnsi"/>
          <w:sz w:val="16"/>
          <w:szCs w:val="16"/>
        </w:rPr>
        <w:t>Chacón</w:t>
      </w:r>
      <w:proofErr w:type="spellEnd"/>
      <w:r w:rsidRPr="00E03D35">
        <w:rPr>
          <w:rFonts w:asciiTheme="majorHAnsi" w:hAnsiTheme="majorHAnsi"/>
          <w:sz w:val="16"/>
          <w:szCs w:val="16"/>
        </w:rPr>
        <w:t xml:space="preserve"> </w:t>
      </w:r>
      <w:r>
        <w:rPr>
          <w:rFonts w:asciiTheme="majorHAnsi" w:hAnsiTheme="majorHAnsi"/>
          <w:sz w:val="16"/>
          <w:szCs w:val="16"/>
        </w:rPr>
        <w:t>and</w:t>
      </w:r>
      <w:r w:rsidRPr="00E03D35">
        <w:rPr>
          <w:rFonts w:asciiTheme="majorHAnsi" w:hAnsiTheme="majorHAnsi"/>
          <w:sz w:val="16"/>
          <w:szCs w:val="16"/>
        </w:rPr>
        <w:t xml:space="preserve"> Freddy </w:t>
      </w:r>
      <w:proofErr w:type="spellStart"/>
      <w:r w:rsidRPr="00E03D35">
        <w:rPr>
          <w:rFonts w:asciiTheme="majorHAnsi" w:hAnsiTheme="majorHAnsi"/>
          <w:sz w:val="16"/>
          <w:szCs w:val="16"/>
        </w:rPr>
        <w:t>Parrales</w:t>
      </w:r>
      <w:proofErr w:type="spellEnd"/>
      <w:r w:rsidRPr="00E03D35">
        <w:rPr>
          <w:rFonts w:asciiTheme="majorHAnsi" w:hAnsiTheme="majorHAnsi"/>
          <w:sz w:val="16"/>
          <w:szCs w:val="16"/>
        </w:rPr>
        <w:t xml:space="preserve"> Chaves. Costa Rica. </w:t>
      </w:r>
      <w:r>
        <w:rPr>
          <w:rFonts w:asciiTheme="majorHAnsi" w:hAnsiTheme="majorHAnsi"/>
          <w:sz w:val="16"/>
          <w:szCs w:val="16"/>
        </w:rPr>
        <w:t xml:space="preserve">August </w:t>
      </w:r>
      <w:r w:rsidRPr="00E03D35">
        <w:rPr>
          <w:rFonts w:asciiTheme="majorHAnsi" w:hAnsiTheme="majorHAnsi"/>
          <w:sz w:val="16"/>
          <w:szCs w:val="16"/>
        </w:rPr>
        <w:t>15</w:t>
      </w:r>
      <w:r>
        <w:rPr>
          <w:rFonts w:asciiTheme="majorHAnsi" w:hAnsiTheme="majorHAnsi"/>
          <w:sz w:val="16"/>
          <w:szCs w:val="16"/>
        </w:rPr>
        <w:t>,</w:t>
      </w:r>
      <w:r w:rsidRPr="00E03D35">
        <w:rPr>
          <w:rFonts w:asciiTheme="majorHAnsi" w:hAnsiTheme="majorHAnsi"/>
          <w:sz w:val="16"/>
          <w:szCs w:val="16"/>
        </w:rPr>
        <w:t xml:space="preserve"> 2014, p</w:t>
      </w:r>
      <w:r>
        <w:rPr>
          <w:rFonts w:asciiTheme="majorHAnsi" w:hAnsiTheme="majorHAnsi"/>
          <w:sz w:val="16"/>
          <w:szCs w:val="16"/>
        </w:rPr>
        <w:t>ara</w:t>
      </w:r>
      <w:r w:rsidRPr="00E03D35">
        <w:rPr>
          <w:rFonts w:asciiTheme="majorHAnsi" w:hAnsiTheme="majorHAnsi"/>
          <w:sz w:val="16"/>
          <w:szCs w:val="16"/>
        </w:rPr>
        <w:t>. 32.</w:t>
      </w:r>
    </w:p>
  </w:footnote>
  <w:footnote w:id="11">
    <w:p w:rsidR="00E52752" w:rsidRPr="00E03D35" w:rsidRDefault="00E52752" w:rsidP="008B7A8B">
      <w:pPr>
        <w:pStyle w:val="FootnoteText"/>
        <w:jc w:val="both"/>
        <w:rPr>
          <w:rFonts w:ascii="Cambria" w:hAnsi="Cambria"/>
          <w:sz w:val="16"/>
          <w:szCs w:val="16"/>
        </w:rPr>
      </w:pPr>
      <w:r w:rsidRPr="00E03D35">
        <w:rPr>
          <w:rFonts w:ascii="Cambria" w:hAnsi="Cambria"/>
          <w:sz w:val="16"/>
          <w:szCs w:val="16"/>
          <w:vertAlign w:val="superscript"/>
        </w:rPr>
        <w:footnoteRef/>
      </w:r>
      <w:r w:rsidRPr="00E03D35">
        <w:rPr>
          <w:rFonts w:ascii="Cambria" w:hAnsi="Cambria"/>
          <w:sz w:val="16"/>
          <w:szCs w:val="16"/>
        </w:rPr>
        <w:t xml:space="preserve"> </w:t>
      </w:r>
      <w:r>
        <w:rPr>
          <w:rFonts w:ascii="Cambria" w:hAnsi="Cambria"/>
          <w:sz w:val="16"/>
          <w:szCs w:val="16"/>
        </w:rPr>
        <w:t>I/A Court H.R.</w:t>
      </w:r>
      <w:r w:rsidRPr="00E03D35">
        <w:rPr>
          <w:rFonts w:ascii="Cambria" w:hAnsi="Cambria"/>
          <w:sz w:val="16"/>
          <w:szCs w:val="16"/>
        </w:rPr>
        <w:t xml:space="preserve">, </w:t>
      </w:r>
      <w:r>
        <w:rPr>
          <w:rFonts w:ascii="Cambria" w:hAnsi="Cambria"/>
          <w:sz w:val="16"/>
          <w:szCs w:val="16"/>
        </w:rPr>
        <w:t>Case of</w:t>
      </w:r>
      <w:r w:rsidRPr="00E03D35">
        <w:rPr>
          <w:rFonts w:ascii="Cambria" w:hAnsi="Cambria"/>
          <w:sz w:val="16"/>
          <w:szCs w:val="16"/>
        </w:rPr>
        <w:t xml:space="preserve"> </w:t>
      </w:r>
      <w:proofErr w:type="spellStart"/>
      <w:r w:rsidRPr="00E03D35">
        <w:rPr>
          <w:rFonts w:ascii="Cambria" w:hAnsi="Cambria"/>
          <w:sz w:val="16"/>
          <w:szCs w:val="16"/>
        </w:rPr>
        <w:t>Nadege</w:t>
      </w:r>
      <w:proofErr w:type="spellEnd"/>
      <w:r w:rsidRPr="00E03D35">
        <w:rPr>
          <w:rFonts w:ascii="Cambria" w:hAnsi="Cambria"/>
          <w:sz w:val="16"/>
          <w:szCs w:val="16"/>
        </w:rPr>
        <w:t xml:space="preserve"> </w:t>
      </w:r>
      <w:proofErr w:type="spellStart"/>
      <w:r w:rsidRPr="00E03D35">
        <w:rPr>
          <w:rFonts w:ascii="Cambria" w:hAnsi="Cambria"/>
          <w:sz w:val="16"/>
          <w:szCs w:val="16"/>
        </w:rPr>
        <w:t>Dorzema</w:t>
      </w:r>
      <w:proofErr w:type="spellEnd"/>
      <w:r w:rsidRPr="00E03D35">
        <w:rPr>
          <w:rFonts w:ascii="Cambria" w:hAnsi="Cambria"/>
          <w:sz w:val="16"/>
          <w:szCs w:val="16"/>
        </w:rPr>
        <w:t xml:space="preserve"> </w:t>
      </w:r>
      <w:r>
        <w:rPr>
          <w:rFonts w:ascii="Cambria" w:hAnsi="Cambria"/>
          <w:sz w:val="16"/>
          <w:szCs w:val="16"/>
        </w:rPr>
        <w:t>et al.</w:t>
      </w:r>
      <w:r w:rsidRPr="00E03D35">
        <w:rPr>
          <w:rFonts w:ascii="Cambria" w:hAnsi="Cambria"/>
          <w:sz w:val="16"/>
          <w:szCs w:val="16"/>
        </w:rPr>
        <w:t xml:space="preserve"> </w:t>
      </w:r>
      <w:r w:rsidRPr="006A6CC5">
        <w:rPr>
          <w:rFonts w:ascii="Cambria" w:hAnsi="Cambria"/>
          <w:i/>
          <w:sz w:val="16"/>
          <w:szCs w:val="16"/>
        </w:rPr>
        <w:t>v.</w:t>
      </w:r>
      <w:r w:rsidRPr="00E03D35">
        <w:rPr>
          <w:rFonts w:ascii="Cambria" w:hAnsi="Cambria"/>
          <w:sz w:val="16"/>
          <w:szCs w:val="16"/>
        </w:rPr>
        <w:t xml:space="preserve"> </w:t>
      </w:r>
      <w:r>
        <w:rPr>
          <w:rFonts w:ascii="Cambria" w:hAnsi="Cambria"/>
          <w:sz w:val="16"/>
          <w:szCs w:val="16"/>
        </w:rPr>
        <w:t>Dominican Republic</w:t>
      </w:r>
      <w:r w:rsidRPr="00E03D35">
        <w:rPr>
          <w:rFonts w:ascii="Cambria" w:hAnsi="Cambria"/>
          <w:sz w:val="16"/>
          <w:szCs w:val="16"/>
        </w:rPr>
        <w:t xml:space="preserve">, </w:t>
      </w:r>
      <w:r>
        <w:rPr>
          <w:rFonts w:ascii="Cambria" w:hAnsi="Cambria"/>
          <w:sz w:val="16"/>
          <w:szCs w:val="16"/>
        </w:rPr>
        <w:t>judgment</w:t>
      </w:r>
      <w:r w:rsidRPr="00E03D35">
        <w:rPr>
          <w:rFonts w:ascii="Cambria" w:hAnsi="Cambria"/>
          <w:sz w:val="16"/>
          <w:szCs w:val="16"/>
        </w:rPr>
        <w:t xml:space="preserve"> </w:t>
      </w:r>
      <w:r>
        <w:rPr>
          <w:rFonts w:ascii="Cambria" w:hAnsi="Cambria"/>
          <w:sz w:val="16"/>
          <w:szCs w:val="16"/>
        </w:rPr>
        <w:t xml:space="preserve">of October </w:t>
      </w:r>
      <w:r w:rsidRPr="00E03D35">
        <w:rPr>
          <w:rFonts w:ascii="Cambria" w:hAnsi="Cambria"/>
          <w:sz w:val="16"/>
          <w:szCs w:val="16"/>
        </w:rPr>
        <w:t>24</w:t>
      </w:r>
      <w:r>
        <w:rPr>
          <w:rFonts w:ascii="Cambria" w:hAnsi="Cambria"/>
          <w:sz w:val="16"/>
          <w:szCs w:val="16"/>
        </w:rPr>
        <w:t>,</w:t>
      </w:r>
      <w:r w:rsidRPr="00E03D35">
        <w:rPr>
          <w:rFonts w:ascii="Cambria" w:hAnsi="Cambria"/>
          <w:sz w:val="16"/>
          <w:szCs w:val="16"/>
        </w:rPr>
        <w:t xml:space="preserve"> 2012, p</w:t>
      </w:r>
      <w:r>
        <w:rPr>
          <w:rFonts w:ascii="Cambria" w:hAnsi="Cambria"/>
          <w:sz w:val="16"/>
          <w:szCs w:val="16"/>
        </w:rPr>
        <w:t>ara</w:t>
      </w:r>
      <w:r w:rsidRPr="00E03D35">
        <w:rPr>
          <w:rFonts w:ascii="Cambria" w:hAnsi="Cambria"/>
          <w:sz w:val="16"/>
          <w:szCs w:val="16"/>
        </w:rPr>
        <w:t xml:space="preserve">. 235; </w:t>
      </w:r>
      <w:r>
        <w:rPr>
          <w:rFonts w:ascii="Cambria" w:hAnsi="Cambria"/>
          <w:sz w:val="16"/>
          <w:szCs w:val="16"/>
        </w:rPr>
        <w:t>I/A Court H.R.</w:t>
      </w:r>
      <w:r w:rsidRPr="00E03D35">
        <w:rPr>
          <w:rFonts w:ascii="Cambria" w:hAnsi="Cambria"/>
          <w:sz w:val="16"/>
          <w:szCs w:val="16"/>
        </w:rPr>
        <w:t xml:space="preserve">, </w:t>
      </w:r>
      <w:r>
        <w:rPr>
          <w:rFonts w:ascii="Cambria" w:hAnsi="Cambria"/>
          <w:sz w:val="16"/>
          <w:szCs w:val="16"/>
        </w:rPr>
        <w:t>Case of</w:t>
      </w:r>
      <w:r w:rsidRPr="00E03D35">
        <w:rPr>
          <w:rFonts w:ascii="Cambria" w:hAnsi="Cambria"/>
          <w:sz w:val="16"/>
          <w:szCs w:val="16"/>
        </w:rPr>
        <w:t xml:space="preserve"> </w:t>
      </w:r>
      <w:proofErr w:type="spellStart"/>
      <w:r w:rsidRPr="00E03D35">
        <w:rPr>
          <w:rFonts w:ascii="Cambria" w:hAnsi="Cambria"/>
          <w:sz w:val="16"/>
          <w:szCs w:val="16"/>
        </w:rPr>
        <w:t>Atala</w:t>
      </w:r>
      <w:proofErr w:type="spellEnd"/>
      <w:r w:rsidRPr="00E03D35">
        <w:rPr>
          <w:rFonts w:ascii="Cambria" w:hAnsi="Cambria"/>
          <w:sz w:val="16"/>
          <w:szCs w:val="16"/>
        </w:rPr>
        <w:t xml:space="preserve"> </w:t>
      </w:r>
      <w:proofErr w:type="spellStart"/>
      <w:r w:rsidRPr="00E03D35">
        <w:rPr>
          <w:rFonts w:ascii="Cambria" w:hAnsi="Cambria"/>
          <w:sz w:val="16"/>
          <w:szCs w:val="16"/>
        </w:rPr>
        <w:t>Riffo</w:t>
      </w:r>
      <w:proofErr w:type="spellEnd"/>
      <w:r w:rsidRPr="00E03D35">
        <w:rPr>
          <w:rFonts w:ascii="Cambria" w:hAnsi="Cambria"/>
          <w:sz w:val="16"/>
          <w:szCs w:val="16"/>
        </w:rPr>
        <w:t xml:space="preserve"> </w:t>
      </w:r>
      <w:r w:rsidRPr="00BE7A67">
        <w:rPr>
          <w:rFonts w:ascii="Cambria" w:hAnsi="Cambria"/>
          <w:sz w:val="16"/>
          <w:szCs w:val="16"/>
        </w:rPr>
        <w:t xml:space="preserve">and </w:t>
      </w:r>
      <w:r w:rsidR="00936A10" w:rsidRPr="00BE7A67">
        <w:rPr>
          <w:rFonts w:ascii="Cambria" w:hAnsi="Cambria"/>
          <w:sz w:val="16"/>
          <w:szCs w:val="16"/>
        </w:rPr>
        <w:t xml:space="preserve">Daughters </w:t>
      </w:r>
      <w:r w:rsidRPr="00BE7A67">
        <w:rPr>
          <w:rFonts w:ascii="Cambria" w:hAnsi="Cambria"/>
          <w:i/>
          <w:sz w:val="16"/>
          <w:szCs w:val="16"/>
        </w:rPr>
        <w:t>v.</w:t>
      </w:r>
      <w:r w:rsidRPr="00BE7A67">
        <w:rPr>
          <w:rFonts w:ascii="Cambria" w:hAnsi="Cambria"/>
          <w:sz w:val="16"/>
          <w:szCs w:val="16"/>
        </w:rPr>
        <w:t xml:space="preserve"> Chile</w:t>
      </w:r>
      <w:r w:rsidRPr="00E03D35">
        <w:rPr>
          <w:rFonts w:ascii="Cambria" w:hAnsi="Cambria"/>
          <w:sz w:val="16"/>
          <w:szCs w:val="16"/>
        </w:rPr>
        <w:t xml:space="preserve">, </w:t>
      </w:r>
      <w:r>
        <w:rPr>
          <w:rFonts w:ascii="Cambria" w:hAnsi="Cambria"/>
          <w:sz w:val="16"/>
          <w:szCs w:val="16"/>
        </w:rPr>
        <w:t>judgment</w:t>
      </w:r>
      <w:r w:rsidRPr="00E03D35">
        <w:rPr>
          <w:rFonts w:ascii="Cambria" w:hAnsi="Cambria"/>
          <w:sz w:val="16"/>
          <w:szCs w:val="16"/>
        </w:rPr>
        <w:t xml:space="preserve"> </w:t>
      </w:r>
      <w:r>
        <w:rPr>
          <w:rFonts w:ascii="Cambria" w:hAnsi="Cambria"/>
          <w:sz w:val="16"/>
          <w:szCs w:val="16"/>
        </w:rPr>
        <w:t xml:space="preserve">of February </w:t>
      </w:r>
      <w:r w:rsidRPr="00E03D35">
        <w:rPr>
          <w:rFonts w:ascii="Cambria" w:hAnsi="Cambria"/>
          <w:sz w:val="16"/>
          <w:szCs w:val="16"/>
        </w:rPr>
        <w:t>24</w:t>
      </w:r>
      <w:r>
        <w:rPr>
          <w:rFonts w:ascii="Cambria" w:hAnsi="Cambria"/>
          <w:sz w:val="16"/>
          <w:szCs w:val="16"/>
        </w:rPr>
        <w:t>,</w:t>
      </w:r>
      <w:r w:rsidRPr="00E03D35">
        <w:rPr>
          <w:rFonts w:ascii="Cambria" w:hAnsi="Cambria"/>
          <w:sz w:val="16"/>
          <w:szCs w:val="16"/>
        </w:rPr>
        <w:t xml:space="preserve"> 2012, p</w:t>
      </w:r>
      <w:r>
        <w:rPr>
          <w:rFonts w:ascii="Cambria" w:hAnsi="Cambria"/>
          <w:sz w:val="16"/>
          <w:szCs w:val="16"/>
        </w:rPr>
        <w:t>aras</w:t>
      </w:r>
      <w:r w:rsidRPr="00E03D35">
        <w:rPr>
          <w:rFonts w:ascii="Cambria" w:hAnsi="Cambria"/>
          <w:sz w:val="16"/>
          <w:szCs w:val="16"/>
        </w:rPr>
        <w:t>. 80, 2</w:t>
      </w:r>
      <w:r>
        <w:rPr>
          <w:rFonts w:ascii="Cambria" w:hAnsi="Cambria"/>
          <w:sz w:val="16"/>
          <w:szCs w:val="16"/>
        </w:rPr>
        <w:t>, and</w:t>
      </w:r>
      <w:r w:rsidRPr="00E03D35">
        <w:rPr>
          <w:rFonts w:ascii="Cambria" w:hAnsi="Cambria"/>
          <w:sz w:val="16"/>
          <w:szCs w:val="16"/>
        </w:rPr>
        <w:t xml:space="preserve"> 267</w:t>
      </w:r>
    </w:p>
  </w:footnote>
  <w:footnote w:id="12">
    <w:p w:rsidR="00E52752" w:rsidRPr="00E03D35" w:rsidRDefault="00E52752" w:rsidP="00BE3DB3">
      <w:pPr>
        <w:contextualSpacing/>
        <w:jc w:val="both"/>
        <w:rPr>
          <w:rFonts w:ascii="Cambria" w:hAnsi="Cambria" w:cs="Calibri"/>
          <w:i/>
          <w:sz w:val="16"/>
          <w:szCs w:val="16"/>
          <w:lang w:val="en-US"/>
        </w:rPr>
      </w:pPr>
      <w:r w:rsidRPr="00E03D35">
        <w:rPr>
          <w:rStyle w:val="FootnoteReference"/>
          <w:rFonts w:ascii="Cambria" w:eastAsia="Trebuchet MS" w:hAnsi="Cambria"/>
          <w:sz w:val="16"/>
          <w:szCs w:val="16"/>
          <w:lang w:val="en-US"/>
        </w:rPr>
        <w:footnoteRef/>
      </w:r>
      <w:r w:rsidRPr="00E03D35">
        <w:rPr>
          <w:rFonts w:ascii="Cambria" w:eastAsia="Calibri" w:hAnsi="Cambria" w:cs="Calibri"/>
          <w:color w:val="000000"/>
          <w:sz w:val="16"/>
          <w:szCs w:val="16"/>
          <w:u w:color="000000"/>
          <w:bdr w:val="nil"/>
          <w:lang w:val="en-US" w:eastAsia="es-ES"/>
        </w:rPr>
        <w:t xml:space="preserve"> </w:t>
      </w:r>
      <w:r>
        <w:rPr>
          <w:rFonts w:ascii="Cambria" w:eastAsia="Calibri" w:hAnsi="Cambria" w:cs="Calibri"/>
          <w:color w:val="000000"/>
          <w:sz w:val="16"/>
          <w:szCs w:val="16"/>
          <w:u w:color="000000"/>
          <w:bdr w:val="nil"/>
          <w:lang w:val="en-US" w:eastAsia="es-ES"/>
        </w:rPr>
        <w:t>IACHR</w:t>
      </w:r>
      <w:r w:rsidRPr="00E03D35">
        <w:rPr>
          <w:rFonts w:ascii="Cambria" w:eastAsia="Calibri" w:hAnsi="Cambria" w:cs="Calibri"/>
          <w:color w:val="000000"/>
          <w:sz w:val="16"/>
          <w:szCs w:val="16"/>
          <w:u w:color="000000"/>
          <w:bdr w:val="nil"/>
          <w:lang w:val="en-US" w:eastAsia="es-ES"/>
        </w:rPr>
        <w:t xml:space="preserve">, </w:t>
      </w:r>
      <w:proofErr w:type="gramStart"/>
      <w:r w:rsidR="00BE7A67" w:rsidRPr="00BE7A67">
        <w:rPr>
          <w:rFonts w:ascii="Cambria" w:eastAsia="Calibri" w:hAnsi="Cambria" w:cs="Calibri"/>
          <w:i/>
          <w:color w:val="000000"/>
          <w:sz w:val="16"/>
          <w:szCs w:val="16"/>
          <w:u w:color="000000"/>
          <w:bdr w:val="nil"/>
          <w:lang w:val="en-US" w:eastAsia="es-ES"/>
        </w:rPr>
        <w:t>The</w:t>
      </w:r>
      <w:proofErr w:type="gramEnd"/>
      <w:r w:rsidR="00BE7A67" w:rsidRPr="00BE7A67">
        <w:rPr>
          <w:rFonts w:ascii="Cambria" w:eastAsia="Calibri" w:hAnsi="Cambria" w:cs="Calibri"/>
          <w:i/>
          <w:color w:val="000000"/>
          <w:sz w:val="16"/>
          <w:szCs w:val="16"/>
          <w:u w:color="000000"/>
          <w:bdr w:val="nil"/>
          <w:lang w:val="en-US" w:eastAsia="es-ES"/>
        </w:rPr>
        <w:t xml:space="preserve"> Work, Education and Resources of Women: The Road to Equality in Guaranteeing Economic, Social and Cultural Rights,</w:t>
      </w:r>
      <w:r w:rsidRPr="00E03D35">
        <w:rPr>
          <w:rFonts w:ascii="Cambria" w:eastAsia="Calibri" w:hAnsi="Cambria" w:cs="Calibri"/>
          <w:color w:val="000000"/>
          <w:sz w:val="16"/>
          <w:szCs w:val="16"/>
          <w:u w:color="000000"/>
          <w:bdr w:val="nil"/>
          <w:lang w:val="en-US" w:eastAsia="es-ES"/>
        </w:rPr>
        <w:t xml:space="preserve"> OEA/</w:t>
      </w:r>
      <w:proofErr w:type="spellStart"/>
      <w:r w:rsidRPr="00E03D35">
        <w:rPr>
          <w:rFonts w:ascii="Cambria" w:eastAsia="Calibri" w:hAnsi="Cambria" w:cs="Calibri"/>
          <w:color w:val="000000"/>
          <w:sz w:val="16"/>
          <w:szCs w:val="16"/>
          <w:u w:color="000000"/>
          <w:bdr w:val="nil"/>
          <w:lang w:val="en-US" w:eastAsia="es-ES"/>
        </w:rPr>
        <w:t>Ser.L</w:t>
      </w:r>
      <w:proofErr w:type="spellEnd"/>
      <w:r w:rsidRPr="00E03D35">
        <w:rPr>
          <w:rFonts w:ascii="Cambria" w:eastAsia="Calibri" w:hAnsi="Cambria" w:cs="Calibri"/>
          <w:color w:val="000000"/>
          <w:sz w:val="16"/>
          <w:szCs w:val="16"/>
          <w:u w:color="000000"/>
          <w:bdr w:val="nil"/>
          <w:lang w:val="en-US" w:eastAsia="es-ES"/>
        </w:rPr>
        <w:t xml:space="preserve">/V/II.143 Doc. 59, </w:t>
      </w:r>
      <w:r>
        <w:rPr>
          <w:rFonts w:ascii="Cambria" w:eastAsia="Calibri" w:hAnsi="Cambria" w:cs="Calibri"/>
          <w:color w:val="000000"/>
          <w:sz w:val="16"/>
          <w:szCs w:val="16"/>
          <w:u w:color="000000"/>
          <w:bdr w:val="nil"/>
          <w:lang w:val="en-US" w:eastAsia="es-ES"/>
        </w:rPr>
        <w:t xml:space="preserve">November </w:t>
      </w:r>
      <w:r w:rsidRPr="00E03D35">
        <w:rPr>
          <w:rFonts w:ascii="Cambria" w:eastAsia="Calibri" w:hAnsi="Cambria" w:cs="Calibri"/>
          <w:color w:val="000000"/>
          <w:sz w:val="16"/>
          <w:szCs w:val="16"/>
          <w:u w:color="000000"/>
          <w:bdr w:val="nil"/>
          <w:lang w:val="en-US" w:eastAsia="es-ES"/>
        </w:rPr>
        <w:t>3</w:t>
      </w:r>
      <w:r>
        <w:rPr>
          <w:rFonts w:ascii="Cambria" w:eastAsia="Calibri" w:hAnsi="Cambria" w:cs="Calibri"/>
          <w:color w:val="000000"/>
          <w:sz w:val="16"/>
          <w:szCs w:val="16"/>
          <w:u w:color="000000"/>
          <w:bdr w:val="nil"/>
          <w:lang w:val="en-US" w:eastAsia="es-ES"/>
        </w:rPr>
        <w:t>,</w:t>
      </w:r>
      <w:r w:rsidRPr="00E03D35">
        <w:rPr>
          <w:rFonts w:ascii="Cambria" w:eastAsia="Calibri" w:hAnsi="Cambria" w:cs="Calibri"/>
          <w:color w:val="000000"/>
          <w:sz w:val="16"/>
          <w:szCs w:val="16"/>
          <w:u w:color="000000"/>
          <w:bdr w:val="nil"/>
          <w:lang w:val="en-US" w:eastAsia="es-ES"/>
        </w:rPr>
        <w:t xml:space="preserv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752" w:rsidRDefault="00E52752" w:rsidP="004243A6">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E52752" w:rsidRDefault="00E527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F23" w:rsidRDefault="00E80F23" w:rsidP="00E80F23">
    <w:pPr>
      <w:pStyle w:val="Header"/>
      <w:jc w:val="center"/>
    </w:pPr>
    <w:r>
      <w:rPr>
        <w:noProof/>
        <w:lang w:val="en-US" w:eastAsia="en-US"/>
      </w:rPr>
      <w:drawing>
        <wp:inline distT="0" distB="0" distL="0" distR="0">
          <wp:extent cx="2276475" cy="114300"/>
          <wp:effectExtent l="0" t="0" r="9525" b="0"/>
          <wp:docPr id="12" name="Picture 12"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114300"/>
                  </a:xfrm>
                  <a:prstGeom prst="rect">
                    <a:avLst/>
                  </a:prstGeom>
                  <a:noFill/>
                  <a:ln>
                    <a:noFill/>
                  </a:ln>
                </pic:spPr>
              </pic:pic>
            </a:graphicData>
          </a:graphic>
        </wp:inline>
      </w:drawing>
    </w:r>
  </w:p>
  <w:p w:rsidR="00E52752" w:rsidRPr="00EC7D62" w:rsidRDefault="00545BF4" w:rsidP="00A50FCF">
    <w:pPr>
      <w:pStyle w:val="Header"/>
      <w:tabs>
        <w:tab w:val="clear" w:pos="4320"/>
        <w:tab w:val="clear" w:pos="8640"/>
      </w:tabs>
      <w:jc w:val="center"/>
      <w:rPr>
        <w:sz w:val="22"/>
        <w:szCs w:val="22"/>
      </w:rPr>
    </w:pPr>
    <w:r>
      <w:rPr>
        <w:noProof/>
        <w:sz w:val="22"/>
        <w:szCs w:val="22"/>
        <w:bdr w:val="nil"/>
      </w:rPr>
      <w:pict w14:anchorId="39712B06">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8153EAB"/>
    <w:multiLevelType w:val="hybridMultilevel"/>
    <w:tmpl w:val="5718BF72"/>
    <w:lvl w:ilvl="0" w:tplc="BE96F0A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F1C22AD6"/>
    <w:lvl w:ilvl="0" w:tplc="A4967C2E">
      <w:start w:val="1"/>
      <w:numFmt w:val="decimal"/>
      <w:lvlText w:val="%1."/>
      <w:lvlJc w:val="left"/>
      <w:pPr>
        <w:tabs>
          <w:tab w:val="num" w:pos="720"/>
        </w:tabs>
        <w:ind w:left="0" w:firstLine="720"/>
      </w:pPr>
      <w:rPr>
        <w:rFonts w:hint="default"/>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5B612CB"/>
    <w:multiLevelType w:val="hybridMultilevel"/>
    <w:tmpl w:val="4F5AB6D2"/>
    <w:lvl w:ilvl="0" w:tplc="48008720">
      <w:start w:val="1"/>
      <w:numFmt w:val="decimal"/>
      <w:lvlText w:val="%1."/>
      <w:lvlJc w:val="left"/>
      <w:pPr>
        <w:tabs>
          <w:tab w:val="num" w:pos="720"/>
        </w:tabs>
        <w:ind w:left="0" w:firstLine="720"/>
      </w:pPr>
      <w:rPr>
        <w:rFonts w:hint="default"/>
        <w:b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6A826C0"/>
    <w:multiLevelType w:val="hybridMultilevel"/>
    <w:tmpl w:val="74CAF9C4"/>
    <w:lvl w:ilvl="0" w:tplc="9E943738">
      <w:start w:val="1"/>
      <w:numFmt w:val="upperLetter"/>
      <w:lvlText w:val="%1."/>
      <w:lvlJc w:val="left"/>
      <w:pPr>
        <w:ind w:left="1080" w:hanging="360"/>
      </w:pPr>
      <w:rPr>
        <w:rFonts w:hint="default"/>
        <w:b/>
        <w:i w:val="0"/>
        <w:sz w:val="20"/>
        <w:szCs w:val="20"/>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70087B"/>
    <w:multiLevelType w:val="hybridMultilevel"/>
    <w:tmpl w:val="C366C078"/>
    <w:lvl w:ilvl="0" w:tplc="88FCC128">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B37718E"/>
    <w:multiLevelType w:val="hybridMultilevel"/>
    <w:tmpl w:val="5CD84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BD802B1"/>
    <w:multiLevelType w:val="hybridMultilevel"/>
    <w:tmpl w:val="A6C66AA6"/>
    <w:lvl w:ilvl="0" w:tplc="82D4A47E">
      <w:start w:val="1"/>
      <w:numFmt w:val="decimal"/>
      <w:lvlText w:val="%1."/>
      <w:lvlJc w:val="left"/>
      <w:pPr>
        <w:tabs>
          <w:tab w:val="num" w:pos="720"/>
        </w:tabs>
        <w:ind w:left="0" w:firstLine="720"/>
      </w:pPr>
      <w:rPr>
        <w:b w:val="0"/>
        <w:sz w:val="20"/>
        <w:szCs w:val="20"/>
      </w:rPr>
    </w:lvl>
    <w:lvl w:ilvl="1" w:tplc="863070FC">
      <w:start w:val="3"/>
      <w:numFmt w:val="upperRoman"/>
      <w:lvlText w:val="%2."/>
      <w:lvlJc w:val="left"/>
      <w:pPr>
        <w:tabs>
          <w:tab w:val="num" w:pos="2160"/>
        </w:tabs>
        <w:ind w:left="2160" w:hanging="720"/>
      </w:pPr>
    </w:lvl>
    <w:lvl w:ilvl="2" w:tplc="3B048638">
      <w:start w:val="1"/>
      <w:numFmt w:val="upperLetter"/>
      <w:lvlText w:val="%3."/>
      <w:lvlJc w:val="left"/>
      <w:pPr>
        <w:tabs>
          <w:tab w:val="num" w:pos="3780"/>
        </w:tabs>
        <w:ind w:left="3780" w:hanging="144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6"/>
  </w:num>
  <w:num w:numId="4">
    <w:abstractNumId w:val="23"/>
  </w:num>
  <w:num w:numId="5">
    <w:abstractNumId w:val="48"/>
  </w:num>
  <w:num w:numId="6">
    <w:abstractNumId w:val="28"/>
  </w:num>
  <w:num w:numId="7">
    <w:abstractNumId w:val="8"/>
  </w:num>
  <w:num w:numId="8">
    <w:abstractNumId w:val="19"/>
  </w:num>
  <w:num w:numId="9">
    <w:abstractNumId w:val="43"/>
  </w:num>
  <w:num w:numId="10">
    <w:abstractNumId w:val="0"/>
  </w:num>
  <w:num w:numId="11">
    <w:abstractNumId w:val="38"/>
  </w:num>
  <w:num w:numId="12">
    <w:abstractNumId w:val="39"/>
  </w:num>
  <w:num w:numId="13">
    <w:abstractNumId w:val="45"/>
  </w:num>
  <w:num w:numId="14">
    <w:abstractNumId w:val="1"/>
  </w:num>
  <w:num w:numId="15">
    <w:abstractNumId w:val="3"/>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7"/>
  </w:num>
  <w:num w:numId="24">
    <w:abstractNumId w:val="18"/>
  </w:num>
  <w:num w:numId="25">
    <w:abstractNumId w:val="20"/>
  </w:num>
  <w:num w:numId="26">
    <w:abstractNumId w:val="21"/>
  </w:num>
  <w:num w:numId="27">
    <w:abstractNumId w:val="24"/>
  </w:num>
  <w:num w:numId="28">
    <w:abstractNumId w:val="25"/>
  </w:num>
  <w:num w:numId="29">
    <w:abstractNumId w:val="26"/>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6"/>
  </w:num>
  <w:num w:numId="38">
    <w:abstractNumId w:val="37"/>
  </w:num>
  <w:num w:numId="39">
    <w:abstractNumId w:val="40"/>
  </w:num>
  <w:num w:numId="40">
    <w:abstractNumId w:val="41"/>
  </w:num>
  <w:num w:numId="41">
    <w:abstractNumId w:val="47"/>
  </w:num>
  <w:num w:numId="42">
    <w:abstractNumId w:val="49"/>
  </w:num>
  <w:num w:numId="43">
    <w:abstractNumId w:val="52"/>
  </w:num>
  <w:num w:numId="44">
    <w:abstractNumId w:val="54"/>
  </w:num>
  <w:num w:numId="45">
    <w:abstractNumId w:val="55"/>
  </w:num>
  <w:num w:numId="46">
    <w:abstractNumId w:val="57"/>
  </w:num>
  <w:num w:numId="47">
    <w:abstractNumId w:val="58"/>
  </w:num>
  <w:num w:numId="48">
    <w:abstractNumId w:val="59"/>
  </w:num>
  <w:num w:numId="49">
    <w:abstractNumId w:val="60"/>
  </w:num>
  <w:num w:numId="50">
    <w:abstractNumId w:val="61"/>
  </w:num>
  <w:num w:numId="51">
    <w:abstractNumId w:val="22"/>
  </w:num>
  <w:num w:numId="52">
    <w:abstractNumId w:val="42"/>
  </w:num>
  <w:num w:numId="53">
    <w:abstractNumId w:val="53"/>
  </w:num>
  <w:num w:numId="54">
    <w:abstractNumId w:val="46"/>
  </w:num>
  <w:num w:numId="55">
    <w:abstractNumId w:val="5"/>
  </w:num>
  <w:num w:numId="56">
    <w:abstractNumId w:val="44"/>
  </w:num>
  <w:num w:numId="57">
    <w:abstractNumId w:val="16"/>
  </w:num>
  <w:num w:numId="58">
    <w:abstractNumId w:val="51"/>
  </w:num>
  <w:num w:numId="59">
    <w:abstractNumId w:val="7"/>
  </w:num>
  <w:num w:numId="60">
    <w:abstractNumId w:val="50"/>
  </w:num>
  <w:num w:numId="61">
    <w:abstractNumId w:val="2"/>
  </w:num>
  <w:num w:numId="62">
    <w:abstractNumId w:val="3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7F8"/>
    <w:rsid w:val="00001D55"/>
    <w:rsid w:val="000021B1"/>
    <w:rsid w:val="000022DF"/>
    <w:rsid w:val="00004EA4"/>
    <w:rsid w:val="00005C06"/>
    <w:rsid w:val="00006E1F"/>
    <w:rsid w:val="000070D7"/>
    <w:rsid w:val="00007A64"/>
    <w:rsid w:val="00011B2F"/>
    <w:rsid w:val="000129AC"/>
    <w:rsid w:val="000146AF"/>
    <w:rsid w:val="00016249"/>
    <w:rsid w:val="0001788C"/>
    <w:rsid w:val="00021CDC"/>
    <w:rsid w:val="00022C2E"/>
    <w:rsid w:val="000337EF"/>
    <w:rsid w:val="00034C65"/>
    <w:rsid w:val="00040C3A"/>
    <w:rsid w:val="000419AD"/>
    <w:rsid w:val="000433C9"/>
    <w:rsid w:val="00046227"/>
    <w:rsid w:val="00047841"/>
    <w:rsid w:val="00050D4D"/>
    <w:rsid w:val="0005154D"/>
    <w:rsid w:val="00051F48"/>
    <w:rsid w:val="0005480D"/>
    <w:rsid w:val="00055CE1"/>
    <w:rsid w:val="000610D3"/>
    <w:rsid w:val="00063DA8"/>
    <w:rsid w:val="000716C5"/>
    <w:rsid w:val="0007254F"/>
    <w:rsid w:val="0007331E"/>
    <w:rsid w:val="00073AF7"/>
    <w:rsid w:val="00075E23"/>
    <w:rsid w:val="000810B7"/>
    <w:rsid w:val="00086DF1"/>
    <w:rsid w:val="000871AC"/>
    <w:rsid w:val="00090251"/>
    <w:rsid w:val="0009344A"/>
    <w:rsid w:val="0009605D"/>
    <w:rsid w:val="000A11F6"/>
    <w:rsid w:val="000A392E"/>
    <w:rsid w:val="000A575F"/>
    <w:rsid w:val="000A5FBC"/>
    <w:rsid w:val="000A753B"/>
    <w:rsid w:val="000B5897"/>
    <w:rsid w:val="000B6397"/>
    <w:rsid w:val="000C1399"/>
    <w:rsid w:val="000C6177"/>
    <w:rsid w:val="000C780B"/>
    <w:rsid w:val="000D06AF"/>
    <w:rsid w:val="000D10DB"/>
    <w:rsid w:val="000E06EA"/>
    <w:rsid w:val="000E14C8"/>
    <w:rsid w:val="000E5EB5"/>
    <w:rsid w:val="000F0D0A"/>
    <w:rsid w:val="000F135B"/>
    <w:rsid w:val="000F35ED"/>
    <w:rsid w:val="000F7EB4"/>
    <w:rsid w:val="0010058F"/>
    <w:rsid w:val="0010367C"/>
    <w:rsid w:val="00107131"/>
    <w:rsid w:val="0010736F"/>
    <w:rsid w:val="001115FC"/>
    <w:rsid w:val="00113F73"/>
    <w:rsid w:val="00121CC2"/>
    <w:rsid w:val="00127FC0"/>
    <w:rsid w:val="001312B3"/>
    <w:rsid w:val="00133EE5"/>
    <w:rsid w:val="001459CD"/>
    <w:rsid w:val="0014662A"/>
    <w:rsid w:val="00150198"/>
    <w:rsid w:val="00154219"/>
    <w:rsid w:val="00157D3E"/>
    <w:rsid w:val="00160C3E"/>
    <w:rsid w:val="001636BC"/>
    <w:rsid w:val="00165635"/>
    <w:rsid w:val="001663D5"/>
    <w:rsid w:val="00167A34"/>
    <w:rsid w:val="00170F55"/>
    <w:rsid w:val="0017509E"/>
    <w:rsid w:val="00182D68"/>
    <w:rsid w:val="00183940"/>
    <w:rsid w:val="001855BC"/>
    <w:rsid w:val="00194137"/>
    <w:rsid w:val="0019441F"/>
    <w:rsid w:val="00194966"/>
    <w:rsid w:val="00194E41"/>
    <w:rsid w:val="001957C2"/>
    <w:rsid w:val="001A0205"/>
    <w:rsid w:val="001A2A4F"/>
    <w:rsid w:val="001A48AF"/>
    <w:rsid w:val="001A7870"/>
    <w:rsid w:val="001B2B3B"/>
    <w:rsid w:val="001B39CD"/>
    <w:rsid w:val="001B3A00"/>
    <w:rsid w:val="001C1B41"/>
    <w:rsid w:val="001D0F86"/>
    <w:rsid w:val="001D6480"/>
    <w:rsid w:val="001D65EF"/>
    <w:rsid w:val="001E18F3"/>
    <w:rsid w:val="001E288E"/>
    <w:rsid w:val="001E49E7"/>
    <w:rsid w:val="001E4F43"/>
    <w:rsid w:val="001E7007"/>
    <w:rsid w:val="001E7AE5"/>
    <w:rsid w:val="001F1D4E"/>
    <w:rsid w:val="001F617E"/>
    <w:rsid w:val="001F7201"/>
    <w:rsid w:val="001F7205"/>
    <w:rsid w:val="0020739C"/>
    <w:rsid w:val="00214C8E"/>
    <w:rsid w:val="00217609"/>
    <w:rsid w:val="00217ABD"/>
    <w:rsid w:val="002237A3"/>
    <w:rsid w:val="00223A29"/>
    <w:rsid w:val="002250A3"/>
    <w:rsid w:val="002305A0"/>
    <w:rsid w:val="0023156A"/>
    <w:rsid w:val="002326F4"/>
    <w:rsid w:val="00235217"/>
    <w:rsid w:val="00235831"/>
    <w:rsid w:val="00241213"/>
    <w:rsid w:val="00243088"/>
    <w:rsid w:val="00244F15"/>
    <w:rsid w:val="00246D1F"/>
    <w:rsid w:val="00247403"/>
    <w:rsid w:val="00247542"/>
    <w:rsid w:val="00247FF1"/>
    <w:rsid w:val="00250FF6"/>
    <w:rsid w:val="00251515"/>
    <w:rsid w:val="00252311"/>
    <w:rsid w:val="002525A4"/>
    <w:rsid w:val="002539D0"/>
    <w:rsid w:val="002606B4"/>
    <w:rsid w:val="002628CA"/>
    <w:rsid w:val="00263F26"/>
    <w:rsid w:val="00264598"/>
    <w:rsid w:val="00265053"/>
    <w:rsid w:val="002650B4"/>
    <w:rsid w:val="002663F0"/>
    <w:rsid w:val="00266B61"/>
    <w:rsid w:val="0026712A"/>
    <w:rsid w:val="002704DB"/>
    <w:rsid w:val="00274C9F"/>
    <w:rsid w:val="002757AC"/>
    <w:rsid w:val="0027677E"/>
    <w:rsid w:val="00286CBA"/>
    <w:rsid w:val="0029219C"/>
    <w:rsid w:val="00292320"/>
    <w:rsid w:val="00297DAF"/>
    <w:rsid w:val="002A006A"/>
    <w:rsid w:val="002A0412"/>
    <w:rsid w:val="002A0AAE"/>
    <w:rsid w:val="002A0ED6"/>
    <w:rsid w:val="002A487B"/>
    <w:rsid w:val="002A5820"/>
    <w:rsid w:val="002B0D4C"/>
    <w:rsid w:val="002B34FC"/>
    <w:rsid w:val="002C5C70"/>
    <w:rsid w:val="002D05AE"/>
    <w:rsid w:val="002D1317"/>
    <w:rsid w:val="002D2386"/>
    <w:rsid w:val="002D2B26"/>
    <w:rsid w:val="002D705F"/>
    <w:rsid w:val="002D7067"/>
    <w:rsid w:val="002D7EA2"/>
    <w:rsid w:val="002E176E"/>
    <w:rsid w:val="002E187C"/>
    <w:rsid w:val="002E2C23"/>
    <w:rsid w:val="002E6821"/>
    <w:rsid w:val="002F3317"/>
    <w:rsid w:val="002F4A64"/>
    <w:rsid w:val="002F59FF"/>
    <w:rsid w:val="002F7FB3"/>
    <w:rsid w:val="00302733"/>
    <w:rsid w:val="003044AD"/>
    <w:rsid w:val="003064D2"/>
    <w:rsid w:val="0030749E"/>
    <w:rsid w:val="003105AB"/>
    <w:rsid w:val="003108CE"/>
    <w:rsid w:val="00310F40"/>
    <w:rsid w:val="0031404A"/>
    <w:rsid w:val="00314078"/>
    <w:rsid w:val="00314F49"/>
    <w:rsid w:val="0031535D"/>
    <w:rsid w:val="00317C2C"/>
    <w:rsid w:val="00320BAF"/>
    <w:rsid w:val="003224FD"/>
    <w:rsid w:val="003239B8"/>
    <w:rsid w:val="00324945"/>
    <w:rsid w:val="00324BFE"/>
    <w:rsid w:val="00326152"/>
    <w:rsid w:val="0032693C"/>
    <w:rsid w:val="00327343"/>
    <w:rsid w:val="00327800"/>
    <w:rsid w:val="00330A3A"/>
    <w:rsid w:val="00330FE6"/>
    <w:rsid w:val="0033169F"/>
    <w:rsid w:val="00331B6C"/>
    <w:rsid w:val="00331F24"/>
    <w:rsid w:val="00335DF0"/>
    <w:rsid w:val="0033796A"/>
    <w:rsid w:val="00340DE9"/>
    <w:rsid w:val="00340E76"/>
    <w:rsid w:val="00341E4C"/>
    <w:rsid w:val="00344977"/>
    <w:rsid w:val="003464CB"/>
    <w:rsid w:val="00346C95"/>
    <w:rsid w:val="003544C8"/>
    <w:rsid w:val="0035491C"/>
    <w:rsid w:val="00356185"/>
    <w:rsid w:val="00360380"/>
    <w:rsid w:val="00362474"/>
    <w:rsid w:val="003630B2"/>
    <w:rsid w:val="00367AD5"/>
    <w:rsid w:val="0037126F"/>
    <w:rsid w:val="00372609"/>
    <w:rsid w:val="0037519E"/>
    <w:rsid w:val="00377C2F"/>
    <w:rsid w:val="00380305"/>
    <w:rsid w:val="00382F5A"/>
    <w:rsid w:val="00386CF0"/>
    <w:rsid w:val="0038785F"/>
    <w:rsid w:val="003918FC"/>
    <w:rsid w:val="003927B7"/>
    <w:rsid w:val="00393354"/>
    <w:rsid w:val="00394366"/>
    <w:rsid w:val="0039792A"/>
    <w:rsid w:val="003A164F"/>
    <w:rsid w:val="003A4282"/>
    <w:rsid w:val="003A5F0F"/>
    <w:rsid w:val="003B25DA"/>
    <w:rsid w:val="003B44A6"/>
    <w:rsid w:val="003B605F"/>
    <w:rsid w:val="003B70FB"/>
    <w:rsid w:val="003C1FE1"/>
    <w:rsid w:val="003C28E0"/>
    <w:rsid w:val="003C33E8"/>
    <w:rsid w:val="003C4248"/>
    <w:rsid w:val="003C676B"/>
    <w:rsid w:val="003D08BE"/>
    <w:rsid w:val="003D3BC2"/>
    <w:rsid w:val="003D3F95"/>
    <w:rsid w:val="003D4386"/>
    <w:rsid w:val="003D6337"/>
    <w:rsid w:val="003D7B32"/>
    <w:rsid w:val="003E2C77"/>
    <w:rsid w:val="003E2E8C"/>
    <w:rsid w:val="003E316C"/>
    <w:rsid w:val="003E574E"/>
    <w:rsid w:val="003E67B1"/>
    <w:rsid w:val="003E6CA1"/>
    <w:rsid w:val="003F7B78"/>
    <w:rsid w:val="00400A6E"/>
    <w:rsid w:val="004021A8"/>
    <w:rsid w:val="0040269D"/>
    <w:rsid w:val="004065A8"/>
    <w:rsid w:val="004101C0"/>
    <w:rsid w:val="004107DB"/>
    <w:rsid w:val="0041262A"/>
    <w:rsid w:val="00413C74"/>
    <w:rsid w:val="00416500"/>
    <w:rsid w:val="004165C2"/>
    <w:rsid w:val="0042347A"/>
    <w:rsid w:val="004243A6"/>
    <w:rsid w:val="0043000E"/>
    <w:rsid w:val="00434950"/>
    <w:rsid w:val="00435A0B"/>
    <w:rsid w:val="00440AD4"/>
    <w:rsid w:val="00441ECB"/>
    <w:rsid w:val="00443D38"/>
    <w:rsid w:val="00445193"/>
    <w:rsid w:val="00445BF2"/>
    <w:rsid w:val="00460178"/>
    <w:rsid w:val="004624E3"/>
    <w:rsid w:val="00462C1B"/>
    <w:rsid w:val="00464182"/>
    <w:rsid w:val="00464902"/>
    <w:rsid w:val="004671AC"/>
    <w:rsid w:val="00467669"/>
    <w:rsid w:val="00467B7E"/>
    <w:rsid w:val="0047091F"/>
    <w:rsid w:val="00473BB4"/>
    <w:rsid w:val="00474519"/>
    <w:rsid w:val="004753A1"/>
    <w:rsid w:val="0047596F"/>
    <w:rsid w:val="00476DDD"/>
    <w:rsid w:val="00477592"/>
    <w:rsid w:val="00477BFF"/>
    <w:rsid w:val="00481B0B"/>
    <w:rsid w:val="00482135"/>
    <w:rsid w:val="00484E6F"/>
    <w:rsid w:val="00485FDA"/>
    <w:rsid w:val="00486E3D"/>
    <w:rsid w:val="00486F1C"/>
    <w:rsid w:val="00490720"/>
    <w:rsid w:val="0049376D"/>
    <w:rsid w:val="0049419D"/>
    <w:rsid w:val="004957AE"/>
    <w:rsid w:val="00495AE3"/>
    <w:rsid w:val="004A010C"/>
    <w:rsid w:val="004A042D"/>
    <w:rsid w:val="004A36F9"/>
    <w:rsid w:val="004A6A54"/>
    <w:rsid w:val="004B0609"/>
    <w:rsid w:val="004B1C50"/>
    <w:rsid w:val="004B3EC5"/>
    <w:rsid w:val="004B4014"/>
    <w:rsid w:val="004B486B"/>
    <w:rsid w:val="004B690B"/>
    <w:rsid w:val="004C20D2"/>
    <w:rsid w:val="004C2312"/>
    <w:rsid w:val="004C4B62"/>
    <w:rsid w:val="004C54C9"/>
    <w:rsid w:val="004C5DF6"/>
    <w:rsid w:val="004D0220"/>
    <w:rsid w:val="004D13C0"/>
    <w:rsid w:val="004D4ABA"/>
    <w:rsid w:val="004D6025"/>
    <w:rsid w:val="004E2649"/>
    <w:rsid w:val="004E4860"/>
    <w:rsid w:val="004E58FA"/>
    <w:rsid w:val="004E5FD0"/>
    <w:rsid w:val="004E6324"/>
    <w:rsid w:val="004E6F6E"/>
    <w:rsid w:val="00500513"/>
    <w:rsid w:val="00501399"/>
    <w:rsid w:val="005041F0"/>
    <w:rsid w:val="00504423"/>
    <w:rsid w:val="0050633D"/>
    <w:rsid w:val="00506D42"/>
    <w:rsid w:val="00507736"/>
    <w:rsid w:val="00507BC4"/>
    <w:rsid w:val="0051165D"/>
    <w:rsid w:val="0051234B"/>
    <w:rsid w:val="005128E4"/>
    <w:rsid w:val="005133DB"/>
    <w:rsid w:val="00515BE9"/>
    <w:rsid w:val="005164D7"/>
    <w:rsid w:val="00523E1E"/>
    <w:rsid w:val="00525560"/>
    <w:rsid w:val="005319F0"/>
    <w:rsid w:val="00531EA4"/>
    <w:rsid w:val="005361AA"/>
    <w:rsid w:val="00537CB9"/>
    <w:rsid w:val="00540516"/>
    <w:rsid w:val="0054479E"/>
    <w:rsid w:val="00544C49"/>
    <w:rsid w:val="00545BF4"/>
    <w:rsid w:val="005516A1"/>
    <w:rsid w:val="005565EE"/>
    <w:rsid w:val="00562604"/>
    <w:rsid w:val="00563557"/>
    <w:rsid w:val="005657B4"/>
    <w:rsid w:val="00565AD2"/>
    <w:rsid w:val="0056696E"/>
    <w:rsid w:val="0056709D"/>
    <w:rsid w:val="0056742C"/>
    <w:rsid w:val="00567647"/>
    <w:rsid w:val="005709DD"/>
    <w:rsid w:val="0057402A"/>
    <w:rsid w:val="00574152"/>
    <w:rsid w:val="00576D2F"/>
    <w:rsid w:val="005771D0"/>
    <w:rsid w:val="005805F1"/>
    <w:rsid w:val="00580A2F"/>
    <w:rsid w:val="00584804"/>
    <w:rsid w:val="00585AB4"/>
    <w:rsid w:val="00586E66"/>
    <w:rsid w:val="00590FC0"/>
    <w:rsid w:val="0059118B"/>
    <w:rsid w:val="0059191A"/>
    <w:rsid w:val="005921FF"/>
    <w:rsid w:val="00594BA8"/>
    <w:rsid w:val="00594DDC"/>
    <w:rsid w:val="00594F97"/>
    <w:rsid w:val="00595AA7"/>
    <w:rsid w:val="005A0490"/>
    <w:rsid w:val="005A1C40"/>
    <w:rsid w:val="005A24ED"/>
    <w:rsid w:val="005A6D0E"/>
    <w:rsid w:val="005B1157"/>
    <w:rsid w:val="005B363A"/>
    <w:rsid w:val="005B52B0"/>
    <w:rsid w:val="005B6806"/>
    <w:rsid w:val="005C06A1"/>
    <w:rsid w:val="005C2631"/>
    <w:rsid w:val="005C4225"/>
    <w:rsid w:val="005C5210"/>
    <w:rsid w:val="005C6368"/>
    <w:rsid w:val="005C7CB7"/>
    <w:rsid w:val="005D138F"/>
    <w:rsid w:val="005D17CD"/>
    <w:rsid w:val="005D2FD2"/>
    <w:rsid w:val="005D3C2A"/>
    <w:rsid w:val="005D44A4"/>
    <w:rsid w:val="005D5293"/>
    <w:rsid w:val="005D691B"/>
    <w:rsid w:val="005D78BD"/>
    <w:rsid w:val="005E1437"/>
    <w:rsid w:val="005E1864"/>
    <w:rsid w:val="005E340B"/>
    <w:rsid w:val="005E354D"/>
    <w:rsid w:val="005F0DAD"/>
    <w:rsid w:val="005F0F33"/>
    <w:rsid w:val="005F48BD"/>
    <w:rsid w:val="005F5C4E"/>
    <w:rsid w:val="005F67D7"/>
    <w:rsid w:val="005F7072"/>
    <w:rsid w:val="00600DEB"/>
    <w:rsid w:val="0060494A"/>
    <w:rsid w:val="00610DC1"/>
    <w:rsid w:val="0061141A"/>
    <w:rsid w:val="00613AB9"/>
    <w:rsid w:val="006142AD"/>
    <w:rsid w:val="00616F7F"/>
    <w:rsid w:val="0062232D"/>
    <w:rsid w:val="00622646"/>
    <w:rsid w:val="00622C9E"/>
    <w:rsid w:val="00627A78"/>
    <w:rsid w:val="00627C9F"/>
    <w:rsid w:val="006311E9"/>
    <w:rsid w:val="00632354"/>
    <w:rsid w:val="00632AB7"/>
    <w:rsid w:val="00634F49"/>
    <w:rsid w:val="00636E8C"/>
    <w:rsid w:val="0063745D"/>
    <w:rsid w:val="00642810"/>
    <w:rsid w:val="006445BB"/>
    <w:rsid w:val="00652333"/>
    <w:rsid w:val="00652F72"/>
    <w:rsid w:val="00653815"/>
    <w:rsid w:val="0066097D"/>
    <w:rsid w:val="00661AB0"/>
    <w:rsid w:val="00663042"/>
    <w:rsid w:val="00663CF1"/>
    <w:rsid w:val="0066423F"/>
    <w:rsid w:val="006744A2"/>
    <w:rsid w:val="00675980"/>
    <w:rsid w:val="00676CDC"/>
    <w:rsid w:val="0068009E"/>
    <w:rsid w:val="00683BF6"/>
    <w:rsid w:val="006847A0"/>
    <w:rsid w:val="00685197"/>
    <w:rsid w:val="00686C86"/>
    <w:rsid w:val="00690A3E"/>
    <w:rsid w:val="00692219"/>
    <w:rsid w:val="00692D9C"/>
    <w:rsid w:val="00697A41"/>
    <w:rsid w:val="006A0E01"/>
    <w:rsid w:val="006A17D2"/>
    <w:rsid w:val="006A1D22"/>
    <w:rsid w:val="006A6CC5"/>
    <w:rsid w:val="006A73E6"/>
    <w:rsid w:val="006B04CF"/>
    <w:rsid w:val="006B2D5C"/>
    <w:rsid w:val="006B2ED6"/>
    <w:rsid w:val="006B37A7"/>
    <w:rsid w:val="006B4302"/>
    <w:rsid w:val="006B4CA4"/>
    <w:rsid w:val="006B5070"/>
    <w:rsid w:val="006C4EB1"/>
    <w:rsid w:val="006C65C8"/>
    <w:rsid w:val="006D1319"/>
    <w:rsid w:val="006D290B"/>
    <w:rsid w:val="006D301A"/>
    <w:rsid w:val="006D52DE"/>
    <w:rsid w:val="006D5BCC"/>
    <w:rsid w:val="006D7DCA"/>
    <w:rsid w:val="006E0166"/>
    <w:rsid w:val="006E7B34"/>
    <w:rsid w:val="006F3E3C"/>
    <w:rsid w:val="006F6D98"/>
    <w:rsid w:val="00701ECC"/>
    <w:rsid w:val="0070281D"/>
    <w:rsid w:val="00702C2A"/>
    <w:rsid w:val="0070516A"/>
    <w:rsid w:val="0070697F"/>
    <w:rsid w:val="0070729D"/>
    <w:rsid w:val="00707CCE"/>
    <w:rsid w:val="007120B9"/>
    <w:rsid w:val="00714214"/>
    <w:rsid w:val="00717E92"/>
    <w:rsid w:val="0072199C"/>
    <w:rsid w:val="00721B05"/>
    <w:rsid w:val="00722C9F"/>
    <w:rsid w:val="007253B8"/>
    <w:rsid w:val="00726BF5"/>
    <w:rsid w:val="007316CA"/>
    <w:rsid w:val="00732B12"/>
    <w:rsid w:val="00733821"/>
    <w:rsid w:val="007341C6"/>
    <w:rsid w:val="00735941"/>
    <w:rsid w:val="0073741F"/>
    <w:rsid w:val="00737546"/>
    <w:rsid w:val="0074438D"/>
    <w:rsid w:val="00746542"/>
    <w:rsid w:val="00747527"/>
    <w:rsid w:val="00747A7A"/>
    <w:rsid w:val="00751A70"/>
    <w:rsid w:val="00752382"/>
    <w:rsid w:val="00755AAF"/>
    <w:rsid w:val="007659A5"/>
    <w:rsid w:val="0076643F"/>
    <w:rsid w:val="00772356"/>
    <w:rsid w:val="0077431D"/>
    <w:rsid w:val="007763A0"/>
    <w:rsid w:val="0077789E"/>
    <w:rsid w:val="00777F63"/>
    <w:rsid w:val="00786748"/>
    <w:rsid w:val="00786B43"/>
    <w:rsid w:val="0079078B"/>
    <w:rsid w:val="0079170A"/>
    <w:rsid w:val="00791A67"/>
    <w:rsid w:val="0079314A"/>
    <w:rsid w:val="0079622B"/>
    <w:rsid w:val="007A4A52"/>
    <w:rsid w:val="007A5817"/>
    <w:rsid w:val="007B05C4"/>
    <w:rsid w:val="007B23FD"/>
    <w:rsid w:val="007B60E9"/>
    <w:rsid w:val="007B6CC3"/>
    <w:rsid w:val="007B76D3"/>
    <w:rsid w:val="007C1F89"/>
    <w:rsid w:val="007C2251"/>
    <w:rsid w:val="007C2F56"/>
    <w:rsid w:val="007C3334"/>
    <w:rsid w:val="007C5CB4"/>
    <w:rsid w:val="007C7A43"/>
    <w:rsid w:val="007D00EA"/>
    <w:rsid w:val="007D2B98"/>
    <w:rsid w:val="007D4D25"/>
    <w:rsid w:val="007D5183"/>
    <w:rsid w:val="007E21BC"/>
    <w:rsid w:val="007E30B5"/>
    <w:rsid w:val="007E4794"/>
    <w:rsid w:val="007E542C"/>
    <w:rsid w:val="007E5897"/>
    <w:rsid w:val="007E7C82"/>
    <w:rsid w:val="007F588D"/>
    <w:rsid w:val="007F5C93"/>
    <w:rsid w:val="007F6068"/>
    <w:rsid w:val="007F752F"/>
    <w:rsid w:val="00803F1C"/>
    <w:rsid w:val="00804F57"/>
    <w:rsid w:val="00805E0F"/>
    <w:rsid w:val="0080600E"/>
    <w:rsid w:val="0080771D"/>
    <w:rsid w:val="0080780D"/>
    <w:rsid w:val="008079C4"/>
    <w:rsid w:val="00813D3A"/>
    <w:rsid w:val="0081489F"/>
    <w:rsid w:val="0081645A"/>
    <w:rsid w:val="00817612"/>
    <w:rsid w:val="00817D25"/>
    <w:rsid w:val="00827259"/>
    <w:rsid w:val="00830045"/>
    <w:rsid w:val="0083258B"/>
    <w:rsid w:val="008338A4"/>
    <w:rsid w:val="00834D49"/>
    <w:rsid w:val="00837C45"/>
    <w:rsid w:val="00843BF8"/>
    <w:rsid w:val="00844730"/>
    <w:rsid w:val="008457C2"/>
    <w:rsid w:val="008470D4"/>
    <w:rsid w:val="00855646"/>
    <w:rsid w:val="00857A82"/>
    <w:rsid w:val="00860453"/>
    <w:rsid w:val="00861C0B"/>
    <w:rsid w:val="00864EE2"/>
    <w:rsid w:val="0086688F"/>
    <w:rsid w:val="008719A4"/>
    <w:rsid w:val="00873836"/>
    <w:rsid w:val="00881173"/>
    <w:rsid w:val="008817A3"/>
    <w:rsid w:val="00882753"/>
    <w:rsid w:val="00884112"/>
    <w:rsid w:val="00885737"/>
    <w:rsid w:val="008860A1"/>
    <w:rsid w:val="00887A99"/>
    <w:rsid w:val="00890650"/>
    <w:rsid w:val="00891071"/>
    <w:rsid w:val="00894BB5"/>
    <w:rsid w:val="00896237"/>
    <w:rsid w:val="00897E12"/>
    <w:rsid w:val="008A0BCB"/>
    <w:rsid w:val="008A148B"/>
    <w:rsid w:val="008A259E"/>
    <w:rsid w:val="008A7B0A"/>
    <w:rsid w:val="008A7E0F"/>
    <w:rsid w:val="008B020B"/>
    <w:rsid w:val="008B12F5"/>
    <w:rsid w:val="008B1FF6"/>
    <w:rsid w:val="008B4B89"/>
    <w:rsid w:val="008B7A8B"/>
    <w:rsid w:val="008C0BBD"/>
    <w:rsid w:val="008C30CA"/>
    <w:rsid w:val="008C612B"/>
    <w:rsid w:val="008C7019"/>
    <w:rsid w:val="008D059E"/>
    <w:rsid w:val="008D0D46"/>
    <w:rsid w:val="008D5BA9"/>
    <w:rsid w:val="008D768D"/>
    <w:rsid w:val="008E3759"/>
    <w:rsid w:val="008E3BFE"/>
    <w:rsid w:val="008E6477"/>
    <w:rsid w:val="008E6CBA"/>
    <w:rsid w:val="008E71A3"/>
    <w:rsid w:val="008F1912"/>
    <w:rsid w:val="008F1B70"/>
    <w:rsid w:val="008F6014"/>
    <w:rsid w:val="008F61FC"/>
    <w:rsid w:val="0090270B"/>
    <w:rsid w:val="00903223"/>
    <w:rsid w:val="009041DC"/>
    <w:rsid w:val="00911FCC"/>
    <w:rsid w:val="00915FB9"/>
    <w:rsid w:val="0091653F"/>
    <w:rsid w:val="009176B2"/>
    <w:rsid w:val="00917B5A"/>
    <w:rsid w:val="00917EDD"/>
    <w:rsid w:val="009200C1"/>
    <w:rsid w:val="00920A58"/>
    <w:rsid w:val="00920A8C"/>
    <w:rsid w:val="00920F19"/>
    <w:rsid w:val="009221C8"/>
    <w:rsid w:val="0092393D"/>
    <w:rsid w:val="0092492A"/>
    <w:rsid w:val="0093174A"/>
    <w:rsid w:val="00931A13"/>
    <w:rsid w:val="0093214C"/>
    <w:rsid w:val="00934A2C"/>
    <w:rsid w:val="00936A10"/>
    <w:rsid w:val="00936C93"/>
    <w:rsid w:val="0093768F"/>
    <w:rsid w:val="009419DA"/>
    <w:rsid w:val="00941ED9"/>
    <w:rsid w:val="00941F8A"/>
    <w:rsid w:val="00944584"/>
    <w:rsid w:val="00944CA1"/>
    <w:rsid w:val="00945B83"/>
    <w:rsid w:val="00950278"/>
    <w:rsid w:val="00950367"/>
    <w:rsid w:val="009508DC"/>
    <w:rsid w:val="0095432A"/>
    <w:rsid w:val="00960D5D"/>
    <w:rsid w:val="00961A17"/>
    <w:rsid w:val="00962228"/>
    <w:rsid w:val="00963A6D"/>
    <w:rsid w:val="00964378"/>
    <w:rsid w:val="00967052"/>
    <w:rsid w:val="0096706E"/>
    <w:rsid w:val="00972961"/>
    <w:rsid w:val="009736A7"/>
    <w:rsid w:val="00974491"/>
    <w:rsid w:val="00975C4E"/>
    <w:rsid w:val="00981FBA"/>
    <w:rsid w:val="0098227E"/>
    <w:rsid w:val="00982FF6"/>
    <w:rsid w:val="009834C5"/>
    <w:rsid w:val="00983840"/>
    <w:rsid w:val="00983897"/>
    <w:rsid w:val="00994CDE"/>
    <w:rsid w:val="00997BC5"/>
    <w:rsid w:val="009A195E"/>
    <w:rsid w:val="009A4950"/>
    <w:rsid w:val="009A4F41"/>
    <w:rsid w:val="009A6A07"/>
    <w:rsid w:val="009B0E9F"/>
    <w:rsid w:val="009B256F"/>
    <w:rsid w:val="009B381B"/>
    <w:rsid w:val="009B4F2D"/>
    <w:rsid w:val="009B5F75"/>
    <w:rsid w:val="009B6D23"/>
    <w:rsid w:val="009C0828"/>
    <w:rsid w:val="009C1C7A"/>
    <w:rsid w:val="009C1CB2"/>
    <w:rsid w:val="009C47AC"/>
    <w:rsid w:val="009D15DD"/>
    <w:rsid w:val="009D1753"/>
    <w:rsid w:val="009D70D5"/>
    <w:rsid w:val="009D7611"/>
    <w:rsid w:val="009E0A3B"/>
    <w:rsid w:val="009E0B61"/>
    <w:rsid w:val="009E0B75"/>
    <w:rsid w:val="009E268E"/>
    <w:rsid w:val="009E53DE"/>
    <w:rsid w:val="009F054B"/>
    <w:rsid w:val="009F0A2B"/>
    <w:rsid w:val="009F2CFB"/>
    <w:rsid w:val="009F3E6E"/>
    <w:rsid w:val="009F5A1B"/>
    <w:rsid w:val="00A048A6"/>
    <w:rsid w:val="00A05284"/>
    <w:rsid w:val="00A063D3"/>
    <w:rsid w:val="00A07A47"/>
    <w:rsid w:val="00A1093A"/>
    <w:rsid w:val="00A11212"/>
    <w:rsid w:val="00A11E44"/>
    <w:rsid w:val="00A12B13"/>
    <w:rsid w:val="00A12E5C"/>
    <w:rsid w:val="00A1477C"/>
    <w:rsid w:val="00A163DB"/>
    <w:rsid w:val="00A17FC3"/>
    <w:rsid w:val="00A23047"/>
    <w:rsid w:val="00A2666B"/>
    <w:rsid w:val="00A26758"/>
    <w:rsid w:val="00A30312"/>
    <w:rsid w:val="00A328B3"/>
    <w:rsid w:val="00A336F6"/>
    <w:rsid w:val="00A367FB"/>
    <w:rsid w:val="00A36903"/>
    <w:rsid w:val="00A36EB9"/>
    <w:rsid w:val="00A377BE"/>
    <w:rsid w:val="00A44E1C"/>
    <w:rsid w:val="00A465CE"/>
    <w:rsid w:val="00A46FCF"/>
    <w:rsid w:val="00A50FCF"/>
    <w:rsid w:val="00A5267B"/>
    <w:rsid w:val="00A528D1"/>
    <w:rsid w:val="00A53CBB"/>
    <w:rsid w:val="00A54832"/>
    <w:rsid w:val="00A553BF"/>
    <w:rsid w:val="00A56A1B"/>
    <w:rsid w:val="00A5718A"/>
    <w:rsid w:val="00A57903"/>
    <w:rsid w:val="00A610CD"/>
    <w:rsid w:val="00A63834"/>
    <w:rsid w:val="00A65D6B"/>
    <w:rsid w:val="00A708C7"/>
    <w:rsid w:val="00A747B8"/>
    <w:rsid w:val="00A758AA"/>
    <w:rsid w:val="00A81D0A"/>
    <w:rsid w:val="00A82661"/>
    <w:rsid w:val="00A87D98"/>
    <w:rsid w:val="00A914CB"/>
    <w:rsid w:val="00A92F82"/>
    <w:rsid w:val="00A95938"/>
    <w:rsid w:val="00AA09A2"/>
    <w:rsid w:val="00AA1B57"/>
    <w:rsid w:val="00AA22C6"/>
    <w:rsid w:val="00AA4820"/>
    <w:rsid w:val="00AA7996"/>
    <w:rsid w:val="00AC0993"/>
    <w:rsid w:val="00AC19CB"/>
    <w:rsid w:val="00AC662E"/>
    <w:rsid w:val="00AC70D2"/>
    <w:rsid w:val="00AC770C"/>
    <w:rsid w:val="00AD0378"/>
    <w:rsid w:val="00AD5B88"/>
    <w:rsid w:val="00AD6C14"/>
    <w:rsid w:val="00AD7BEE"/>
    <w:rsid w:val="00AE189B"/>
    <w:rsid w:val="00AE5488"/>
    <w:rsid w:val="00AE57B0"/>
    <w:rsid w:val="00AE6F91"/>
    <w:rsid w:val="00AF3E2E"/>
    <w:rsid w:val="00AF5571"/>
    <w:rsid w:val="00AF6CB6"/>
    <w:rsid w:val="00AF7412"/>
    <w:rsid w:val="00AF78EE"/>
    <w:rsid w:val="00B02CB3"/>
    <w:rsid w:val="00B06BED"/>
    <w:rsid w:val="00B07341"/>
    <w:rsid w:val="00B1291F"/>
    <w:rsid w:val="00B15F9D"/>
    <w:rsid w:val="00B165A7"/>
    <w:rsid w:val="00B206BC"/>
    <w:rsid w:val="00B254BC"/>
    <w:rsid w:val="00B26E4F"/>
    <w:rsid w:val="00B30539"/>
    <w:rsid w:val="00B314DB"/>
    <w:rsid w:val="00B361F2"/>
    <w:rsid w:val="00B36585"/>
    <w:rsid w:val="00B3690B"/>
    <w:rsid w:val="00B3718B"/>
    <w:rsid w:val="00B45FFA"/>
    <w:rsid w:val="00B4632A"/>
    <w:rsid w:val="00B50614"/>
    <w:rsid w:val="00B530F1"/>
    <w:rsid w:val="00B53E9C"/>
    <w:rsid w:val="00B54B5D"/>
    <w:rsid w:val="00B557A3"/>
    <w:rsid w:val="00B56F76"/>
    <w:rsid w:val="00B5717E"/>
    <w:rsid w:val="00B62FFF"/>
    <w:rsid w:val="00B671C2"/>
    <w:rsid w:val="00B76FA0"/>
    <w:rsid w:val="00B84B70"/>
    <w:rsid w:val="00B85F68"/>
    <w:rsid w:val="00B91DFF"/>
    <w:rsid w:val="00B94943"/>
    <w:rsid w:val="00BA276C"/>
    <w:rsid w:val="00BB1C3B"/>
    <w:rsid w:val="00BB2390"/>
    <w:rsid w:val="00BB306F"/>
    <w:rsid w:val="00BB483C"/>
    <w:rsid w:val="00BC07EE"/>
    <w:rsid w:val="00BC4F75"/>
    <w:rsid w:val="00BC7B03"/>
    <w:rsid w:val="00BC7BC0"/>
    <w:rsid w:val="00BD0888"/>
    <w:rsid w:val="00BD0EB7"/>
    <w:rsid w:val="00BD15F8"/>
    <w:rsid w:val="00BD2AA2"/>
    <w:rsid w:val="00BD2D09"/>
    <w:rsid w:val="00BD4B89"/>
    <w:rsid w:val="00BD5922"/>
    <w:rsid w:val="00BD76AB"/>
    <w:rsid w:val="00BE0104"/>
    <w:rsid w:val="00BE2FE9"/>
    <w:rsid w:val="00BE3DB3"/>
    <w:rsid w:val="00BE5199"/>
    <w:rsid w:val="00BE75AD"/>
    <w:rsid w:val="00BE7975"/>
    <w:rsid w:val="00BE7A67"/>
    <w:rsid w:val="00BF02CB"/>
    <w:rsid w:val="00BF0B17"/>
    <w:rsid w:val="00BF22CE"/>
    <w:rsid w:val="00BF2FE7"/>
    <w:rsid w:val="00BF6FD8"/>
    <w:rsid w:val="00BF7730"/>
    <w:rsid w:val="00C018AE"/>
    <w:rsid w:val="00C03680"/>
    <w:rsid w:val="00C054DF"/>
    <w:rsid w:val="00C0562F"/>
    <w:rsid w:val="00C07905"/>
    <w:rsid w:val="00C12E9F"/>
    <w:rsid w:val="00C1509F"/>
    <w:rsid w:val="00C21237"/>
    <w:rsid w:val="00C21548"/>
    <w:rsid w:val="00C215A8"/>
    <w:rsid w:val="00C21762"/>
    <w:rsid w:val="00C21C8D"/>
    <w:rsid w:val="00C21FEF"/>
    <w:rsid w:val="00C24543"/>
    <w:rsid w:val="00C256A2"/>
    <w:rsid w:val="00C26FB4"/>
    <w:rsid w:val="00C27BAB"/>
    <w:rsid w:val="00C35C62"/>
    <w:rsid w:val="00C433B2"/>
    <w:rsid w:val="00C442CA"/>
    <w:rsid w:val="00C4461A"/>
    <w:rsid w:val="00C45206"/>
    <w:rsid w:val="00C45E32"/>
    <w:rsid w:val="00C45E6E"/>
    <w:rsid w:val="00C50C76"/>
    <w:rsid w:val="00C51270"/>
    <w:rsid w:val="00C51515"/>
    <w:rsid w:val="00C5571E"/>
    <w:rsid w:val="00C5660B"/>
    <w:rsid w:val="00C575B0"/>
    <w:rsid w:val="00C61419"/>
    <w:rsid w:val="00C63BFC"/>
    <w:rsid w:val="00C66B72"/>
    <w:rsid w:val="00C67626"/>
    <w:rsid w:val="00C7017B"/>
    <w:rsid w:val="00C715C5"/>
    <w:rsid w:val="00C73AA0"/>
    <w:rsid w:val="00C740C3"/>
    <w:rsid w:val="00C777E6"/>
    <w:rsid w:val="00C85647"/>
    <w:rsid w:val="00C87AC4"/>
    <w:rsid w:val="00C90F40"/>
    <w:rsid w:val="00C9567A"/>
    <w:rsid w:val="00C96B19"/>
    <w:rsid w:val="00CA29F7"/>
    <w:rsid w:val="00CA5224"/>
    <w:rsid w:val="00CB1A99"/>
    <w:rsid w:val="00CB212D"/>
    <w:rsid w:val="00CB2637"/>
    <w:rsid w:val="00CB2660"/>
    <w:rsid w:val="00CB674F"/>
    <w:rsid w:val="00CC014A"/>
    <w:rsid w:val="00CC1B80"/>
    <w:rsid w:val="00CC26F4"/>
    <w:rsid w:val="00CC5E90"/>
    <w:rsid w:val="00CD046C"/>
    <w:rsid w:val="00CD10BD"/>
    <w:rsid w:val="00CD1B2D"/>
    <w:rsid w:val="00CD2992"/>
    <w:rsid w:val="00CD4B42"/>
    <w:rsid w:val="00CD5777"/>
    <w:rsid w:val="00CE076C"/>
    <w:rsid w:val="00CE2A23"/>
    <w:rsid w:val="00CE5199"/>
    <w:rsid w:val="00CE66D5"/>
    <w:rsid w:val="00CF07A4"/>
    <w:rsid w:val="00CF090D"/>
    <w:rsid w:val="00CF38D1"/>
    <w:rsid w:val="00CF3D59"/>
    <w:rsid w:val="00CF637A"/>
    <w:rsid w:val="00CF7676"/>
    <w:rsid w:val="00D0151B"/>
    <w:rsid w:val="00D01B47"/>
    <w:rsid w:val="00D04094"/>
    <w:rsid w:val="00D059DE"/>
    <w:rsid w:val="00D05ABD"/>
    <w:rsid w:val="00D12D50"/>
    <w:rsid w:val="00D13434"/>
    <w:rsid w:val="00D13FCE"/>
    <w:rsid w:val="00D149E4"/>
    <w:rsid w:val="00D15E4C"/>
    <w:rsid w:val="00D20380"/>
    <w:rsid w:val="00D232C4"/>
    <w:rsid w:val="00D25B27"/>
    <w:rsid w:val="00D26FB9"/>
    <w:rsid w:val="00D306D1"/>
    <w:rsid w:val="00D30800"/>
    <w:rsid w:val="00D31DF8"/>
    <w:rsid w:val="00D33C74"/>
    <w:rsid w:val="00D34786"/>
    <w:rsid w:val="00D37BFC"/>
    <w:rsid w:val="00D37EF9"/>
    <w:rsid w:val="00D418CE"/>
    <w:rsid w:val="00D476B4"/>
    <w:rsid w:val="00D47A8E"/>
    <w:rsid w:val="00D50C2E"/>
    <w:rsid w:val="00D524BA"/>
    <w:rsid w:val="00D52D14"/>
    <w:rsid w:val="00D53471"/>
    <w:rsid w:val="00D53472"/>
    <w:rsid w:val="00D557E9"/>
    <w:rsid w:val="00D600A8"/>
    <w:rsid w:val="00D60739"/>
    <w:rsid w:val="00D61ED3"/>
    <w:rsid w:val="00D63BC0"/>
    <w:rsid w:val="00D649BB"/>
    <w:rsid w:val="00D662DF"/>
    <w:rsid w:val="00D66A61"/>
    <w:rsid w:val="00D712D3"/>
    <w:rsid w:val="00D71422"/>
    <w:rsid w:val="00D72DC6"/>
    <w:rsid w:val="00D73031"/>
    <w:rsid w:val="00D7558D"/>
    <w:rsid w:val="00D81D92"/>
    <w:rsid w:val="00D81F54"/>
    <w:rsid w:val="00D82120"/>
    <w:rsid w:val="00D82C20"/>
    <w:rsid w:val="00D876F9"/>
    <w:rsid w:val="00D90F52"/>
    <w:rsid w:val="00D94C30"/>
    <w:rsid w:val="00D951AE"/>
    <w:rsid w:val="00D9624D"/>
    <w:rsid w:val="00DA20CF"/>
    <w:rsid w:val="00DA3A56"/>
    <w:rsid w:val="00DA7B5F"/>
    <w:rsid w:val="00DB0C6C"/>
    <w:rsid w:val="00DB2C0A"/>
    <w:rsid w:val="00DC11E7"/>
    <w:rsid w:val="00DC143C"/>
    <w:rsid w:val="00DC1A87"/>
    <w:rsid w:val="00DC506A"/>
    <w:rsid w:val="00DC6DD7"/>
    <w:rsid w:val="00DC7023"/>
    <w:rsid w:val="00DC769A"/>
    <w:rsid w:val="00DC77E3"/>
    <w:rsid w:val="00DC7F40"/>
    <w:rsid w:val="00DD0C22"/>
    <w:rsid w:val="00DD3D01"/>
    <w:rsid w:val="00DD3D86"/>
    <w:rsid w:val="00DD45C1"/>
    <w:rsid w:val="00DD4AD2"/>
    <w:rsid w:val="00DD60DD"/>
    <w:rsid w:val="00DD6275"/>
    <w:rsid w:val="00DD63F1"/>
    <w:rsid w:val="00DD7C0F"/>
    <w:rsid w:val="00DE2722"/>
    <w:rsid w:val="00DF1EC4"/>
    <w:rsid w:val="00DF66FA"/>
    <w:rsid w:val="00E02FF3"/>
    <w:rsid w:val="00E0340B"/>
    <w:rsid w:val="00E03D35"/>
    <w:rsid w:val="00E04A90"/>
    <w:rsid w:val="00E0551F"/>
    <w:rsid w:val="00E074BE"/>
    <w:rsid w:val="00E11636"/>
    <w:rsid w:val="00E12054"/>
    <w:rsid w:val="00E175B5"/>
    <w:rsid w:val="00E219C7"/>
    <w:rsid w:val="00E264EF"/>
    <w:rsid w:val="00E27166"/>
    <w:rsid w:val="00E279EF"/>
    <w:rsid w:val="00E323DD"/>
    <w:rsid w:val="00E3392E"/>
    <w:rsid w:val="00E33AFA"/>
    <w:rsid w:val="00E36A0B"/>
    <w:rsid w:val="00E4118C"/>
    <w:rsid w:val="00E415A7"/>
    <w:rsid w:val="00E42B42"/>
    <w:rsid w:val="00E43157"/>
    <w:rsid w:val="00E461CE"/>
    <w:rsid w:val="00E4779B"/>
    <w:rsid w:val="00E50859"/>
    <w:rsid w:val="00E52752"/>
    <w:rsid w:val="00E6007D"/>
    <w:rsid w:val="00E71F07"/>
    <w:rsid w:val="00E720CA"/>
    <w:rsid w:val="00E74440"/>
    <w:rsid w:val="00E765BD"/>
    <w:rsid w:val="00E77F60"/>
    <w:rsid w:val="00E8014E"/>
    <w:rsid w:val="00E80F23"/>
    <w:rsid w:val="00E84EB5"/>
    <w:rsid w:val="00E85662"/>
    <w:rsid w:val="00E8789F"/>
    <w:rsid w:val="00E87E18"/>
    <w:rsid w:val="00E87E95"/>
    <w:rsid w:val="00E90740"/>
    <w:rsid w:val="00E913B2"/>
    <w:rsid w:val="00E92D5F"/>
    <w:rsid w:val="00E94D9F"/>
    <w:rsid w:val="00E9612E"/>
    <w:rsid w:val="00E97961"/>
    <w:rsid w:val="00E97B71"/>
    <w:rsid w:val="00EA03E6"/>
    <w:rsid w:val="00EA083C"/>
    <w:rsid w:val="00EA3D34"/>
    <w:rsid w:val="00EA477F"/>
    <w:rsid w:val="00EB07FF"/>
    <w:rsid w:val="00EB0930"/>
    <w:rsid w:val="00EB3BBB"/>
    <w:rsid w:val="00EB4538"/>
    <w:rsid w:val="00EB454D"/>
    <w:rsid w:val="00EC4B6F"/>
    <w:rsid w:val="00EC5FC5"/>
    <w:rsid w:val="00ED090F"/>
    <w:rsid w:val="00ED21AA"/>
    <w:rsid w:val="00ED27F9"/>
    <w:rsid w:val="00ED2F90"/>
    <w:rsid w:val="00ED3C0C"/>
    <w:rsid w:val="00ED4BBD"/>
    <w:rsid w:val="00ED549D"/>
    <w:rsid w:val="00ED76BE"/>
    <w:rsid w:val="00EE00E9"/>
    <w:rsid w:val="00EE3A09"/>
    <w:rsid w:val="00EE750B"/>
    <w:rsid w:val="00EF4B50"/>
    <w:rsid w:val="00EF619B"/>
    <w:rsid w:val="00F00B55"/>
    <w:rsid w:val="00F00D3D"/>
    <w:rsid w:val="00F0155E"/>
    <w:rsid w:val="00F01617"/>
    <w:rsid w:val="00F02AD1"/>
    <w:rsid w:val="00F04797"/>
    <w:rsid w:val="00F04EF3"/>
    <w:rsid w:val="00F05837"/>
    <w:rsid w:val="00F10E95"/>
    <w:rsid w:val="00F1415A"/>
    <w:rsid w:val="00F145DE"/>
    <w:rsid w:val="00F21098"/>
    <w:rsid w:val="00F23211"/>
    <w:rsid w:val="00F253CC"/>
    <w:rsid w:val="00F261B9"/>
    <w:rsid w:val="00F31F1D"/>
    <w:rsid w:val="00F37106"/>
    <w:rsid w:val="00F401E0"/>
    <w:rsid w:val="00F42126"/>
    <w:rsid w:val="00F452AF"/>
    <w:rsid w:val="00F519CF"/>
    <w:rsid w:val="00F522F0"/>
    <w:rsid w:val="00F5473C"/>
    <w:rsid w:val="00F55AA9"/>
    <w:rsid w:val="00F56BA5"/>
    <w:rsid w:val="00F57856"/>
    <w:rsid w:val="00F60E22"/>
    <w:rsid w:val="00F67D93"/>
    <w:rsid w:val="00F70EE0"/>
    <w:rsid w:val="00F71542"/>
    <w:rsid w:val="00F727CE"/>
    <w:rsid w:val="00F7345E"/>
    <w:rsid w:val="00F75ADE"/>
    <w:rsid w:val="00F767A7"/>
    <w:rsid w:val="00F81385"/>
    <w:rsid w:val="00F81395"/>
    <w:rsid w:val="00F813AB"/>
    <w:rsid w:val="00F81BB8"/>
    <w:rsid w:val="00F85338"/>
    <w:rsid w:val="00F85961"/>
    <w:rsid w:val="00F915B2"/>
    <w:rsid w:val="00F917D1"/>
    <w:rsid w:val="00F9466B"/>
    <w:rsid w:val="00F96281"/>
    <w:rsid w:val="00F9653B"/>
    <w:rsid w:val="00F96E59"/>
    <w:rsid w:val="00F97502"/>
    <w:rsid w:val="00FA1E0C"/>
    <w:rsid w:val="00FA5CBE"/>
    <w:rsid w:val="00FB2CC6"/>
    <w:rsid w:val="00FB3B6E"/>
    <w:rsid w:val="00FB3E62"/>
    <w:rsid w:val="00FB62CF"/>
    <w:rsid w:val="00FB6910"/>
    <w:rsid w:val="00FC3D47"/>
    <w:rsid w:val="00FD3C3B"/>
    <w:rsid w:val="00FD5B82"/>
    <w:rsid w:val="00FD5CEF"/>
    <w:rsid w:val="00FE07DD"/>
    <w:rsid w:val="00FE4D3F"/>
    <w:rsid w:val="00FE4F93"/>
    <w:rsid w:val="00FE6744"/>
    <w:rsid w:val="00FE6B45"/>
    <w:rsid w:val="00FE7F99"/>
    <w:rsid w:val="00FF3509"/>
    <w:rsid w:val="00FF55F3"/>
    <w:rsid w:val="00FF5851"/>
    <w:rsid w:val="00FF743F"/>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D0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fr-FR" w:eastAsia="fr-FR"/>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bdr w:val="none" w:sz="0" w:space="0" w:color="auto"/>
      <w:lang w:val="fr-FR" w:eastAsia="fr-FR"/>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37A7"/>
    <w:rPr>
      <w:color w:val="808080"/>
    </w:rPr>
  </w:style>
  <w:style w:type="character" w:styleId="CommentReference">
    <w:name w:val="annotation reference"/>
    <w:basedOn w:val="DefaultParagraphFont"/>
    <w:uiPriority w:val="99"/>
    <w:semiHidden/>
    <w:unhideWhenUsed/>
    <w:rsid w:val="00931A13"/>
    <w:rPr>
      <w:sz w:val="16"/>
      <w:szCs w:val="16"/>
    </w:rPr>
  </w:style>
  <w:style w:type="paragraph" w:styleId="CommentText">
    <w:name w:val="annotation text"/>
    <w:basedOn w:val="Normal"/>
    <w:link w:val="CommentTextChar"/>
    <w:uiPriority w:val="99"/>
    <w:unhideWhenUsed/>
    <w:rsid w:val="00931A13"/>
    <w:rPr>
      <w:sz w:val="20"/>
      <w:szCs w:val="20"/>
    </w:rPr>
  </w:style>
  <w:style w:type="character" w:customStyle="1" w:styleId="CommentTextChar">
    <w:name w:val="Comment Text Char"/>
    <w:basedOn w:val="DefaultParagraphFont"/>
    <w:link w:val="CommentText"/>
    <w:uiPriority w:val="99"/>
    <w:rsid w:val="00931A13"/>
    <w:rPr>
      <w:lang w:val="en-US" w:eastAsia="en-US"/>
    </w:rPr>
  </w:style>
  <w:style w:type="paragraph" w:styleId="CommentSubject">
    <w:name w:val="annotation subject"/>
    <w:basedOn w:val="CommentText"/>
    <w:next w:val="CommentText"/>
    <w:link w:val="CommentSubjectChar"/>
    <w:uiPriority w:val="99"/>
    <w:semiHidden/>
    <w:unhideWhenUsed/>
    <w:rsid w:val="00931A13"/>
    <w:rPr>
      <w:b/>
      <w:bCs/>
    </w:rPr>
  </w:style>
  <w:style w:type="character" w:customStyle="1" w:styleId="CommentSubjectChar">
    <w:name w:val="Comment Subject Char"/>
    <w:basedOn w:val="CommentTextChar"/>
    <w:link w:val="CommentSubject"/>
    <w:uiPriority w:val="99"/>
    <w:semiHidden/>
    <w:rsid w:val="00931A13"/>
    <w:rPr>
      <w:b/>
      <w:bCs/>
      <w:lang w:val="en-US" w:eastAsia="en-US"/>
    </w:rPr>
  </w:style>
  <w:style w:type="paragraph" w:styleId="Revision">
    <w:name w:val="Revision"/>
    <w:hidden/>
    <w:uiPriority w:val="99"/>
    <w:semiHidden/>
    <w:rsid w:val="006A1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Emphasis">
    <w:name w:val="Emphasis"/>
    <w:basedOn w:val="DefaultParagraphFont"/>
    <w:uiPriority w:val="20"/>
    <w:qFormat/>
    <w:rsid w:val="00653815"/>
    <w:rPr>
      <w:i/>
      <w:iCs/>
    </w:rPr>
  </w:style>
  <w:style w:type="paragraph" w:styleId="NormalWeb">
    <w:name w:val="Normal (Web)"/>
    <w:basedOn w:val="Normal"/>
    <w:uiPriority w:val="99"/>
    <w:unhideWhenUsed/>
    <w:rsid w:val="00DD63F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5568">
      <w:bodyDiv w:val="1"/>
      <w:marLeft w:val="0"/>
      <w:marRight w:val="0"/>
      <w:marTop w:val="0"/>
      <w:marBottom w:val="0"/>
      <w:divBdr>
        <w:top w:val="none" w:sz="0" w:space="0" w:color="auto"/>
        <w:left w:val="none" w:sz="0" w:space="0" w:color="auto"/>
        <w:bottom w:val="none" w:sz="0" w:space="0" w:color="auto"/>
        <w:right w:val="none" w:sz="0" w:space="0" w:color="auto"/>
      </w:divBdr>
    </w:div>
    <w:div w:id="43602057">
      <w:bodyDiv w:val="1"/>
      <w:marLeft w:val="0"/>
      <w:marRight w:val="0"/>
      <w:marTop w:val="0"/>
      <w:marBottom w:val="0"/>
      <w:divBdr>
        <w:top w:val="none" w:sz="0" w:space="0" w:color="auto"/>
        <w:left w:val="none" w:sz="0" w:space="0" w:color="auto"/>
        <w:bottom w:val="none" w:sz="0" w:space="0" w:color="auto"/>
        <w:right w:val="none" w:sz="0" w:space="0" w:color="auto"/>
      </w:divBdr>
    </w:div>
    <w:div w:id="63843954">
      <w:bodyDiv w:val="1"/>
      <w:marLeft w:val="0"/>
      <w:marRight w:val="0"/>
      <w:marTop w:val="0"/>
      <w:marBottom w:val="0"/>
      <w:divBdr>
        <w:top w:val="none" w:sz="0" w:space="0" w:color="auto"/>
        <w:left w:val="none" w:sz="0" w:space="0" w:color="auto"/>
        <w:bottom w:val="none" w:sz="0" w:space="0" w:color="auto"/>
        <w:right w:val="none" w:sz="0" w:space="0" w:color="auto"/>
      </w:divBdr>
    </w:div>
    <w:div w:id="152644202">
      <w:bodyDiv w:val="1"/>
      <w:marLeft w:val="0"/>
      <w:marRight w:val="0"/>
      <w:marTop w:val="0"/>
      <w:marBottom w:val="0"/>
      <w:divBdr>
        <w:top w:val="none" w:sz="0" w:space="0" w:color="auto"/>
        <w:left w:val="none" w:sz="0" w:space="0" w:color="auto"/>
        <w:bottom w:val="none" w:sz="0" w:space="0" w:color="auto"/>
        <w:right w:val="none" w:sz="0" w:space="0" w:color="auto"/>
      </w:divBdr>
    </w:div>
    <w:div w:id="391924884">
      <w:bodyDiv w:val="1"/>
      <w:marLeft w:val="0"/>
      <w:marRight w:val="0"/>
      <w:marTop w:val="0"/>
      <w:marBottom w:val="0"/>
      <w:divBdr>
        <w:top w:val="none" w:sz="0" w:space="0" w:color="auto"/>
        <w:left w:val="none" w:sz="0" w:space="0" w:color="auto"/>
        <w:bottom w:val="none" w:sz="0" w:space="0" w:color="auto"/>
        <w:right w:val="none" w:sz="0" w:space="0" w:color="auto"/>
      </w:divBdr>
    </w:div>
    <w:div w:id="414598674">
      <w:bodyDiv w:val="1"/>
      <w:marLeft w:val="0"/>
      <w:marRight w:val="0"/>
      <w:marTop w:val="0"/>
      <w:marBottom w:val="0"/>
      <w:divBdr>
        <w:top w:val="none" w:sz="0" w:space="0" w:color="auto"/>
        <w:left w:val="none" w:sz="0" w:space="0" w:color="auto"/>
        <w:bottom w:val="none" w:sz="0" w:space="0" w:color="auto"/>
        <w:right w:val="none" w:sz="0" w:space="0" w:color="auto"/>
      </w:divBdr>
    </w:div>
    <w:div w:id="431973430">
      <w:bodyDiv w:val="1"/>
      <w:marLeft w:val="0"/>
      <w:marRight w:val="0"/>
      <w:marTop w:val="0"/>
      <w:marBottom w:val="0"/>
      <w:divBdr>
        <w:top w:val="none" w:sz="0" w:space="0" w:color="auto"/>
        <w:left w:val="none" w:sz="0" w:space="0" w:color="auto"/>
        <w:bottom w:val="none" w:sz="0" w:space="0" w:color="auto"/>
        <w:right w:val="none" w:sz="0" w:space="0" w:color="auto"/>
      </w:divBdr>
    </w:div>
    <w:div w:id="484786148">
      <w:bodyDiv w:val="1"/>
      <w:marLeft w:val="0"/>
      <w:marRight w:val="0"/>
      <w:marTop w:val="0"/>
      <w:marBottom w:val="0"/>
      <w:divBdr>
        <w:top w:val="none" w:sz="0" w:space="0" w:color="auto"/>
        <w:left w:val="none" w:sz="0" w:space="0" w:color="auto"/>
        <w:bottom w:val="none" w:sz="0" w:space="0" w:color="auto"/>
        <w:right w:val="none" w:sz="0" w:space="0" w:color="auto"/>
      </w:divBdr>
    </w:div>
    <w:div w:id="664285955">
      <w:bodyDiv w:val="1"/>
      <w:marLeft w:val="0"/>
      <w:marRight w:val="0"/>
      <w:marTop w:val="0"/>
      <w:marBottom w:val="0"/>
      <w:divBdr>
        <w:top w:val="none" w:sz="0" w:space="0" w:color="auto"/>
        <w:left w:val="none" w:sz="0" w:space="0" w:color="auto"/>
        <w:bottom w:val="none" w:sz="0" w:space="0" w:color="auto"/>
        <w:right w:val="none" w:sz="0" w:space="0" w:color="auto"/>
      </w:divBdr>
    </w:div>
    <w:div w:id="1054278112">
      <w:bodyDiv w:val="1"/>
      <w:marLeft w:val="0"/>
      <w:marRight w:val="0"/>
      <w:marTop w:val="0"/>
      <w:marBottom w:val="0"/>
      <w:divBdr>
        <w:top w:val="none" w:sz="0" w:space="0" w:color="auto"/>
        <w:left w:val="none" w:sz="0" w:space="0" w:color="auto"/>
        <w:bottom w:val="none" w:sz="0" w:space="0" w:color="auto"/>
        <w:right w:val="none" w:sz="0" w:space="0" w:color="auto"/>
      </w:divBdr>
    </w:div>
    <w:div w:id="1256481272">
      <w:bodyDiv w:val="1"/>
      <w:marLeft w:val="0"/>
      <w:marRight w:val="0"/>
      <w:marTop w:val="0"/>
      <w:marBottom w:val="0"/>
      <w:divBdr>
        <w:top w:val="none" w:sz="0" w:space="0" w:color="auto"/>
        <w:left w:val="none" w:sz="0" w:space="0" w:color="auto"/>
        <w:bottom w:val="none" w:sz="0" w:space="0" w:color="auto"/>
        <w:right w:val="none" w:sz="0" w:space="0" w:color="auto"/>
      </w:divBdr>
    </w:div>
    <w:div w:id="1310936432">
      <w:bodyDiv w:val="1"/>
      <w:marLeft w:val="0"/>
      <w:marRight w:val="0"/>
      <w:marTop w:val="0"/>
      <w:marBottom w:val="0"/>
      <w:divBdr>
        <w:top w:val="none" w:sz="0" w:space="0" w:color="auto"/>
        <w:left w:val="none" w:sz="0" w:space="0" w:color="auto"/>
        <w:bottom w:val="none" w:sz="0" w:space="0" w:color="auto"/>
        <w:right w:val="none" w:sz="0" w:space="0" w:color="auto"/>
      </w:divBdr>
    </w:div>
    <w:div w:id="145640684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89466142">
      <w:bodyDiv w:val="1"/>
      <w:marLeft w:val="0"/>
      <w:marRight w:val="0"/>
      <w:marTop w:val="0"/>
      <w:marBottom w:val="0"/>
      <w:divBdr>
        <w:top w:val="none" w:sz="0" w:space="0" w:color="auto"/>
        <w:left w:val="none" w:sz="0" w:space="0" w:color="auto"/>
        <w:bottom w:val="none" w:sz="0" w:space="0" w:color="auto"/>
        <w:right w:val="none" w:sz="0" w:space="0" w:color="auto"/>
      </w:divBdr>
    </w:div>
    <w:div w:id="1800144607">
      <w:bodyDiv w:val="1"/>
      <w:marLeft w:val="0"/>
      <w:marRight w:val="0"/>
      <w:marTop w:val="0"/>
      <w:marBottom w:val="0"/>
      <w:divBdr>
        <w:top w:val="none" w:sz="0" w:space="0" w:color="auto"/>
        <w:left w:val="none" w:sz="0" w:space="0" w:color="auto"/>
        <w:bottom w:val="none" w:sz="0" w:space="0" w:color="auto"/>
        <w:right w:val="none" w:sz="0" w:space="0" w:color="auto"/>
      </w:divBdr>
    </w:div>
    <w:div w:id="1813281735">
      <w:bodyDiv w:val="1"/>
      <w:marLeft w:val="0"/>
      <w:marRight w:val="0"/>
      <w:marTop w:val="0"/>
      <w:marBottom w:val="0"/>
      <w:divBdr>
        <w:top w:val="none" w:sz="0" w:space="0" w:color="auto"/>
        <w:left w:val="none" w:sz="0" w:space="0" w:color="auto"/>
        <w:bottom w:val="none" w:sz="0" w:space="0" w:color="auto"/>
        <w:right w:val="none" w:sz="0" w:space="0" w:color="auto"/>
      </w:divBdr>
    </w:div>
    <w:div w:id="1823738508">
      <w:bodyDiv w:val="1"/>
      <w:marLeft w:val="0"/>
      <w:marRight w:val="0"/>
      <w:marTop w:val="0"/>
      <w:marBottom w:val="0"/>
      <w:divBdr>
        <w:top w:val="none" w:sz="0" w:space="0" w:color="auto"/>
        <w:left w:val="none" w:sz="0" w:space="0" w:color="auto"/>
        <w:bottom w:val="none" w:sz="0" w:space="0" w:color="auto"/>
        <w:right w:val="none" w:sz="0" w:space="0" w:color="auto"/>
      </w:divBdr>
    </w:div>
    <w:div w:id="1933126085">
      <w:bodyDiv w:val="1"/>
      <w:marLeft w:val="0"/>
      <w:marRight w:val="0"/>
      <w:marTop w:val="0"/>
      <w:marBottom w:val="0"/>
      <w:divBdr>
        <w:top w:val="none" w:sz="0" w:space="0" w:color="auto"/>
        <w:left w:val="none" w:sz="0" w:space="0" w:color="auto"/>
        <w:bottom w:val="none" w:sz="0" w:space="0" w:color="auto"/>
        <w:right w:val="none" w:sz="0" w:space="0" w:color="auto"/>
      </w:divBdr>
    </w:div>
    <w:div w:id="1942375485">
      <w:bodyDiv w:val="1"/>
      <w:marLeft w:val="0"/>
      <w:marRight w:val="0"/>
      <w:marTop w:val="0"/>
      <w:marBottom w:val="0"/>
      <w:divBdr>
        <w:top w:val="none" w:sz="0" w:space="0" w:color="auto"/>
        <w:left w:val="none" w:sz="0" w:space="0" w:color="auto"/>
        <w:bottom w:val="none" w:sz="0" w:space="0" w:color="auto"/>
        <w:right w:val="none" w:sz="0" w:space="0" w:color="auto"/>
      </w:divBdr>
    </w:div>
    <w:div w:id="1993217594">
      <w:bodyDiv w:val="1"/>
      <w:marLeft w:val="0"/>
      <w:marRight w:val="0"/>
      <w:marTop w:val="0"/>
      <w:marBottom w:val="0"/>
      <w:divBdr>
        <w:top w:val="none" w:sz="0" w:space="0" w:color="auto"/>
        <w:left w:val="none" w:sz="0" w:space="0" w:color="auto"/>
        <w:bottom w:val="none" w:sz="0" w:space="0" w:color="auto"/>
        <w:right w:val="none" w:sz="0" w:space="0" w:color="auto"/>
      </w:divBdr>
      <w:divsChild>
        <w:div w:id="2064672511">
          <w:marLeft w:val="0"/>
          <w:marRight w:val="0"/>
          <w:marTop w:val="0"/>
          <w:marBottom w:val="0"/>
          <w:divBdr>
            <w:top w:val="none" w:sz="0" w:space="0" w:color="auto"/>
            <w:left w:val="none" w:sz="0" w:space="0" w:color="auto"/>
            <w:bottom w:val="none" w:sz="0" w:space="0" w:color="auto"/>
            <w:right w:val="none" w:sz="0" w:space="0" w:color="auto"/>
          </w:divBdr>
          <w:divsChild>
            <w:div w:id="1681810092">
              <w:marLeft w:val="0"/>
              <w:marRight w:val="0"/>
              <w:marTop w:val="0"/>
              <w:marBottom w:val="0"/>
              <w:divBdr>
                <w:top w:val="none" w:sz="0" w:space="0" w:color="auto"/>
                <w:left w:val="none" w:sz="0" w:space="0" w:color="auto"/>
                <w:bottom w:val="none" w:sz="0" w:space="0" w:color="auto"/>
                <w:right w:val="none" w:sz="0" w:space="0" w:color="auto"/>
              </w:divBdr>
              <w:divsChild>
                <w:div w:id="10176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53350">
      <w:bodyDiv w:val="1"/>
      <w:marLeft w:val="0"/>
      <w:marRight w:val="0"/>
      <w:marTop w:val="0"/>
      <w:marBottom w:val="0"/>
      <w:divBdr>
        <w:top w:val="none" w:sz="0" w:space="0" w:color="auto"/>
        <w:left w:val="none" w:sz="0" w:space="0" w:color="auto"/>
        <w:bottom w:val="none" w:sz="0" w:space="0" w:color="auto"/>
        <w:right w:val="none" w:sz="0" w:space="0" w:color="auto"/>
      </w:divBdr>
      <w:divsChild>
        <w:div w:id="712777483">
          <w:marLeft w:val="0"/>
          <w:marRight w:val="0"/>
          <w:marTop w:val="0"/>
          <w:marBottom w:val="0"/>
          <w:divBdr>
            <w:top w:val="none" w:sz="0" w:space="0" w:color="auto"/>
            <w:left w:val="none" w:sz="0" w:space="0" w:color="auto"/>
            <w:bottom w:val="none" w:sz="0" w:space="0" w:color="auto"/>
            <w:right w:val="none" w:sz="0" w:space="0" w:color="auto"/>
          </w:divBdr>
          <w:divsChild>
            <w:div w:id="412704699">
              <w:marLeft w:val="0"/>
              <w:marRight w:val="0"/>
              <w:marTop w:val="0"/>
              <w:marBottom w:val="0"/>
              <w:divBdr>
                <w:top w:val="none" w:sz="0" w:space="0" w:color="auto"/>
                <w:left w:val="none" w:sz="0" w:space="0" w:color="auto"/>
                <w:bottom w:val="none" w:sz="0" w:space="0" w:color="auto"/>
                <w:right w:val="none" w:sz="0" w:space="0" w:color="auto"/>
              </w:divBdr>
              <w:divsChild>
                <w:div w:id="25409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567703">
      <w:bodyDiv w:val="1"/>
      <w:marLeft w:val="0"/>
      <w:marRight w:val="0"/>
      <w:marTop w:val="0"/>
      <w:marBottom w:val="0"/>
      <w:divBdr>
        <w:top w:val="none" w:sz="0" w:space="0" w:color="auto"/>
        <w:left w:val="none" w:sz="0" w:space="0" w:color="auto"/>
        <w:bottom w:val="none" w:sz="0" w:space="0" w:color="auto"/>
        <w:right w:val="none" w:sz="0" w:space="0" w:color="auto"/>
      </w:divBdr>
      <w:divsChild>
        <w:div w:id="501700210">
          <w:marLeft w:val="0"/>
          <w:marRight w:val="0"/>
          <w:marTop w:val="0"/>
          <w:marBottom w:val="0"/>
          <w:divBdr>
            <w:top w:val="none" w:sz="0" w:space="0" w:color="auto"/>
            <w:left w:val="none" w:sz="0" w:space="0" w:color="auto"/>
            <w:bottom w:val="none" w:sz="0" w:space="0" w:color="auto"/>
            <w:right w:val="none" w:sz="0" w:space="0" w:color="auto"/>
          </w:divBdr>
          <w:divsChild>
            <w:div w:id="2082368463">
              <w:marLeft w:val="0"/>
              <w:marRight w:val="0"/>
              <w:marTop w:val="0"/>
              <w:marBottom w:val="0"/>
              <w:divBdr>
                <w:top w:val="none" w:sz="0" w:space="0" w:color="auto"/>
                <w:left w:val="none" w:sz="0" w:space="0" w:color="auto"/>
                <w:bottom w:val="none" w:sz="0" w:space="0" w:color="auto"/>
                <w:right w:val="none" w:sz="0" w:space="0" w:color="auto"/>
              </w:divBdr>
              <w:divsChild>
                <w:div w:id="24460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623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DF4AD-1E69-4F44-B8E0-A5974E49E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3177</Words>
  <Characters>17256</Characters>
  <Application>Microsoft Office Word</Application>
  <DocSecurity>0</DocSecurity>
  <Lines>420</Lines>
  <Paragraphs>144</Paragraphs>
  <ScaleCrop>false</ScaleCrop>
  <HeadingPairs>
    <vt:vector size="2" baseType="variant">
      <vt:variant>
        <vt:lpstr>Title</vt:lpstr>
      </vt:variant>
      <vt:variant>
        <vt:i4>1</vt:i4>
      </vt:variant>
    </vt:vector>
  </HeadingPairs>
  <TitlesOfParts>
    <vt:vector size="1" baseType="lpstr">
      <vt:lpstr>Report No. 36/20</vt:lpstr>
    </vt:vector>
  </TitlesOfParts>
  <Company/>
  <LinksUpToDate>false</LinksUpToDate>
  <CharactersWithSpaces>20289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36/20</dc:title>
  <dc:creator/>
  <cp:lastModifiedBy/>
  <cp:revision>1</cp:revision>
  <dcterms:created xsi:type="dcterms:W3CDTF">2020-06-04T20:19:00Z</dcterms:created>
  <dcterms:modified xsi:type="dcterms:W3CDTF">2020-06-04T20:20:00Z</dcterms:modified>
</cp:coreProperties>
</file>