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0309A0F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52199">
                              <w:rPr>
                                <w:rFonts w:asciiTheme="majorHAnsi" w:hAnsiTheme="majorHAnsi" w:cs="Arial"/>
                                <w:b/>
                                <w:bCs/>
                                <w:color w:val="0D0D0D" w:themeColor="text1" w:themeTint="F2"/>
                                <w:sz w:val="36"/>
                                <w:szCs w:val="40"/>
                              </w:rPr>
                              <w:t>155</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524AD164"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C0B9C">
                              <w:rPr>
                                <w:rFonts w:asciiTheme="majorHAnsi" w:hAnsiTheme="majorHAnsi" w:cs="Arial"/>
                                <w:b/>
                                <w:bCs/>
                                <w:color w:val="0D0D0D" w:themeColor="text1" w:themeTint="F2"/>
                                <w:sz w:val="36"/>
                                <w:szCs w:val="40"/>
                              </w:rPr>
                              <w:t>514</w:t>
                            </w:r>
                            <w:r>
                              <w:rPr>
                                <w:rFonts w:asciiTheme="majorHAnsi" w:hAnsiTheme="majorHAnsi" w:cs="Arial"/>
                                <w:b/>
                                <w:bCs/>
                                <w:color w:val="0D0D0D" w:themeColor="text1" w:themeTint="F2"/>
                                <w:sz w:val="36"/>
                                <w:szCs w:val="40"/>
                              </w:rPr>
                              <w:t>-</w:t>
                            </w:r>
                            <w:r w:rsidR="005C0B9C">
                              <w:rPr>
                                <w:rFonts w:asciiTheme="majorHAnsi" w:hAnsiTheme="majorHAnsi" w:cs="Arial"/>
                                <w:b/>
                                <w:bCs/>
                                <w:color w:val="0D0D0D" w:themeColor="text1" w:themeTint="F2"/>
                                <w:sz w:val="36"/>
                                <w:szCs w:val="40"/>
                              </w:rPr>
                              <w:t>09</w:t>
                            </w:r>
                          </w:p>
                          <w:p w14:paraId="51480B27" w14:textId="61505E86"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528A7214" w:rsidR="00261E08" w:rsidRDefault="005C0B9C"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ANSELMO JOAQUÍN </w:t>
                            </w:r>
                            <w:proofErr w:type="spellStart"/>
                            <w:r>
                              <w:rPr>
                                <w:rFonts w:ascii="Cambria" w:hAnsi="Cambria" w:cs="Arial"/>
                                <w:color w:val="0D0D0D"/>
                                <w:szCs w:val="22"/>
                              </w:rPr>
                              <w:t>McDONALD</w:t>
                            </w:r>
                            <w:proofErr w:type="spellEnd"/>
                            <w:r>
                              <w:rPr>
                                <w:rFonts w:ascii="Cambria" w:hAnsi="Cambria" w:cs="Arial"/>
                                <w:color w:val="0D0D0D"/>
                                <w:szCs w:val="22"/>
                              </w:rPr>
                              <w:t xml:space="preserve"> POSSO</w:t>
                            </w:r>
                            <w:r w:rsidR="00261E08">
                              <w:rPr>
                                <w:rFonts w:ascii="Cambria" w:hAnsi="Cambria" w:cs="Arial"/>
                                <w:color w:val="0D0D0D"/>
                                <w:szCs w:val="22"/>
                              </w:rPr>
                              <w:t xml:space="preserve"> </w:t>
                            </w:r>
                          </w:p>
                          <w:p w14:paraId="67476ECA" w14:textId="244A546F" w:rsidR="005B52B0" w:rsidRPr="000C4365" w:rsidRDefault="005C0B9C" w:rsidP="00261E08">
                            <w:pPr>
                              <w:spacing w:line="276" w:lineRule="auto"/>
                              <w:rPr>
                                <w:rFonts w:asciiTheme="majorHAnsi" w:hAnsiTheme="majorHAnsi"/>
                                <w:color w:val="0D0D0D" w:themeColor="text1" w:themeTint="F2"/>
                              </w:rPr>
                            </w:pPr>
                            <w:r>
                              <w:rPr>
                                <w:rFonts w:ascii="Cambria" w:hAnsi="Cambria" w:cs="Arial"/>
                                <w:color w:val="0D0D0D"/>
                                <w:szCs w:val="22"/>
                              </w:rPr>
                              <w:t>PANAMA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0309A0F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52199">
                        <w:rPr>
                          <w:rFonts w:asciiTheme="majorHAnsi" w:hAnsiTheme="majorHAnsi" w:cs="Arial"/>
                          <w:b/>
                          <w:bCs/>
                          <w:color w:val="0D0D0D" w:themeColor="text1" w:themeTint="F2"/>
                          <w:sz w:val="36"/>
                          <w:szCs w:val="40"/>
                        </w:rPr>
                        <w:t>155</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524AD164"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C0B9C">
                        <w:rPr>
                          <w:rFonts w:asciiTheme="majorHAnsi" w:hAnsiTheme="majorHAnsi" w:cs="Arial"/>
                          <w:b/>
                          <w:bCs/>
                          <w:color w:val="0D0D0D" w:themeColor="text1" w:themeTint="F2"/>
                          <w:sz w:val="36"/>
                          <w:szCs w:val="40"/>
                        </w:rPr>
                        <w:t>514</w:t>
                      </w:r>
                      <w:r>
                        <w:rPr>
                          <w:rFonts w:asciiTheme="majorHAnsi" w:hAnsiTheme="majorHAnsi" w:cs="Arial"/>
                          <w:b/>
                          <w:bCs/>
                          <w:color w:val="0D0D0D" w:themeColor="text1" w:themeTint="F2"/>
                          <w:sz w:val="36"/>
                          <w:szCs w:val="40"/>
                        </w:rPr>
                        <w:t>-</w:t>
                      </w:r>
                      <w:r w:rsidR="005C0B9C">
                        <w:rPr>
                          <w:rFonts w:asciiTheme="majorHAnsi" w:hAnsiTheme="majorHAnsi" w:cs="Arial"/>
                          <w:b/>
                          <w:bCs/>
                          <w:color w:val="0D0D0D" w:themeColor="text1" w:themeTint="F2"/>
                          <w:sz w:val="36"/>
                          <w:szCs w:val="40"/>
                        </w:rPr>
                        <w:t>09</w:t>
                      </w:r>
                    </w:p>
                    <w:p w14:paraId="51480B27" w14:textId="61505E86"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528A7214" w:rsidR="00261E08" w:rsidRDefault="005C0B9C"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ANSELMO JOAQUÍN </w:t>
                      </w:r>
                      <w:proofErr w:type="spellStart"/>
                      <w:r>
                        <w:rPr>
                          <w:rFonts w:ascii="Cambria" w:hAnsi="Cambria" w:cs="Arial"/>
                          <w:color w:val="0D0D0D"/>
                          <w:szCs w:val="22"/>
                        </w:rPr>
                        <w:t>McDONALD</w:t>
                      </w:r>
                      <w:proofErr w:type="spellEnd"/>
                      <w:r>
                        <w:rPr>
                          <w:rFonts w:ascii="Cambria" w:hAnsi="Cambria" w:cs="Arial"/>
                          <w:color w:val="0D0D0D"/>
                          <w:szCs w:val="22"/>
                        </w:rPr>
                        <w:t xml:space="preserve"> POSSO</w:t>
                      </w:r>
                      <w:r w:rsidR="00261E08">
                        <w:rPr>
                          <w:rFonts w:ascii="Cambria" w:hAnsi="Cambria" w:cs="Arial"/>
                          <w:color w:val="0D0D0D"/>
                          <w:szCs w:val="22"/>
                        </w:rPr>
                        <w:t xml:space="preserve"> </w:t>
                      </w:r>
                    </w:p>
                    <w:p w14:paraId="67476ECA" w14:textId="244A546F" w:rsidR="005B52B0" w:rsidRPr="000C4365" w:rsidRDefault="005C0B9C" w:rsidP="00261E08">
                      <w:pPr>
                        <w:spacing w:line="276" w:lineRule="auto"/>
                        <w:rPr>
                          <w:rFonts w:asciiTheme="majorHAnsi" w:hAnsiTheme="majorHAnsi"/>
                          <w:color w:val="0D0D0D" w:themeColor="text1" w:themeTint="F2"/>
                        </w:rPr>
                      </w:pPr>
                      <w:r>
                        <w:rPr>
                          <w:rFonts w:ascii="Cambria" w:hAnsi="Cambria" w:cs="Arial"/>
                          <w:color w:val="0D0D0D"/>
                          <w:szCs w:val="22"/>
                        </w:rPr>
                        <w:t>PANAMA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43D95CFE" w:rsidR="00627C9F" w:rsidRPr="00175F8B" w:rsidRDefault="009E566A" w:rsidP="009E566A">
                            <w:pPr>
                              <w:jc w:val="right"/>
                              <w:rPr>
                                <w:rFonts w:asciiTheme="minorHAnsi" w:hAnsiTheme="minorHAnsi"/>
                                <w:color w:val="FFFFFF" w:themeColor="background1"/>
                                <w:sz w:val="22"/>
                                <w:lang w:val="es-US"/>
                              </w:rPr>
                            </w:pPr>
                            <w:r w:rsidRPr="00175F8B">
                              <w:rPr>
                                <w:rFonts w:asciiTheme="minorHAnsi" w:hAnsiTheme="minorHAnsi"/>
                                <w:color w:val="FFFFFF" w:themeColor="background1"/>
                                <w:sz w:val="22"/>
                                <w:lang w:val="es-US"/>
                              </w:rPr>
                              <w:t>OEA/Ser.L/V/II.</w:t>
                            </w:r>
                            <w:r w:rsidR="002F2697" w:rsidRPr="00175F8B">
                              <w:rPr>
                                <w:rFonts w:asciiTheme="minorHAnsi" w:hAnsiTheme="minorHAnsi"/>
                                <w:color w:val="FFFFFF" w:themeColor="background1"/>
                                <w:sz w:val="22"/>
                                <w:lang w:val="es-US"/>
                              </w:rPr>
                              <w:t xml:space="preserve"> </w:t>
                            </w:r>
                          </w:p>
                          <w:p w14:paraId="2B86BB36" w14:textId="04321D58" w:rsidR="00627C9F" w:rsidRPr="00752199" w:rsidRDefault="00CA6577" w:rsidP="009E566A">
                            <w:pPr>
                              <w:jc w:val="right"/>
                              <w:rPr>
                                <w:rFonts w:asciiTheme="minorHAnsi" w:hAnsiTheme="minorHAnsi"/>
                                <w:color w:val="FFFFFF" w:themeColor="background1"/>
                                <w:sz w:val="22"/>
                              </w:rPr>
                            </w:pPr>
                            <w:r w:rsidRPr="00752199">
                              <w:rPr>
                                <w:rFonts w:asciiTheme="minorHAnsi" w:hAnsiTheme="minorHAnsi"/>
                                <w:color w:val="FFFFFF" w:themeColor="background1"/>
                                <w:sz w:val="22"/>
                              </w:rPr>
                              <w:t xml:space="preserve">Doc. </w:t>
                            </w:r>
                            <w:r w:rsidR="00752199" w:rsidRPr="00752199">
                              <w:rPr>
                                <w:rFonts w:asciiTheme="minorHAnsi" w:hAnsiTheme="minorHAnsi"/>
                                <w:color w:val="FFFFFF" w:themeColor="background1"/>
                                <w:sz w:val="22"/>
                              </w:rPr>
                              <w:t>1</w:t>
                            </w:r>
                            <w:r w:rsidR="00752199">
                              <w:rPr>
                                <w:rFonts w:asciiTheme="minorHAnsi" w:hAnsiTheme="minorHAnsi"/>
                                <w:color w:val="FFFFFF" w:themeColor="background1"/>
                                <w:sz w:val="22"/>
                              </w:rPr>
                              <w:t>65</w:t>
                            </w:r>
                          </w:p>
                          <w:p w14:paraId="6AC8D657" w14:textId="2AFB3CBF" w:rsidR="00627C9F" w:rsidRPr="00752199" w:rsidRDefault="00022CF5" w:rsidP="009E566A">
                            <w:pPr>
                              <w:jc w:val="right"/>
                              <w:rPr>
                                <w:rFonts w:asciiTheme="minorHAnsi" w:hAnsiTheme="minorHAnsi"/>
                                <w:color w:val="FFFFFF" w:themeColor="background1"/>
                                <w:sz w:val="22"/>
                              </w:rPr>
                            </w:pPr>
                            <w:r w:rsidRPr="00752199">
                              <w:rPr>
                                <w:rFonts w:asciiTheme="minorHAnsi" w:hAnsiTheme="minorHAnsi"/>
                                <w:color w:val="FFFFFF" w:themeColor="background1"/>
                                <w:sz w:val="22"/>
                              </w:rPr>
                              <w:t xml:space="preserve"> </w:t>
                            </w:r>
                            <w:r w:rsidR="00752199">
                              <w:rPr>
                                <w:rFonts w:asciiTheme="minorHAnsi" w:hAnsiTheme="minorHAnsi"/>
                                <w:color w:val="FFFFFF" w:themeColor="background1"/>
                                <w:sz w:val="22"/>
                              </w:rPr>
                              <w:t>1 June</w:t>
                            </w:r>
                            <w:r w:rsidR="000C4365" w:rsidRPr="00752199">
                              <w:rPr>
                                <w:rFonts w:asciiTheme="minorHAnsi" w:hAnsiTheme="minorHAnsi"/>
                                <w:color w:val="FFFFFF" w:themeColor="background1"/>
                                <w:sz w:val="22"/>
                              </w:rPr>
                              <w:t xml:space="preserve"> </w:t>
                            </w:r>
                            <w:r w:rsidR="002F2697" w:rsidRPr="00752199">
                              <w:rPr>
                                <w:rFonts w:asciiTheme="minorHAnsi" w:hAnsiTheme="minorHAnsi"/>
                                <w:color w:val="FFFFFF" w:themeColor="background1"/>
                                <w:sz w:val="22"/>
                              </w:rPr>
                              <w:t>2020</w:t>
                            </w:r>
                          </w:p>
                          <w:p w14:paraId="35D3ABA3" w14:textId="4D5A616E" w:rsidR="00627C9F" w:rsidRPr="00752199" w:rsidRDefault="00627C9F" w:rsidP="009E566A">
                            <w:pPr>
                              <w:jc w:val="right"/>
                              <w:rPr>
                                <w:rFonts w:asciiTheme="minorHAnsi" w:hAnsiTheme="minorHAnsi"/>
                                <w:color w:val="FFFFFF" w:themeColor="background1"/>
                                <w:sz w:val="22"/>
                              </w:rPr>
                            </w:pPr>
                            <w:r w:rsidRPr="00752199">
                              <w:rPr>
                                <w:rFonts w:asciiTheme="minorHAnsi" w:hAnsiTheme="minorHAnsi"/>
                                <w:color w:val="FFFFFF" w:themeColor="background1"/>
                                <w:sz w:val="22"/>
                              </w:rPr>
                              <w:t>Original:</w:t>
                            </w:r>
                            <w:r w:rsidR="002C1641" w:rsidRPr="00752199">
                              <w:rPr>
                                <w:rFonts w:asciiTheme="minorHAnsi" w:hAnsiTheme="minorHAnsi"/>
                                <w:color w:val="FFFFFF" w:themeColor="background1"/>
                                <w:sz w:val="22"/>
                              </w:rPr>
                              <w:t xml:space="preserve"> </w:t>
                            </w:r>
                            <w:r w:rsidR="00F42B71" w:rsidRPr="0075219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43D95CFE" w:rsidR="00627C9F" w:rsidRPr="00752199" w:rsidRDefault="009E566A" w:rsidP="009E566A">
                      <w:pPr>
                        <w:jc w:val="right"/>
                        <w:rPr>
                          <w:rFonts w:asciiTheme="minorHAnsi" w:hAnsiTheme="minorHAnsi"/>
                          <w:color w:val="FFFFFF" w:themeColor="background1"/>
                          <w:sz w:val="22"/>
                        </w:rPr>
                      </w:pPr>
                      <w:r w:rsidRPr="00752199">
                        <w:rPr>
                          <w:rFonts w:asciiTheme="minorHAnsi" w:hAnsiTheme="minorHAnsi"/>
                          <w:color w:val="FFFFFF" w:themeColor="background1"/>
                          <w:sz w:val="22"/>
                        </w:rPr>
                        <w:t>OEA/</w:t>
                      </w:r>
                      <w:proofErr w:type="spellStart"/>
                      <w:r w:rsidRPr="00752199">
                        <w:rPr>
                          <w:rFonts w:asciiTheme="minorHAnsi" w:hAnsiTheme="minorHAnsi"/>
                          <w:color w:val="FFFFFF" w:themeColor="background1"/>
                          <w:sz w:val="22"/>
                        </w:rPr>
                        <w:t>Ser.L</w:t>
                      </w:r>
                      <w:proofErr w:type="spellEnd"/>
                      <w:r w:rsidRPr="00752199">
                        <w:rPr>
                          <w:rFonts w:asciiTheme="minorHAnsi" w:hAnsiTheme="minorHAnsi"/>
                          <w:color w:val="FFFFFF" w:themeColor="background1"/>
                          <w:sz w:val="22"/>
                        </w:rPr>
                        <w:t>/V/II.</w:t>
                      </w:r>
                      <w:r w:rsidR="002F2697" w:rsidRPr="00752199">
                        <w:rPr>
                          <w:rFonts w:asciiTheme="minorHAnsi" w:hAnsiTheme="minorHAnsi"/>
                          <w:color w:val="FFFFFF" w:themeColor="background1"/>
                          <w:sz w:val="22"/>
                        </w:rPr>
                        <w:t xml:space="preserve"> </w:t>
                      </w:r>
                    </w:p>
                    <w:p w14:paraId="2B86BB36" w14:textId="04321D58" w:rsidR="00627C9F" w:rsidRPr="00752199" w:rsidRDefault="00CA6577" w:rsidP="009E566A">
                      <w:pPr>
                        <w:jc w:val="right"/>
                        <w:rPr>
                          <w:rFonts w:asciiTheme="minorHAnsi" w:hAnsiTheme="minorHAnsi"/>
                          <w:color w:val="FFFFFF" w:themeColor="background1"/>
                          <w:sz w:val="22"/>
                        </w:rPr>
                      </w:pPr>
                      <w:r w:rsidRPr="00752199">
                        <w:rPr>
                          <w:rFonts w:asciiTheme="minorHAnsi" w:hAnsiTheme="minorHAnsi"/>
                          <w:color w:val="FFFFFF" w:themeColor="background1"/>
                          <w:sz w:val="22"/>
                        </w:rPr>
                        <w:t xml:space="preserve">Doc. </w:t>
                      </w:r>
                      <w:r w:rsidR="00752199" w:rsidRPr="00752199">
                        <w:rPr>
                          <w:rFonts w:asciiTheme="minorHAnsi" w:hAnsiTheme="minorHAnsi"/>
                          <w:color w:val="FFFFFF" w:themeColor="background1"/>
                          <w:sz w:val="22"/>
                        </w:rPr>
                        <w:t>1</w:t>
                      </w:r>
                      <w:r w:rsidR="00752199">
                        <w:rPr>
                          <w:rFonts w:asciiTheme="minorHAnsi" w:hAnsiTheme="minorHAnsi"/>
                          <w:color w:val="FFFFFF" w:themeColor="background1"/>
                          <w:sz w:val="22"/>
                        </w:rPr>
                        <w:t>65</w:t>
                      </w:r>
                    </w:p>
                    <w:p w14:paraId="6AC8D657" w14:textId="2AFB3CBF" w:rsidR="00627C9F" w:rsidRPr="00752199" w:rsidRDefault="00022CF5" w:rsidP="009E566A">
                      <w:pPr>
                        <w:jc w:val="right"/>
                        <w:rPr>
                          <w:rFonts w:asciiTheme="minorHAnsi" w:hAnsiTheme="minorHAnsi"/>
                          <w:color w:val="FFFFFF" w:themeColor="background1"/>
                          <w:sz w:val="22"/>
                        </w:rPr>
                      </w:pPr>
                      <w:r w:rsidRPr="00752199">
                        <w:rPr>
                          <w:rFonts w:asciiTheme="minorHAnsi" w:hAnsiTheme="minorHAnsi"/>
                          <w:color w:val="FFFFFF" w:themeColor="background1"/>
                          <w:sz w:val="22"/>
                        </w:rPr>
                        <w:t xml:space="preserve"> </w:t>
                      </w:r>
                      <w:r w:rsidR="00752199">
                        <w:rPr>
                          <w:rFonts w:asciiTheme="minorHAnsi" w:hAnsiTheme="minorHAnsi"/>
                          <w:color w:val="FFFFFF" w:themeColor="background1"/>
                          <w:sz w:val="22"/>
                        </w:rPr>
                        <w:t>1 June</w:t>
                      </w:r>
                      <w:r w:rsidR="000C4365" w:rsidRPr="00752199">
                        <w:rPr>
                          <w:rFonts w:asciiTheme="minorHAnsi" w:hAnsiTheme="minorHAnsi"/>
                          <w:color w:val="FFFFFF" w:themeColor="background1"/>
                          <w:sz w:val="22"/>
                        </w:rPr>
                        <w:t xml:space="preserve"> </w:t>
                      </w:r>
                      <w:r w:rsidR="002F2697" w:rsidRPr="00752199">
                        <w:rPr>
                          <w:rFonts w:asciiTheme="minorHAnsi" w:hAnsiTheme="minorHAnsi"/>
                          <w:color w:val="FFFFFF" w:themeColor="background1"/>
                          <w:sz w:val="22"/>
                        </w:rPr>
                        <w:t>2020</w:t>
                      </w:r>
                    </w:p>
                    <w:p w14:paraId="35D3ABA3" w14:textId="4D5A616E" w:rsidR="00627C9F" w:rsidRPr="00752199" w:rsidRDefault="00627C9F" w:rsidP="009E566A">
                      <w:pPr>
                        <w:jc w:val="right"/>
                        <w:rPr>
                          <w:rFonts w:asciiTheme="minorHAnsi" w:hAnsiTheme="minorHAnsi"/>
                          <w:color w:val="FFFFFF" w:themeColor="background1"/>
                          <w:sz w:val="22"/>
                        </w:rPr>
                      </w:pPr>
                      <w:r w:rsidRPr="00752199">
                        <w:rPr>
                          <w:rFonts w:asciiTheme="minorHAnsi" w:hAnsiTheme="minorHAnsi"/>
                          <w:color w:val="FFFFFF" w:themeColor="background1"/>
                          <w:sz w:val="22"/>
                        </w:rPr>
                        <w:t>Original:</w:t>
                      </w:r>
                      <w:r w:rsidR="002C1641" w:rsidRPr="00752199">
                        <w:rPr>
                          <w:rFonts w:asciiTheme="minorHAnsi" w:hAnsiTheme="minorHAnsi"/>
                          <w:color w:val="FFFFFF" w:themeColor="background1"/>
                          <w:sz w:val="22"/>
                        </w:rPr>
                        <w:t xml:space="preserve"> </w:t>
                      </w:r>
                      <w:r w:rsidR="00F42B71" w:rsidRPr="00752199">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1AB1CF1C"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Electronically approved by the Commission on</w:t>
                            </w:r>
                            <w:r w:rsidR="00752199">
                              <w:rPr>
                                <w:rFonts w:asciiTheme="majorHAnsi" w:hAnsiTheme="majorHAnsi"/>
                                <w:color w:val="0D0D0D" w:themeColor="text1" w:themeTint="F2"/>
                                <w:sz w:val="20"/>
                              </w:rPr>
                              <w:t xml:space="preserve"> June 1, 2020</w:t>
                            </w:r>
                            <w:r w:rsidR="006A0C3E">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1AB1CF1C"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Electronically approved by the Commission on</w:t>
                      </w:r>
                      <w:r w:rsidR="00752199">
                        <w:rPr>
                          <w:rFonts w:asciiTheme="majorHAnsi" w:hAnsiTheme="majorHAnsi"/>
                          <w:color w:val="0D0D0D" w:themeColor="text1" w:themeTint="F2"/>
                          <w:sz w:val="20"/>
                        </w:rPr>
                        <w:t xml:space="preserve"> June 1, 2020</w:t>
                      </w:r>
                      <w:r w:rsidR="006A0C3E">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13DBCAB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752199">
                              <w:rPr>
                                <w:rFonts w:asciiTheme="majorHAnsi" w:hAnsiTheme="majorHAnsi"/>
                                <w:color w:val="595959" w:themeColor="text1" w:themeTint="A6"/>
                                <w:sz w:val="18"/>
                              </w:rPr>
                              <w:t xml:space="preserve"> 155</w:t>
                            </w:r>
                            <w:r w:rsidR="00752199">
                              <w:rPr>
                                <w:rFonts w:asciiTheme="majorHAnsi" w:hAnsiTheme="majorHAnsi"/>
                                <w:color w:val="595959" w:themeColor="text1" w:themeTint="A6"/>
                                <w:sz w:val="18"/>
                                <w:lang w:val="en-GB"/>
                              </w:rPr>
                              <w:t>/</w:t>
                            </w:r>
                            <w:r w:rsidR="002F2697" w:rsidRPr="005C0B9C">
                              <w:rPr>
                                <w:rFonts w:asciiTheme="majorHAnsi" w:hAnsiTheme="majorHAnsi"/>
                                <w:color w:val="595959" w:themeColor="text1" w:themeTint="A6"/>
                                <w:sz w:val="18"/>
                                <w:lang w:val="en-GB"/>
                              </w:rPr>
                              <w:t>20</w:t>
                            </w:r>
                            <w:r w:rsidRPr="005C0B9C">
                              <w:rPr>
                                <w:rFonts w:asciiTheme="majorHAnsi" w:hAnsiTheme="majorHAnsi"/>
                                <w:color w:val="595959" w:themeColor="text1" w:themeTint="A6"/>
                                <w:sz w:val="18"/>
                                <w:lang w:val="en-GB"/>
                              </w:rPr>
                              <w:t xml:space="preserve">, </w:t>
                            </w:r>
                            <w:r w:rsidR="00F42B71" w:rsidRPr="005C0B9C">
                              <w:rPr>
                                <w:rFonts w:asciiTheme="majorHAnsi" w:hAnsiTheme="majorHAnsi"/>
                                <w:color w:val="595959" w:themeColor="text1" w:themeTint="A6"/>
                                <w:sz w:val="18"/>
                                <w:lang w:val="en-GB"/>
                              </w:rPr>
                              <w:t xml:space="preserve">Petition </w:t>
                            </w:r>
                            <w:r w:rsidR="005C0B9C" w:rsidRPr="005C0B9C">
                              <w:rPr>
                                <w:rFonts w:asciiTheme="majorHAnsi" w:hAnsiTheme="majorHAnsi"/>
                                <w:color w:val="595959" w:themeColor="text1" w:themeTint="A6"/>
                                <w:sz w:val="18"/>
                                <w:lang w:val="en-GB"/>
                              </w:rPr>
                              <w:t>514-09</w:t>
                            </w:r>
                            <w:r w:rsidRPr="005C0B9C">
                              <w:rPr>
                                <w:rFonts w:asciiTheme="majorHAnsi" w:hAnsiTheme="majorHAnsi"/>
                                <w:color w:val="595959" w:themeColor="text1" w:themeTint="A6"/>
                                <w:sz w:val="18"/>
                                <w:lang w:val="en-GB"/>
                              </w:rPr>
                              <w:t>.</w:t>
                            </w:r>
                            <w:r w:rsidR="009E566A" w:rsidRPr="005C0B9C">
                              <w:rPr>
                                <w:rFonts w:asciiTheme="majorHAnsi" w:hAnsiTheme="majorHAnsi"/>
                                <w:color w:val="595959" w:themeColor="text1" w:themeTint="A6"/>
                                <w:sz w:val="18"/>
                                <w:lang w:val="en-GB"/>
                              </w:rPr>
                              <w:t xml:space="preserve"> </w:t>
                            </w:r>
                            <w:r w:rsidR="00F42B71" w:rsidRPr="005C0B9C">
                              <w:rPr>
                                <w:rFonts w:asciiTheme="majorHAnsi" w:hAnsiTheme="majorHAnsi"/>
                                <w:color w:val="595959" w:themeColor="text1" w:themeTint="A6"/>
                                <w:sz w:val="18"/>
                              </w:rPr>
                              <w:t>Admissibility</w:t>
                            </w:r>
                            <w:r w:rsidRPr="005C0B9C">
                              <w:rPr>
                                <w:rFonts w:asciiTheme="majorHAnsi" w:hAnsiTheme="majorHAnsi"/>
                                <w:color w:val="595959" w:themeColor="text1" w:themeTint="A6"/>
                                <w:sz w:val="18"/>
                              </w:rPr>
                              <w:t xml:space="preserve">. </w:t>
                            </w:r>
                            <w:proofErr w:type="spellStart"/>
                            <w:r w:rsidR="005C0B9C" w:rsidRPr="005C0B9C">
                              <w:rPr>
                                <w:rFonts w:asciiTheme="majorHAnsi" w:hAnsiTheme="majorHAnsi"/>
                                <w:color w:val="595959" w:themeColor="text1" w:themeTint="A6"/>
                                <w:sz w:val="18"/>
                              </w:rPr>
                              <w:t>Anselmo</w:t>
                            </w:r>
                            <w:proofErr w:type="spellEnd"/>
                            <w:r w:rsidR="005C0B9C" w:rsidRPr="005C0B9C">
                              <w:rPr>
                                <w:rFonts w:asciiTheme="majorHAnsi" w:hAnsiTheme="majorHAnsi"/>
                                <w:color w:val="595959" w:themeColor="text1" w:themeTint="A6"/>
                                <w:sz w:val="18"/>
                              </w:rPr>
                              <w:t xml:space="preserve"> Joaquín McDonald </w:t>
                            </w:r>
                            <w:proofErr w:type="spellStart"/>
                            <w:r w:rsidR="005C0B9C" w:rsidRPr="005C0B9C">
                              <w:rPr>
                                <w:rFonts w:asciiTheme="majorHAnsi" w:hAnsiTheme="majorHAnsi"/>
                                <w:color w:val="595959" w:themeColor="text1" w:themeTint="A6"/>
                                <w:sz w:val="18"/>
                              </w:rPr>
                              <w:t>Posso</w:t>
                            </w:r>
                            <w:proofErr w:type="spellEnd"/>
                            <w:r w:rsidRPr="005C0B9C">
                              <w:rPr>
                                <w:rFonts w:asciiTheme="majorHAnsi" w:hAnsiTheme="majorHAnsi"/>
                                <w:color w:val="595959" w:themeColor="text1" w:themeTint="A6"/>
                                <w:sz w:val="18"/>
                              </w:rPr>
                              <w:t xml:space="preserve">. </w:t>
                            </w:r>
                            <w:r w:rsidR="005C0B9C" w:rsidRPr="005C0B9C">
                              <w:rPr>
                                <w:rFonts w:asciiTheme="majorHAnsi" w:hAnsiTheme="majorHAnsi"/>
                                <w:color w:val="595959" w:themeColor="text1" w:themeTint="A6"/>
                                <w:sz w:val="18"/>
                              </w:rPr>
                              <w:t>Panama</w:t>
                            </w:r>
                            <w:r w:rsidR="00022CF5" w:rsidRPr="005C0B9C">
                              <w:rPr>
                                <w:rFonts w:asciiTheme="majorHAnsi" w:hAnsiTheme="majorHAnsi"/>
                                <w:color w:val="595959" w:themeColor="text1" w:themeTint="A6"/>
                                <w:sz w:val="18"/>
                              </w:rPr>
                              <w:t>.</w:t>
                            </w:r>
                            <w:r w:rsidR="00752199">
                              <w:rPr>
                                <w:rFonts w:asciiTheme="majorHAnsi" w:hAnsiTheme="majorHAnsi"/>
                                <w:color w:val="595959" w:themeColor="text1" w:themeTint="A6"/>
                                <w:sz w:val="18"/>
                              </w:rPr>
                              <w:t xml:space="preserve"> June 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13DBCAB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 Report No.</w:t>
                      </w:r>
                      <w:r w:rsidR="00752199">
                        <w:rPr>
                          <w:rFonts w:asciiTheme="majorHAnsi" w:hAnsiTheme="majorHAnsi"/>
                          <w:color w:val="595959" w:themeColor="text1" w:themeTint="A6"/>
                          <w:sz w:val="18"/>
                        </w:rPr>
                        <w:t xml:space="preserve"> 155</w:t>
                      </w:r>
                      <w:r w:rsidR="00752199">
                        <w:rPr>
                          <w:rFonts w:asciiTheme="majorHAnsi" w:hAnsiTheme="majorHAnsi"/>
                          <w:color w:val="595959" w:themeColor="text1" w:themeTint="A6"/>
                          <w:sz w:val="18"/>
                          <w:lang w:val="en-GB"/>
                        </w:rPr>
                        <w:t>/</w:t>
                      </w:r>
                      <w:r w:rsidR="002F2697" w:rsidRPr="005C0B9C">
                        <w:rPr>
                          <w:rFonts w:asciiTheme="majorHAnsi" w:hAnsiTheme="majorHAnsi"/>
                          <w:color w:val="595959" w:themeColor="text1" w:themeTint="A6"/>
                          <w:sz w:val="18"/>
                          <w:lang w:val="en-GB"/>
                        </w:rPr>
                        <w:t>20</w:t>
                      </w:r>
                      <w:r w:rsidRPr="005C0B9C">
                        <w:rPr>
                          <w:rFonts w:asciiTheme="majorHAnsi" w:hAnsiTheme="majorHAnsi"/>
                          <w:color w:val="595959" w:themeColor="text1" w:themeTint="A6"/>
                          <w:sz w:val="18"/>
                          <w:lang w:val="en-GB"/>
                        </w:rPr>
                        <w:t xml:space="preserve">, </w:t>
                      </w:r>
                      <w:r w:rsidR="00F42B71" w:rsidRPr="005C0B9C">
                        <w:rPr>
                          <w:rFonts w:asciiTheme="majorHAnsi" w:hAnsiTheme="majorHAnsi"/>
                          <w:color w:val="595959" w:themeColor="text1" w:themeTint="A6"/>
                          <w:sz w:val="18"/>
                          <w:lang w:val="en-GB"/>
                        </w:rPr>
                        <w:t xml:space="preserve">Petition </w:t>
                      </w:r>
                      <w:r w:rsidR="005C0B9C" w:rsidRPr="005C0B9C">
                        <w:rPr>
                          <w:rFonts w:asciiTheme="majorHAnsi" w:hAnsiTheme="majorHAnsi"/>
                          <w:color w:val="595959" w:themeColor="text1" w:themeTint="A6"/>
                          <w:sz w:val="18"/>
                          <w:lang w:val="en-GB"/>
                        </w:rPr>
                        <w:t>514-09</w:t>
                      </w:r>
                      <w:r w:rsidRPr="005C0B9C">
                        <w:rPr>
                          <w:rFonts w:asciiTheme="majorHAnsi" w:hAnsiTheme="majorHAnsi"/>
                          <w:color w:val="595959" w:themeColor="text1" w:themeTint="A6"/>
                          <w:sz w:val="18"/>
                          <w:lang w:val="en-GB"/>
                        </w:rPr>
                        <w:t>.</w:t>
                      </w:r>
                      <w:r w:rsidR="009E566A" w:rsidRPr="005C0B9C">
                        <w:rPr>
                          <w:rFonts w:asciiTheme="majorHAnsi" w:hAnsiTheme="majorHAnsi"/>
                          <w:color w:val="595959" w:themeColor="text1" w:themeTint="A6"/>
                          <w:sz w:val="18"/>
                          <w:lang w:val="en-GB"/>
                        </w:rPr>
                        <w:t xml:space="preserve"> </w:t>
                      </w:r>
                      <w:r w:rsidR="00F42B71" w:rsidRPr="005C0B9C">
                        <w:rPr>
                          <w:rFonts w:asciiTheme="majorHAnsi" w:hAnsiTheme="majorHAnsi"/>
                          <w:color w:val="595959" w:themeColor="text1" w:themeTint="A6"/>
                          <w:sz w:val="18"/>
                        </w:rPr>
                        <w:t>Admissibility</w:t>
                      </w:r>
                      <w:r w:rsidRPr="005C0B9C">
                        <w:rPr>
                          <w:rFonts w:asciiTheme="majorHAnsi" w:hAnsiTheme="majorHAnsi"/>
                          <w:color w:val="595959" w:themeColor="text1" w:themeTint="A6"/>
                          <w:sz w:val="18"/>
                        </w:rPr>
                        <w:t xml:space="preserve">. </w:t>
                      </w:r>
                      <w:proofErr w:type="spellStart"/>
                      <w:r w:rsidR="005C0B9C" w:rsidRPr="005C0B9C">
                        <w:rPr>
                          <w:rFonts w:asciiTheme="majorHAnsi" w:hAnsiTheme="majorHAnsi"/>
                          <w:color w:val="595959" w:themeColor="text1" w:themeTint="A6"/>
                          <w:sz w:val="18"/>
                        </w:rPr>
                        <w:t>Anselmo</w:t>
                      </w:r>
                      <w:proofErr w:type="spellEnd"/>
                      <w:r w:rsidR="005C0B9C" w:rsidRPr="005C0B9C">
                        <w:rPr>
                          <w:rFonts w:asciiTheme="majorHAnsi" w:hAnsiTheme="majorHAnsi"/>
                          <w:color w:val="595959" w:themeColor="text1" w:themeTint="A6"/>
                          <w:sz w:val="18"/>
                        </w:rPr>
                        <w:t xml:space="preserve"> </w:t>
                      </w:r>
                      <w:proofErr w:type="spellStart"/>
                      <w:r w:rsidR="005C0B9C" w:rsidRPr="005C0B9C">
                        <w:rPr>
                          <w:rFonts w:asciiTheme="majorHAnsi" w:hAnsiTheme="majorHAnsi"/>
                          <w:color w:val="595959" w:themeColor="text1" w:themeTint="A6"/>
                          <w:sz w:val="18"/>
                        </w:rPr>
                        <w:t>Joaquín</w:t>
                      </w:r>
                      <w:proofErr w:type="spellEnd"/>
                      <w:r w:rsidR="005C0B9C" w:rsidRPr="005C0B9C">
                        <w:rPr>
                          <w:rFonts w:asciiTheme="majorHAnsi" w:hAnsiTheme="majorHAnsi"/>
                          <w:color w:val="595959" w:themeColor="text1" w:themeTint="A6"/>
                          <w:sz w:val="18"/>
                        </w:rPr>
                        <w:t xml:space="preserve"> McDonald </w:t>
                      </w:r>
                      <w:proofErr w:type="spellStart"/>
                      <w:r w:rsidR="005C0B9C" w:rsidRPr="005C0B9C">
                        <w:rPr>
                          <w:rFonts w:asciiTheme="majorHAnsi" w:hAnsiTheme="majorHAnsi"/>
                          <w:color w:val="595959" w:themeColor="text1" w:themeTint="A6"/>
                          <w:sz w:val="18"/>
                        </w:rPr>
                        <w:t>Posso</w:t>
                      </w:r>
                      <w:proofErr w:type="spellEnd"/>
                      <w:r w:rsidRPr="005C0B9C">
                        <w:rPr>
                          <w:rFonts w:asciiTheme="majorHAnsi" w:hAnsiTheme="majorHAnsi"/>
                          <w:color w:val="595959" w:themeColor="text1" w:themeTint="A6"/>
                          <w:sz w:val="18"/>
                        </w:rPr>
                        <w:t xml:space="preserve">. </w:t>
                      </w:r>
                      <w:r w:rsidR="005C0B9C" w:rsidRPr="005C0B9C">
                        <w:rPr>
                          <w:rFonts w:asciiTheme="majorHAnsi" w:hAnsiTheme="majorHAnsi"/>
                          <w:color w:val="595959" w:themeColor="text1" w:themeTint="A6"/>
                          <w:sz w:val="18"/>
                        </w:rPr>
                        <w:t>Panama</w:t>
                      </w:r>
                      <w:r w:rsidR="00022CF5" w:rsidRPr="005C0B9C">
                        <w:rPr>
                          <w:rFonts w:asciiTheme="majorHAnsi" w:hAnsiTheme="majorHAnsi"/>
                          <w:color w:val="595959" w:themeColor="text1" w:themeTint="A6"/>
                          <w:sz w:val="18"/>
                        </w:rPr>
                        <w:t>.</w:t>
                      </w:r>
                      <w:r w:rsidR="00752199">
                        <w:rPr>
                          <w:rFonts w:asciiTheme="majorHAnsi" w:hAnsiTheme="majorHAnsi"/>
                          <w:color w:val="595959" w:themeColor="text1" w:themeTint="A6"/>
                          <w:sz w:val="18"/>
                        </w:rPr>
                        <w:t xml:space="preserve"> June 1,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7C2387A9">
                <wp:simplePos x="0" y="0"/>
                <wp:positionH relativeFrom="column">
                  <wp:posOffset>1185182</wp:posOffset>
                </wp:positionH>
                <wp:positionV relativeFrom="page">
                  <wp:posOffset>8975090</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3.3pt;margin-top:706.7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w10:wrap anchory="page"/>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07BAC5C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5219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07BAC5CC"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5219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7CF49445" w:rsidR="00261E08" w:rsidRPr="003A5566" w:rsidRDefault="005C0B9C" w:rsidP="009163FC">
            <w:pPr>
              <w:jc w:val="both"/>
              <w:rPr>
                <w:rFonts w:asciiTheme="majorHAnsi" w:hAnsiTheme="majorHAnsi"/>
                <w:bCs/>
                <w:sz w:val="19"/>
                <w:szCs w:val="19"/>
              </w:rPr>
            </w:pPr>
            <w:proofErr w:type="spellStart"/>
            <w:r>
              <w:rPr>
                <w:rFonts w:asciiTheme="majorHAnsi" w:hAnsiTheme="majorHAnsi"/>
                <w:bCs/>
                <w:sz w:val="19"/>
                <w:szCs w:val="19"/>
              </w:rPr>
              <w:t>Anselmo</w:t>
            </w:r>
            <w:proofErr w:type="spellEnd"/>
            <w:r>
              <w:rPr>
                <w:rFonts w:asciiTheme="majorHAnsi" w:hAnsiTheme="majorHAnsi"/>
                <w:bCs/>
                <w:sz w:val="19"/>
                <w:szCs w:val="19"/>
              </w:rPr>
              <w:t xml:space="preserve"> Joaquín McDonald </w:t>
            </w:r>
            <w:proofErr w:type="spellStart"/>
            <w:r>
              <w:rPr>
                <w:rFonts w:asciiTheme="majorHAnsi" w:hAnsiTheme="majorHAnsi"/>
                <w:bCs/>
                <w:sz w:val="19"/>
                <w:szCs w:val="19"/>
              </w:rPr>
              <w:t>Posso</w:t>
            </w:r>
            <w:proofErr w:type="spellEnd"/>
          </w:p>
        </w:tc>
      </w:tr>
      <w:tr w:rsidR="00261E08" w:rsidRPr="003A5566"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71969CFD" w:rsidR="00261E08" w:rsidRPr="003A5566" w:rsidRDefault="005C0B9C" w:rsidP="009163FC">
            <w:pPr>
              <w:jc w:val="both"/>
              <w:rPr>
                <w:rFonts w:asciiTheme="majorHAnsi" w:hAnsiTheme="majorHAnsi"/>
                <w:bCs/>
                <w:sz w:val="19"/>
                <w:szCs w:val="19"/>
              </w:rPr>
            </w:pPr>
            <w:proofErr w:type="spellStart"/>
            <w:r>
              <w:rPr>
                <w:rFonts w:asciiTheme="majorHAnsi" w:hAnsiTheme="majorHAnsi"/>
                <w:bCs/>
                <w:sz w:val="19"/>
                <w:szCs w:val="19"/>
              </w:rPr>
              <w:t>Anselmo</w:t>
            </w:r>
            <w:proofErr w:type="spellEnd"/>
            <w:r>
              <w:rPr>
                <w:rFonts w:asciiTheme="majorHAnsi" w:hAnsiTheme="majorHAnsi"/>
                <w:bCs/>
                <w:sz w:val="19"/>
                <w:szCs w:val="19"/>
              </w:rPr>
              <w:t xml:space="preserve"> Joaquín McDonald </w:t>
            </w:r>
            <w:proofErr w:type="spellStart"/>
            <w:r>
              <w:rPr>
                <w:rFonts w:asciiTheme="majorHAnsi" w:hAnsiTheme="majorHAnsi"/>
                <w:bCs/>
                <w:sz w:val="19"/>
                <w:szCs w:val="19"/>
              </w:rPr>
              <w:t>Posso</w:t>
            </w:r>
            <w:proofErr w:type="spellEnd"/>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4FF21B2D" w:rsidR="00261E08" w:rsidRPr="003A5566" w:rsidRDefault="005C0B9C" w:rsidP="009163FC">
            <w:pPr>
              <w:jc w:val="both"/>
              <w:rPr>
                <w:rFonts w:asciiTheme="majorHAnsi" w:hAnsiTheme="majorHAnsi"/>
                <w:bCs/>
                <w:sz w:val="19"/>
                <w:szCs w:val="19"/>
              </w:rPr>
            </w:pPr>
            <w:r>
              <w:rPr>
                <w:rFonts w:asciiTheme="majorHAnsi" w:hAnsiTheme="majorHAnsi"/>
                <w:bCs/>
                <w:sz w:val="19"/>
                <w:szCs w:val="19"/>
              </w:rPr>
              <w:t>Panama</w:t>
            </w:r>
            <w:r>
              <w:rPr>
                <w:rStyle w:val="FootnoteReference"/>
                <w:rFonts w:asciiTheme="majorHAnsi" w:hAnsiTheme="majorHAnsi"/>
                <w:bCs/>
                <w:sz w:val="19"/>
                <w:szCs w:val="19"/>
              </w:rPr>
              <w:footnoteReference w:id="2"/>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3827B744" w:rsidR="00261E08" w:rsidRPr="003A5566" w:rsidRDefault="005C0B9C" w:rsidP="00261E08">
            <w:pPr>
              <w:jc w:val="both"/>
              <w:rPr>
                <w:rFonts w:asciiTheme="majorHAnsi" w:hAnsiTheme="majorHAnsi"/>
                <w:bCs/>
                <w:sz w:val="19"/>
                <w:szCs w:val="19"/>
              </w:rPr>
            </w:pPr>
            <w:r>
              <w:rPr>
                <w:rFonts w:asciiTheme="majorHAnsi" w:hAnsiTheme="majorHAnsi"/>
                <w:bCs/>
                <w:sz w:val="19"/>
                <w:szCs w:val="19"/>
              </w:rPr>
              <w:t>The petitioner does not specify any article but broadly refers to violations of the American Convention on Human Rights,</w:t>
            </w:r>
            <w:r>
              <w:rPr>
                <w:rStyle w:val="FootnoteReference"/>
                <w:rFonts w:asciiTheme="majorHAnsi" w:hAnsiTheme="majorHAnsi"/>
                <w:bCs/>
                <w:sz w:val="19"/>
                <w:szCs w:val="19"/>
              </w:rPr>
              <w:footnoteReference w:id="3"/>
            </w:r>
            <w:r>
              <w:rPr>
                <w:rFonts w:asciiTheme="majorHAnsi" w:hAnsiTheme="majorHAnsi"/>
                <w:bCs/>
                <w:sz w:val="19"/>
                <w:szCs w:val="19"/>
              </w:rPr>
              <w:t xml:space="preserve"> the Inter-American Convention on the Elimination of All Forms of Violence against Persons</w:t>
            </w:r>
            <w:r w:rsidR="00BE599D">
              <w:rPr>
                <w:rFonts w:asciiTheme="majorHAnsi" w:hAnsiTheme="majorHAnsi"/>
                <w:bCs/>
                <w:sz w:val="19"/>
                <w:szCs w:val="19"/>
              </w:rPr>
              <w:t xml:space="preserve"> with Disabilities</w:t>
            </w:r>
            <w:r>
              <w:rPr>
                <w:rFonts w:asciiTheme="majorHAnsi" w:hAnsiTheme="majorHAnsi"/>
                <w:bCs/>
                <w:sz w:val="19"/>
                <w:szCs w:val="19"/>
              </w:rPr>
              <w:t xml:space="preserve"> and the Convention on the Rights of Pe</w:t>
            </w:r>
            <w:r w:rsidR="0023122D">
              <w:rPr>
                <w:rFonts w:asciiTheme="majorHAnsi" w:hAnsiTheme="majorHAnsi"/>
                <w:bCs/>
                <w:sz w:val="19"/>
                <w:szCs w:val="19"/>
              </w:rPr>
              <w:t>rsons with Disabilities</w:t>
            </w:r>
            <w:r>
              <w:rPr>
                <w:rFonts w:asciiTheme="majorHAnsi" w:hAnsiTheme="majorHAnsi"/>
                <w:bCs/>
                <w:sz w:val="19"/>
                <w:szCs w:val="19"/>
              </w:rPr>
              <w:t xml:space="preserve"> and the Optional Protocol on the Rights of </w:t>
            </w:r>
            <w:r w:rsidR="0023122D">
              <w:rPr>
                <w:rFonts w:asciiTheme="majorHAnsi" w:hAnsiTheme="majorHAnsi"/>
                <w:bCs/>
                <w:sz w:val="19"/>
                <w:szCs w:val="19"/>
              </w:rPr>
              <w:t>Persons with Disabilities</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4D2E9137" w:rsidR="00261E08" w:rsidRPr="003A5566" w:rsidRDefault="005C0B9C" w:rsidP="009163FC">
            <w:pPr>
              <w:jc w:val="both"/>
              <w:rPr>
                <w:rFonts w:asciiTheme="majorHAnsi" w:hAnsiTheme="majorHAnsi"/>
                <w:bCs/>
                <w:sz w:val="19"/>
                <w:szCs w:val="19"/>
              </w:rPr>
            </w:pPr>
            <w:r>
              <w:rPr>
                <w:rFonts w:asciiTheme="majorHAnsi" w:hAnsiTheme="majorHAnsi"/>
                <w:bCs/>
                <w:sz w:val="19"/>
                <w:szCs w:val="19"/>
              </w:rPr>
              <w:t>April 29, 2009</w:t>
            </w:r>
          </w:p>
        </w:tc>
      </w:tr>
      <w:tr w:rsidR="00261E08" w:rsidRPr="003A5566"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3A5566" w:rsidRDefault="00261E08" w:rsidP="00C355B4">
            <w:pPr>
              <w:jc w:val="center"/>
              <w:rPr>
                <w:rFonts w:asciiTheme="majorHAnsi" w:hAnsiTheme="majorHAnsi"/>
                <w:color w:val="FFFFFF" w:themeColor="background1"/>
                <w:sz w:val="19"/>
                <w:szCs w:val="19"/>
              </w:rPr>
            </w:pPr>
            <w:r w:rsidRPr="003A5566">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07736010" w:rsidR="00261E08" w:rsidRPr="003A5566" w:rsidRDefault="005C0B9C" w:rsidP="009163FC">
            <w:pPr>
              <w:jc w:val="both"/>
              <w:rPr>
                <w:rFonts w:asciiTheme="majorHAnsi" w:hAnsiTheme="majorHAnsi"/>
                <w:bCs/>
                <w:sz w:val="19"/>
                <w:szCs w:val="19"/>
              </w:rPr>
            </w:pPr>
            <w:r>
              <w:rPr>
                <w:rFonts w:asciiTheme="majorHAnsi" w:hAnsiTheme="majorHAnsi"/>
                <w:bCs/>
                <w:sz w:val="19"/>
                <w:szCs w:val="19"/>
              </w:rPr>
              <w:t>June 13 and 19</w:t>
            </w:r>
            <w:r w:rsidR="00870804">
              <w:rPr>
                <w:rFonts w:asciiTheme="majorHAnsi" w:hAnsiTheme="majorHAnsi"/>
                <w:bCs/>
                <w:sz w:val="19"/>
                <w:szCs w:val="19"/>
              </w:rPr>
              <w:t>,</w:t>
            </w:r>
            <w:r w:rsidR="008C4F67">
              <w:rPr>
                <w:rFonts w:asciiTheme="majorHAnsi" w:hAnsiTheme="majorHAnsi"/>
                <w:bCs/>
                <w:sz w:val="19"/>
                <w:szCs w:val="19"/>
              </w:rPr>
              <w:t xml:space="preserve"> and </w:t>
            </w:r>
            <w:r>
              <w:rPr>
                <w:rFonts w:asciiTheme="majorHAnsi" w:hAnsiTheme="majorHAnsi"/>
                <w:bCs/>
                <w:sz w:val="19"/>
                <w:szCs w:val="19"/>
              </w:rPr>
              <w:t>November 15, 2013</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6D057475" w:rsidR="00261E08" w:rsidRPr="003A5566" w:rsidRDefault="00BE599D" w:rsidP="009163FC">
            <w:pPr>
              <w:jc w:val="both"/>
              <w:rPr>
                <w:rFonts w:asciiTheme="majorHAnsi" w:hAnsiTheme="majorHAnsi"/>
                <w:bCs/>
                <w:sz w:val="19"/>
                <w:szCs w:val="19"/>
              </w:rPr>
            </w:pPr>
            <w:r>
              <w:rPr>
                <w:rFonts w:asciiTheme="majorHAnsi" w:hAnsiTheme="majorHAnsi"/>
                <w:bCs/>
                <w:sz w:val="19"/>
                <w:szCs w:val="19"/>
              </w:rPr>
              <w:t>November 27,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3F5E7647" w:rsidR="00261E08" w:rsidRPr="003A5566" w:rsidRDefault="00BE599D" w:rsidP="009163FC">
            <w:pPr>
              <w:jc w:val="both"/>
              <w:rPr>
                <w:rFonts w:asciiTheme="majorHAnsi" w:hAnsiTheme="majorHAnsi"/>
                <w:bCs/>
                <w:sz w:val="19"/>
                <w:szCs w:val="19"/>
              </w:rPr>
            </w:pPr>
            <w:r>
              <w:rPr>
                <w:rFonts w:asciiTheme="majorHAnsi" w:hAnsiTheme="majorHAnsi"/>
                <w:bCs/>
                <w:sz w:val="19"/>
                <w:szCs w:val="19"/>
              </w:rPr>
              <w:t>May 3, 2018</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78664C53" w:rsidR="00261E08" w:rsidRPr="003A5566" w:rsidRDefault="00BE599D" w:rsidP="009163FC">
            <w:pPr>
              <w:jc w:val="both"/>
              <w:rPr>
                <w:rFonts w:asciiTheme="majorHAnsi" w:hAnsiTheme="majorHAnsi"/>
                <w:bCs/>
                <w:sz w:val="19"/>
                <w:szCs w:val="19"/>
              </w:rPr>
            </w:pPr>
            <w:r>
              <w:rPr>
                <w:rFonts w:asciiTheme="majorHAnsi" w:hAnsiTheme="majorHAnsi"/>
                <w:bCs/>
                <w:sz w:val="19"/>
                <w:szCs w:val="19"/>
              </w:rPr>
              <w:t>August 6, 2018</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5FFCF67E" w:rsidR="00261E08" w:rsidRPr="003A5566" w:rsidRDefault="00BE599D" w:rsidP="009163FC">
            <w:pPr>
              <w:jc w:val="both"/>
              <w:rPr>
                <w:rFonts w:asciiTheme="majorHAnsi" w:hAnsiTheme="majorHAnsi"/>
                <w:bCs/>
                <w:sz w:val="19"/>
                <w:szCs w:val="19"/>
              </w:rPr>
            </w:pPr>
            <w:r>
              <w:rPr>
                <w:rFonts w:asciiTheme="majorHAnsi" w:hAnsiTheme="majorHAnsi"/>
                <w:bCs/>
                <w:sz w:val="19"/>
                <w:szCs w:val="19"/>
              </w:rPr>
              <w:t>June 11, 2019</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261E08" w:rsidRPr="003A5566" w14:paraId="684F4233" w14:textId="77777777" w:rsidTr="008C0A9C">
        <w:trPr>
          <w:cantSplit/>
        </w:trPr>
        <w:tc>
          <w:tcPr>
            <w:tcW w:w="2763" w:type="dxa"/>
            <w:tcBorders>
              <w:top w:val="single" w:sz="4" w:space="0" w:color="auto"/>
              <w:left w:val="single" w:sz="4" w:space="0" w:color="auto"/>
              <w:right w:val="single" w:sz="4"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tcBorders>
              <w:left w:val="single" w:sz="4" w:space="0" w:color="auto"/>
            </w:tcBorders>
            <w:vAlign w:val="center"/>
          </w:tcPr>
          <w:p w14:paraId="21522B2E" w14:textId="352580B1" w:rsidR="00261E08" w:rsidRPr="003A5566" w:rsidRDefault="00BE599D" w:rsidP="009163FC">
            <w:pPr>
              <w:rPr>
                <w:rFonts w:asciiTheme="majorHAnsi" w:hAnsiTheme="majorHAnsi"/>
                <w:bCs/>
                <w:sz w:val="19"/>
                <w:szCs w:val="19"/>
              </w:rPr>
            </w:pPr>
            <w:r>
              <w:rPr>
                <w:rFonts w:asciiTheme="majorHAnsi" w:hAnsiTheme="majorHAnsi"/>
                <w:bCs/>
                <w:sz w:val="19"/>
                <w:szCs w:val="19"/>
              </w:rPr>
              <w:t>Yes</w:t>
            </w:r>
          </w:p>
        </w:tc>
      </w:tr>
      <w:tr w:rsidR="00BE599D" w:rsidRPr="003A5566" w14:paraId="6438DD58" w14:textId="77777777" w:rsidTr="008C0A9C">
        <w:trPr>
          <w:cantSplit/>
        </w:trPr>
        <w:tc>
          <w:tcPr>
            <w:tcW w:w="2763" w:type="dxa"/>
            <w:tcBorders>
              <w:left w:val="single" w:sz="4" w:space="0" w:color="auto"/>
              <w:bottom w:val="single" w:sz="4" w:space="0" w:color="auto"/>
              <w:right w:val="single" w:sz="4" w:space="0" w:color="auto"/>
            </w:tcBorders>
            <w:shd w:val="clear" w:color="auto" w:fill="67AE3C"/>
            <w:vAlign w:val="center"/>
          </w:tcPr>
          <w:p w14:paraId="43AB8B19" w14:textId="6682D917" w:rsidR="00BE599D" w:rsidRPr="003A5566" w:rsidRDefault="00BE599D" w:rsidP="00BE599D">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tcBorders>
              <w:left w:val="single" w:sz="4" w:space="0" w:color="auto"/>
              <w:bottom w:val="single" w:sz="4" w:space="0" w:color="auto"/>
            </w:tcBorders>
          </w:tcPr>
          <w:p w14:paraId="27041F7E" w14:textId="46E477A9" w:rsidR="00BE599D" w:rsidRPr="003A5566" w:rsidRDefault="00BE599D" w:rsidP="00BE599D">
            <w:pPr>
              <w:rPr>
                <w:rFonts w:asciiTheme="majorHAnsi" w:hAnsiTheme="majorHAnsi"/>
                <w:bCs/>
                <w:sz w:val="19"/>
                <w:szCs w:val="19"/>
              </w:rPr>
            </w:pPr>
            <w:r w:rsidRPr="00D52F42">
              <w:rPr>
                <w:rFonts w:asciiTheme="majorHAnsi" w:hAnsiTheme="majorHAnsi"/>
                <w:bCs/>
                <w:sz w:val="19"/>
                <w:szCs w:val="19"/>
              </w:rPr>
              <w:t>Yes</w:t>
            </w:r>
          </w:p>
        </w:tc>
      </w:tr>
      <w:tr w:rsidR="00BE599D" w:rsidRPr="003A5566" w14:paraId="5140C2B6" w14:textId="77777777" w:rsidTr="008C0A9C">
        <w:trPr>
          <w:cantSplit/>
        </w:trPr>
        <w:tc>
          <w:tcPr>
            <w:tcW w:w="2763" w:type="dxa"/>
            <w:tcBorders>
              <w:left w:val="single" w:sz="4" w:space="0" w:color="auto"/>
              <w:bottom w:val="single" w:sz="4" w:space="0" w:color="auto"/>
              <w:right w:val="single" w:sz="4" w:space="0" w:color="auto"/>
            </w:tcBorders>
            <w:shd w:val="clear" w:color="auto" w:fill="67AE3C"/>
            <w:vAlign w:val="center"/>
          </w:tcPr>
          <w:p w14:paraId="74905820" w14:textId="44CF3A98" w:rsidR="00BE599D" w:rsidRPr="003A5566" w:rsidRDefault="00BE599D" w:rsidP="00BE599D">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tcBorders>
              <w:left w:val="single" w:sz="4" w:space="0" w:color="auto"/>
              <w:bottom w:val="single" w:sz="4" w:space="0" w:color="auto"/>
            </w:tcBorders>
          </w:tcPr>
          <w:p w14:paraId="6091B7B0" w14:textId="45CF7040" w:rsidR="00BE599D" w:rsidRPr="003A5566" w:rsidRDefault="00BE599D" w:rsidP="00BE599D">
            <w:pPr>
              <w:rPr>
                <w:rFonts w:asciiTheme="majorHAnsi" w:hAnsiTheme="majorHAnsi"/>
                <w:bCs/>
                <w:sz w:val="19"/>
                <w:szCs w:val="19"/>
              </w:rPr>
            </w:pPr>
            <w:r w:rsidRPr="00D52F42">
              <w:rPr>
                <w:rFonts w:asciiTheme="majorHAnsi" w:hAnsiTheme="majorHAnsi"/>
                <w:bCs/>
                <w:sz w:val="19"/>
                <w:szCs w:val="19"/>
              </w:rPr>
              <w:t>Yes</w:t>
            </w:r>
          </w:p>
        </w:tc>
      </w:tr>
      <w:tr w:rsidR="00BE599D" w:rsidRPr="003A5566" w14:paraId="33238134" w14:textId="77777777" w:rsidTr="008C0A9C">
        <w:trPr>
          <w:cantSplit/>
        </w:trPr>
        <w:tc>
          <w:tcPr>
            <w:tcW w:w="2763" w:type="dxa"/>
            <w:tcBorders>
              <w:top w:val="single" w:sz="4" w:space="0" w:color="auto"/>
              <w:left w:val="single" w:sz="4" w:space="0" w:color="auto"/>
              <w:bottom w:val="single" w:sz="4" w:space="0" w:color="auto"/>
              <w:right w:val="single" w:sz="4" w:space="0" w:color="auto"/>
            </w:tcBorders>
            <w:shd w:val="clear" w:color="auto" w:fill="67AE3C"/>
            <w:vAlign w:val="center"/>
          </w:tcPr>
          <w:p w14:paraId="3C7AAFE9" w14:textId="5D07C0FE" w:rsidR="00BE599D" w:rsidRPr="003A5566" w:rsidRDefault="00BE599D" w:rsidP="00BE599D">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tcBorders>
              <w:top w:val="single" w:sz="4" w:space="0" w:color="auto"/>
              <w:left w:val="single" w:sz="4" w:space="0" w:color="auto"/>
            </w:tcBorders>
          </w:tcPr>
          <w:p w14:paraId="49BB57C8" w14:textId="0B2C4924" w:rsidR="00BE599D" w:rsidRPr="003A5566" w:rsidRDefault="00BE599D" w:rsidP="00BE599D">
            <w:pPr>
              <w:jc w:val="both"/>
              <w:rPr>
                <w:rFonts w:asciiTheme="majorHAnsi" w:hAnsiTheme="majorHAnsi"/>
                <w:bCs/>
                <w:sz w:val="19"/>
                <w:szCs w:val="19"/>
              </w:rPr>
            </w:pPr>
            <w:r w:rsidRPr="00D52F42">
              <w:rPr>
                <w:rFonts w:asciiTheme="majorHAnsi" w:hAnsiTheme="majorHAnsi"/>
                <w:bCs/>
                <w:sz w:val="19"/>
                <w:szCs w:val="19"/>
              </w:rPr>
              <w:t>Yes</w:t>
            </w:r>
            <w:r>
              <w:rPr>
                <w:rFonts w:asciiTheme="majorHAnsi" w:hAnsiTheme="majorHAnsi"/>
                <w:bCs/>
                <w:sz w:val="19"/>
                <w:szCs w:val="19"/>
              </w:rPr>
              <w:t xml:space="preserve">, American Convention (deposit of instrument </w:t>
            </w:r>
            <w:r w:rsidR="001032EC">
              <w:rPr>
                <w:rFonts w:asciiTheme="majorHAnsi" w:hAnsiTheme="majorHAnsi"/>
                <w:bCs/>
                <w:sz w:val="19"/>
                <w:szCs w:val="19"/>
              </w:rPr>
              <w:t xml:space="preserve">of ratification </w:t>
            </w:r>
            <w:r>
              <w:rPr>
                <w:rFonts w:asciiTheme="majorHAnsi" w:hAnsiTheme="majorHAnsi"/>
                <w:bCs/>
                <w:sz w:val="19"/>
                <w:szCs w:val="19"/>
              </w:rPr>
              <w:t xml:space="preserve">on </w:t>
            </w:r>
            <w:r w:rsidR="00375EF6">
              <w:rPr>
                <w:rFonts w:asciiTheme="majorHAnsi" w:hAnsiTheme="majorHAnsi"/>
                <w:bCs/>
                <w:sz w:val="19"/>
                <w:szCs w:val="19"/>
              </w:rPr>
              <w:t>June</w:t>
            </w:r>
            <w:r>
              <w:rPr>
                <w:rFonts w:asciiTheme="majorHAnsi" w:hAnsiTheme="majorHAnsi"/>
                <w:bCs/>
                <w:sz w:val="19"/>
                <w:szCs w:val="19"/>
              </w:rPr>
              <w:t xml:space="preserve"> 2</w:t>
            </w:r>
            <w:r w:rsidR="00375EF6">
              <w:rPr>
                <w:rFonts w:asciiTheme="majorHAnsi" w:hAnsiTheme="majorHAnsi"/>
                <w:bCs/>
                <w:sz w:val="19"/>
                <w:szCs w:val="19"/>
              </w:rPr>
              <w:t>2</w:t>
            </w:r>
            <w:r>
              <w:rPr>
                <w:rFonts w:asciiTheme="majorHAnsi" w:hAnsiTheme="majorHAnsi"/>
                <w:bCs/>
                <w:sz w:val="19"/>
                <w:szCs w:val="19"/>
              </w:rPr>
              <w:t>, 1978)</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261E08" w:rsidRPr="003A5566" w14:paraId="47EC0E6D" w14:textId="77777777" w:rsidTr="008C4F67">
        <w:trPr>
          <w:cantSplit/>
        </w:trPr>
        <w:tc>
          <w:tcPr>
            <w:tcW w:w="2767" w:type="dxa"/>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10B54DD4" w:rsidR="00261E08" w:rsidRPr="003A5566" w:rsidRDefault="001032EC"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8C4F67">
        <w:trPr>
          <w:cantSplit/>
        </w:trPr>
        <w:tc>
          <w:tcPr>
            <w:tcW w:w="2767" w:type="dxa"/>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7F13B29E" w:rsidR="00261E08" w:rsidRPr="003A5566" w:rsidRDefault="001032EC" w:rsidP="009163FC">
            <w:pPr>
              <w:jc w:val="both"/>
              <w:rPr>
                <w:rFonts w:asciiTheme="majorHAnsi" w:hAnsiTheme="majorHAnsi"/>
                <w:bCs/>
                <w:sz w:val="19"/>
                <w:szCs w:val="19"/>
              </w:rPr>
            </w:pPr>
            <w:r>
              <w:rPr>
                <w:rFonts w:asciiTheme="majorHAnsi" w:hAnsiTheme="majorHAnsi"/>
                <w:bCs/>
                <w:sz w:val="19"/>
                <w:szCs w:val="19"/>
              </w:rPr>
              <w:t>Articles 8 (fair trial), 24 (equal protection), 25 (judicial protection) and 26 (progressive development) of the American Convention, in relation to Articles 1 (obligation to respect rights) and 2 (domestic legal effects)</w:t>
            </w:r>
            <w:r w:rsidR="008C4F67">
              <w:rPr>
                <w:rFonts w:asciiTheme="majorHAnsi" w:hAnsiTheme="majorHAnsi"/>
                <w:bCs/>
                <w:sz w:val="19"/>
                <w:szCs w:val="19"/>
              </w:rPr>
              <w:t xml:space="preserve"> thereof</w:t>
            </w:r>
          </w:p>
        </w:tc>
      </w:tr>
      <w:tr w:rsidR="00261E08" w:rsidRPr="003A5566" w14:paraId="77899B94" w14:textId="77777777" w:rsidTr="008C4F67">
        <w:trPr>
          <w:cantSplit/>
        </w:trPr>
        <w:tc>
          <w:tcPr>
            <w:tcW w:w="2767" w:type="dxa"/>
            <w:shd w:val="clear" w:color="auto" w:fill="67AE3C"/>
            <w:vAlign w:val="center"/>
          </w:tcPr>
          <w:p w14:paraId="754CDE32" w14:textId="49EDAE01"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0458D253" w:rsidR="00261E08" w:rsidRPr="003A5566" w:rsidRDefault="001032EC" w:rsidP="009163FC">
            <w:pPr>
              <w:rPr>
                <w:rFonts w:asciiTheme="majorHAnsi" w:hAnsiTheme="majorHAnsi"/>
                <w:bCs/>
                <w:sz w:val="19"/>
                <w:szCs w:val="19"/>
              </w:rPr>
            </w:pPr>
            <w:r>
              <w:rPr>
                <w:rFonts w:asciiTheme="majorHAnsi" w:hAnsiTheme="majorHAnsi"/>
                <w:bCs/>
                <w:sz w:val="19"/>
                <w:szCs w:val="19"/>
              </w:rPr>
              <w:t xml:space="preserve">Yes, under the terms </w:t>
            </w:r>
            <w:r w:rsidR="008C4F67">
              <w:rPr>
                <w:rFonts w:asciiTheme="majorHAnsi" w:hAnsiTheme="majorHAnsi"/>
                <w:bCs/>
                <w:sz w:val="19"/>
                <w:szCs w:val="19"/>
              </w:rPr>
              <w:t xml:space="preserve">of section </w:t>
            </w:r>
            <w:r>
              <w:rPr>
                <w:rFonts w:asciiTheme="majorHAnsi" w:hAnsiTheme="majorHAnsi"/>
                <w:bCs/>
                <w:sz w:val="19"/>
                <w:szCs w:val="19"/>
              </w:rPr>
              <w:t>IV</w:t>
            </w:r>
          </w:p>
        </w:tc>
      </w:tr>
      <w:tr w:rsidR="00261E08" w:rsidRPr="003A5566" w14:paraId="4F59B7C5" w14:textId="77777777" w:rsidTr="008C4F67">
        <w:trPr>
          <w:cantSplit/>
        </w:trPr>
        <w:tc>
          <w:tcPr>
            <w:tcW w:w="2767" w:type="dxa"/>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7FFAC013" w:rsidR="00261E08" w:rsidRPr="003A5566" w:rsidRDefault="001032EC" w:rsidP="009163FC">
            <w:pPr>
              <w:rPr>
                <w:rFonts w:asciiTheme="majorHAnsi" w:hAnsiTheme="majorHAnsi"/>
                <w:bCs/>
                <w:sz w:val="19"/>
                <w:szCs w:val="19"/>
              </w:rPr>
            </w:pPr>
            <w:r>
              <w:rPr>
                <w:rFonts w:asciiTheme="majorHAnsi" w:hAnsiTheme="majorHAnsi"/>
                <w:bCs/>
                <w:sz w:val="19"/>
                <w:szCs w:val="19"/>
              </w:rPr>
              <w:t xml:space="preserve">Yes, under the terms </w:t>
            </w:r>
            <w:r w:rsidR="008C4F67">
              <w:rPr>
                <w:rFonts w:asciiTheme="majorHAnsi" w:hAnsiTheme="majorHAnsi"/>
                <w:bCs/>
                <w:sz w:val="19"/>
                <w:szCs w:val="19"/>
              </w:rPr>
              <w:t xml:space="preserve">of section </w:t>
            </w:r>
            <w:r>
              <w:rPr>
                <w:rFonts w:asciiTheme="majorHAnsi" w:hAnsiTheme="majorHAnsi"/>
                <w:bCs/>
                <w:sz w:val="19"/>
                <w:szCs w:val="19"/>
              </w:rPr>
              <w:t>IV</w:t>
            </w:r>
          </w:p>
        </w:tc>
      </w:tr>
    </w:tbl>
    <w:p w14:paraId="3FEBD323" w14:textId="207BB777"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FACTS</w:t>
      </w:r>
      <w:r w:rsidR="005C0B9C">
        <w:rPr>
          <w:rFonts w:asciiTheme="majorHAnsi" w:hAnsiTheme="majorHAnsi"/>
          <w:b/>
          <w:sz w:val="20"/>
          <w:szCs w:val="20"/>
        </w:rPr>
        <w:t xml:space="preserve"> </w:t>
      </w:r>
      <w:r w:rsidR="005C0B9C" w:rsidRPr="000B6B7A">
        <w:rPr>
          <w:rFonts w:asciiTheme="majorHAnsi" w:hAnsiTheme="majorHAnsi"/>
          <w:b/>
          <w:sz w:val="20"/>
          <w:szCs w:val="20"/>
        </w:rPr>
        <w:t>ALLEGED</w:t>
      </w:r>
      <w:r w:rsidRPr="000B6B7A">
        <w:rPr>
          <w:rFonts w:asciiTheme="majorHAnsi" w:hAnsiTheme="majorHAnsi"/>
          <w:b/>
          <w:sz w:val="20"/>
          <w:szCs w:val="20"/>
        </w:rPr>
        <w:t xml:space="preserve"> </w:t>
      </w:r>
    </w:p>
    <w:p w14:paraId="01616EF4" w14:textId="04093A65"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According to the petition, the State of Panama violated the human rights of </w:t>
      </w:r>
      <w:proofErr w:type="spellStart"/>
      <w:r>
        <w:rPr>
          <w:rFonts w:ascii="Cambria" w:hAnsi="Cambria"/>
          <w:sz w:val="20"/>
          <w:szCs w:val="20"/>
          <w:lang w:val="en"/>
        </w:rPr>
        <w:t>Anselmo</w:t>
      </w:r>
      <w:proofErr w:type="spellEnd"/>
      <w:r>
        <w:rPr>
          <w:rFonts w:ascii="Cambria" w:hAnsi="Cambria"/>
          <w:sz w:val="20"/>
          <w:szCs w:val="20"/>
          <w:lang w:val="en"/>
        </w:rPr>
        <w:t xml:space="preserve"> Joaquín McDonald </w:t>
      </w:r>
      <w:proofErr w:type="spellStart"/>
      <w:r>
        <w:rPr>
          <w:rFonts w:ascii="Cambria" w:hAnsi="Cambria"/>
          <w:sz w:val="20"/>
          <w:szCs w:val="20"/>
          <w:lang w:val="en"/>
        </w:rPr>
        <w:t>Posso</w:t>
      </w:r>
      <w:proofErr w:type="spellEnd"/>
      <w:r>
        <w:rPr>
          <w:rFonts w:ascii="Cambria" w:hAnsi="Cambria"/>
          <w:sz w:val="20"/>
          <w:szCs w:val="20"/>
          <w:lang w:val="en"/>
        </w:rPr>
        <w:t xml:space="preserve"> (hereinafter “the alleged victim”) since the Panamanian Ministry of Health did not grant his </w:t>
      </w:r>
      <w:r w:rsidR="00192670">
        <w:rPr>
          <w:rFonts w:ascii="Cambria" w:hAnsi="Cambria"/>
          <w:sz w:val="20"/>
          <w:szCs w:val="20"/>
          <w:lang w:val="en"/>
        </w:rPr>
        <w:t>petition</w:t>
      </w:r>
      <w:r>
        <w:rPr>
          <w:rFonts w:ascii="Cambria" w:hAnsi="Cambria"/>
          <w:sz w:val="20"/>
          <w:szCs w:val="20"/>
          <w:lang w:val="en"/>
        </w:rPr>
        <w:t xml:space="preserve"> seeking the physical accessibility of the hospital where he had to complete </w:t>
      </w:r>
      <w:r w:rsidR="00192670">
        <w:rPr>
          <w:rFonts w:ascii="Cambria" w:hAnsi="Cambria"/>
          <w:sz w:val="20"/>
          <w:szCs w:val="20"/>
          <w:lang w:val="en"/>
        </w:rPr>
        <w:t>the</w:t>
      </w:r>
      <w:r>
        <w:rPr>
          <w:rFonts w:ascii="Cambria" w:hAnsi="Cambria"/>
          <w:sz w:val="20"/>
          <w:szCs w:val="20"/>
          <w:lang w:val="en"/>
        </w:rPr>
        <w:t xml:space="preserve"> </w:t>
      </w:r>
      <w:r w:rsidR="00192670">
        <w:rPr>
          <w:rFonts w:ascii="Cambria" w:hAnsi="Cambria"/>
          <w:sz w:val="20"/>
          <w:szCs w:val="20"/>
          <w:lang w:val="en"/>
        </w:rPr>
        <w:t xml:space="preserve">medical </w:t>
      </w:r>
      <w:r>
        <w:rPr>
          <w:rFonts w:ascii="Cambria" w:hAnsi="Cambria"/>
          <w:sz w:val="20"/>
          <w:szCs w:val="20"/>
          <w:lang w:val="en"/>
        </w:rPr>
        <w:t xml:space="preserve">internship </w:t>
      </w:r>
      <w:r w:rsidR="00192670">
        <w:rPr>
          <w:rFonts w:ascii="Cambria" w:hAnsi="Cambria"/>
          <w:sz w:val="20"/>
          <w:szCs w:val="20"/>
          <w:lang w:val="en"/>
        </w:rPr>
        <w:t>required for</w:t>
      </w:r>
      <w:r>
        <w:rPr>
          <w:rFonts w:ascii="Cambria" w:hAnsi="Cambria"/>
          <w:sz w:val="20"/>
          <w:szCs w:val="20"/>
          <w:lang w:val="en"/>
        </w:rPr>
        <w:t xml:space="preserve"> </w:t>
      </w:r>
      <w:r w:rsidR="00280C35">
        <w:rPr>
          <w:rFonts w:ascii="Cambria" w:hAnsi="Cambria"/>
          <w:sz w:val="20"/>
          <w:szCs w:val="20"/>
          <w:lang w:val="en"/>
        </w:rPr>
        <w:t>a license for</w:t>
      </w:r>
      <w:r w:rsidR="00192670">
        <w:rPr>
          <w:rFonts w:ascii="Cambria" w:hAnsi="Cambria"/>
          <w:sz w:val="20"/>
          <w:szCs w:val="20"/>
          <w:lang w:val="en"/>
        </w:rPr>
        <w:t xml:space="preserve"> </w:t>
      </w:r>
      <w:r w:rsidR="00280C35">
        <w:rPr>
          <w:rFonts w:ascii="Cambria" w:hAnsi="Cambria"/>
          <w:sz w:val="20"/>
          <w:szCs w:val="20"/>
          <w:lang w:val="en"/>
        </w:rPr>
        <w:t xml:space="preserve">professional </w:t>
      </w:r>
      <w:r>
        <w:rPr>
          <w:rFonts w:ascii="Cambria" w:hAnsi="Cambria"/>
          <w:sz w:val="20"/>
          <w:szCs w:val="20"/>
          <w:lang w:val="en"/>
        </w:rPr>
        <w:t xml:space="preserve">medical </w:t>
      </w:r>
      <w:r w:rsidR="00192670">
        <w:rPr>
          <w:rFonts w:ascii="Cambria" w:hAnsi="Cambria"/>
          <w:sz w:val="20"/>
          <w:szCs w:val="20"/>
          <w:lang w:val="en"/>
        </w:rPr>
        <w:t>practice</w:t>
      </w:r>
      <w:r>
        <w:rPr>
          <w:rFonts w:ascii="Cambria" w:hAnsi="Cambria"/>
          <w:sz w:val="20"/>
          <w:szCs w:val="20"/>
          <w:lang w:val="en"/>
        </w:rPr>
        <w:t>. The alleged victim submits that the denial to make the building physically accessible constitutes a distinct violation of his human rights and an act of discrimination on the part of the State of Panama</w:t>
      </w:r>
      <w:r w:rsidR="00C315EE">
        <w:rPr>
          <w:rFonts w:ascii="Cambria" w:hAnsi="Cambria"/>
          <w:sz w:val="20"/>
          <w:szCs w:val="20"/>
          <w:lang w:val="en"/>
        </w:rPr>
        <w:t>,</w:t>
      </w:r>
      <w:r>
        <w:rPr>
          <w:rFonts w:ascii="Cambria" w:hAnsi="Cambria"/>
          <w:sz w:val="20"/>
          <w:szCs w:val="20"/>
          <w:lang w:val="en"/>
        </w:rPr>
        <w:t xml:space="preserve"> </w:t>
      </w:r>
      <w:r w:rsidR="00094F1D">
        <w:rPr>
          <w:rFonts w:ascii="Cambria" w:hAnsi="Cambria"/>
          <w:sz w:val="20"/>
          <w:szCs w:val="20"/>
          <w:lang w:val="en"/>
        </w:rPr>
        <w:t>given</w:t>
      </w:r>
      <w:r>
        <w:rPr>
          <w:rFonts w:ascii="Cambria" w:hAnsi="Cambria"/>
          <w:sz w:val="20"/>
          <w:szCs w:val="20"/>
          <w:lang w:val="en"/>
        </w:rPr>
        <w:t xml:space="preserve"> his physical disability. </w:t>
      </w:r>
    </w:p>
    <w:p w14:paraId="11EA358D" w14:textId="2A45D837"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alleged victim claims that</w:t>
      </w:r>
      <w:r w:rsidR="007E72DA">
        <w:rPr>
          <w:rFonts w:ascii="Cambria" w:hAnsi="Cambria"/>
          <w:sz w:val="20"/>
          <w:szCs w:val="20"/>
          <w:lang w:val="en"/>
        </w:rPr>
        <w:t>,</w:t>
      </w:r>
      <w:r>
        <w:rPr>
          <w:rFonts w:ascii="Cambria" w:hAnsi="Cambria"/>
          <w:sz w:val="20"/>
          <w:szCs w:val="20"/>
          <w:lang w:val="en"/>
        </w:rPr>
        <w:t xml:space="preserve"> on completing his </w:t>
      </w:r>
      <w:r w:rsidR="00C315EE">
        <w:rPr>
          <w:rFonts w:ascii="Cambria" w:hAnsi="Cambria"/>
          <w:sz w:val="20"/>
          <w:szCs w:val="20"/>
          <w:lang w:val="en"/>
        </w:rPr>
        <w:t>d</w:t>
      </w:r>
      <w:r>
        <w:rPr>
          <w:rFonts w:ascii="Cambria" w:hAnsi="Cambria"/>
          <w:sz w:val="20"/>
          <w:szCs w:val="20"/>
          <w:lang w:val="en"/>
        </w:rPr>
        <w:t xml:space="preserve">egree in Medical Sciences, he went to the Santo Tomás Hospital on July 1, 2000. He explains that he </w:t>
      </w:r>
      <w:r w:rsidR="007E72DA">
        <w:rPr>
          <w:rFonts w:ascii="Cambria" w:hAnsi="Cambria"/>
          <w:sz w:val="20"/>
          <w:szCs w:val="20"/>
          <w:lang w:val="en"/>
        </w:rPr>
        <w:t>performed</w:t>
      </w:r>
      <w:r>
        <w:rPr>
          <w:rFonts w:ascii="Cambria" w:hAnsi="Cambria"/>
          <w:sz w:val="20"/>
          <w:szCs w:val="20"/>
          <w:lang w:val="en"/>
        </w:rPr>
        <w:t xml:space="preserve"> the tasks he was assigned at the hospital</w:t>
      </w:r>
      <w:r w:rsidR="007E72DA">
        <w:rPr>
          <w:rFonts w:ascii="Cambria" w:hAnsi="Cambria"/>
          <w:sz w:val="20"/>
          <w:szCs w:val="20"/>
          <w:lang w:val="en"/>
        </w:rPr>
        <w:t xml:space="preserve"> for five months,</w:t>
      </w:r>
      <w:r>
        <w:rPr>
          <w:rFonts w:ascii="Cambria" w:hAnsi="Cambria"/>
          <w:sz w:val="20"/>
          <w:szCs w:val="20"/>
          <w:lang w:val="en"/>
        </w:rPr>
        <w:t xml:space="preserve"> </w:t>
      </w:r>
      <w:r w:rsidR="007E72DA">
        <w:rPr>
          <w:rFonts w:ascii="Cambria" w:hAnsi="Cambria"/>
          <w:sz w:val="20"/>
          <w:szCs w:val="20"/>
          <w:lang w:val="en"/>
        </w:rPr>
        <w:t>but then</w:t>
      </w:r>
      <w:r>
        <w:rPr>
          <w:rFonts w:ascii="Cambria" w:hAnsi="Cambria"/>
          <w:sz w:val="20"/>
          <w:szCs w:val="20"/>
          <w:lang w:val="en"/>
        </w:rPr>
        <w:t xml:space="preserve"> he developed </w:t>
      </w:r>
      <w:r w:rsidR="00FA4B6B">
        <w:rPr>
          <w:rFonts w:ascii="Cambria" w:hAnsi="Cambria"/>
          <w:sz w:val="20"/>
          <w:szCs w:val="20"/>
          <w:lang w:val="en"/>
        </w:rPr>
        <w:t xml:space="preserve">an </w:t>
      </w:r>
      <w:r>
        <w:rPr>
          <w:rFonts w:ascii="Cambria" w:hAnsi="Cambria"/>
          <w:sz w:val="20"/>
          <w:szCs w:val="20"/>
          <w:lang w:val="en"/>
        </w:rPr>
        <w:t xml:space="preserve">acute left-sided lumbar radiculopathy, in addition to a left foot drop. </w:t>
      </w:r>
      <w:r w:rsidR="007E72DA">
        <w:rPr>
          <w:rFonts w:ascii="Cambria" w:hAnsi="Cambria"/>
          <w:sz w:val="20"/>
          <w:szCs w:val="20"/>
          <w:lang w:val="en"/>
        </w:rPr>
        <w:t>He moreover says</w:t>
      </w:r>
      <w:r>
        <w:rPr>
          <w:rFonts w:ascii="Cambria" w:hAnsi="Cambria"/>
          <w:sz w:val="20"/>
          <w:szCs w:val="20"/>
          <w:lang w:val="en"/>
        </w:rPr>
        <w:t xml:space="preserve"> that during his recovery period</w:t>
      </w:r>
      <w:r w:rsidR="00C315EE">
        <w:rPr>
          <w:rFonts w:ascii="Cambria" w:hAnsi="Cambria"/>
          <w:sz w:val="20"/>
          <w:szCs w:val="20"/>
          <w:lang w:val="en"/>
        </w:rPr>
        <w:t>,</w:t>
      </w:r>
      <w:r>
        <w:rPr>
          <w:rFonts w:ascii="Cambria" w:hAnsi="Cambria"/>
          <w:sz w:val="20"/>
          <w:szCs w:val="20"/>
          <w:lang w:val="en"/>
        </w:rPr>
        <w:t xml:space="preserve"> he developed a neurological condition affecting the upper </w:t>
      </w:r>
      <w:r>
        <w:rPr>
          <w:rFonts w:ascii="Cambria" w:hAnsi="Cambria"/>
          <w:sz w:val="20"/>
          <w:szCs w:val="20"/>
          <w:lang w:val="en"/>
        </w:rPr>
        <w:lastRenderedPageBreak/>
        <w:t xml:space="preserve">motor </w:t>
      </w:r>
      <w:r w:rsidR="007E72DA">
        <w:rPr>
          <w:rFonts w:ascii="Cambria" w:hAnsi="Cambria"/>
          <w:sz w:val="20"/>
          <w:szCs w:val="20"/>
          <w:lang w:val="en"/>
        </w:rPr>
        <w:t>neuron</w:t>
      </w:r>
      <w:r>
        <w:rPr>
          <w:rFonts w:ascii="Cambria" w:hAnsi="Cambria"/>
          <w:sz w:val="20"/>
          <w:szCs w:val="20"/>
          <w:lang w:val="en"/>
        </w:rPr>
        <w:t xml:space="preserve">, so in June 2001, he was </w:t>
      </w:r>
      <w:r w:rsidR="007E72DA">
        <w:rPr>
          <w:rFonts w:ascii="Cambria" w:hAnsi="Cambria"/>
          <w:sz w:val="20"/>
          <w:szCs w:val="20"/>
          <w:lang w:val="en"/>
        </w:rPr>
        <w:t>put</w:t>
      </w:r>
      <w:r>
        <w:rPr>
          <w:rFonts w:ascii="Cambria" w:hAnsi="Cambria"/>
          <w:sz w:val="20"/>
          <w:szCs w:val="20"/>
          <w:lang w:val="en"/>
        </w:rPr>
        <w:t xml:space="preserve"> in the intensive-care unit of the National Hospital. </w:t>
      </w:r>
      <w:r w:rsidR="0086295B">
        <w:rPr>
          <w:rFonts w:ascii="Cambria" w:hAnsi="Cambria"/>
          <w:sz w:val="20"/>
          <w:szCs w:val="20"/>
          <w:lang w:val="en"/>
        </w:rPr>
        <w:t xml:space="preserve">His leaves and medical certificates </w:t>
      </w:r>
      <w:r w:rsidR="00E4065B">
        <w:rPr>
          <w:rFonts w:ascii="Cambria" w:hAnsi="Cambria"/>
          <w:sz w:val="20"/>
          <w:szCs w:val="20"/>
          <w:lang w:val="en"/>
        </w:rPr>
        <w:t xml:space="preserve">for </w:t>
      </w:r>
      <w:r w:rsidR="00350429">
        <w:rPr>
          <w:rFonts w:ascii="Cambria" w:hAnsi="Cambria"/>
          <w:sz w:val="20"/>
          <w:szCs w:val="20"/>
          <w:lang w:val="en"/>
        </w:rPr>
        <w:t xml:space="preserve">work-related injury </w:t>
      </w:r>
      <w:r w:rsidR="00210810">
        <w:rPr>
          <w:rFonts w:ascii="Cambria" w:hAnsi="Cambria"/>
          <w:sz w:val="20"/>
          <w:szCs w:val="20"/>
          <w:lang w:val="en"/>
        </w:rPr>
        <w:t>lasted</w:t>
      </w:r>
      <w:r w:rsidR="0086295B">
        <w:rPr>
          <w:rFonts w:ascii="Cambria" w:hAnsi="Cambria"/>
          <w:sz w:val="20"/>
          <w:szCs w:val="20"/>
          <w:lang w:val="en"/>
        </w:rPr>
        <w:t xml:space="preserve"> </w:t>
      </w:r>
      <w:r>
        <w:rPr>
          <w:rFonts w:ascii="Cambria" w:hAnsi="Cambria"/>
          <w:sz w:val="20"/>
          <w:szCs w:val="20"/>
          <w:lang w:val="en"/>
        </w:rPr>
        <w:t>until April 30, 2002. On May 8, the alleged victim was examined by the Benefits Committee of the Social Insurance Fund, which determined that he had a 90 percent permanent partial incapacity for work</w:t>
      </w:r>
      <w:r w:rsidR="0086295B">
        <w:rPr>
          <w:rFonts w:ascii="Cambria" w:hAnsi="Cambria"/>
          <w:sz w:val="20"/>
          <w:szCs w:val="20"/>
          <w:lang w:val="en"/>
        </w:rPr>
        <w:t>.</w:t>
      </w:r>
      <w:r>
        <w:rPr>
          <w:rFonts w:ascii="Cambria" w:hAnsi="Cambria"/>
          <w:sz w:val="20"/>
          <w:szCs w:val="20"/>
          <w:lang w:val="en"/>
        </w:rPr>
        <w:t xml:space="preserve"> </w:t>
      </w:r>
      <w:r w:rsidR="0086295B">
        <w:rPr>
          <w:rFonts w:ascii="Cambria" w:hAnsi="Cambria"/>
          <w:sz w:val="20"/>
          <w:szCs w:val="20"/>
          <w:lang w:val="en"/>
        </w:rPr>
        <w:t>T</w:t>
      </w:r>
      <w:r>
        <w:rPr>
          <w:rFonts w:ascii="Cambria" w:hAnsi="Cambria"/>
          <w:sz w:val="20"/>
          <w:szCs w:val="20"/>
          <w:lang w:val="en"/>
        </w:rPr>
        <w:t>herefore, the Occupational Health Area of the Social Insurance Fund granted him a two-year pension for permanent partial disability.</w:t>
      </w:r>
      <w:r w:rsidR="0086295B">
        <w:rPr>
          <w:rFonts w:ascii="Cambria" w:hAnsi="Cambria"/>
          <w:sz w:val="20"/>
          <w:szCs w:val="20"/>
          <w:lang w:val="en"/>
        </w:rPr>
        <w:t xml:space="preserve"> </w:t>
      </w:r>
    </w:p>
    <w:p w14:paraId="61150A75" w14:textId="3B75620F"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alleged victim says that two years later, on March 24, 2004, the Social Insurance Fund</w:t>
      </w:r>
      <w:r w:rsidR="00A92FE9">
        <w:rPr>
          <w:rFonts w:ascii="Cambria" w:hAnsi="Cambria"/>
          <w:sz w:val="20"/>
          <w:szCs w:val="20"/>
          <w:lang w:val="en"/>
        </w:rPr>
        <w:t>’s Benefits Committee</w:t>
      </w:r>
      <w:r>
        <w:rPr>
          <w:rFonts w:ascii="Cambria" w:hAnsi="Cambria"/>
          <w:sz w:val="20"/>
          <w:szCs w:val="20"/>
          <w:lang w:val="en"/>
        </w:rPr>
        <w:t xml:space="preserve"> reassessed his health condition and granted him a </w:t>
      </w:r>
      <w:r w:rsidR="003D7616">
        <w:rPr>
          <w:rFonts w:ascii="Cambria" w:hAnsi="Cambria"/>
          <w:sz w:val="20"/>
          <w:szCs w:val="20"/>
          <w:lang w:val="en"/>
        </w:rPr>
        <w:t>lifelong pension</w:t>
      </w:r>
      <w:r>
        <w:rPr>
          <w:rFonts w:ascii="Cambria" w:hAnsi="Cambria"/>
          <w:sz w:val="20"/>
          <w:szCs w:val="20"/>
          <w:lang w:val="en"/>
        </w:rPr>
        <w:t xml:space="preserve"> under Resolution No. 331 of 2004 because the damage that determined his permanent partial disability persisted. </w:t>
      </w:r>
      <w:r w:rsidR="005A5517">
        <w:rPr>
          <w:rFonts w:ascii="Cambria" w:hAnsi="Cambria"/>
          <w:sz w:val="20"/>
          <w:szCs w:val="20"/>
          <w:lang w:val="en"/>
        </w:rPr>
        <w:t>He</w:t>
      </w:r>
      <w:r>
        <w:rPr>
          <w:rFonts w:ascii="Cambria" w:hAnsi="Cambria"/>
          <w:sz w:val="20"/>
          <w:szCs w:val="20"/>
          <w:lang w:val="en"/>
        </w:rPr>
        <w:t xml:space="preserve"> asserts that </w:t>
      </w:r>
      <w:r w:rsidR="00D475BE">
        <w:rPr>
          <w:rFonts w:ascii="Cambria" w:hAnsi="Cambria"/>
          <w:sz w:val="20"/>
          <w:szCs w:val="20"/>
          <w:lang w:val="en"/>
        </w:rPr>
        <w:t>despite his</w:t>
      </w:r>
      <w:r w:rsidR="005A5517">
        <w:rPr>
          <w:rFonts w:ascii="Cambria" w:hAnsi="Cambria"/>
          <w:sz w:val="20"/>
          <w:szCs w:val="20"/>
          <w:lang w:val="en"/>
        </w:rPr>
        <w:t xml:space="preserve"> injury</w:t>
      </w:r>
      <w:r>
        <w:rPr>
          <w:rFonts w:ascii="Cambria" w:hAnsi="Cambria"/>
          <w:sz w:val="20"/>
          <w:szCs w:val="20"/>
          <w:lang w:val="en"/>
        </w:rPr>
        <w:t xml:space="preserve">, on March 20, 2004, he successfully completed a </w:t>
      </w:r>
      <w:r w:rsidR="00597B40">
        <w:rPr>
          <w:rFonts w:ascii="Cambria" w:hAnsi="Cambria"/>
          <w:sz w:val="20"/>
          <w:szCs w:val="20"/>
          <w:lang w:val="en"/>
        </w:rPr>
        <w:t>m</w:t>
      </w:r>
      <w:r>
        <w:rPr>
          <w:rFonts w:ascii="Cambria" w:hAnsi="Cambria"/>
          <w:sz w:val="20"/>
          <w:szCs w:val="20"/>
          <w:lang w:val="en"/>
        </w:rPr>
        <w:t>aster’s degree in Health Services Management and</w:t>
      </w:r>
      <w:r w:rsidR="005735B5">
        <w:rPr>
          <w:rFonts w:ascii="Cambria" w:hAnsi="Cambria"/>
          <w:sz w:val="20"/>
          <w:szCs w:val="20"/>
          <w:lang w:val="en"/>
        </w:rPr>
        <w:t xml:space="preserve"> that</w:t>
      </w:r>
      <w:r w:rsidR="00E35A08">
        <w:rPr>
          <w:rFonts w:ascii="Cambria" w:hAnsi="Cambria"/>
          <w:sz w:val="20"/>
          <w:szCs w:val="20"/>
          <w:lang w:val="en"/>
        </w:rPr>
        <w:t>,</w:t>
      </w:r>
      <w:r>
        <w:rPr>
          <w:rFonts w:ascii="Cambria" w:hAnsi="Cambria"/>
          <w:sz w:val="20"/>
          <w:szCs w:val="20"/>
          <w:lang w:val="en"/>
        </w:rPr>
        <w:t xml:space="preserve"> for some years, he had jobs related to health services and management.</w:t>
      </w:r>
      <w:r w:rsidR="00E35A08">
        <w:rPr>
          <w:rFonts w:ascii="Cambria" w:hAnsi="Cambria"/>
          <w:sz w:val="20"/>
          <w:szCs w:val="20"/>
          <w:lang w:val="en"/>
        </w:rPr>
        <w:t xml:space="preserve"> </w:t>
      </w:r>
    </w:p>
    <w:p w14:paraId="7F3F2499" w14:textId="67CC561A"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On May 26, 2008, the alleged victim formally requested the Ministry of Health to adjust his medical internship to his physical disability. However, the Ministry never answered his petition, which, under the laws of Panama, </w:t>
      </w:r>
      <w:r w:rsidR="000B0980">
        <w:rPr>
          <w:rFonts w:ascii="Cambria" w:hAnsi="Cambria"/>
          <w:sz w:val="20"/>
          <w:szCs w:val="20"/>
          <w:lang w:val="en"/>
        </w:rPr>
        <w:t>constitutes</w:t>
      </w:r>
      <w:r>
        <w:rPr>
          <w:rFonts w:ascii="Cambria" w:hAnsi="Cambria"/>
          <w:sz w:val="20"/>
          <w:szCs w:val="20"/>
          <w:lang w:val="en"/>
        </w:rPr>
        <w:t xml:space="preserve"> an administrative denial. </w:t>
      </w:r>
      <w:r w:rsidR="00C1644E" w:rsidRPr="00655A00">
        <w:rPr>
          <w:rFonts w:ascii="Cambria" w:hAnsi="Cambria"/>
          <w:sz w:val="20"/>
          <w:szCs w:val="20"/>
          <w:lang w:val="en"/>
        </w:rPr>
        <w:t>Under this</w:t>
      </w:r>
      <w:r w:rsidRPr="00655A00">
        <w:rPr>
          <w:rFonts w:ascii="Cambria" w:hAnsi="Cambria"/>
          <w:sz w:val="20"/>
          <w:szCs w:val="20"/>
          <w:lang w:val="en"/>
        </w:rPr>
        <w:t xml:space="preserve"> juridical institution</w:t>
      </w:r>
      <w:r w:rsidR="00C1644E" w:rsidRPr="00655A00">
        <w:rPr>
          <w:rFonts w:ascii="Cambria" w:hAnsi="Cambria"/>
          <w:sz w:val="20"/>
          <w:szCs w:val="20"/>
          <w:lang w:val="en"/>
        </w:rPr>
        <w:t>,</w:t>
      </w:r>
      <w:r w:rsidRPr="00655A00">
        <w:rPr>
          <w:rFonts w:ascii="Cambria" w:hAnsi="Cambria"/>
          <w:sz w:val="20"/>
          <w:szCs w:val="20"/>
          <w:lang w:val="en"/>
        </w:rPr>
        <w:t xml:space="preserve"> governed by Law 38 of 2000</w:t>
      </w:r>
      <w:r w:rsidR="00C1644E" w:rsidRPr="00655A00">
        <w:rPr>
          <w:rFonts w:ascii="Cambria" w:hAnsi="Cambria"/>
          <w:sz w:val="20"/>
          <w:szCs w:val="20"/>
          <w:lang w:val="en"/>
        </w:rPr>
        <w:t>,</w:t>
      </w:r>
      <w:r w:rsidR="004A11E6">
        <w:rPr>
          <w:rFonts w:ascii="Cambria" w:hAnsi="Cambria"/>
          <w:sz w:val="20"/>
          <w:szCs w:val="20"/>
          <w:lang w:val="en"/>
        </w:rPr>
        <w:t xml:space="preserve"> an administrative body’s lack of an answer to a petition is tantamount to its denial</w:t>
      </w:r>
      <w:r w:rsidRPr="00655A00">
        <w:rPr>
          <w:rFonts w:ascii="Cambria" w:hAnsi="Cambria"/>
          <w:sz w:val="20"/>
          <w:szCs w:val="20"/>
          <w:lang w:val="en"/>
        </w:rPr>
        <w:t>.</w:t>
      </w:r>
      <w:r>
        <w:rPr>
          <w:rFonts w:ascii="Cambria" w:hAnsi="Cambria"/>
          <w:sz w:val="20"/>
          <w:szCs w:val="20"/>
          <w:lang w:val="en"/>
        </w:rPr>
        <w:t xml:space="preserve"> In addition, the </w:t>
      </w:r>
      <w:r w:rsidRPr="003721A4">
        <w:rPr>
          <w:rFonts w:ascii="Cambria" w:hAnsi="Cambria"/>
          <w:sz w:val="20"/>
          <w:szCs w:val="20"/>
          <w:lang w:val="en"/>
        </w:rPr>
        <w:t xml:space="preserve">alleged victim argues that the State did not consider the recommendation by the National </w:t>
      </w:r>
      <w:r w:rsidR="003721A4" w:rsidRPr="003721A4">
        <w:rPr>
          <w:rFonts w:ascii="Cambria" w:hAnsi="Cambria"/>
          <w:sz w:val="20"/>
          <w:szCs w:val="20"/>
          <w:lang w:val="en"/>
        </w:rPr>
        <w:t>Agency</w:t>
      </w:r>
      <w:r w:rsidRPr="003721A4">
        <w:rPr>
          <w:rFonts w:ascii="Cambria" w:hAnsi="Cambria"/>
          <w:sz w:val="20"/>
          <w:szCs w:val="20"/>
          <w:lang w:val="en"/>
        </w:rPr>
        <w:t xml:space="preserve"> </w:t>
      </w:r>
      <w:r w:rsidR="003721A4" w:rsidRPr="003721A4">
        <w:rPr>
          <w:rFonts w:ascii="Cambria" w:hAnsi="Cambria"/>
          <w:sz w:val="20"/>
          <w:szCs w:val="20"/>
          <w:lang w:val="en"/>
        </w:rPr>
        <w:t>on</w:t>
      </w:r>
      <w:r w:rsidRPr="003721A4">
        <w:rPr>
          <w:rFonts w:ascii="Cambria" w:hAnsi="Cambria"/>
          <w:sz w:val="20"/>
          <w:szCs w:val="20"/>
          <w:lang w:val="en"/>
        </w:rPr>
        <w:t xml:space="preserve"> Comprehensive Health</w:t>
      </w:r>
      <w:r w:rsidR="003721A4" w:rsidRPr="003721A4">
        <w:rPr>
          <w:rFonts w:ascii="Cambria" w:hAnsi="Cambria"/>
          <w:sz w:val="20"/>
          <w:szCs w:val="20"/>
          <w:lang w:val="en"/>
        </w:rPr>
        <w:t xml:space="preserve"> Services</w:t>
      </w:r>
      <w:r w:rsidRPr="003721A4">
        <w:rPr>
          <w:rFonts w:ascii="Cambria" w:hAnsi="Cambria"/>
          <w:sz w:val="20"/>
          <w:szCs w:val="20"/>
          <w:lang w:val="en"/>
        </w:rPr>
        <w:t xml:space="preserve"> </w:t>
      </w:r>
      <w:r w:rsidR="003721A4" w:rsidRPr="003721A4">
        <w:rPr>
          <w:rFonts w:ascii="Cambria" w:hAnsi="Cambria"/>
          <w:sz w:val="20"/>
          <w:szCs w:val="20"/>
          <w:lang w:val="en"/>
        </w:rPr>
        <w:t>for</w:t>
      </w:r>
      <w:r w:rsidRPr="003721A4">
        <w:rPr>
          <w:rFonts w:ascii="Cambria" w:hAnsi="Cambria"/>
          <w:sz w:val="20"/>
          <w:szCs w:val="20"/>
          <w:lang w:val="en"/>
        </w:rPr>
        <w:t xml:space="preserve"> Persons with Disabilities (ONSIPD) of the Ministry of Health, which recommended he be acknowledged as a physician able to perform technical and administrative tasks</w:t>
      </w:r>
      <w:r w:rsidR="00A9088E">
        <w:rPr>
          <w:rFonts w:ascii="Cambria" w:hAnsi="Cambria"/>
          <w:sz w:val="20"/>
          <w:szCs w:val="20"/>
          <w:lang w:val="en"/>
        </w:rPr>
        <w:t xml:space="preserve"> only</w:t>
      </w:r>
      <w:r w:rsidRPr="003721A4">
        <w:rPr>
          <w:rFonts w:ascii="Cambria" w:hAnsi="Cambria"/>
          <w:sz w:val="20"/>
          <w:szCs w:val="20"/>
          <w:lang w:val="en"/>
        </w:rPr>
        <w:t>, provided these do not pose a risk to his health condition, that he</w:t>
      </w:r>
      <w:r>
        <w:rPr>
          <w:rFonts w:ascii="Cambria" w:hAnsi="Cambria"/>
          <w:sz w:val="20"/>
          <w:szCs w:val="20"/>
          <w:lang w:val="en"/>
        </w:rPr>
        <w:t xml:space="preserve"> should contribute his knowledge to this institution.</w:t>
      </w:r>
      <w:r w:rsidR="003721A4">
        <w:rPr>
          <w:rFonts w:ascii="Cambria" w:hAnsi="Cambria"/>
          <w:sz w:val="20"/>
          <w:szCs w:val="20"/>
          <w:lang w:val="en"/>
        </w:rPr>
        <w:t xml:space="preserve"> </w:t>
      </w:r>
    </w:p>
    <w:p w14:paraId="346BEDEE" w14:textId="6CA7A2F5"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On September 26, 2008, the alleged victim’s attorney filed, with the Third Division of the Contentious-Administrative Court of the Supreme Court of Justice, a contentious-administrative complaint seeking a writ of nullity</w:t>
      </w:r>
      <w:r w:rsidR="007067F0">
        <w:rPr>
          <w:rFonts w:ascii="Cambria" w:hAnsi="Cambria"/>
          <w:sz w:val="20"/>
          <w:szCs w:val="20"/>
          <w:lang w:val="en"/>
        </w:rPr>
        <w:t>,</w:t>
      </w:r>
      <w:r>
        <w:rPr>
          <w:rFonts w:ascii="Cambria" w:hAnsi="Cambria"/>
          <w:sz w:val="20"/>
          <w:szCs w:val="20"/>
          <w:lang w:val="en"/>
        </w:rPr>
        <w:t xml:space="preserve"> claiming the unlawfulness of the constructive denial of the request submitted to the Ministry of Health (the request sought an adjustment of the medical internship given the alleged victim’s physical and organic limitations). The alleged victim asserts that any proceedings that ignore a disabled person’s right to social integration may be understood as an act of discrimination</w:t>
      </w:r>
      <w:r w:rsidR="007067F0">
        <w:rPr>
          <w:rFonts w:ascii="Cambria" w:hAnsi="Cambria"/>
          <w:sz w:val="20"/>
          <w:szCs w:val="20"/>
          <w:lang w:val="en"/>
        </w:rPr>
        <w:t>; thus,</w:t>
      </w:r>
      <w:r>
        <w:rPr>
          <w:rFonts w:ascii="Cambria" w:hAnsi="Cambria"/>
          <w:sz w:val="20"/>
          <w:szCs w:val="20"/>
          <w:lang w:val="en"/>
        </w:rPr>
        <w:t xml:space="preserve"> the actions of the State of Panama </w:t>
      </w:r>
      <w:r w:rsidR="007067F0">
        <w:rPr>
          <w:rFonts w:ascii="Cambria" w:hAnsi="Cambria"/>
          <w:sz w:val="20"/>
          <w:szCs w:val="20"/>
          <w:lang w:val="en"/>
        </w:rPr>
        <w:t>are</w:t>
      </w:r>
      <w:r>
        <w:rPr>
          <w:rFonts w:ascii="Cambria" w:hAnsi="Cambria"/>
          <w:sz w:val="20"/>
          <w:szCs w:val="20"/>
          <w:lang w:val="en"/>
        </w:rPr>
        <w:t xml:space="preserve"> a flagrant violation of Law 43 of 2003 and Executive Decree 119 of 2003.</w:t>
      </w:r>
      <w:r w:rsidR="007067F0">
        <w:rPr>
          <w:rFonts w:ascii="Cambria" w:hAnsi="Cambria"/>
          <w:sz w:val="20"/>
          <w:szCs w:val="20"/>
          <w:lang w:val="en"/>
        </w:rPr>
        <w:t xml:space="preserve"> </w:t>
      </w:r>
    </w:p>
    <w:p w14:paraId="2B93901D" w14:textId="7B050FD8"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On December 21, 2012, the Supreme Court of Justice found the appealed administrative decision lawful. During its analysis of the instant matter, the Supreme Court reported that at the ordinary meeting held on August 29, 2008, the Medical Licensing Board rejected the request filed by the alleged victim, based on the same laws he had invoked. The Supreme Court moreover considered that the claims of the Ministry of Health regarding the regulation of the professional training programs for medical interns and residents by Law No. 43 and Executive Decree No. 119, which establishes their duties, were constitutional. It also emphasized the compulsory completion of the two-year internship required for an unrestricted license to practice medicine, which the alleged victim apparently did not complete.</w:t>
      </w:r>
      <w:r w:rsidR="0045729C">
        <w:rPr>
          <w:rFonts w:ascii="Cambria" w:hAnsi="Cambria"/>
          <w:sz w:val="20"/>
          <w:szCs w:val="20"/>
          <w:lang w:val="en"/>
        </w:rPr>
        <w:t xml:space="preserve"> </w:t>
      </w:r>
    </w:p>
    <w:p w14:paraId="570C7B68" w14:textId="1C2A5DDF"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In the same resolution, the Supreme Court expressed that the Medical Licensing Board and the Ministry of Health lacked </w:t>
      </w:r>
      <w:r w:rsidR="005735B5">
        <w:rPr>
          <w:rFonts w:ascii="Cambria" w:hAnsi="Cambria"/>
          <w:sz w:val="20"/>
          <w:szCs w:val="20"/>
          <w:lang w:val="en"/>
        </w:rPr>
        <w:t xml:space="preserve">the </w:t>
      </w:r>
      <w:r>
        <w:rPr>
          <w:rFonts w:ascii="Cambria" w:hAnsi="Cambria"/>
          <w:sz w:val="20"/>
          <w:szCs w:val="20"/>
          <w:lang w:val="en"/>
        </w:rPr>
        <w:t xml:space="preserve">competence to adjust the medical internship program or grant a partial or </w:t>
      </w:r>
      <w:r w:rsidR="0045729C">
        <w:rPr>
          <w:rFonts w:ascii="Cambria" w:hAnsi="Cambria"/>
          <w:sz w:val="20"/>
          <w:szCs w:val="20"/>
          <w:lang w:val="en"/>
        </w:rPr>
        <w:t>restricted</w:t>
      </w:r>
      <w:r>
        <w:rPr>
          <w:rFonts w:ascii="Cambria" w:hAnsi="Cambria"/>
          <w:sz w:val="20"/>
          <w:szCs w:val="20"/>
          <w:lang w:val="en"/>
        </w:rPr>
        <w:t xml:space="preserve"> license to practice medicine. Therefore, it concluded that the decision by the Medical Licensing Board did not constitute a rejection or exclusion of the alleged victim on the basis of his disability, because actually a legislative decision was required, which was a competence of the related bodies. The alleged victim considers that the Supreme Court omitted analyzing the international laws and treaties ratified by Panama, hence </w:t>
      </w:r>
      <w:r w:rsidR="00C26E48">
        <w:rPr>
          <w:rFonts w:ascii="Cambria" w:hAnsi="Cambria"/>
          <w:sz w:val="20"/>
          <w:szCs w:val="20"/>
          <w:lang w:val="en"/>
        </w:rPr>
        <w:t xml:space="preserve">lacked a better understanding of </w:t>
      </w:r>
      <w:r>
        <w:rPr>
          <w:rFonts w:ascii="Cambria" w:hAnsi="Cambria"/>
          <w:sz w:val="20"/>
          <w:szCs w:val="20"/>
          <w:lang w:val="en"/>
        </w:rPr>
        <w:t>the rights alleged to have been violated.</w:t>
      </w:r>
      <w:r w:rsidR="00C26E48">
        <w:rPr>
          <w:rFonts w:ascii="Cambria" w:hAnsi="Cambria"/>
          <w:sz w:val="20"/>
          <w:szCs w:val="20"/>
          <w:lang w:val="en"/>
        </w:rPr>
        <w:t xml:space="preserve"> </w:t>
      </w:r>
    </w:p>
    <w:p w14:paraId="14E71A94" w14:textId="04737D7B"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For its part, the State contends that professional services must be provided </w:t>
      </w:r>
      <w:r w:rsidR="00C26E48">
        <w:rPr>
          <w:rFonts w:ascii="Cambria" w:hAnsi="Cambria"/>
          <w:sz w:val="20"/>
          <w:szCs w:val="20"/>
          <w:lang w:val="en"/>
        </w:rPr>
        <w:t>according to</w:t>
      </w:r>
      <w:r>
        <w:rPr>
          <w:rFonts w:ascii="Cambria" w:hAnsi="Cambria"/>
          <w:sz w:val="20"/>
          <w:szCs w:val="20"/>
          <w:lang w:val="en"/>
        </w:rPr>
        <w:t xml:space="preserve"> their category and on a continued and uninterrupted basis. It explains that</w:t>
      </w:r>
      <w:r w:rsidR="008B14C0">
        <w:rPr>
          <w:rFonts w:ascii="Cambria" w:hAnsi="Cambria"/>
          <w:sz w:val="20"/>
          <w:szCs w:val="20"/>
          <w:lang w:val="en"/>
        </w:rPr>
        <w:t>,</w:t>
      </w:r>
      <w:r>
        <w:rPr>
          <w:rFonts w:ascii="Cambria" w:hAnsi="Cambria"/>
          <w:sz w:val="20"/>
          <w:szCs w:val="20"/>
          <w:lang w:val="en"/>
        </w:rPr>
        <w:t xml:space="preserve"> in the past</w:t>
      </w:r>
      <w:r w:rsidR="008B14C0">
        <w:rPr>
          <w:rFonts w:ascii="Cambria" w:hAnsi="Cambria"/>
          <w:sz w:val="20"/>
          <w:szCs w:val="20"/>
          <w:lang w:val="en"/>
        </w:rPr>
        <w:t>,</w:t>
      </w:r>
      <w:r>
        <w:rPr>
          <w:rFonts w:ascii="Cambria" w:hAnsi="Cambria"/>
          <w:sz w:val="20"/>
          <w:szCs w:val="20"/>
          <w:lang w:val="en"/>
        </w:rPr>
        <w:t xml:space="preserve"> there </w:t>
      </w:r>
      <w:r w:rsidR="00E87887">
        <w:rPr>
          <w:rFonts w:ascii="Cambria" w:hAnsi="Cambria"/>
          <w:sz w:val="20"/>
          <w:szCs w:val="20"/>
          <w:lang w:val="en"/>
        </w:rPr>
        <w:t>were</w:t>
      </w:r>
      <w:r>
        <w:rPr>
          <w:rFonts w:ascii="Cambria" w:hAnsi="Cambria"/>
          <w:sz w:val="20"/>
          <w:szCs w:val="20"/>
          <w:lang w:val="en"/>
        </w:rPr>
        <w:t xml:space="preserve"> intern candidates that, having suffered </w:t>
      </w:r>
      <w:r w:rsidR="00E87887">
        <w:rPr>
          <w:rFonts w:ascii="Cambria" w:hAnsi="Cambria"/>
          <w:sz w:val="20"/>
          <w:szCs w:val="20"/>
          <w:lang w:val="en"/>
        </w:rPr>
        <w:t xml:space="preserve">a </w:t>
      </w:r>
      <w:r>
        <w:rPr>
          <w:rFonts w:ascii="Cambria" w:hAnsi="Cambria"/>
          <w:sz w:val="20"/>
          <w:szCs w:val="20"/>
          <w:lang w:val="en"/>
        </w:rPr>
        <w:t>disab</w:t>
      </w:r>
      <w:r w:rsidR="00E87887">
        <w:rPr>
          <w:rFonts w:ascii="Cambria" w:hAnsi="Cambria"/>
          <w:sz w:val="20"/>
          <w:szCs w:val="20"/>
          <w:lang w:val="en"/>
        </w:rPr>
        <w:t>ling condition</w:t>
      </w:r>
      <w:r>
        <w:rPr>
          <w:rFonts w:ascii="Cambria" w:hAnsi="Cambria"/>
          <w:sz w:val="20"/>
          <w:szCs w:val="20"/>
          <w:lang w:val="en"/>
        </w:rPr>
        <w:t xml:space="preserve">, were subjected to occupational health screenings and eventually allowed to start or restart the process of reinstatement to the medical internship program. However, the State contends that the alleged victim’s matter was discussed with the National Commission of </w:t>
      </w:r>
      <w:r w:rsidR="00184A1E">
        <w:rPr>
          <w:rFonts w:ascii="Cambria" w:hAnsi="Cambria"/>
          <w:sz w:val="20"/>
          <w:szCs w:val="20"/>
          <w:lang w:val="en"/>
        </w:rPr>
        <w:t xml:space="preserve">Teachers of </w:t>
      </w:r>
      <w:r w:rsidR="00C17513">
        <w:rPr>
          <w:rFonts w:ascii="Cambria" w:hAnsi="Cambria"/>
          <w:sz w:val="20"/>
          <w:szCs w:val="20"/>
          <w:lang w:val="en"/>
        </w:rPr>
        <w:t xml:space="preserve">Medical </w:t>
      </w:r>
      <w:r>
        <w:rPr>
          <w:rFonts w:ascii="Cambria" w:hAnsi="Cambria"/>
          <w:sz w:val="20"/>
          <w:szCs w:val="20"/>
          <w:lang w:val="en"/>
        </w:rPr>
        <w:t>Residents and Interns</w:t>
      </w:r>
      <w:r w:rsidR="00034EAA">
        <w:rPr>
          <w:rFonts w:ascii="Cambria" w:hAnsi="Cambria"/>
          <w:sz w:val="20"/>
          <w:szCs w:val="20"/>
          <w:lang w:val="en"/>
        </w:rPr>
        <w:t>. According to that body,</w:t>
      </w:r>
      <w:r>
        <w:rPr>
          <w:rFonts w:ascii="Cambria" w:hAnsi="Cambria"/>
          <w:sz w:val="20"/>
          <w:szCs w:val="20"/>
          <w:lang w:val="en"/>
        </w:rPr>
        <w:t xml:space="preserve"> the alleged victim was unable to withstand the intense physical effort typical of the medical internship or the sleep de</w:t>
      </w:r>
      <w:r w:rsidR="0009029C">
        <w:rPr>
          <w:rFonts w:ascii="Cambria" w:hAnsi="Cambria"/>
          <w:sz w:val="20"/>
          <w:szCs w:val="20"/>
          <w:lang w:val="en"/>
        </w:rPr>
        <w:t>pr</w:t>
      </w:r>
      <w:r>
        <w:rPr>
          <w:rFonts w:ascii="Cambria" w:hAnsi="Cambria"/>
          <w:sz w:val="20"/>
          <w:szCs w:val="20"/>
          <w:lang w:val="en"/>
        </w:rPr>
        <w:t xml:space="preserve">ivation associated </w:t>
      </w:r>
      <w:r w:rsidR="000667C7">
        <w:rPr>
          <w:rFonts w:ascii="Cambria" w:hAnsi="Cambria"/>
          <w:sz w:val="20"/>
          <w:szCs w:val="20"/>
          <w:lang w:val="en"/>
        </w:rPr>
        <w:t>with</w:t>
      </w:r>
      <w:r>
        <w:rPr>
          <w:rFonts w:ascii="Cambria" w:hAnsi="Cambria"/>
          <w:sz w:val="20"/>
          <w:szCs w:val="20"/>
          <w:lang w:val="en"/>
        </w:rPr>
        <w:t xml:space="preserve"> it and that it would be unwise to expose him to hospital germs during the medical internship. </w:t>
      </w:r>
    </w:p>
    <w:p w14:paraId="00F3526C" w14:textId="006BD45C"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lastRenderedPageBreak/>
        <w:t xml:space="preserve">In view of these considerations, the alleged victim was granted a permanent partial disability pension for </w:t>
      </w:r>
      <w:r w:rsidR="00E828FF">
        <w:rPr>
          <w:rFonts w:ascii="Cambria" w:hAnsi="Cambria"/>
          <w:sz w:val="20"/>
          <w:szCs w:val="20"/>
          <w:lang w:val="en"/>
        </w:rPr>
        <w:t xml:space="preserve">a </w:t>
      </w:r>
      <w:r>
        <w:rPr>
          <w:rFonts w:ascii="Cambria" w:hAnsi="Cambria"/>
          <w:sz w:val="20"/>
          <w:szCs w:val="20"/>
          <w:lang w:val="en"/>
        </w:rPr>
        <w:t xml:space="preserve">work injury, which he has been paid since May 8, 2004, as a </w:t>
      </w:r>
      <w:r w:rsidR="00D713A6">
        <w:rPr>
          <w:rFonts w:ascii="Cambria" w:hAnsi="Cambria"/>
          <w:sz w:val="20"/>
          <w:szCs w:val="20"/>
          <w:lang w:val="en"/>
        </w:rPr>
        <w:t>lifelong</w:t>
      </w:r>
      <w:r>
        <w:rPr>
          <w:rFonts w:ascii="Cambria" w:hAnsi="Cambria"/>
          <w:sz w:val="20"/>
          <w:szCs w:val="20"/>
          <w:lang w:val="en"/>
        </w:rPr>
        <w:t xml:space="preserve"> beneficiary of a work injury benefit. This decision was made considering that his health conditions were permanent and limited his capacity for work but without leading to his permanent full disability. Therefore, in 2008, the alleged victim requested Panama’s Medical Licensing Board to adjust </w:t>
      </w:r>
      <w:r w:rsidR="003B2057">
        <w:rPr>
          <w:rFonts w:ascii="Cambria" w:hAnsi="Cambria"/>
          <w:sz w:val="20"/>
          <w:szCs w:val="20"/>
          <w:lang w:val="en"/>
        </w:rPr>
        <w:t>his</w:t>
      </w:r>
      <w:r>
        <w:rPr>
          <w:rFonts w:ascii="Cambria" w:hAnsi="Cambria"/>
          <w:sz w:val="20"/>
          <w:szCs w:val="20"/>
          <w:lang w:val="en"/>
        </w:rPr>
        <w:t xml:space="preserve"> medical internship to his physical and organic limitations, but his request</w:t>
      </w:r>
      <w:r w:rsidR="00B907F3">
        <w:rPr>
          <w:rFonts w:ascii="Cambria" w:hAnsi="Cambria"/>
          <w:sz w:val="20"/>
          <w:szCs w:val="20"/>
          <w:lang w:val="en"/>
        </w:rPr>
        <w:t xml:space="preserve"> was denied</w:t>
      </w:r>
      <w:r>
        <w:rPr>
          <w:rFonts w:ascii="Cambria" w:hAnsi="Cambria"/>
          <w:sz w:val="20"/>
          <w:szCs w:val="20"/>
          <w:lang w:val="en"/>
        </w:rPr>
        <w:t>. The alleged victim resorted to the Supreme Court of Justice, and on December 21, 2012, it found the appealed proceedings lawful on the grounds that the request exceeded the administrative authorities’ legal powers and competence.</w:t>
      </w:r>
      <w:r w:rsidR="00983714">
        <w:rPr>
          <w:rFonts w:ascii="Cambria" w:hAnsi="Cambria"/>
          <w:sz w:val="20"/>
          <w:szCs w:val="20"/>
          <w:lang w:val="en"/>
        </w:rPr>
        <w:t xml:space="preserve"> </w:t>
      </w:r>
    </w:p>
    <w:p w14:paraId="11ADA49F" w14:textId="3A519022"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State of Panama considers that the alleged victim’s claims of human rights violations are groundless, hence do not establish violations of the rights protected by the American Convention. </w:t>
      </w:r>
      <w:r w:rsidR="00983714">
        <w:rPr>
          <w:rFonts w:ascii="Cambria" w:hAnsi="Cambria"/>
          <w:sz w:val="20"/>
          <w:szCs w:val="20"/>
          <w:lang w:val="en"/>
        </w:rPr>
        <w:t>To conclude</w:t>
      </w:r>
      <w:r>
        <w:rPr>
          <w:rFonts w:ascii="Cambria" w:hAnsi="Cambria"/>
          <w:sz w:val="20"/>
          <w:szCs w:val="20"/>
          <w:lang w:val="en"/>
        </w:rPr>
        <w:t>, the State submits that the Inter-American Commission lacks subject-matter competence to determine violations of the Convention on the Rights of Persons with Disabilities and the Optional Protocol to the Convention on the Rights of Persons with Disabilities, adopted by the United Nations General Assembly on December 13, 2006.</w:t>
      </w:r>
      <w:r w:rsidR="00732397">
        <w:rPr>
          <w:rFonts w:ascii="Cambria" w:hAnsi="Cambria"/>
          <w:sz w:val="20"/>
          <w:szCs w:val="20"/>
          <w:lang w:val="en"/>
        </w:rPr>
        <w:t xml:space="preserve"> </w:t>
      </w:r>
    </w:p>
    <w:p w14:paraId="4D9121C2" w14:textId="77777777" w:rsidR="00BD182E" w:rsidRPr="00127DE8" w:rsidRDefault="00BD182E" w:rsidP="00BD182E">
      <w:pPr>
        <w:spacing w:before="240" w:after="240"/>
        <w:ind w:firstLine="720"/>
        <w:jc w:val="both"/>
        <w:rPr>
          <w:rFonts w:ascii="Cambria" w:hAnsi="Cambria"/>
          <w:sz w:val="20"/>
          <w:szCs w:val="20"/>
        </w:rPr>
      </w:pPr>
      <w:r>
        <w:rPr>
          <w:rFonts w:asciiTheme="majorHAnsi" w:hAnsiTheme="majorHAnsi"/>
          <w:b/>
          <w:bCs/>
          <w:sz w:val="20"/>
          <w:szCs w:val="20"/>
          <w:u w:color="000000"/>
          <w:lang w:val="en"/>
        </w:rPr>
        <w:t>VI.</w:t>
      </w:r>
      <w:r>
        <w:rPr>
          <w:rFonts w:asciiTheme="majorHAnsi" w:hAnsiTheme="majorHAnsi"/>
          <w:b/>
          <w:bCs/>
          <w:sz w:val="20"/>
          <w:szCs w:val="20"/>
          <w:u w:color="000000"/>
          <w:lang w:val="en"/>
        </w:rPr>
        <w:tab/>
      </w:r>
      <w:r>
        <w:rPr>
          <w:rFonts w:asciiTheme="majorHAnsi" w:hAnsiTheme="majorHAnsi"/>
          <w:b/>
          <w:bCs/>
          <w:sz w:val="20"/>
          <w:szCs w:val="20"/>
          <w:lang w:val="en"/>
        </w:rPr>
        <w:t>EXHAUSTION OF DOMESTIC REMEDIES AND TIMELINESS OF THE PETITION</w:t>
      </w:r>
      <w:r>
        <w:rPr>
          <w:rFonts w:asciiTheme="majorHAnsi" w:hAnsiTheme="majorHAnsi"/>
          <w:b/>
          <w:bCs/>
          <w:sz w:val="20"/>
          <w:szCs w:val="20"/>
          <w:u w:color="000000"/>
          <w:lang w:val="en"/>
        </w:rPr>
        <w:t xml:space="preserve"> </w:t>
      </w:r>
    </w:p>
    <w:p w14:paraId="53C8E515" w14:textId="2027C24B"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Commission observes that, on March 16, 2004, the alleged victim requested the Ministry of Health-Medical Licensing Board to adjust </w:t>
      </w:r>
      <w:r w:rsidR="00777314">
        <w:rPr>
          <w:rFonts w:ascii="Cambria" w:hAnsi="Cambria"/>
          <w:sz w:val="20"/>
          <w:szCs w:val="20"/>
          <w:lang w:val="en"/>
        </w:rPr>
        <w:t>his</w:t>
      </w:r>
      <w:r>
        <w:rPr>
          <w:rFonts w:ascii="Cambria" w:hAnsi="Cambria"/>
          <w:sz w:val="20"/>
          <w:szCs w:val="20"/>
          <w:lang w:val="en"/>
        </w:rPr>
        <w:t xml:space="preserve"> internship to a physical disability that he </w:t>
      </w:r>
      <w:r w:rsidR="00777314">
        <w:rPr>
          <w:rFonts w:ascii="Cambria" w:hAnsi="Cambria"/>
          <w:sz w:val="20"/>
          <w:szCs w:val="20"/>
          <w:lang w:val="en"/>
        </w:rPr>
        <w:t>had</w:t>
      </w:r>
      <w:r>
        <w:rPr>
          <w:rFonts w:ascii="Cambria" w:hAnsi="Cambria"/>
          <w:sz w:val="20"/>
          <w:szCs w:val="20"/>
          <w:lang w:val="en"/>
        </w:rPr>
        <w:t xml:space="preserve"> owing to a work injury and that he was not given any answers. Likewise, under the national rules of Panama, following two years of a petition to an administrative body, the lack of an answer </w:t>
      </w:r>
      <w:r w:rsidR="00476DC7">
        <w:rPr>
          <w:rFonts w:ascii="Cambria" w:hAnsi="Cambria"/>
          <w:sz w:val="20"/>
          <w:szCs w:val="20"/>
          <w:lang w:val="en"/>
        </w:rPr>
        <w:t>leads to</w:t>
      </w:r>
      <w:r>
        <w:rPr>
          <w:rFonts w:ascii="Cambria" w:hAnsi="Cambria"/>
          <w:sz w:val="20"/>
          <w:szCs w:val="20"/>
          <w:lang w:val="en"/>
        </w:rPr>
        <w:t xml:space="preserve"> the application of the institution of “constructive denial,” which is</w:t>
      </w:r>
      <w:r w:rsidR="000E76B9">
        <w:rPr>
          <w:rFonts w:ascii="Cambria" w:hAnsi="Cambria"/>
          <w:sz w:val="20"/>
          <w:szCs w:val="20"/>
          <w:lang w:val="en"/>
        </w:rPr>
        <w:t xml:space="preserve"> basically</w:t>
      </w:r>
      <w:r>
        <w:rPr>
          <w:rFonts w:ascii="Cambria" w:hAnsi="Cambria"/>
          <w:sz w:val="20"/>
          <w:szCs w:val="20"/>
          <w:lang w:val="en"/>
        </w:rPr>
        <w:t xml:space="preserve"> the denial</w:t>
      </w:r>
      <w:r w:rsidR="00190047">
        <w:rPr>
          <w:rFonts w:ascii="Cambria" w:hAnsi="Cambria"/>
          <w:sz w:val="20"/>
          <w:szCs w:val="20"/>
          <w:lang w:val="en"/>
        </w:rPr>
        <w:t xml:space="preserve"> of</w:t>
      </w:r>
      <w:r>
        <w:rPr>
          <w:rFonts w:ascii="Cambria" w:hAnsi="Cambria"/>
          <w:sz w:val="20"/>
          <w:szCs w:val="20"/>
          <w:lang w:val="en"/>
        </w:rPr>
        <w:t xml:space="preserve"> the petitioner’s request.  As a result, the alleged victim filed a complaint seeking the annulment of the constructive denial on the grounds of </w:t>
      </w:r>
      <w:r w:rsidR="00F40340">
        <w:rPr>
          <w:rFonts w:ascii="Cambria" w:hAnsi="Cambria"/>
          <w:sz w:val="20"/>
          <w:szCs w:val="20"/>
          <w:lang w:val="en"/>
        </w:rPr>
        <w:t xml:space="preserve">its </w:t>
      </w:r>
      <w:r>
        <w:rPr>
          <w:rFonts w:ascii="Cambria" w:hAnsi="Cambria"/>
          <w:sz w:val="20"/>
          <w:szCs w:val="20"/>
          <w:lang w:val="en"/>
        </w:rPr>
        <w:t xml:space="preserve">being contrary to the Constitution and the laws currently in force </w:t>
      </w:r>
      <w:r w:rsidR="00F40340">
        <w:rPr>
          <w:rFonts w:ascii="Cambria" w:hAnsi="Cambria"/>
          <w:sz w:val="20"/>
          <w:szCs w:val="20"/>
          <w:lang w:val="en"/>
        </w:rPr>
        <w:t>regarding</w:t>
      </w:r>
      <w:r>
        <w:rPr>
          <w:rFonts w:ascii="Cambria" w:hAnsi="Cambria"/>
          <w:sz w:val="20"/>
          <w:szCs w:val="20"/>
          <w:lang w:val="en"/>
        </w:rPr>
        <w:t xml:space="preserve"> disability</w:t>
      </w:r>
      <w:r w:rsidR="00F40340">
        <w:rPr>
          <w:rFonts w:ascii="Cambria" w:hAnsi="Cambria"/>
          <w:sz w:val="20"/>
          <w:szCs w:val="20"/>
          <w:lang w:val="en"/>
        </w:rPr>
        <w:t>. Y</w:t>
      </w:r>
      <w:r>
        <w:rPr>
          <w:rFonts w:ascii="Cambria" w:hAnsi="Cambria"/>
          <w:sz w:val="20"/>
          <w:szCs w:val="20"/>
          <w:lang w:val="en"/>
        </w:rPr>
        <w:t xml:space="preserve">et, on December 21, 2012, the Supreme Court found the appealed decision lawful. </w:t>
      </w:r>
    </w:p>
    <w:p w14:paraId="5D093171" w14:textId="5C33625E"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Inter-American Commission observes that the Supreme Court’s decision exhausted domestic remedies on December 21, 2012 and that the petition was filed on March 29, 2009. Accordingly, the exhaustion of domestic remedies took place when the matter was under study at the IACHR. The IACHR reiterates that the requirements set out in Articles 46 and 47 of the Convention should be analyzed in the light of the situation existing at the time of the ruling on the admissibility or inadmissibility of a petition in order to guarantee that both the State and the alleged victim have the opportunity to submit information and claims.</w:t>
      </w:r>
      <w:r>
        <w:rPr>
          <w:rStyle w:val="FootnoteReference"/>
          <w:rFonts w:ascii="Cambria" w:hAnsi="Cambria"/>
          <w:sz w:val="20"/>
          <w:szCs w:val="20"/>
          <w:lang w:val="en"/>
        </w:rPr>
        <w:footnoteReference w:id="5"/>
      </w:r>
      <w:r>
        <w:rPr>
          <w:rFonts w:ascii="Cambria" w:hAnsi="Cambria"/>
          <w:sz w:val="20"/>
          <w:szCs w:val="20"/>
          <w:lang w:val="en"/>
        </w:rPr>
        <w:t xml:space="preserve"> Thus, the Inter-American Commission finds that the instant petition meets the requirement set out in Article 46.1, paragraphs (a) and (b), of the American Convention.</w:t>
      </w:r>
      <w:r w:rsidR="00732397">
        <w:rPr>
          <w:rFonts w:ascii="Cambria" w:hAnsi="Cambria"/>
          <w:sz w:val="20"/>
          <w:szCs w:val="20"/>
          <w:lang w:val="en"/>
        </w:rPr>
        <w:t xml:space="preserve"> </w:t>
      </w:r>
    </w:p>
    <w:p w14:paraId="44BA9B96" w14:textId="77777777" w:rsidR="00BD182E" w:rsidRPr="00127DE8" w:rsidRDefault="00BD182E" w:rsidP="00BD182E">
      <w:pPr>
        <w:pStyle w:val="ListParagraph"/>
        <w:spacing w:before="240" w:after="240"/>
        <w:jc w:val="both"/>
        <w:rPr>
          <w:rFonts w:asciiTheme="majorHAnsi" w:hAnsiTheme="majorHAnsi"/>
          <w:b/>
          <w:color w:val="auto"/>
          <w:sz w:val="20"/>
          <w:szCs w:val="20"/>
        </w:rPr>
      </w:pPr>
      <w:r>
        <w:rPr>
          <w:rFonts w:asciiTheme="majorHAnsi" w:hAnsiTheme="majorHAnsi"/>
          <w:b/>
          <w:bCs/>
          <w:color w:val="auto"/>
          <w:sz w:val="20"/>
          <w:szCs w:val="20"/>
          <w:lang w:val="en"/>
        </w:rPr>
        <w:t>VII.</w:t>
      </w:r>
      <w:r>
        <w:rPr>
          <w:rFonts w:asciiTheme="majorHAnsi" w:hAnsiTheme="majorHAnsi"/>
          <w:b/>
          <w:bCs/>
          <w:color w:val="auto"/>
          <w:sz w:val="20"/>
          <w:szCs w:val="20"/>
          <w:lang w:val="en"/>
        </w:rPr>
        <w:tab/>
        <w:t>COLORABLE CLAIM</w:t>
      </w:r>
    </w:p>
    <w:p w14:paraId="45EF93AC" w14:textId="6D541E29" w:rsidR="00BD182E"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Commission observes that the instant petition involves claims regarding the violation of the alleged victim’s right to equal protection, for he was allegedly deprived of his professional license to practice medicine based on his physical disability. Moreover, the petitioner claims the violation of his rights to a fair trial and judicial protection because the domestic courts failed to duly remedy the State’s refusal to make infrastructural changes appropriate to his physical disability that he should complete </w:t>
      </w:r>
      <w:r w:rsidR="00F40340">
        <w:rPr>
          <w:rFonts w:ascii="Cambria" w:hAnsi="Cambria"/>
          <w:sz w:val="20"/>
          <w:szCs w:val="20"/>
          <w:lang w:val="en"/>
        </w:rPr>
        <w:t>his</w:t>
      </w:r>
      <w:r>
        <w:rPr>
          <w:rFonts w:ascii="Cambria" w:hAnsi="Cambria"/>
          <w:sz w:val="20"/>
          <w:szCs w:val="20"/>
          <w:lang w:val="en"/>
        </w:rPr>
        <w:t xml:space="preserve"> medical internship. Finally, the alleged victim claims the lack of legislative action noted by the Supreme Court of Justice to ensure disabled people’s exercise of their rights on an equal footing, which he considers should be reflected in Panama’s national laws. </w:t>
      </w:r>
    </w:p>
    <w:p w14:paraId="13010095" w14:textId="04FAE0FD" w:rsidR="00BD182E" w:rsidRPr="00BD182E"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182E">
        <w:rPr>
          <w:rFonts w:ascii="Cambria" w:hAnsi="Cambria"/>
          <w:sz w:val="20"/>
          <w:szCs w:val="20"/>
          <w:lang w:val="en"/>
        </w:rPr>
        <w:t xml:space="preserve">As for the State’s claim about the Commission’s lack of subject-matter competence to determine alleged violations of the Convention on the Rights of Persons with Disabilities and the Optional Protocol to the Convention </w:t>
      </w:r>
      <w:r w:rsidR="00204D9C">
        <w:rPr>
          <w:rFonts w:ascii="Cambria" w:hAnsi="Cambria"/>
          <w:sz w:val="20"/>
          <w:szCs w:val="20"/>
          <w:lang w:val="en"/>
        </w:rPr>
        <w:t xml:space="preserve">on the Rights of </w:t>
      </w:r>
      <w:r w:rsidRPr="00BD182E">
        <w:rPr>
          <w:rFonts w:ascii="Cambria" w:hAnsi="Cambria"/>
          <w:sz w:val="20"/>
          <w:szCs w:val="20"/>
          <w:lang w:val="en"/>
        </w:rPr>
        <w:t>Persons with Disabilities, adopted by the United Nations General Assembly, the IACHR recognizes it</w:t>
      </w:r>
      <w:r w:rsidR="00204D9C">
        <w:rPr>
          <w:rFonts w:ascii="Cambria" w:hAnsi="Cambria"/>
          <w:sz w:val="20"/>
          <w:szCs w:val="20"/>
          <w:lang w:val="en"/>
        </w:rPr>
        <w:t>s</w:t>
      </w:r>
      <w:r w:rsidRPr="00BD182E">
        <w:rPr>
          <w:rFonts w:ascii="Cambria" w:hAnsi="Cambria"/>
          <w:sz w:val="20"/>
          <w:szCs w:val="20"/>
          <w:lang w:val="en"/>
        </w:rPr>
        <w:t xml:space="preserve"> lack</w:t>
      </w:r>
      <w:r w:rsidR="00204D9C">
        <w:rPr>
          <w:rFonts w:ascii="Cambria" w:hAnsi="Cambria"/>
          <w:sz w:val="20"/>
          <w:szCs w:val="20"/>
          <w:lang w:val="en"/>
        </w:rPr>
        <w:t xml:space="preserve"> of</w:t>
      </w:r>
      <w:r w:rsidRPr="00BD182E">
        <w:rPr>
          <w:rFonts w:ascii="Cambria" w:hAnsi="Cambria"/>
          <w:sz w:val="20"/>
          <w:szCs w:val="20"/>
          <w:lang w:val="en"/>
        </w:rPr>
        <w:t xml:space="preserve"> subject-matter competence to decide on violations of rights </w:t>
      </w:r>
      <w:r w:rsidRPr="00BD182E">
        <w:rPr>
          <w:rFonts w:ascii="Cambria" w:hAnsi="Cambria"/>
          <w:sz w:val="20"/>
          <w:szCs w:val="20"/>
          <w:lang w:val="en"/>
        </w:rPr>
        <w:lastRenderedPageBreak/>
        <w:t xml:space="preserve">embodied in treaties outside the inter-American system, </w:t>
      </w:r>
      <w:r w:rsidR="00204D9C">
        <w:rPr>
          <w:rFonts w:ascii="Cambria" w:hAnsi="Cambria"/>
          <w:sz w:val="20"/>
          <w:szCs w:val="20"/>
          <w:lang w:val="en"/>
        </w:rPr>
        <w:t>notwithstanding which, it</w:t>
      </w:r>
      <w:r w:rsidRPr="00BD182E">
        <w:rPr>
          <w:rFonts w:ascii="Cambria" w:hAnsi="Cambria"/>
          <w:sz w:val="20"/>
          <w:szCs w:val="20"/>
          <w:lang w:val="en"/>
        </w:rPr>
        <w:t xml:space="preserve"> may resort to the international standards established in other treaties</w:t>
      </w:r>
      <w:r w:rsidR="00204D9C">
        <w:rPr>
          <w:rFonts w:ascii="Cambria" w:hAnsi="Cambria"/>
          <w:sz w:val="20"/>
          <w:szCs w:val="20"/>
          <w:lang w:val="en"/>
        </w:rPr>
        <w:t>,</w:t>
      </w:r>
      <w:r w:rsidRPr="00BD182E">
        <w:rPr>
          <w:rFonts w:ascii="Cambria" w:hAnsi="Cambria"/>
          <w:sz w:val="20"/>
          <w:szCs w:val="20"/>
          <w:lang w:val="en"/>
        </w:rPr>
        <w:t xml:space="preserve"> in order to interpret the rules of the American Convention, under Article 29 thereof.</w:t>
      </w:r>
      <w:r w:rsidRPr="00BD182E">
        <w:rPr>
          <w:rStyle w:val="FootnoteReference"/>
          <w:rFonts w:ascii="Cambria" w:hAnsi="Cambria"/>
          <w:sz w:val="20"/>
          <w:szCs w:val="20"/>
          <w:lang w:val="en"/>
        </w:rPr>
        <w:footnoteReference w:id="6"/>
      </w:r>
      <w:r w:rsidRPr="00BD182E">
        <w:rPr>
          <w:rFonts w:ascii="Cambria" w:hAnsi="Cambria"/>
          <w:sz w:val="20"/>
          <w:szCs w:val="20"/>
          <w:lang w:val="en"/>
        </w:rPr>
        <w:t xml:space="preserve"> Therefore, the IACHR will analyze them in the merits stage. </w:t>
      </w:r>
    </w:p>
    <w:p w14:paraId="28801877" w14:textId="28252670" w:rsidR="00BD182E" w:rsidRPr="00127DE8" w:rsidRDefault="00BD182E" w:rsidP="00BD1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As a </w:t>
      </w:r>
      <w:r w:rsidR="00BF51FD">
        <w:rPr>
          <w:rFonts w:ascii="Cambria" w:hAnsi="Cambria"/>
          <w:sz w:val="20"/>
          <w:szCs w:val="20"/>
          <w:lang w:val="en"/>
        </w:rPr>
        <w:t xml:space="preserve">result </w:t>
      </w:r>
      <w:r w:rsidR="00204D9C">
        <w:rPr>
          <w:rFonts w:ascii="Cambria" w:hAnsi="Cambria"/>
          <w:sz w:val="20"/>
          <w:szCs w:val="20"/>
          <w:lang w:val="en"/>
        </w:rPr>
        <w:t>and</w:t>
      </w:r>
      <w:r>
        <w:rPr>
          <w:rFonts w:ascii="Cambria" w:hAnsi="Cambria"/>
          <w:sz w:val="20"/>
          <w:szCs w:val="20"/>
          <w:lang w:val="en"/>
        </w:rPr>
        <w:t xml:space="preserve"> having analyzed the factual and legal elements submitted by the parties, the Inter-American Commission deems that the facts alleged by the alleged victim are not manifestly groundless and require a substantive analysis. If proven to be true, these may establish violations of Articles 8 (fair trial), 24 (equal protection), 25 (judicial protection) and 26 (progressive development) of the American Convention, with regard to Articles 1 (obligation to respect rights) and 2 (domestic legal effects)</w:t>
      </w:r>
      <w:r w:rsidR="00204D9C">
        <w:rPr>
          <w:rFonts w:ascii="Cambria" w:hAnsi="Cambria"/>
          <w:sz w:val="20"/>
          <w:szCs w:val="20"/>
          <w:lang w:val="en"/>
        </w:rPr>
        <w:t xml:space="preserve"> thereof</w:t>
      </w:r>
      <w:r>
        <w:rPr>
          <w:rFonts w:ascii="Cambria" w:hAnsi="Cambria"/>
          <w:sz w:val="20"/>
          <w:szCs w:val="20"/>
          <w:lang w:val="en"/>
        </w:rPr>
        <w:t>.</w:t>
      </w:r>
      <w:r w:rsidR="00204D9C">
        <w:rPr>
          <w:rFonts w:ascii="Cambria" w:hAnsi="Cambria"/>
          <w:sz w:val="20"/>
          <w:szCs w:val="20"/>
          <w:lang w:val="en"/>
        </w:rPr>
        <w:t xml:space="preserve"> </w:t>
      </w:r>
    </w:p>
    <w:p w14:paraId="553759E2" w14:textId="77777777" w:rsidR="00BD182E" w:rsidRPr="00127DE8" w:rsidRDefault="00BD182E" w:rsidP="00BD182E">
      <w:pPr>
        <w:pStyle w:val="ListParagraph"/>
        <w:spacing w:before="240" w:after="240"/>
        <w:jc w:val="both"/>
        <w:rPr>
          <w:rFonts w:asciiTheme="majorHAnsi" w:hAnsiTheme="majorHAnsi"/>
          <w:b/>
          <w:bCs/>
          <w:color w:val="auto"/>
          <w:sz w:val="20"/>
          <w:szCs w:val="20"/>
        </w:rPr>
      </w:pPr>
      <w:r>
        <w:rPr>
          <w:rFonts w:asciiTheme="majorHAnsi" w:hAnsiTheme="majorHAnsi"/>
          <w:b/>
          <w:bCs/>
          <w:color w:val="auto"/>
          <w:sz w:val="20"/>
          <w:szCs w:val="20"/>
          <w:lang w:val="en"/>
        </w:rPr>
        <w:t xml:space="preserve">VIII. </w:t>
      </w:r>
      <w:r>
        <w:rPr>
          <w:rFonts w:asciiTheme="majorHAnsi" w:hAnsiTheme="majorHAnsi"/>
          <w:b/>
          <w:bCs/>
          <w:color w:val="auto"/>
          <w:sz w:val="20"/>
          <w:szCs w:val="20"/>
          <w:lang w:val="en"/>
        </w:rPr>
        <w:tab/>
        <w:t>DECISION</w:t>
      </w:r>
    </w:p>
    <w:p w14:paraId="478005F9" w14:textId="77777777" w:rsidR="00BD182E" w:rsidRPr="00127DE8" w:rsidRDefault="00BD182E" w:rsidP="00BD182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lang w:val="en"/>
        </w:rPr>
        <w:t>To declare this petition admissible with regard to Articles 8, 24, 25 and 26 of the Convention; and</w:t>
      </w:r>
    </w:p>
    <w:p w14:paraId="535F5BF9" w14:textId="1147B2CD" w:rsidR="003053BF" w:rsidRPr="00BD182E" w:rsidRDefault="00BD182E" w:rsidP="00A22C5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color w:val="auto"/>
          <w:sz w:val="20"/>
          <w:szCs w:val="20"/>
        </w:rPr>
      </w:pPr>
      <w:r w:rsidRPr="00BD182E">
        <w:rPr>
          <w:rFonts w:asciiTheme="majorHAnsi" w:hAnsiTheme="majorHAnsi"/>
          <w:sz w:val="20"/>
          <w:szCs w:val="20"/>
          <w:lang w:val="en"/>
        </w:rPr>
        <w:t>To notify the parties of this decision; to continue with the analysis on the merits; and to publish this decision and include it in its Annual Report to the General Assembly of the Organization of American State</w:t>
      </w:r>
      <w:r w:rsidRPr="00BD182E">
        <w:rPr>
          <w:rFonts w:asciiTheme="majorHAnsi" w:hAnsiTheme="majorHAnsi"/>
          <w:color w:val="auto"/>
          <w:sz w:val="20"/>
          <w:szCs w:val="20"/>
          <w:lang w:val="en"/>
        </w:rPr>
        <w:t>s</w:t>
      </w:r>
      <w:r w:rsidR="003053BF" w:rsidRPr="00BD182E">
        <w:rPr>
          <w:rFonts w:asciiTheme="majorHAnsi" w:hAnsiTheme="majorHAnsi"/>
          <w:color w:val="auto"/>
          <w:sz w:val="20"/>
          <w:szCs w:val="20"/>
        </w:rPr>
        <w:t xml:space="preserve">. </w:t>
      </w:r>
    </w:p>
    <w:p w14:paraId="6CB3000D" w14:textId="5043B5FB" w:rsidR="00752199" w:rsidRDefault="00752199" w:rsidP="00752199">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w:t>
      </w:r>
      <w:r w:rsidRPr="00752199">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49C91919" w14:textId="77777777" w:rsidR="00F621C3" w:rsidRPr="00BD182E" w:rsidRDefault="00F621C3" w:rsidP="00F621C3">
      <w:pPr>
        <w:pStyle w:val="ListParagraph"/>
        <w:suppressAutoHyphens/>
        <w:spacing w:before="240" w:after="240"/>
        <w:jc w:val="both"/>
        <w:rPr>
          <w:rFonts w:asciiTheme="majorHAnsi" w:hAnsiTheme="majorHAnsi"/>
          <w:color w:val="auto"/>
          <w:sz w:val="20"/>
          <w:szCs w:val="20"/>
        </w:rPr>
      </w:pPr>
    </w:p>
    <w:p w14:paraId="42D4A60E" w14:textId="77777777" w:rsidR="00F621C3" w:rsidRPr="00BD182E"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98172" w14:textId="77777777" w:rsidR="00901E9D" w:rsidRDefault="00901E9D" w:rsidP="00036A8A">
      <w:r>
        <w:separator/>
      </w:r>
    </w:p>
  </w:endnote>
  <w:endnote w:type="continuationSeparator" w:id="0">
    <w:p w14:paraId="6EB92F1C" w14:textId="77777777" w:rsidR="00901E9D" w:rsidRDefault="00901E9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442A" w14:textId="77777777" w:rsidR="00175F8B" w:rsidRDefault="00175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396CF94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75F8B">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A928F" w14:textId="77777777" w:rsidR="00901E9D" w:rsidRPr="00036A8A" w:rsidRDefault="00901E9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CDA61CE" w14:textId="77777777" w:rsidR="00901E9D" w:rsidRPr="00036A8A" w:rsidRDefault="00901E9D" w:rsidP="00036A8A">
      <w:pPr>
        <w:rPr>
          <w:rFonts w:asciiTheme="majorHAnsi" w:hAnsiTheme="majorHAnsi"/>
          <w:sz w:val="16"/>
          <w:szCs w:val="16"/>
        </w:rPr>
      </w:pPr>
      <w:r w:rsidRPr="00036A8A">
        <w:rPr>
          <w:rFonts w:asciiTheme="majorHAnsi" w:hAnsiTheme="majorHAnsi"/>
          <w:sz w:val="16"/>
          <w:szCs w:val="16"/>
        </w:rPr>
        <w:separator/>
      </w:r>
    </w:p>
    <w:p w14:paraId="30E6C3A0" w14:textId="77777777" w:rsidR="00901E9D" w:rsidRPr="00036A8A" w:rsidRDefault="00901E9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BE2DBBF" w14:textId="77777777" w:rsidR="00901E9D" w:rsidRPr="0093441A" w:rsidRDefault="00901E9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6096205" w14:textId="1EA531C7" w:rsidR="005C0B9C" w:rsidRPr="008C0A9C" w:rsidRDefault="00752199" w:rsidP="00FD5AEE">
      <w:pPr>
        <w:pStyle w:val="FootnoteText"/>
        <w:jc w:val="both"/>
        <w:rPr>
          <w:rFonts w:asciiTheme="majorHAnsi" w:hAnsiTheme="majorHAnsi"/>
          <w:sz w:val="16"/>
          <w:szCs w:val="16"/>
        </w:rPr>
      </w:pPr>
      <w:r>
        <w:rPr>
          <w:rFonts w:asciiTheme="majorHAnsi" w:hAnsiTheme="majorHAnsi"/>
          <w:sz w:val="16"/>
          <w:szCs w:val="16"/>
        </w:rPr>
        <w:tab/>
      </w:r>
      <w:r w:rsidR="005C0B9C" w:rsidRPr="008C0A9C">
        <w:rPr>
          <w:rStyle w:val="FootnoteReference"/>
          <w:rFonts w:asciiTheme="majorHAnsi" w:hAnsiTheme="majorHAnsi"/>
          <w:sz w:val="16"/>
          <w:szCs w:val="16"/>
        </w:rPr>
        <w:footnoteRef/>
      </w:r>
      <w:r w:rsidR="005C0B9C" w:rsidRPr="008C0A9C">
        <w:rPr>
          <w:rFonts w:asciiTheme="majorHAnsi" w:hAnsiTheme="majorHAnsi"/>
          <w:sz w:val="16"/>
          <w:szCs w:val="16"/>
        </w:rPr>
        <w:t xml:space="preserve"> </w:t>
      </w:r>
      <w:r w:rsidR="004E4A92" w:rsidRPr="008C0A9C">
        <w:rPr>
          <w:rFonts w:asciiTheme="majorHAnsi" w:hAnsiTheme="majorHAnsi"/>
          <w:sz w:val="16"/>
          <w:szCs w:val="16"/>
        </w:rPr>
        <w:t>Purs</w:t>
      </w:r>
      <w:r w:rsidR="00030EEB" w:rsidRPr="008C0A9C">
        <w:rPr>
          <w:rFonts w:asciiTheme="majorHAnsi" w:hAnsiTheme="majorHAnsi"/>
          <w:sz w:val="16"/>
          <w:szCs w:val="16"/>
        </w:rPr>
        <w:t>u</w:t>
      </w:r>
      <w:r w:rsidR="004E4A92" w:rsidRPr="008C0A9C">
        <w:rPr>
          <w:rFonts w:asciiTheme="majorHAnsi" w:hAnsiTheme="majorHAnsi"/>
          <w:sz w:val="16"/>
          <w:szCs w:val="16"/>
        </w:rPr>
        <w:t xml:space="preserve">ant to the provision of Article 17.2.a of the IACHR Rules of Procedure, Commissioner Esmeralda </w:t>
      </w:r>
      <w:proofErr w:type="spellStart"/>
      <w:r w:rsidR="004E4A92" w:rsidRPr="008C0A9C">
        <w:rPr>
          <w:rFonts w:asciiTheme="majorHAnsi" w:hAnsiTheme="majorHAnsi"/>
          <w:sz w:val="16"/>
          <w:szCs w:val="16"/>
        </w:rPr>
        <w:t>Arosemena</w:t>
      </w:r>
      <w:proofErr w:type="spellEnd"/>
      <w:r w:rsidR="004E4A92" w:rsidRPr="008C0A9C">
        <w:rPr>
          <w:rFonts w:asciiTheme="majorHAnsi" w:hAnsiTheme="majorHAnsi"/>
          <w:sz w:val="16"/>
          <w:szCs w:val="16"/>
        </w:rPr>
        <w:t xml:space="preserve"> de </w:t>
      </w:r>
      <w:proofErr w:type="spellStart"/>
      <w:r w:rsidR="004E4A92" w:rsidRPr="008C0A9C">
        <w:rPr>
          <w:rFonts w:asciiTheme="majorHAnsi" w:hAnsiTheme="majorHAnsi"/>
          <w:sz w:val="16"/>
          <w:szCs w:val="16"/>
        </w:rPr>
        <w:t>Troitiño</w:t>
      </w:r>
      <w:proofErr w:type="spellEnd"/>
      <w:r w:rsidR="004E4A92" w:rsidRPr="008C0A9C">
        <w:rPr>
          <w:rFonts w:asciiTheme="majorHAnsi" w:hAnsiTheme="majorHAnsi"/>
          <w:sz w:val="16"/>
          <w:szCs w:val="16"/>
        </w:rPr>
        <w:t>, a Panamanian national, did not partake in the discussion or the decision on this matter.</w:t>
      </w:r>
    </w:p>
  </w:footnote>
  <w:footnote w:id="3">
    <w:p w14:paraId="38AB26EE" w14:textId="6CB864D7" w:rsidR="005C0B9C" w:rsidRPr="008C0A9C" w:rsidRDefault="00752199" w:rsidP="00FD5AEE">
      <w:pPr>
        <w:pStyle w:val="FootnoteText"/>
        <w:jc w:val="both"/>
        <w:rPr>
          <w:rFonts w:asciiTheme="majorHAnsi" w:hAnsiTheme="majorHAnsi"/>
          <w:sz w:val="16"/>
          <w:szCs w:val="16"/>
        </w:rPr>
      </w:pPr>
      <w:r>
        <w:rPr>
          <w:rFonts w:asciiTheme="majorHAnsi" w:hAnsiTheme="majorHAnsi"/>
          <w:sz w:val="16"/>
          <w:szCs w:val="16"/>
        </w:rPr>
        <w:tab/>
      </w:r>
      <w:r w:rsidR="005C0B9C" w:rsidRPr="008C0A9C">
        <w:rPr>
          <w:rStyle w:val="FootnoteReference"/>
          <w:rFonts w:asciiTheme="majorHAnsi" w:hAnsiTheme="majorHAnsi"/>
          <w:sz w:val="16"/>
          <w:szCs w:val="16"/>
        </w:rPr>
        <w:footnoteRef/>
      </w:r>
      <w:r w:rsidR="005C0B9C" w:rsidRPr="008C0A9C">
        <w:rPr>
          <w:rFonts w:asciiTheme="majorHAnsi" w:hAnsiTheme="majorHAnsi"/>
          <w:sz w:val="16"/>
          <w:szCs w:val="16"/>
        </w:rPr>
        <w:t xml:space="preserve"> </w:t>
      </w:r>
      <w:r w:rsidR="004E4A92" w:rsidRPr="008C0A9C">
        <w:rPr>
          <w:rFonts w:asciiTheme="majorHAnsi" w:hAnsiTheme="majorHAnsi"/>
          <w:sz w:val="16"/>
          <w:szCs w:val="16"/>
        </w:rPr>
        <w:t>Hereinafter “American Convention” or “Convention.”</w:t>
      </w:r>
    </w:p>
  </w:footnote>
  <w:footnote w:id="4">
    <w:p w14:paraId="55774E34" w14:textId="4A288CEB" w:rsidR="00653EA6" w:rsidRPr="008C0A9C" w:rsidRDefault="00752199" w:rsidP="00FD5AEE">
      <w:pPr>
        <w:pStyle w:val="FootnoteText"/>
        <w:jc w:val="both"/>
        <w:rPr>
          <w:rFonts w:asciiTheme="majorHAnsi" w:hAnsiTheme="majorHAnsi"/>
          <w:sz w:val="16"/>
          <w:szCs w:val="16"/>
        </w:rPr>
      </w:pPr>
      <w:r>
        <w:rPr>
          <w:rFonts w:asciiTheme="majorHAnsi" w:hAnsiTheme="majorHAnsi"/>
          <w:sz w:val="16"/>
          <w:szCs w:val="16"/>
        </w:rPr>
        <w:tab/>
      </w:r>
      <w:r w:rsidR="00653EA6" w:rsidRPr="008C0A9C">
        <w:rPr>
          <w:rStyle w:val="FootnoteReference"/>
          <w:rFonts w:asciiTheme="majorHAnsi" w:hAnsiTheme="majorHAnsi"/>
          <w:sz w:val="16"/>
          <w:szCs w:val="16"/>
        </w:rPr>
        <w:footnoteRef/>
      </w:r>
      <w:r w:rsidR="00653EA6" w:rsidRPr="008C0A9C">
        <w:rPr>
          <w:rFonts w:asciiTheme="majorHAnsi" w:hAnsiTheme="majorHAnsi"/>
          <w:sz w:val="16"/>
          <w:szCs w:val="16"/>
        </w:rPr>
        <w:t xml:space="preserve"> The observations </w:t>
      </w:r>
      <w:r w:rsidR="00321AFD" w:rsidRPr="008C0A9C">
        <w:rPr>
          <w:rFonts w:asciiTheme="majorHAnsi" w:hAnsiTheme="majorHAnsi"/>
          <w:sz w:val="16"/>
          <w:szCs w:val="16"/>
        </w:rPr>
        <w:t>submitted</w:t>
      </w:r>
      <w:r w:rsidR="00653EA6" w:rsidRPr="008C0A9C">
        <w:rPr>
          <w:rFonts w:asciiTheme="majorHAnsi" w:hAnsiTheme="majorHAnsi"/>
          <w:sz w:val="16"/>
          <w:szCs w:val="16"/>
        </w:rPr>
        <w:t xml:space="preserve"> by each party were duly transmitted to the opposing party.</w:t>
      </w:r>
    </w:p>
  </w:footnote>
  <w:footnote w:id="5">
    <w:p w14:paraId="50272B44" w14:textId="3C97E186" w:rsidR="00BD182E" w:rsidRPr="008C0A9C" w:rsidRDefault="00752199" w:rsidP="00FD5AEE">
      <w:pPr>
        <w:pStyle w:val="FootnoteText"/>
        <w:jc w:val="both"/>
        <w:rPr>
          <w:rFonts w:asciiTheme="majorHAnsi" w:hAnsiTheme="majorHAnsi"/>
          <w:sz w:val="16"/>
          <w:szCs w:val="16"/>
        </w:rPr>
      </w:pPr>
      <w:r>
        <w:rPr>
          <w:rFonts w:asciiTheme="majorHAnsi" w:hAnsiTheme="majorHAnsi"/>
          <w:sz w:val="16"/>
          <w:szCs w:val="16"/>
          <w:lang w:val="en"/>
        </w:rPr>
        <w:tab/>
      </w:r>
      <w:r w:rsidR="00BD182E" w:rsidRPr="008C0A9C">
        <w:rPr>
          <w:rStyle w:val="FootnoteReference"/>
          <w:rFonts w:asciiTheme="majorHAnsi" w:hAnsiTheme="majorHAnsi"/>
          <w:sz w:val="16"/>
          <w:szCs w:val="16"/>
          <w:lang w:val="en"/>
        </w:rPr>
        <w:footnoteRef/>
      </w:r>
      <w:r w:rsidR="00BD182E" w:rsidRPr="008C0A9C">
        <w:rPr>
          <w:rFonts w:asciiTheme="majorHAnsi" w:hAnsiTheme="majorHAnsi"/>
          <w:sz w:val="16"/>
          <w:szCs w:val="16"/>
          <w:lang w:val="en"/>
        </w:rPr>
        <w:t xml:space="preserve"> IACHR, Report No. 35/16, Petition 4480-02. Admissibility. </w:t>
      </w:r>
      <w:r w:rsidR="00BD182E" w:rsidRPr="00175F8B">
        <w:rPr>
          <w:rFonts w:asciiTheme="majorHAnsi" w:hAnsiTheme="majorHAnsi"/>
          <w:sz w:val="16"/>
          <w:szCs w:val="16"/>
          <w:lang w:val="es-US"/>
        </w:rPr>
        <w:t xml:space="preserve">Carlos Manuel Veraza Urtusuástegui. Mexico. </w:t>
      </w:r>
      <w:r w:rsidR="00BD182E" w:rsidRPr="008C0A9C">
        <w:rPr>
          <w:rFonts w:asciiTheme="majorHAnsi" w:hAnsiTheme="majorHAnsi"/>
          <w:sz w:val="16"/>
          <w:szCs w:val="16"/>
          <w:lang w:val="en"/>
        </w:rPr>
        <w:t>July 29, 2016, para. 33.</w:t>
      </w:r>
    </w:p>
  </w:footnote>
  <w:footnote w:id="6">
    <w:p w14:paraId="09B3A174" w14:textId="197DD04B" w:rsidR="00BD182E" w:rsidRPr="008C0A9C" w:rsidRDefault="00752199" w:rsidP="00FD5AEE">
      <w:pPr>
        <w:pStyle w:val="FootnoteText"/>
        <w:jc w:val="both"/>
        <w:rPr>
          <w:rFonts w:asciiTheme="majorHAnsi" w:hAnsiTheme="majorHAnsi"/>
          <w:sz w:val="16"/>
          <w:szCs w:val="16"/>
        </w:rPr>
      </w:pPr>
      <w:r>
        <w:rPr>
          <w:rFonts w:asciiTheme="majorHAnsi" w:hAnsiTheme="majorHAnsi"/>
          <w:sz w:val="16"/>
          <w:szCs w:val="16"/>
          <w:lang w:val="en"/>
        </w:rPr>
        <w:tab/>
      </w:r>
      <w:r w:rsidR="00BD182E" w:rsidRPr="008C0A9C">
        <w:rPr>
          <w:rStyle w:val="FootnoteReference"/>
          <w:rFonts w:asciiTheme="majorHAnsi" w:hAnsiTheme="majorHAnsi"/>
          <w:sz w:val="16"/>
          <w:szCs w:val="16"/>
          <w:lang w:val="en"/>
        </w:rPr>
        <w:footnoteRef/>
      </w:r>
      <w:r w:rsidR="00BD182E" w:rsidRPr="008C0A9C">
        <w:rPr>
          <w:rFonts w:asciiTheme="majorHAnsi" w:hAnsiTheme="majorHAnsi"/>
          <w:sz w:val="16"/>
          <w:szCs w:val="16"/>
          <w:lang w:val="en"/>
        </w:rPr>
        <w:t xml:space="preserve"> IACHR, Report No. 26/17, Petition 1208-08. Admissibility. William </w:t>
      </w:r>
      <w:proofErr w:type="spellStart"/>
      <w:r w:rsidR="00BD182E" w:rsidRPr="008C0A9C">
        <w:rPr>
          <w:rFonts w:asciiTheme="majorHAnsi" w:hAnsiTheme="majorHAnsi"/>
          <w:sz w:val="16"/>
          <w:szCs w:val="16"/>
          <w:lang w:val="en"/>
        </w:rPr>
        <w:t>Olaya</w:t>
      </w:r>
      <w:proofErr w:type="spellEnd"/>
      <w:r w:rsidR="00BD182E" w:rsidRPr="008C0A9C">
        <w:rPr>
          <w:rFonts w:asciiTheme="majorHAnsi" w:hAnsiTheme="majorHAnsi"/>
          <w:sz w:val="16"/>
          <w:szCs w:val="16"/>
          <w:lang w:val="en"/>
        </w:rPr>
        <w:t xml:space="preserve"> Moreno and Family. Colombia. March 18, 2017, par.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901E9D" w:rsidP="002C1641">
    <w:pPr>
      <w:pStyle w:val="Header"/>
      <w:tabs>
        <w:tab w:val="clear" w:pos="4320"/>
        <w:tab w:val="clear" w:pos="8640"/>
      </w:tabs>
      <w:jc w:val="center"/>
      <w:rPr>
        <w:sz w:val="22"/>
        <w:szCs w:val="22"/>
      </w:rPr>
    </w:pPr>
    <w:r>
      <w:rPr>
        <w:noProof/>
        <w:sz w:val="22"/>
        <w:szCs w:val="22"/>
        <w:bdr w:val="nil"/>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935FE" w14:textId="77777777" w:rsidR="00175F8B" w:rsidRDefault="00175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9D069C9C">
      <w:start w:val="2"/>
      <w:numFmt w:val="upperLetter"/>
      <w:lvlText w:val="%1."/>
      <w:lvlJc w:val="left"/>
      <w:pPr>
        <w:tabs>
          <w:tab w:val="num" w:pos="1800"/>
        </w:tabs>
        <w:ind w:left="1800" w:hanging="360"/>
      </w:pPr>
      <w:rPr>
        <w:rFonts w:hint="default"/>
      </w:rPr>
    </w:lvl>
    <w:lvl w:ilvl="1" w:tplc="A3F0A38C" w:tentative="1">
      <w:start w:val="1"/>
      <w:numFmt w:val="lowerLetter"/>
      <w:lvlText w:val="%2."/>
      <w:lvlJc w:val="left"/>
      <w:pPr>
        <w:tabs>
          <w:tab w:val="num" w:pos="2520"/>
        </w:tabs>
        <w:ind w:left="2520" w:hanging="360"/>
      </w:pPr>
    </w:lvl>
    <w:lvl w:ilvl="2" w:tplc="AA04CA88" w:tentative="1">
      <w:start w:val="1"/>
      <w:numFmt w:val="lowerRoman"/>
      <w:lvlText w:val="%3."/>
      <w:lvlJc w:val="right"/>
      <w:pPr>
        <w:tabs>
          <w:tab w:val="num" w:pos="3240"/>
        </w:tabs>
        <w:ind w:left="3240" w:hanging="180"/>
      </w:pPr>
    </w:lvl>
    <w:lvl w:ilvl="3" w:tplc="794A7FB2" w:tentative="1">
      <w:start w:val="1"/>
      <w:numFmt w:val="decimal"/>
      <w:lvlText w:val="%4."/>
      <w:lvlJc w:val="left"/>
      <w:pPr>
        <w:tabs>
          <w:tab w:val="num" w:pos="3960"/>
        </w:tabs>
        <w:ind w:left="3960" w:hanging="360"/>
      </w:pPr>
    </w:lvl>
    <w:lvl w:ilvl="4" w:tplc="635EAC5C" w:tentative="1">
      <w:start w:val="1"/>
      <w:numFmt w:val="lowerLetter"/>
      <w:lvlText w:val="%5."/>
      <w:lvlJc w:val="left"/>
      <w:pPr>
        <w:tabs>
          <w:tab w:val="num" w:pos="4680"/>
        </w:tabs>
        <w:ind w:left="4680" w:hanging="360"/>
      </w:pPr>
    </w:lvl>
    <w:lvl w:ilvl="5" w:tplc="D960CAD8" w:tentative="1">
      <w:start w:val="1"/>
      <w:numFmt w:val="lowerRoman"/>
      <w:lvlText w:val="%6."/>
      <w:lvlJc w:val="right"/>
      <w:pPr>
        <w:tabs>
          <w:tab w:val="num" w:pos="5400"/>
        </w:tabs>
        <w:ind w:left="5400" w:hanging="180"/>
      </w:pPr>
    </w:lvl>
    <w:lvl w:ilvl="6" w:tplc="4496AD9C" w:tentative="1">
      <w:start w:val="1"/>
      <w:numFmt w:val="decimal"/>
      <w:lvlText w:val="%7."/>
      <w:lvlJc w:val="left"/>
      <w:pPr>
        <w:tabs>
          <w:tab w:val="num" w:pos="6120"/>
        </w:tabs>
        <w:ind w:left="6120" w:hanging="360"/>
      </w:pPr>
    </w:lvl>
    <w:lvl w:ilvl="7" w:tplc="A404CFBE" w:tentative="1">
      <w:start w:val="1"/>
      <w:numFmt w:val="lowerLetter"/>
      <w:lvlText w:val="%8."/>
      <w:lvlJc w:val="left"/>
      <w:pPr>
        <w:tabs>
          <w:tab w:val="num" w:pos="6840"/>
        </w:tabs>
        <w:ind w:left="6840" w:hanging="360"/>
      </w:pPr>
    </w:lvl>
    <w:lvl w:ilvl="8" w:tplc="646AB74E"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12"/>
  </w:num>
  <w:num w:numId="105">
    <w:abstractNumId w:val="46"/>
  </w:num>
  <w:num w:numId="106">
    <w:abstractNumId w:val="32"/>
  </w:num>
  <w:num w:numId="107">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0EEB"/>
    <w:rsid w:val="00034EAA"/>
    <w:rsid w:val="00036A8A"/>
    <w:rsid w:val="00040C3A"/>
    <w:rsid w:val="000460CA"/>
    <w:rsid w:val="0004760E"/>
    <w:rsid w:val="000639C0"/>
    <w:rsid w:val="000667C7"/>
    <w:rsid w:val="00070F3A"/>
    <w:rsid w:val="000716C5"/>
    <w:rsid w:val="00075E23"/>
    <w:rsid w:val="0009029C"/>
    <w:rsid w:val="00092F32"/>
    <w:rsid w:val="0009344A"/>
    <w:rsid w:val="00094F1D"/>
    <w:rsid w:val="000A575F"/>
    <w:rsid w:val="000B0980"/>
    <w:rsid w:val="000C4365"/>
    <w:rsid w:val="000D10DB"/>
    <w:rsid w:val="000E76B9"/>
    <w:rsid w:val="001032EC"/>
    <w:rsid w:val="00113A4F"/>
    <w:rsid w:val="00115F41"/>
    <w:rsid w:val="00124116"/>
    <w:rsid w:val="00126E08"/>
    <w:rsid w:val="0013104F"/>
    <w:rsid w:val="00137EBA"/>
    <w:rsid w:val="00145EDC"/>
    <w:rsid w:val="00153084"/>
    <w:rsid w:val="00167A34"/>
    <w:rsid w:val="001714B4"/>
    <w:rsid w:val="00174DC7"/>
    <w:rsid w:val="00175F8B"/>
    <w:rsid w:val="0018037F"/>
    <w:rsid w:val="00184A1E"/>
    <w:rsid w:val="00190047"/>
    <w:rsid w:val="00192670"/>
    <w:rsid w:val="001A5F27"/>
    <w:rsid w:val="001A65E4"/>
    <w:rsid w:val="001A7870"/>
    <w:rsid w:val="001C1B41"/>
    <w:rsid w:val="001C551E"/>
    <w:rsid w:val="001E366B"/>
    <w:rsid w:val="001F1902"/>
    <w:rsid w:val="00204D9C"/>
    <w:rsid w:val="00210810"/>
    <w:rsid w:val="00210E0E"/>
    <w:rsid w:val="00210F4B"/>
    <w:rsid w:val="00230163"/>
    <w:rsid w:val="0023122D"/>
    <w:rsid w:val="0023351C"/>
    <w:rsid w:val="00247403"/>
    <w:rsid w:val="00247542"/>
    <w:rsid w:val="00257893"/>
    <w:rsid w:val="00261E08"/>
    <w:rsid w:val="00262ADD"/>
    <w:rsid w:val="00263BF5"/>
    <w:rsid w:val="00266092"/>
    <w:rsid w:val="00266B61"/>
    <w:rsid w:val="0026712A"/>
    <w:rsid w:val="002704DB"/>
    <w:rsid w:val="002760CE"/>
    <w:rsid w:val="00280C35"/>
    <w:rsid w:val="002826D3"/>
    <w:rsid w:val="002A6B0C"/>
    <w:rsid w:val="002B7A85"/>
    <w:rsid w:val="002C1641"/>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40878"/>
    <w:rsid w:val="003414AC"/>
    <w:rsid w:val="00350429"/>
    <w:rsid w:val="00356185"/>
    <w:rsid w:val="00360380"/>
    <w:rsid w:val="003721A4"/>
    <w:rsid w:val="00375EF6"/>
    <w:rsid w:val="003771A3"/>
    <w:rsid w:val="00386CF0"/>
    <w:rsid w:val="00387BD0"/>
    <w:rsid w:val="003A4348"/>
    <w:rsid w:val="003A5566"/>
    <w:rsid w:val="003B2057"/>
    <w:rsid w:val="003C32BC"/>
    <w:rsid w:val="003D1E33"/>
    <w:rsid w:val="003D6EE0"/>
    <w:rsid w:val="003D7616"/>
    <w:rsid w:val="003E1CF5"/>
    <w:rsid w:val="003E3E03"/>
    <w:rsid w:val="003F1BBF"/>
    <w:rsid w:val="004162B1"/>
    <w:rsid w:val="004165C2"/>
    <w:rsid w:val="00433117"/>
    <w:rsid w:val="0043489C"/>
    <w:rsid w:val="004434A5"/>
    <w:rsid w:val="00450A4A"/>
    <w:rsid w:val="0045729C"/>
    <w:rsid w:val="004666FB"/>
    <w:rsid w:val="00466D0B"/>
    <w:rsid w:val="00467B7E"/>
    <w:rsid w:val="0047642E"/>
    <w:rsid w:val="00476DC7"/>
    <w:rsid w:val="0049419D"/>
    <w:rsid w:val="004A11E6"/>
    <w:rsid w:val="004A7BA7"/>
    <w:rsid w:val="004B2762"/>
    <w:rsid w:val="004B7EB6"/>
    <w:rsid w:val="004C41DE"/>
    <w:rsid w:val="004C4B62"/>
    <w:rsid w:val="004D6025"/>
    <w:rsid w:val="004D72BC"/>
    <w:rsid w:val="004E4A92"/>
    <w:rsid w:val="004F6B67"/>
    <w:rsid w:val="00501399"/>
    <w:rsid w:val="00507BC4"/>
    <w:rsid w:val="005128E4"/>
    <w:rsid w:val="005243C2"/>
    <w:rsid w:val="00525560"/>
    <w:rsid w:val="005357A6"/>
    <w:rsid w:val="00544C49"/>
    <w:rsid w:val="005735B5"/>
    <w:rsid w:val="0057402A"/>
    <w:rsid w:val="005771D0"/>
    <w:rsid w:val="005816E5"/>
    <w:rsid w:val="0059191A"/>
    <w:rsid w:val="005921FF"/>
    <w:rsid w:val="00592718"/>
    <w:rsid w:val="00597B40"/>
    <w:rsid w:val="005A5517"/>
    <w:rsid w:val="005A6D0E"/>
    <w:rsid w:val="005B222D"/>
    <w:rsid w:val="005B52B0"/>
    <w:rsid w:val="005B6806"/>
    <w:rsid w:val="005C00F9"/>
    <w:rsid w:val="005C0B9C"/>
    <w:rsid w:val="005C4225"/>
    <w:rsid w:val="005D2EF7"/>
    <w:rsid w:val="005F0F33"/>
    <w:rsid w:val="005F3E64"/>
    <w:rsid w:val="00600DEB"/>
    <w:rsid w:val="00613027"/>
    <w:rsid w:val="00627C9F"/>
    <w:rsid w:val="006311DA"/>
    <w:rsid w:val="006311E9"/>
    <w:rsid w:val="006318B2"/>
    <w:rsid w:val="00632354"/>
    <w:rsid w:val="00642810"/>
    <w:rsid w:val="00652333"/>
    <w:rsid w:val="00653EA6"/>
    <w:rsid w:val="00655A00"/>
    <w:rsid w:val="00663511"/>
    <w:rsid w:val="0068009E"/>
    <w:rsid w:val="006A0C3E"/>
    <w:rsid w:val="006A17D2"/>
    <w:rsid w:val="006A73E6"/>
    <w:rsid w:val="006B2D5C"/>
    <w:rsid w:val="006C4EB1"/>
    <w:rsid w:val="006D4707"/>
    <w:rsid w:val="006E0166"/>
    <w:rsid w:val="006E270D"/>
    <w:rsid w:val="006E7B34"/>
    <w:rsid w:val="00701B24"/>
    <w:rsid w:val="007067F0"/>
    <w:rsid w:val="00706858"/>
    <w:rsid w:val="00713AED"/>
    <w:rsid w:val="0071495F"/>
    <w:rsid w:val="00720027"/>
    <w:rsid w:val="00732397"/>
    <w:rsid w:val="00736EF9"/>
    <w:rsid w:val="0073798E"/>
    <w:rsid w:val="00740872"/>
    <w:rsid w:val="00745899"/>
    <w:rsid w:val="00752199"/>
    <w:rsid w:val="00752D34"/>
    <w:rsid w:val="007607C4"/>
    <w:rsid w:val="0076643F"/>
    <w:rsid w:val="00776C11"/>
    <w:rsid w:val="00777314"/>
    <w:rsid w:val="00781653"/>
    <w:rsid w:val="007A2082"/>
    <w:rsid w:val="007A2F70"/>
    <w:rsid w:val="007C3334"/>
    <w:rsid w:val="007C52BB"/>
    <w:rsid w:val="007D2B98"/>
    <w:rsid w:val="007E72DA"/>
    <w:rsid w:val="007F6DE9"/>
    <w:rsid w:val="007F7980"/>
    <w:rsid w:val="00803F1C"/>
    <w:rsid w:val="0080600E"/>
    <w:rsid w:val="0081071C"/>
    <w:rsid w:val="00817612"/>
    <w:rsid w:val="008258D7"/>
    <w:rsid w:val="00837C45"/>
    <w:rsid w:val="00853419"/>
    <w:rsid w:val="008546E5"/>
    <w:rsid w:val="0086214D"/>
    <w:rsid w:val="0086295B"/>
    <w:rsid w:val="00870804"/>
    <w:rsid w:val="008801F8"/>
    <w:rsid w:val="00897E12"/>
    <w:rsid w:val="008A42C7"/>
    <w:rsid w:val="008B14C0"/>
    <w:rsid w:val="008B3E7F"/>
    <w:rsid w:val="008C0A9C"/>
    <w:rsid w:val="008C4F67"/>
    <w:rsid w:val="008D43BA"/>
    <w:rsid w:val="008E3759"/>
    <w:rsid w:val="008E40F5"/>
    <w:rsid w:val="008E4EEF"/>
    <w:rsid w:val="00901E9D"/>
    <w:rsid w:val="009041DC"/>
    <w:rsid w:val="009104B4"/>
    <w:rsid w:val="0091346E"/>
    <w:rsid w:val="009228DA"/>
    <w:rsid w:val="00925FCD"/>
    <w:rsid w:val="0093441A"/>
    <w:rsid w:val="00936805"/>
    <w:rsid w:val="00954BF7"/>
    <w:rsid w:val="0096706E"/>
    <w:rsid w:val="00981FBA"/>
    <w:rsid w:val="00983714"/>
    <w:rsid w:val="0098783D"/>
    <w:rsid w:val="009B306D"/>
    <w:rsid w:val="009B381B"/>
    <w:rsid w:val="009D59D2"/>
    <w:rsid w:val="009D7611"/>
    <w:rsid w:val="009E53DE"/>
    <w:rsid w:val="009E566A"/>
    <w:rsid w:val="00A0523B"/>
    <w:rsid w:val="00A12DBC"/>
    <w:rsid w:val="00A2467F"/>
    <w:rsid w:val="00A43458"/>
    <w:rsid w:val="00A528D1"/>
    <w:rsid w:val="00A66BE5"/>
    <w:rsid w:val="00A75D39"/>
    <w:rsid w:val="00A9088E"/>
    <w:rsid w:val="00A92FE9"/>
    <w:rsid w:val="00AB4FA4"/>
    <w:rsid w:val="00AD37C1"/>
    <w:rsid w:val="00AE2C03"/>
    <w:rsid w:val="00AE66EC"/>
    <w:rsid w:val="00AE6F91"/>
    <w:rsid w:val="00AF5571"/>
    <w:rsid w:val="00B06BB7"/>
    <w:rsid w:val="00B06F3D"/>
    <w:rsid w:val="00B122FC"/>
    <w:rsid w:val="00B167E9"/>
    <w:rsid w:val="00B179ED"/>
    <w:rsid w:val="00B21C10"/>
    <w:rsid w:val="00B314DB"/>
    <w:rsid w:val="00B31EBE"/>
    <w:rsid w:val="00B3718B"/>
    <w:rsid w:val="00B44B23"/>
    <w:rsid w:val="00B4632A"/>
    <w:rsid w:val="00B907F3"/>
    <w:rsid w:val="00B92E49"/>
    <w:rsid w:val="00BA276C"/>
    <w:rsid w:val="00BB306F"/>
    <w:rsid w:val="00BD182E"/>
    <w:rsid w:val="00BD232B"/>
    <w:rsid w:val="00BD2E42"/>
    <w:rsid w:val="00BD4B89"/>
    <w:rsid w:val="00BE599D"/>
    <w:rsid w:val="00BE6657"/>
    <w:rsid w:val="00BF51FD"/>
    <w:rsid w:val="00C02721"/>
    <w:rsid w:val="00C1644E"/>
    <w:rsid w:val="00C17513"/>
    <w:rsid w:val="00C21762"/>
    <w:rsid w:val="00C24543"/>
    <w:rsid w:val="00C256A2"/>
    <w:rsid w:val="00C26E48"/>
    <w:rsid w:val="00C315EE"/>
    <w:rsid w:val="00C3492D"/>
    <w:rsid w:val="00C355B4"/>
    <w:rsid w:val="00C55560"/>
    <w:rsid w:val="00C66B72"/>
    <w:rsid w:val="00C77713"/>
    <w:rsid w:val="00C87C57"/>
    <w:rsid w:val="00C9567A"/>
    <w:rsid w:val="00C962B2"/>
    <w:rsid w:val="00CA6577"/>
    <w:rsid w:val="00CB2660"/>
    <w:rsid w:val="00CC5E90"/>
    <w:rsid w:val="00CD046C"/>
    <w:rsid w:val="00CE5199"/>
    <w:rsid w:val="00CE66D5"/>
    <w:rsid w:val="00D219EA"/>
    <w:rsid w:val="00D34786"/>
    <w:rsid w:val="00D40A1E"/>
    <w:rsid w:val="00D475BE"/>
    <w:rsid w:val="00D533C0"/>
    <w:rsid w:val="00D66D3C"/>
    <w:rsid w:val="00D707F4"/>
    <w:rsid w:val="00D712D3"/>
    <w:rsid w:val="00D713A6"/>
    <w:rsid w:val="00D71422"/>
    <w:rsid w:val="00D7145E"/>
    <w:rsid w:val="00D75084"/>
    <w:rsid w:val="00D7558D"/>
    <w:rsid w:val="00D81D92"/>
    <w:rsid w:val="00D93446"/>
    <w:rsid w:val="00DA7B5F"/>
    <w:rsid w:val="00DC7B91"/>
    <w:rsid w:val="00DF078B"/>
    <w:rsid w:val="00DF350D"/>
    <w:rsid w:val="00E227C1"/>
    <w:rsid w:val="00E35A08"/>
    <w:rsid w:val="00E4065B"/>
    <w:rsid w:val="00E43157"/>
    <w:rsid w:val="00E47F3D"/>
    <w:rsid w:val="00E533FF"/>
    <w:rsid w:val="00E672BF"/>
    <w:rsid w:val="00E709B3"/>
    <w:rsid w:val="00E7588C"/>
    <w:rsid w:val="00E76E74"/>
    <w:rsid w:val="00E7797F"/>
    <w:rsid w:val="00E828FF"/>
    <w:rsid w:val="00E850B6"/>
    <w:rsid w:val="00E87887"/>
    <w:rsid w:val="00E8789F"/>
    <w:rsid w:val="00E97B71"/>
    <w:rsid w:val="00EB454D"/>
    <w:rsid w:val="00ED0D1B"/>
    <w:rsid w:val="00ED5FB1"/>
    <w:rsid w:val="00EE3522"/>
    <w:rsid w:val="00EF619B"/>
    <w:rsid w:val="00F00B55"/>
    <w:rsid w:val="00F1380F"/>
    <w:rsid w:val="00F14F0E"/>
    <w:rsid w:val="00F15A3B"/>
    <w:rsid w:val="00F24C29"/>
    <w:rsid w:val="00F253CC"/>
    <w:rsid w:val="00F40340"/>
    <w:rsid w:val="00F40D04"/>
    <w:rsid w:val="00F42B71"/>
    <w:rsid w:val="00F455FB"/>
    <w:rsid w:val="00F56BA5"/>
    <w:rsid w:val="00F621C3"/>
    <w:rsid w:val="00F644E6"/>
    <w:rsid w:val="00F7262A"/>
    <w:rsid w:val="00F94004"/>
    <w:rsid w:val="00F9653B"/>
    <w:rsid w:val="00FA4B6B"/>
    <w:rsid w:val="00FB2DCE"/>
    <w:rsid w:val="00FB62CF"/>
    <w:rsid w:val="00FC3EB4"/>
    <w:rsid w:val="00FC6C58"/>
    <w:rsid w:val="00FD5AEE"/>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9C23-F180-43DA-806B-193EE3F0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11378</Characters>
  <Application>Microsoft Office Word</Application>
  <DocSecurity>0</DocSecurity>
  <Lines>94</Lines>
  <Paragraphs>26</Paragraphs>
  <ScaleCrop>false</ScaleCrop>
  <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155/20</dc:title>
  <dc:creator/>
  <cp:lastModifiedBy/>
  <cp:revision>1</cp:revision>
  <dcterms:created xsi:type="dcterms:W3CDTF">2020-07-22T16:34:00Z</dcterms:created>
  <dcterms:modified xsi:type="dcterms:W3CDTF">2020-07-22T16:34:00Z</dcterms:modified>
</cp:coreProperties>
</file>