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167748"/>
    <w:p w14:paraId="11289B20" w14:textId="57F7A499" w:rsidR="00C02C7F" w:rsidRPr="002850CA" w:rsidRDefault="00035FF1" w:rsidP="00A934CD">
      <w:pPr>
        <w:pStyle w:val="BodyText"/>
        <w:ind w:right="1000"/>
        <w:rPr>
          <w:rFonts w:ascii="Times New Roman"/>
          <w:sz w:val="9"/>
        </w:rPr>
      </w:pPr>
      <w:r w:rsidRPr="002850CA">
        <w:rPr>
          <w:noProof/>
          <w:lang w:eastAsia="en-US" w:bidi="ar-SA"/>
        </w:rPr>
        <mc:AlternateContent>
          <mc:Choice Requires="wps">
            <w:drawing>
              <wp:anchor distT="0" distB="0" distL="114300" distR="114300" simplePos="0" relativeHeight="251657216" behindDoc="0" locked="0" layoutInCell="1" allowOverlap="1" wp14:anchorId="5F6C74EE" wp14:editId="1D4E5C82">
                <wp:simplePos x="0" y="0"/>
                <wp:positionH relativeFrom="page">
                  <wp:posOffset>498475</wp:posOffset>
                </wp:positionH>
                <wp:positionV relativeFrom="page">
                  <wp:posOffset>474980</wp:posOffset>
                </wp:positionV>
                <wp:extent cx="1543050" cy="90963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67AE3C"/>
                        </a:solidFill>
                        <a:ln>
                          <a:noFill/>
                        </a:ln>
                      </wps:spPr>
                      <wps:txbx>
                        <w:txbxContent>
                          <w:p w14:paraId="57C6298F" w14:textId="77777777" w:rsidR="00C02C7F" w:rsidRDefault="00C02C7F">
                            <w:pPr>
                              <w:pStyle w:val="BodyText"/>
                              <w:rPr>
                                <w:sz w:val="22"/>
                              </w:rPr>
                            </w:pPr>
                          </w:p>
                          <w:p w14:paraId="68352512" w14:textId="77777777" w:rsidR="00C02C7F" w:rsidRDefault="00C02C7F">
                            <w:pPr>
                              <w:pStyle w:val="BodyText"/>
                              <w:rPr>
                                <w:sz w:val="22"/>
                              </w:rPr>
                            </w:pPr>
                          </w:p>
                          <w:p w14:paraId="59DC0060" w14:textId="77777777" w:rsidR="00C02C7F" w:rsidRDefault="00C02C7F">
                            <w:pPr>
                              <w:pStyle w:val="BodyText"/>
                              <w:rPr>
                                <w:sz w:val="22"/>
                              </w:rPr>
                            </w:pPr>
                          </w:p>
                          <w:p w14:paraId="68073EBC" w14:textId="77777777" w:rsidR="00C02C7F" w:rsidRDefault="00C02C7F">
                            <w:pPr>
                              <w:pStyle w:val="BodyText"/>
                              <w:rPr>
                                <w:sz w:val="22"/>
                              </w:rPr>
                            </w:pPr>
                          </w:p>
                          <w:p w14:paraId="78FEA6A8" w14:textId="77777777" w:rsidR="00C02C7F" w:rsidRDefault="00C02C7F">
                            <w:pPr>
                              <w:pStyle w:val="BodyText"/>
                              <w:rPr>
                                <w:sz w:val="22"/>
                              </w:rPr>
                            </w:pPr>
                          </w:p>
                          <w:p w14:paraId="5C4C7E9B" w14:textId="77777777" w:rsidR="00C02C7F" w:rsidRDefault="00C02C7F">
                            <w:pPr>
                              <w:pStyle w:val="BodyText"/>
                              <w:rPr>
                                <w:sz w:val="22"/>
                              </w:rPr>
                            </w:pPr>
                          </w:p>
                          <w:p w14:paraId="7DA1D8A5" w14:textId="77777777" w:rsidR="00C02C7F" w:rsidRDefault="00C02C7F">
                            <w:pPr>
                              <w:pStyle w:val="BodyText"/>
                              <w:rPr>
                                <w:sz w:val="22"/>
                              </w:rPr>
                            </w:pPr>
                          </w:p>
                          <w:p w14:paraId="45013810" w14:textId="77777777" w:rsidR="00C02C7F" w:rsidRDefault="00C02C7F">
                            <w:pPr>
                              <w:pStyle w:val="BodyText"/>
                              <w:rPr>
                                <w:sz w:val="22"/>
                              </w:rPr>
                            </w:pPr>
                          </w:p>
                          <w:p w14:paraId="5AD09D0C" w14:textId="77777777" w:rsidR="00C02C7F" w:rsidRDefault="00C02C7F">
                            <w:pPr>
                              <w:pStyle w:val="BodyText"/>
                              <w:rPr>
                                <w:sz w:val="22"/>
                              </w:rPr>
                            </w:pPr>
                          </w:p>
                          <w:p w14:paraId="1025AA08" w14:textId="77777777" w:rsidR="00C02C7F" w:rsidRDefault="00C02C7F">
                            <w:pPr>
                              <w:pStyle w:val="BodyText"/>
                              <w:rPr>
                                <w:sz w:val="22"/>
                              </w:rPr>
                            </w:pPr>
                          </w:p>
                          <w:p w14:paraId="0FF8B220" w14:textId="77777777" w:rsidR="00C02C7F" w:rsidRDefault="00C02C7F">
                            <w:pPr>
                              <w:pStyle w:val="BodyText"/>
                              <w:rPr>
                                <w:sz w:val="22"/>
                              </w:rPr>
                            </w:pPr>
                          </w:p>
                          <w:p w14:paraId="52D63876" w14:textId="77777777" w:rsidR="00C02C7F" w:rsidRDefault="00C02C7F">
                            <w:pPr>
                              <w:pStyle w:val="BodyText"/>
                              <w:rPr>
                                <w:sz w:val="22"/>
                              </w:rPr>
                            </w:pPr>
                          </w:p>
                          <w:p w14:paraId="7F40E19A" w14:textId="77777777" w:rsidR="00C02C7F" w:rsidRDefault="00C02C7F">
                            <w:pPr>
                              <w:pStyle w:val="BodyText"/>
                              <w:rPr>
                                <w:sz w:val="22"/>
                              </w:rPr>
                            </w:pPr>
                          </w:p>
                          <w:p w14:paraId="771BCFDF" w14:textId="77777777" w:rsidR="00C02C7F" w:rsidRDefault="00C02C7F">
                            <w:pPr>
                              <w:pStyle w:val="BodyText"/>
                              <w:rPr>
                                <w:sz w:val="22"/>
                              </w:rPr>
                            </w:pPr>
                          </w:p>
                          <w:p w14:paraId="010292D4" w14:textId="77777777" w:rsidR="00C02C7F" w:rsidRDefault="00C02C7F">
                            <w:pPr>
                              <w:pStyle w:val="BodyText"/>
                              <w:rPr>
                                <w:sz w:val="22"/>
                              </w:rPr>
                            </w:pPr>
                          </w:p>
                          <w:p w14:paraId="5AC78962" w14:textId="77777777" w:rsidR="00C02C7F" w:rsidRDefault="00C02C7F">
                            <w:pPr>
                              <w:pStyle w:val="BodyText"/>
                              <w:rPr>
                                <w:sz w:val="22"/>
                              </w:rPr>
                            </w:pPr>
                          </w:p>
                          <w:p w14:paraId="33EE618D" w14:textId="77777777" w:rsidR="00C02C7F" w:rsidRDefault="00C02C7F">
                            <w:pPr>
                              <w:pStyle w:val="BodyText"/>
                              <w:spacing w:before="4"/>
                              <w:rPr>
                                <w:sz w:val="21"/>
                              </w:rPr>
                            </w:pPr>
                          </w:p>
                          <w:p w14:paraId="5B212135" w14:textId="77777777" w:rsidR="00C02C7F" w:rsidRPr="00A8020F" w:rsidRDefault="001223F2">
                            <w:pPr>
                              <w:spacing w:before="1"/>
                              <w:ind w:left="794"/>
                              <w:rPr>
                                <w:rFonts w:ascii="Calibri"/>
                                <w:lang w:val="pt-BR"/>
                              </w:rPr>
                            </w:pPr>
                            <w:r w:rsidRPr="00A8020F">
                              <w:rPr>
                                <w:rFonts w:ascii="Calibri"/>
                                <w:color w:val="FFFFFF"/>
                                <w:lang w:val="pt-BR"/>
                              </w:rPr>
                              <w:t>OEA/Ser.L/V/II.</w:t>
                            </w:r>
                          </w:p>
                          <w:p w14:paraId="2103D6EE" w14:textId="08714900" w:rsidR="00C02C7F" w:rsidRPr="00A8020F" w:rsidRDefault="001223F2">
                            <w:pPr>
                              <w:spacing w:before="41"/>
                              <w:ind w:right="271"/>
                              <w:jc w:val="right"/>
                              <w:rPr>
                                <w:rFonts w:ascii="Calibri"/>
                                <w:lang w:val="pt-BR"/>
                              </w:rPr>
                            </w:pPr>
                            <w:r w:rsidRPr="00A8020F">
                              <w:rPr>
                                <w:rFonts w:ascii="Calibri"/>
                                <w:color w:val="FFFFFF"/>
                                <w:lang w:val="pt-BR"/>
                              </w:rPr>
                              <w:t xml:space="preserve">Doc. </w:t>
                            </w:r>
                            <w:r w:rsidR="00A8020F">
                              <w:rPr>
                                <w:rFonts w:ascii="Calibri"/>
                                <w:color w:val="FFFFFF"/>
                                <w:lang w:val="pt-BR"/>
                              </w:rPr>
                              <w:t>197</w:t>
                            </w:r>
                          </w:p>
                          <w:p w14:paraId="2B5938C9" w14:textId="3E31632E" w:rsidR="00C02C7F" w:rsidRPr="00A8020F" w:rsidRDefault="00A8020F">
                            <w:pPr>
                              <w:spacing w:before="38" w:line="278" w:lineRule="auto"/>
                              <w:ind w:left="650" w:right="270" w:hanging="286"/>
                              <w:jc w:val="right"/>
                              <w:rPr>
                                <w:rFonts w:ascii="Calibri" w:hAnsi="Calibri"/>
                                <w:lang w:val="pt-BR"/>
                              </w:rPr>
                            </w:pPr>
                            <w:r>
                              <w:rPr>
                                <w:rFonts w:ascii="Calibri" w:hAnsi="Calibri"/>
                                <w:color w:val="FFFFFF"/>
                                <w:lang w:val="pt-BR"/>
                              </w:rPr>
                              <w:t>3 September</w:t>
                            </w:r>
                            <w:r w:rsidR="0026469F" w:rsidRPr="00A8020F">
                              <w:rPr>
                                <w:rFonts w:ascii="Calibri" w:hAnsi="Calibri"/>
                                <w:color w:val="FFFFFF"/>
                                <w:lang w:val="pt-BR"/>
                              </w:rPr>
                              <w:t xml:space="preserve"> 2021 Original: Spanish</w:t>
                            </w:r>
                          </w:p>
                          <w:p w14:paraId="18E44612" w14:textId="77777777" w:rsidR="00C02C7F" w:rsidRPr="00EE7BDA" w:rsidRDefault="00C02C7F">
                            <w:pPr>
                              <w:pStyle w:val="BodyText"/>
                              <w:rPr>
                                <w:sz w:val="22"/>
                                <w:lang w:val="pt-BR"/>
                              </w:rPr>
                            </w:pPr>
                          </w:p>
                          <w:p w14:paraId="0860EC38" w14:textId="77777777" w:rsidR="00C02C7F" w:rsidRPr="00EE7BDA" w:rsidRDefault="00C02C7F">
                            <w:pPr>
                              <w:pStyle w:val="BodyText"/>
                              <w:rPr>
                                <w:sz w:val="22"/>
                                <w:lang w:val="pt-BR"/>
                              </w:rPr>
                            </w:pPr>
                          </w:p>
                          <w:p w14:paraId="0952E55B" w14:textId="77777777" w:rsidR="00C02C7F" w:rsidRPr="00EE7BDA" w:rsidRDefault="00C02C7F">
                            <w:pPr>
                              <w:pStyle w:val="BodyText"/>
                              <w:rPr>
                                <w:sz w:val="22"/>
                                <w:lang w:val="pt-BR"/>
                              </w:rPr>
                            </w:pPr>
                          </w:p>
                          <w:p w14:paraId="4C3592B3" w14:textId="77777777" w:rsidR="00C02C7F" w:rsidRPr="00EE7BDA" w:rsidRDefault="00C02C7F">
                            <w:pPr>
                              <w:pStyle w:val="BodyText"/>
                              <w:rPr>
                                <w:sz w:val="22"/>
                                <w:lang w:val="pt-BR"/>
                              </w:rPr>
                            </w:pPr>
                          </w:p>
                          <w:p w14:paraId="3E49B12C" w14:textId="77777777" w:rsidR="00C02C7F" w:rsidRPr="00EE7BDA" w:rsidRDefault="00C02C7F">
                            <w:pPr>
                              <w:pStyle w:val="BodyText"/>
                              <w:rPr>
                                <w:sz w:val="22"/>
                                <w:lang w:val="pt-BR"/>
                              </w:rPr>
                            </w:pPr>
                          </w:p>
                          <w:p w14:paraId="2C1EBE27" w14:textId="77777777" w:rsidR="00C02C7F" w:rsidRPr="00EE7BDA" w:rsidRDefault="00C02C7F">
                            <w:pPr>
                              <w:pStyle w:val="BodyText"/>
                              <w:rPr>
                                <w:sz w:val="22"/>
                                <w:lang w:val="pt-BR"/>
                              </w:rPr>
                            </w:pPr>
                          </w:p>
                          <w:p w14:paraId="3271977D" w14:textId="77777777" w:rsidR="00C02C7F" w:rsidRPr="00EE7BDA" w:rsidRDefault="00C02C7F">
                            <w:pPr>
                              <w:pStyle w:val="BodyText"/>
                              <w:rPr>
                                <w:sz w:val="22"/>
                                <w:lang w:val="pt-BR"/>
                              </w:rPr>
                            </w:pPr>
                          </w:p>
                          <w:p w14:paraId="4ACD6E87" w14:textId="77777777" w:rsidR="00C02C7F" w:rsidRPr="00EE7BDA" w:rsidRDefault="00C02C7F">
                            <w:pPr>
                              <w:pStyle w:val="BodyText"/>
                              <w:rPr>
                                <w:sz w:val="22"/>
                                <w:lang w:val="pt-BR"/>
                              </w:rPr>
                            </w:pPr>
                          </w:p>
                          <w:p w14:paraId="4615FBE5" w14:textId="77777777" w:rsidR="00C02C7F" w:rsidRPr="00EE7BDA" w:rsidRDefault="00C02C7F">
                            <w:pPr>
                              <w:pStyle w:val="BodyText"/>
                              <w:rPr>
                                <w:sz w:val="22"/>
                                <w:lang w:val="pt-BR"/>
                              </w:rPr>
                            </w:pPr>
                          </w:p>
                          <w:p w14:paraId="546D6BA3" w14:textId="77777777" w:rsidR="00C02C7F" w:rsidRPr="00EE7BDA" w:rsidRDefault="00C02C7F">
                            <w:pPr>
                              <w:pStyle w:val="BodyText"/>
                              <w:rPr>
                                <w:sz w:val="22"/>
                                <w:lang w:val="pt-BR"/>
                              </w:rPr>
                            </w:pPr>
                          </w:p>
                          <w:p w14:paraId="04C73831" w14:textId="77777777" w:rsidR="00C02C7F" w:rsidRPr="00EE7BDA" w:rsidRDefault="00C02C7F">
                            <w:pPr>
                              <w:pStyle w:val="BodyText"/>
                              <w:rPr>
                                <w:sz w:val="22"/>
                                <w:lang w:val="pt-BR"/>
                              </w:rPr>
                            </w:pPr>
                          </w:p>
                          <w:p w14:paraId="69C35975" w14:textId="77777777" w:rsidR="00C02C7F" w:rsidRPr="00EE7BDA" w:rsidRDefault="00C02C7F">
                            <w:pPr>
                              <w:pStyle w:val="BodyText"/>
                              <w:rPr>
                                <w:sz w:val="22"/>
                                <w:lang w:val="pt-BR"/>
                              </w:rPr>
                            </w:pPr>
                          </w:p>
                          <w:p w14:paraId="064BDD69" w14:textId="77777777" w:rsidR="00C02C7F" w:rsidRPr="00EE7BDA" w:rsidRDefault="00C02C7F">
                            <w:pPr>
                              <w:pStyle w:val="BodyText"/>
                              <w:rPr>
                                <w:sz w:val="22"/>
                                <w:lang w:val="pt-BR"/>
                              </w:rPr>
                            </w:pPr>
                          </w:p>
                          <w:p w14:paraId="2779BAF2" w14:textId="77777777" w:rsidR="00C02C7F" w:rsidRPr="00EE7BDA" w:rsidRDefault="00C02C7F">
                            <w:pPr>
                              <w:pStyle w:val="BodyText"/>
                              <w:rPr>
                                <w:sz w:val="22"/>
                                <w:lang w:val="pt-BR"/>
                              </w:rPr>
                            </w:pPr>
                          </w:p>
                          <w:p w14:paraId="0405996E" w14:textId="77777777" w:rsidR="00C02C7F" w:rsidRPr="00EE7BDA" w:rsidRDefault="00C02C7F">
                            <w:pPr>
                              <w:pStyle w:val="BodyText"/>
                              <w:rPr>
                                <w:sz w:val="22"/>
                                <w:lang w:val="pt-BR"/>
                              </w:rPr>
                            </w:pPr>
                          </w:p>
                          <w:p w14:paraId="65DBB752" w14:textId="77777777" w:rsidR="00C02C7F" w:rsidRPr="00EE7BDA" w:rsidRDefault="00C02C7F">
                            <w:pPr>
                              <w:pStyle w:val="BodyText"/>
                              <w:rPr>
                                <w:sz w:val="22"/>
                                <w:lang w:val="pt-BR"/>
                              </w:rPr>
                            </w:pPr>
                          </w:p>
                          <w:p w14:paraId="3914C4FE" w14:textId="77777777" w:rsidR="00C02C7F" w:rsidRPr="00EE7BDA" w:rsidRDefault="00C02C7F">
                            <w:pPr>
                              <w:pStyle w:val="BodyText"/>
                              <w:rPr>
                                <w:sz w:val="22"/>
                                <w:lang w:val="pt-BR"/>
                              </w:rPr>
                            </w:pPr>
                          </w:p>
                          <w:p w14:paraId="6CD615F1" w14:textId="77777777" w:rsidR="00C02C7F" w:rsidRPr="00EE7BDA" w:rsidRDefault="00C02C7F">
                            <w:pPr>
                              <w:pStyle w:val="BodyText"/>
                              <w:rPr>
                                <w:sz w:val="22"/>
                                <w:lang w:val="pt-BR"/>
                              </w:rPr>
                            </w:pPr>
                          </w:p>
                          <w:p w14:paraId="6C14BE4D" w14:textId="77777777" w:rsidR="00C02C7F" w:rsidRPr="00EE7BDA" w:rsidRDefault="00C02C7F">
                            <w:pPr>
                              <w:pStyle w:val="BodyText"/>
                              <w:rPr>
                                <w:sz w:val="22"/>
                                <w:lang w:val="pt-BR"/>
                              </w:rPr>
                            </w:pPr>
                          </w:p>
                          <w:p w14:paraId="72D584A2" w14:textId="77777777" w:rsidR="00C02C7F" w:rsidRPr="00EE7BDA" w:rsidRDefault="00C02C7F">
                            <w:pPr>
                              <w:pStyle w:val="BodyText"/>
                              <w:rPr>
                                <w:sz w:val="22"/>
                                <w:lang w:val="pt-BR"/>
                              </w:rPr>
                            </w:pPr>
                          </w:p>
                          <w:p w14:paraId="044E3404" w14:textId="77777777" w:rsidR="00C02C7F" w:rsidRPr="00EE7BDA" w:rsidRDefault="00C02C7F">
                            <w:pPr>
                              <w:pStyle w:val="BodyText"/>
                              <w:rPr>
                                <w:sz w:val="22"/>
                                <w:lang w:val="pt-BR"/>
                              </w:rPr>
                            </w:pPr>
                          </w:p>
                          <w:p w14:paraId="472E25FD" w14:textId="77777777" w:rsidR="00C02C7F" w:rsidRPr="00EE7BDA" w:rsidRDefault="00C02C7F">
                            <w:pPr>
                              <w:pStyle w:val="BodyText"/>
                              <w:rPr>
                                <w:sz w:val="22"/>
                                <w:lang w:val="pt-BR"/>
                              </w:rPr>
                            </w:pPr>
                          </w:p>
                          <w:p w14:paraId="50743F04" w14:textId="77777777" w:rsidR="00C02C7F" w:rsidRPr="00EE7BDA" w:rsidRDefault="00C02C7F">
                            <w:pPr>
                              <w:pStyle w:val="BodyText"/>
                              <w:rPr>
                                <w:sz w:val="22"/>
                                <w:lang w:val="pt-BR"/>
                              </w:rPr>
                            </w:pPr>
                          </w:p>
                          <w:p w14:paraId="16A249B5" w14:textId="77777777" w:rsidR="00C02C7F" w:rsidRPr="00EE7BDA" w:rsidRDefault="00C02C7F">
                            <w:pPr>
                              <w:pStyle w:val="BodyText"/>
                              <w:rPr>
                                <w:sz w:val="22"/>
                                <w:lang w:val="pt-BR"/>
                              </w:rPr>
                            </w:pPr>
                          </w:p>
                          <w:p w14:paraId="6AF262A4" w14:textId="77777777" w:rsidR="00C02C7F" w:rsidRPr="00EE7BDA" w:rsidRDefault="00C02C7F">
                            <w:pPr>
                              <w:pStyle w:val="BodyText"/>
                              <w:rPr>
                                <w:sz w:val="22"/>
                                <w:lang w:val="pt-BR"/>
                              </w:rPr>
                            </w:pPr>
                          </w:p>
                          <w:p w14:paraId="6FBF2F20" w14:textId="77777777" w:rsidR="00C02C7F" w:rsidRPr="00EE7BDA" w:rsidRDefault="00C02C7F">
                            <w:pPr>
                              <w:pStyle w:val="BodyText"/>
                              <w:rPr>
                                <w:sz w:val="22"/>
                                <w:lang w:val="pt-BR"/>
                              </w:rPr>
                            </w:pPr>
                          </w:p>
                          <w:p w14:paraId="147FE114" w14:textId="77777777" w:rsidR="00C02C7F" w:rsidRPr="00EE7BDA" w:rsidRDefault="00C02C7F">
                            <w:pPr>
                              <w:pStyle w:val="BodyText"/>
                              <w:rPr>
                                <w:sz w:val="22"/>
                                <w:lang w:val="pt-BR"/>
                              </w:rPr>
                            </w:pPr>
                          </w:p>
                          <w:p w14:paraId="08EA78E3" w14:textId="77777777" w:rsidR="00C02C7F" w:rsidRPr="00EE7BDA" w:rsidRDefault="00C02C7F">
                            <w:pPr>
                              <w:pStyle w:val="BodyText"/>
                              <w:rPr>
                                <w:sz w:val="22"/>
                                <w:lang w:val="pt-BR"/>
                              </w:rPr>
                            </w:pPr>
                          </w:p>
                          <w:p w14:paraId="262C4DEB" w14:textId="77777777" w:rsidR="00C02C7F" w:rsidRPr="00EE7BDA" w:rsidRDefault="00C02C7F">
                            <w:pPr>
                              <w:pStyle w:val="BodyText"/>
                              <w:rPr>
                                <w:sz w:val="22"/>
                                <w:lang w:val="pt-BR"/>
                              </w:rPr>
                            </w:pPr>
                          </w:p>
                          <w:p w14:paraId="0CB605B8" w14:textId="77777777" w:rsidR="00C02C7F" w:rsidRPr="00EE7BDA" w:rsidRDefault="00C02C7F">
                            <w:pPr>
                              <w:pStyle w:val="BodyText"/>
                              <w:rPr>
                                <w:sz w:val="22"/>
                                <w:lang w:val="pt-BR"/>
                              </w:rPr>
                            </w:pPr>
                          </w:p>
                          <w:p w14:paraId="3E06130D" w14:textId="77777777" w:rsidR="00C02C7F" w:rsidRPr="00EE7BDA" w:rsidRDefault="00C02C7F">
                            <w:pPr>
                              <w:pStyle w:val="BodyText"/>
                              <w:rPr>
                                <w:sz w:val="22"/>
                                <w:lang w:val="pt-BR"/>
                              </w:rPr>
                            </w:pPr>
                          </w:p>
                          <w:p w14:paraId="0A159DD6" w14:textId="77777777" w:rsidR="00C02C7F" w:rsidRPr="00EE7BDA" w:rsidRDefault="00C02C7F">
                            <w:pPr>
                              <w:pStyle w:val="BodyText"/>
                              <w:spacing w:before="3"/>
                              <w:rPr>
                                <w:sz w:val="21"/>
                                <w:lang w:val="pt-BR"/>
                              </w:rPr>
                            </w:pPr>
                          </w:p>
                          <w:p w14:paraId="7A54D27C" w14:textId="77777777" w:rsidR="00C02C7F" w:rsidRPr="00A8020F" w:rsidRDefault="00653B3B">
                            <w:pPr>
                              <w:spacing w:before="1"/>
                              <w:ind w:left="453"/>
                              <w:rPr>
                                <w:rFonts w:ascii="Calibri"/>
                                <w:b/>
                                <w:sz w:val="24"/>
                                <w:lang w:val="pt-BR"/>
                              </w:rPr>
                            </w:pPr>
                            <w:hyperlink r:id="rId8">
                              <w:r w:rsidR="00CB5138" w:rsidRPr="00A8020F">
                                <w:rPr>
                                  <w:rFonts w:ascii="Calibri"/>
                                  <w:b/>
                                  <w:color w:val="FFFFFF"/>
                                  <w:sz w:val="24"/>
                                  <w:lang w:val="pt-BR"/>
                                </w:rPr>
                                <w:t>www.iachr.org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74EE" id="_x0000_t202" coordsize="21600,21600" o:spt="202" path="m,l,21600r21600,l21600,xe">
                <v:stroke joinstyle="miter"/>
                <v:path gradientshapeok="t" o:connecttype="rect"/>
              </v:shapetype>
              <v:shape id="Text Box 4" o:spid="_x0000_s1026" type="#_x0000_t202" style="position:absolute;margin-left:39.25pt;margin-top:37.4pt;width:121.5pt;height:7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" fillcolor="#67ae3c" stroked="f">
                <v:textbox inset="0,0,0,0">
                  <w:txbxContent>
                    <w:p w14:paraId="57C6298F" w14:textId="77777777" w:rsidR="00C02C7F" w:rsidRDefault="00C02C7F">
                      <w:pPr>
                        <w:pStyle w:val="BodyText"/>
                        <w:rPr>
                          <w:sz w:val="22"/>
                        </w:rPr>
                      </w:pPr>
                    </w:p>
                    <w:p w14:paraId="68352512" w14:textId="77777777" w:rsidR="00C02C7F" w:rsidRDefault="00C02C7F">
                      <w:pPr>
                        <w:pStyle w:val="BodyText"/>
                        <w:rPr>
                          <w:sz w:val="22"/>
                        </w:rPr>
                      </w:pPr>
                    </w:p>
                    <w:p w14:paraId="59DC0060" w14:textId="77777777" w:rsidR="00C02C7F" w:rsidRDefault="00C02C7F">
                      <w:pPr>
                        <w:pStyle w:val="BodyText"/>
                        <w:rPr>
                          <w:sz w:val="22"/>
                        </w:rPr>
                      </w:pPr>
                    </w:p>
                    <w:p w14:paraId="68073EBC" w14:textId="77777777" w:rsidR="00C02C7F" w:rsidRDefault="00C02C7F">
                      <w:pPr>
                        <w:pStyle w:val="BodyText"/>
                        <w:rPr>
                          <w:sz w:val="22"/>
                        </w:rPr>
                      </w:pPr>
                    </w:p>
                    <w:p w14:paraId="78FEA6A8" w14:textId="77777777" w:rsidR="00C02C7F" w:rsidRDefault="00C02C7F">
                      <w:pPr>
                        <w:pStyle w:val="BodyText"/>
                        <w:rPr>
                          <w:sz w:val="22"/>
                        </w:rPr>
                      </w:pPr>
                    </w:p>
                    <w:p w14:paraId="5C4C7E9B" w14:textId="77777777" w:rsidR="00C02C7F" w:rsidRDefault="00C02C7F">
                      <w:pPr>
                        <w:pStyle w:val="BodyText"/>
                        <w:rPr>
                          <w:sz w:val="22"/>
                        </w:rPr>
                      </w:pPr>
                    </w:p>
                    <w:p w14:paraId="7DA1D8A5" w14:textId="77777777" w:rsidR="00C02C7F" w:rsidRDefault="00C02C7F">
                      <w:pPr>
                        <w:pStyle w:val="BodyText"/>
                        <w:rPr>
                          <w:sz w:val="22"/>
                        </w:rPr>
                      </w:pPr>
                    </w:p>
                    <w:p w14:paraId="45013810" w14:textId="77777777" w:rsidR="00C02C7F" w:rsidRDefault="00C02C7F">
                      <w:pPr>
                        <w:pStyle w:val="BodyText"/>
                        <w:rPr>
                          <w:sz w:val="22"/>
                        </w:rPr>
                      </w:pPr>
                    </w:p>
                    <w:p w14:paraId="5AD09D0C" w14:textId="77777777" w:rsidR="00C02C7F" w:rsidRDefault="00C02C7F">
                      <w:pPr>
                        <w:pStyle w:val="BodyText"/>
                        <w:rPr>
                          <w:sz w:val="22"/>
                        </w:rPr>
                      </w:pPr>
                    </w:p>
                    <w:p w14:paraId="1025AA08" w14:textId="77777777" w:rsidR="00C02C7F" w:rsidRDefault="00C02C7F">
                      <w:pPr>
                        <w:pStyle w:val="BodyText"/>
                        <w:rPr>
                          <w:sz w:val="22"/>
                        </w:rPr>
                      </w:pPr>
                    </w:p>
                    <w:p w14:paraId="0FF8B220" w14:textId="77777777" w:rsidR="00C02C7F" w:rsidRDefault="00C02C7F">
                      <w:pPr>
                        <w:pStyle w:val="BodyText"/>
                        <w:rPr>
                          <w:sz w:val="22"/>
                        </w:rPr>
                      </w:pPr>
                    </w:p>
                    <w:p w14:paraId="52D63876" w14:textId="77777777" w:rsidR="00C02C7F" w:rsidRDefault="00C02C7F">
                      <w:pPr>
                        <w:pStyle w:val="BodyText"/>
                        <w:rPr>
                          <w:sz w:val="22"/>
                        </w:rPr>
                      </w:pPr>
                    </w:p>
                    <w:p w14:paraId="7F40E19A" w14:textId="77777777" w:rsidR="00C02C7F" w:rsidRDefault="00C02C7F">
                      <w:pPr>
                        <w:pStyle w:val="BodyText"/>
                        <w:rPr>
                          <w:sz w:val="22"/>
                        </w:rPr>
                      </w:pPr>
                    </w:p>
                    <w:p w14:paraId="771BCFDF" w14:textId="77777777" w:rsidR="00C02C7F" w:rsidRDefault="00C02C7F">
                      <w:pPr>
                        <w:pStyle w:val="BodyText"/>
                        <w:rPr>
                          <w:sz w:val="22"/>
                        </w:rPr>
                      </w:pPr>
                    </w:p>
                    <w:p w14:paraId="010292D4" w14:textId="77777777" w:rsidR="00C02C7F" w:rsidRDefault="00C02C7F">
                      <w:pPr>
                        <w:pStyle w:val="BodyText"/>
                        <w:rPr>
                          <w:sz w:val="22"/>
                        </w:rPr>
                      </w:pPr>
                    </w:p>
                    <w:p w14:paraId="5AC78962" w14:textId="77777777" w:rsidR="00C02C7F" w:rsidRDefault="00C02C7F">
                      <w:pPr>
                        <w:pStyle w:val="BodyText"/>
                        <w:rPr>
                          <w:sz w:val="22"/>
                        </w:rPr>
                      </w:pPr>
                    </w:p>
                    <w:p w14:paraId="33EE618D" w14:textId="77777777" w:rsidR="00C02C7F" w:rsidRDefault="00C02C7F">
                      <w:pPr>
                        <w:pStyle w:val="BodyText"/>
                        <w:spacing w:before="4"/>
                        <w:rPr>
                          <w:sz w:val="21"/>
                        </w:rPr>
                      </w:pPr>
                    </w:p>
                    <w:p w14:paraId="5B212135" w14:textId="77777777" w:rsidR="00C02C7F" w:rsidRPr="00A8020F" w:rsidRDefault="001223F2">
                      <w:pPr>
                        <w:spacing w:before="1"/>
                        <w:ind w:left="794"/>
                        <w:rPr>
                          <w:rFonts w:ascii="Calibri"/>
                          <w:lang w:val="pt-BR"/>
                        </w:rPr>
                      </w:pPr>
                      <w:r w:rsidRPr="00A8020F">
                        <w:rPr>
                          <w:rFonts w:ascii="Calibri"/>
                          <w:color w:val="FFFFFF"/>
                          <w:lang w:val="pt-BR"/>
                        </w:rPr>
                        <w:t>OEA/Ser.L/V/II.</w:t>
                      </w:r>
                    </w:p>
                    <w:p w14:paraId="2103D6EE" w14:textId="08714900" w:rsidR="00C02C7F" w:rsidRPr="00A8020F" w:rsidRDefault="001223F2">
                      <w:pPr>
                        <w:spacing w:before="41"/>
                        <w:ind w:right="271"/>
                        <w:jc w:val="right"/>
                        <w:rPr>
                          <w:rFonts w:ascii="Calibri"/>
                          <w:lang w:val="pt-BR"/>
                        </w:rPr>
                      </w:pPr>
                      <w:r w:rsidRPr="00A8020F">
                        <w:rPr>
                          <w:rFonts w:ascii="Calibri"/>
                          <w:color w:val="FFFFFF"/>
                          <w:lang w:val="pt-BR"/>
                        </w:rPr>
                        <w:t xml:space="preserve">Doc. </w:t>
                      </w:r>
                      <w:r w:rsidR="00A8020F">
                        <w:rPr>
                          <w:rFonts w:ascii="Calibri"/>
                          <w:color w:val="FFFFFF"/>
                          <w:lang w:val="pt-BR"/>
                        </w:rPr>
                        <w:t>197</w:t>
                      </w:r>
                    </w:p>
                    <w:p w14:paraId="2B5938C9" w14:textId="3E31632E" w:rsidR="00C02C7F" w:rsidRPr="00A8020F" w:rsidRDefault="00A8020F">
                      <w:pPr>
                        <w:spacing w:before="38" w:line="278" w:lineRule="auto"/>
                        <w:ind w:left="650" w:right="270" w:hanging="286"/>
                        <w:jc w:val="right"/>
                        <w:rPr>
                          <w:rFonts w:ascii="Calibri" w:hAnsi="Calibri"/>
                          <w:lang w:val="pt-BR"/>
                        </w:rPr>
                      </w:pPr>
                      <w:r>
                        <w:rPr>
                          <w:rFonts w:ascii="Calibri" w:hAnsi="Calibri"/>
                          <w:color w:val="FFFFFF"/>
                          <w:lang w:val="pt-BR"/>
                        </w:rPr>
                        <w:t>3 September</w:t>
                      </w:r>
                      <w:r w:rsidR="0026469F" w:rsidRPr="00A8020F">
                        <w:rPr>
                          <w:rFonts w:ascii="Calibri" w:hAnsi="Calibri"/>
                          <w:color w:val="FFFFFF"/>
                          <w:lang w:val="pt-BR"/>
                        </w:rPr>
                        <w:t xml:space="preserve"> 2021 Original: Spanish</w:t>
                      </w:r>
                    </w:p>
                    <w:p w14:paraId="18E44612" w14:textId="77777777" w:rsidR="00C02C7F" w:rsidRPr="00EE7BDA" w:rsidRDefault="00C02C7F">
                      <w:pPr>
                        <w:pStyle w:val="BodyText"/>
                        <w:rPr>
                          <w:sz w:val="22"/>
                          <w:lang w:val="pt-BR"/>
                        </w:rPr>
                      </w:pPr>
                    </w:p>
                    <w:p w14:paraId="0860EC38" w14:textId="77777777" w:rsidR="00C02C7F" w:rsidRPr="00EE7BDA" w:rsidRDefault="00C02C7F">
                      <w:pPr>
                        <w:pStyle w:val="BodyText"/>
                        <w:rPr>
                          <w:sz w:val="22"/>
                          <w:lang w:val="pt-BR"/>
                        </w:rPr>
                      </w:pPr>
                    </w:p>
                    <w:p w14:paraId="0952E55B" w14:textId="77777777" w:rsidR="00C02C7F" w:rsidRPr="00EE7BDA" w:rsidRDefault="00C02C7F">
                      <w:pPr>
                        <w:pStyle w:val="BodyText"/>
                        <w:rPr>
                          <w:sz w:val="22"/>
                          <w:lang w:val="pt-BR"/>
                        </w:rPr>
                      </w:pPr>
                    </w:p>
                    <w:p w14:paraId="4C3592B3" w14:textId="77777777" w:rsidR="00C02C7F" w:rsidRPr="00EE7BDA" w:rsidRDefault="00C02C7F">
                      <w:pPr>
                        <w:pStyle w:val="BodyText"/>
                        <w:rPr>
                          <w:sz w:val="22"/>
                          <w:lang w:val="pt-BR"/>
                        </w:rPr>
                      </w:pPr>
                    </w:p>
                    <w:p w14:paraId="3E49B12C" w14:textId="77777777" w:rsidR="00C02C7F" w:rsidRPr="00EE7BDA" w:rsidRDefault="00C02C7F">
                      <w:pPr>
                        <w:pStyle w:val="BodyText"/>
                        <w:rPr>
                          <w:sz w:val="22"/>
                          <w:lang w:val="pt-BR"/>
                        </w:rPr>
                      </w:pPr>
                    </w:p>
                    <w:p w14:paraId="2C1EBE27" w14:textId="77777777" w:rsidR="00C02C7F" w:rsidRPr="00EE7BDA" w:rsidRDefault="00C02C7F">
                      <w:pPr>
                        <w:pStyle w:val="BodyText"/>
                        <w:rPr>
                          <w:sz w:val="22"/>
                          <w:lang w:val="pt-BR"/>
                        </w:rPr>
                      </w:pPr>
                    </w:p>
                    <w:p w14:paraId="3271977D" w14:textId="77777777" w:rsidR="00C02C7F" w:rsidRPr="00EE7BDA" w:rsidRDefault="00C02C7F">
                      <w:pPr>
                        <w:pStyle w:val="BodyText"/>
                        <w:rPr>
                          <w:sz w:val="22"/>
                          <w:lang w:val="pt-BR"/>
                        </w:rPr>
                      </w:pPr>
                    </w:p>
                    <w:p w14:paraId="4ACD6E87" w14:textId="77777777" w:rsidR="00C02C7F" w:rsidRPr="00EE7BDA" w:rsidRDefault="00C02C7F">
                      <w:pPr>
                        <w:pStyle w:val="BodyText"/>
                        <w:rPr>
                          <w:sz w:val="22"/>
                          <w:lang w:val="pt-BR"/>
                        </w:rPr>
                      </w:pPr>
                    </w:p>
                    <w:p w14:paraId="4615FBE5" w14:textId="77777777" w:rsidR="00C02C7F" w:rsidRPr="00EE7BDA" w:rsidRDefault="00C02C7F">
                      <w:pPr>
                        <w:pStyle w:val="BodyText"/>
                        <w:rPr>
                          <w:sz w:val="22"/>
                          <w:lang w:val="pt-BR"/>
                        </w:rPr>
                      </w:pPr>
                    </w:p>
                    <w:p w14:paraId="546D6BA3" w14:textId="77777777" w:rsidR="00C02C7F" w:rsidRPr="00EE7BDA" w:rsidRDefault="00C02C7F">
                      <w:pPr>
                        <w:pStyle w:val="BodyText"/>
                        <w:rPr>
                          <w:sz w:val="22"/>
                          <w:lang w:val="pt-BR"/>
                        </w:rPr>
                      </w:pPr>
                    </w:p>
                    <w:p w14:paraId="04C73831" w14:textId="77777777" w:rsidR="00C02C7F" w:rsidRPr="00EE7BDA" w:rsidRDefault="00C02C7F">
                      <w:pPr>
                        <w:pStyle w:val="BodyText"/>
                        <w:rPr>
                          <w:sz w:val="22"/>
                          <w:lang w:val="pt-BR"/>
                        </w:rPr>
                      </w:pPr>
                    </w:p>
                    <w:p w14:paraId="69C35975" w14:textId="77777777" w:rsidR="00C02C7F" w:rsidRPr="00EE7BDA" w:rsidRDefault="00C02C7F">
                      <w:pPr>
                        <w:pStyle w:val="BodyText"/>
                        <w:rPr>
                          <w:sz w:val="22"/>
                          <w:lang w:val="pt-BR"/>
                        </w:rPr>
                      </w:pPr>
                    </w:p>
                    <w:p w14:paraId="064BDD69" w14:textId="77777777" w:rsidR="00C02C7F" w:rsidRPr="00EE7BDA" w:rsidRDefault="00C02C7F">
                      <w:pPr>
                        <w:pStyle w:val="BodyText"/>
                        <w:rPr>
                          <w:sz w:val="22"/>
                          <w:lang w:val="pt-BR"/>
                        </w:rPr>
                      </w:pPr>
                    </w:p>
                    <w:p w14:paraId="2779BAF2" w14:textId="77777777" w:rsidR="00C02C7F" w:rsidRPr="00EE7BDA" w:rsidRDefault="00C02C7F">
                      <w:pPr>
                        <w:pStyle w:val="BodyText"/>
                        <w:rPr>
                          <w:sz w:val="22"/>
                          <w:lang w:val="pt-BR"/>
                        </w:rPr>
                      </w:pPr>
                    </w:p>
                    <w:p w14:paraId="0405996E" w14:textId="77777777" w:rsidR="00C02C7F" w:rsidRPr="00EE7BDA" w:rsidRDefault="00C02C7F">
                      <w:pPr>
                        <w:pStyle w:val="BodyText"/>
                        <w:rPr>
                          <w:sz w:val="22"/>
                          <w:lang w:val="pt-BR"/>
                        </w:rPr>
                      </w:pPr>
                    </w:p>
                    <w:p w14:paraId="65DBB752" w14:textId="77777777" w:rsidR="00C02C7F" w:rsidRPr="00EE7BDA" w:rsidRDefault="00C02C7F">
                      <w:pPr>
                        <w:pStyle w:val="BodyText"/>
                        <w:rPr>
                          <w:sz w:val="22"/>
                          <w:lang w:val="pt-BR"/>
                        </w:rPr>
                      </w:pPr>
                    </w:p>
                    <w:p w14:paraId="3914C4FE" w14:textId="77777777" w:rsidR="00C02C7F" w:rsidRPr="00EE7BDA" w:rsidRDefault="00C02C7F">
                      <w:pPr>
                        <w:pStyle w:val="BodyText"/>
                        <w:rPr>
                          <w:sz w:val="22"/>
                          <w:lang w:val="pt-BR"/>
                        </w:rPr>
                      </w:pPr>
                    </w:p>
                    <w:p w14:paraId="6CD615F1" w14:textId="77777777" w:rsidR="00C02C7F" w:rsidRPr="00EE7BDA" w:rsidRDefault="00C02C7F">
                      <w:pPr>
                        <w:pStyle w:val="BodyText"/>
                        <w:rPr>
                          <w:sz w:val="22"/>
                          <w:lang w:val="pt-BR"/>
                        </w:rPr>
                      </w:pPr>
                    </w:p>
                    <w:p w14:paraId="6C14BE4D" w14:textId="77777777" w:rsidR="00C02C7F" w:rsidRPr="00EE7BDA" w:rsidRDefault="00C02C7F">
                      <w:pPr>
                        <w:pStyle w:val="BodyText"/>
                        <w:rPr>
                          <w:sz w:val="22"/>
                          <w:lang w:val="pt-BR"/>
                        </w:rPr>
                      </w:pPr>
                    </w:p>
                    <w:p w14:paraId="72D584A2" w14:textId="77777777" w:rsidR="00C02C7F" w:rsidRPr="00EE7BDA" w:rsidRDefault="00C02C7F">
                      <w:pPr>
                        <w:pStyle w:val="BodyText"/>
                        <w:rPr>
                          <w:sz w:val="22"/>
                          <w:lang w:val="pt-BR"/>
                        </w:rPr>
                      </w:pPr>
                    </w:p>
                    <w:p w14:paraId="044E3404" w14:textId="77777777" w:rsidR="00C02C7F" w:rsidRPr="00EE7BDA" w:rsidRDefault="00C02C7F">
                      <w:pPr>
                        <w:pStyle w:val="BodyText"/>
                        <w:rPr>
                          <w:sz w:val="22"/>
                          <w:lang w:val="pt-BR"/>
                        </w:rPr>
                      </w:pPr>
                    </w:p>
                    <w:p w14:paraId="472E25FD" w14:textId="77777777" w:rsidR="00C02C7F" w:rsidRPr="00EE7BDA" w:rsidRDefault="00C02C7F">
                      <w:pPr>
                        <w:pStyle w:val="BodyText"/>
                        <w:rPr>
                          <w:sz w:val="22"/>
                          <w:lang w:val="pt-BR"/>
                        </w:rPr>
                      </w:pPr>
                    </w:p>
                    <w:p w14:paraId="50743F04" w14:textId="77777777" w:rsidR="00C02C7F" w:rsidRPr="00EE7BDA" w:rsidRDefault="00C02C7F">
                      <w:pPr>
                        <w:pStyle w:val="BodyText"/>
                        <w:rPr>
                          <w:sz w:val="22"/>
                          <w:lang w:val="pt-BR"/>
                        </w:rPr>
                      </w:pPr>
                    </w:p>
                    <w:p w14:paraId="16A249B5" w14:textId="77777777" w:rsidR="00C02C7F" w:rsidRPr="00EE7BDA" w:rsidRDefault="00C02C7F">
                      <w:pPr>
                        <w:pStyle w:val="BodyText"/>
                        <w:rPr>
                          <w:sz w:val="22"/>
                          <w:lang w:val="pt-BR"/>
                        </w:rPr>
                      </w:pPr>
                    </w:p>
                    <w:p w14:paraId="6AF262A4" w14:textId="77777777" w:rsidR="00C02C7F" w:rsidRPr="00EE7BDA" w:rsidRDefault="00C02C7F">
                      <w:pPr>
                        <w:pStyle w:val="BodyText"/>
                        <w:rPr>
                          <w:sz w:val="22"/>
                          <w:lang w:val="pt-BR"/>
                        </w:rPr>
                      </w:pPr>
                    </w:p>
                    <w:p w14:paraId="6FBF2F20" w14:textId="77777777" w:rsidR="00C02C7F" w:rsidRPr="00EE7BDA" w:rsidRDefault="00C02C7F">
                      <w:pPr>
                        <w:pStyle w:val="BodyText"/>
                        <w:rPr>
                          <w:sz w:val="22"/>
                          <w:lang w:val="pt-BR"/>
                        </w:rPr>
                      </w:pPr>
                    </w:p>
                    <w:p w14:paraId="147FE114" w14:textId="77777777" w:rsidR="00C02C7F" w:rsidRPr="00EE7BDA" w:rsidRDefault="00C02C7F">
                      <w:pPr>
                        <w:pStyle w:val="BodyText"/>
                        <w:rPr>
                          <w:sz w:val="22"/>
                          <w:lang w:val="pt-BR"/>
                        </w:rPr>
                      </w:pPr>
                    </w:p>
                    <w:p w14:paraId="08EA78E3" w14:textId="77777777" w:rsidR="00C02C7F" w:rsidRPr="00EE7BDA" w:rsidRDefault="00C02C7F">
                      <w:pPr>
                        <w:pStyle w:val="BodyText"/>
                        <w:rPr>
                          <w:sz w:val="22"/>
                          <w:lang w:val="pt-BR"/>
                        </w:rPr>
                      </w:pPr>
                    </w:p>
                    <w:p w14:paraId="262C4DEB" w14:textId="77777777" w:rsidR="00C02C7F" w:rsidRPr="00EE7BDA" w:rsidRDefault="00C02C7F">
                      <w:pPr>
                        <w:pStyle w:val="BodyText"/>
                        <w:rPr>
                          <w:sz w:val="22"/>
                          <w:lang w:val="pt-BR"/>
                        </w:rPr>
                      </w:pPr>
                    </w:p>
                    <w:p w14:paraId="0CB605B8" w14:textId="77777777" w:rsidR="00C02C7F" w:rsidRPr="00EE7BDA" w:rsidRDefault="00C02C7F">
                      <w:pPr>
                        <w:pStyle w:val="BodyText"/>
                        <w:rPr>
                          <w:sz w:val="22"/>
                          <w:lang w:val="pt-BR"/>
                        </w:rPr>
                      </w:pPr>
                    </w:p>
                    <w:p w14:paraId="3E06130D" w14:textId="77777777" w:rsidR="00C02C7F" w:rsidRPr="00EE7BDA" w:rsidRDefault="00C02C7F">
                      <w:pPr>
                        <w:pStyle w:val="BodyText"/>
                        <w:rPr>
                          <w:sz w:val="22"/>
                          <w:lang w:val="pt-BR"/>
                        </w:rPr>
                      </w:pPr>
                    </w:p>
                    <w:p w14:paraId="0A159DD6" w14:textId="77777777" w:rsidR="00C02C7F" w:rsidRPr="00EE7BDA" w:rsidRDefault="00C02C7F">
                      <w:pPr>
                        <w:pStyle w:val="BodyText"/>
                        <w:spacing w:before="3"/>
                        <w:rPr>
                          <w:sz w:val="21"/>
                          <w:lang w:val="pt-BR"/>
                        </w:rPr>
                      </w:pPr>
                    </w:p>
                    <w:p w14:paraId="7A54D27C" w14:textId="77777777" w:rsidR="00C02C7F" w:rsidRPr="00A8020F" w:rsidRDefault="00A8020F">
                      <w:pPr>
                        <w:spacing w:before="1"/>
                        <w:ind w:left="453"/>
                        <w:rPr>
                          <w:rFonts w:ascii="Calibri"/>
                          <w:b/>
                          <w:sz w:val="24"/>
                          <w:lang w:val="pt-BR"/>
                        </w:rPr>
                      </w:pPr>
                      <w:hyperlink r:id="rId9">
                        <w:r w:rsidR="00CB5138" w:rsidRPr="00A8020F">
                          <w:rPr>
                            <w:rFonts w:ascii="Calibri"/>
                            <w:b/>
                            <w:color w:val="FFFFFF"/>
                            <w:sz w:val="24"/>
                            <w:lang w:val="pt-BR"/>
                          </w:rPr>
                          <w:t>www.iachr.org</w:t>
                        </w:r>
                      </w:hyperlink>
                    </w:p>
                  </w:txbxContent>
                </v:textbox>
                <w10:wrap anchorx="page" anchory="page"/>
              </v:shape>
            </w:pict>
          </mc:Fallback>
        </mc:AlternateContent>
      </w:r>
    </w:p>
    <w:p w14:paraId="5DD3CB1A" w14:textId="77777777" w:rsidR="00C02C7F" w:rsidRPr="002850CA" w:rsidRDefault="001223F2" w:rsidP="00A934CD">
      <w:pPr>
        <w:pStyle w:val="BodyText"/>
        <w:ind w:left="3011" w:right="1000"/>
        <w:rPr>
          <w:rFonts w:ascii="Times New Roman"/>
        </w:rPr>
      </w:pPr>
      <w:r w:rsidRPr="002850CA">
        <w:rPr>
          <w:rFonts w:ascii="Times New Roman"/>
          <w:noProof/>
          <w:lang w:eastAsia="en-US" w:bidi="ar-SA"/>
        </w:rPr>
        <w:drawing>
          <wp:inline distT="0" distB="0" distL="0" distR="0" wp14:anchorId="5ECEBE8E" wp14:editId="3506EF31">
            <wp:extent cx="2458789" cy="473201"/>
            <wp:effectExtent l="0" t="0" r="0"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2458789" cy="473201"/>
                    </a:xfrm>
                    <a:prstGeom prst="rect">
                      <a:avLst/>
                    </a:prstGeom>
                  </pic:spPr>
                </pic:pic>
              </a:graphicData>
            </a:graphic>
          </wp:inline>
        </w:drawing>
      </w:r>
    </w:p>
    <w:p w14:paraId="2123924B" w14:textId="77777777" w:rsidR="00C02C7F" w:rsidRPr="002850CA" w:rsidRDefault="00C02C7F" w:rsidP="00A934CD">
      <w:pPr>
        <w:pStyle w:val="BodyText"/>
        <w:ind w:right="1000"/>
        <w:rPr>
          <w:rFonts w:ascii="Times New Roman"/>
        </w:rPr>
      </w:pPr>
    </w:p>
    <w:p w14:paraId="6CB005A9" w14:textId="77777777" w:rsidR="00C02C7F" w:rsidRPr="002850CA" w:rsidRDefault="00C02C7F" w:rsidP="00A934CD">
      <w:pPr>
        <w:pStyle w:val="BodyText"/>
        <w:ind w:right="1000"/>
        <w:rPr>
          <w:rFonts w:ascii="Times New Roman"/>
        </w:rPr>
      </w:pPr>
    </w:p>
    <w:p w14:paraId="37D60A00" w14:textId="77777777" w:rsidR="00C02C7F" w:rsidRPr="002850CA" w:rsidRDefault="00C02C7F" w:rsidP="00A934CD">
      <w:pPr>
        <w:pStyle w:val="BodyText"/>
        <w:ind w:right="1000"/>
        <w:rPr>
          <w:rFonts w:ascii="Times New Roman"/>
        </w:rPr>
      </w:pPr>
    </w:p>
    <w:p w14:paraId="294A612B" w14:textId="77777777" w:rsidR="00C02C7F" w:rsidRPr="002850CA" w:rsidRDefault="00C02C7F" w:rsidP="00A934CD">
      <w:pPr>
        <w:pStyle w:val="BodyText"/>
        <w:ind w:right="1000"/>
        <w:rPr>
          <w:rFonts w:ascii="Times New Roman"/>
        </w:rPr>
      </w:pPr>
    </w:p>
    <w:p w14:paraId="257E66D2" w14:textId="77777777" w:rsidR="00C02C7F" w:rsidRPr="002850CA" w:rsidRDefault="00C02C7F" w:rsidP="00A934CD">
      <w:pPr>
        <w:pStyle w:val="BodyText"/>
        <w:ind w:right="1000"/>
        <w:rPr>
          <w:rFonts w:ascii="Times New Roman"/>
        </w:rPr>
      </w:pPr>
    </w:p>
    <w:p w14:paraId="7D3B429A" w14:textId="77777777" w:rsidR="00C02C7F" w:rsidRPr="002850CA" w:rsidRDefault="00C02C7F" w:rsidP="00A934CD">
      <w:pPr>
        <w:pStyle w:val="BodyText"/>
        <w:ind w:right="1000"/>
        <w:rPr>
          <w:rFonts w:ascii="Times New Roman"/>
        </w:rPr>
      </w:pPr>
    </w:p>
    <w:p w14:paraId="6577169D" w14:textId="77777777" w:rsidR="00C02C7F" w:rsidRPr="002850CA" w:rsidRDefault="00C02C7F" w:rsidP="00A934CD">
      <w:pPr>
        <w:pStyle w:val="BodyText"/>
        <w:ind w:right="1000"/>
        <w:rPr>
          <w:rFonts w:ascii="Times New Roman"/>
        </w:rPr>
      </w:pPr>
    </w:p>
    <w:p w14:paraId="24AB6ADD" w14:textId="77777777" w:rsidR="00C02C7F" w:rsidRPr="002850CA" w:rsidRDefault="00C02C7F" w:rsidP="00A934CD">
      <w:pPr>
        <w:pStyle w:val="BodyText"/>
        <w:ind w:right="1000"/>
        <w:rPr>
          <w:rFonts w:ascii="Times New Roman"/>
        </w:rPr>
      </w:pPr>
    </w:p>
    <w:p w14:paraId="5F2F745A" w14:textId="77777777" w:rsidR="00C02C7F" w:rsidRPr="002850CA" w:rsidRDefault="00C02C7F" w:rsidP="00A934CD">
      <w:pPr>
        <w:pStyle w:val="BodyText"/>
        <w:ind w:right="1000"/>
        <w:rPr>
          <w:rFonts w:ascii="Times New Roman"/>
        </w:rPr>
      </w:pPr>
    </w:p>
    <w:p w14:paraId="3A8F9941" w14:textId="77777777" w:rsidR="00C02C7F" w:rsidRPr="002850CA" w:rsidRDefault="00C02C7F" w:rsidP="00A934CD">
      <w:pPr>
        <w:pStyle w:val="BodyText"/>
        <w:ind w:right="1000"/>
        <w:rPr>
          <w:rFonts w:ascii="Times New Roman"/>
        </w:rPr>
      </w:pPr>
    </w:p>
    <w:p w14:paraId="31F7366B" w14:textId="77777777" w:rsidR="00C02C7F" w:rsidRPr="002850CA" w:rsidRDefault="00C02C7F" w:rsidP="00A934CD">
      <w:pPr>
        <w:pStyle w:val="BodyText"/>
        <w:ind w:right="1000"/>
        <w:rPr>
          <w:rFonts w:ascii="Times New Roman"/>
        </w:rPr>
      </w:pPr>
    </w:p>
    <w:p w14:paraId="73EF7E9C" w14:textId="77777777" w:rsidR="00C02C7F" w:rsidRPr="002850CA" w:rsidRDefault="00C02C7F" w:rsidP="00A934CD">
      <w:pPr>
        <w:pStyle w:val="BodyText"/>
        <w:ind w:right="1000"/>
        <w:rPr>
          <w:rFonts w:ascii="Times New Roman"/>
        </w:rPr>
      </w:pPr>
    </w:p>
    <w:p w14:paraId="45D91B69" w14:textId="77777777" w:rsidR="00C02C7F" w:rsidRPr="002850CA" w:rsidRDefault="00C02C7F" w:rsidP="00A934CD">
      <w:pPr>
        <w:pStyle w:val="BodyText"/>
        <w:ind w:right="1000"/>
        <w:rPr>
          <w:rFonts w:ascii="Times New Roman"/>
        </w:rPr>
      </w:pPr>
    </w:p>
    <w:p w14:paraId="34FD64FC" w14:textId="77777777" w:rsidR="00C02C7F" w:rsidRPr="002850CA" w:rsidRDefault="00C02C7F" w:rsidP="00A934CD">
      <w:pPr>
        <w:pStyle w:val="BodyText"/>
        <w:ind w:right="1000"/>
        <w:rPr>
          <w:rFonts w:ascii="Times New Roman"/>
        </w:rPr>
      </w:pPr>
    </w:p>
    <w:p w14:paraId="6CBD6607" w14:textId="3D685B17" w:rsidR="00956619" w:rsidRPr="002850CA" w:rsidRDefault="001223F2" w:rsidP="00A934CD">
      <w:pPr>
        <w:ind w:left="3040" w:right="1000"/>
        <w:rPr>
          <w:b/>
          <w:color w:val="050505"/>
          <w:spacing w:val="-3"/>
          <w:sz w:val="36"/>
        </w:rPr>
      </w:pPr>
      <w:r w:rsidRPr="002850CA">
        <w:rPr>
          <w:b/>
          <w:color w:val="050505"/>
          <w:sz w:val="36"/>
        </w:rPr>
        <w:t xml:space="preserve">REPORT No. </w:t>
      </w:r>
      <w:r w:rsidR="00A8020F">
        <w:rPr>
          <w:b/>
          <w:color w:val="050505"/>
          <w:sz w:val="36"/>
        </w:rPr>
        <w:t>189</w:t>
      </w:r>
      <w:r w:rsidRPr="002850CA">
        <w:rPr>
          <w:b/>
          <w:color w:val="050505"/>
          <w:sz w:val="36"/>
        </w:rPr>
        <w:t xml:space="preserve">/21 </w:t>
      </w:r>
    </w:p>
    <w:p w14:paraId="7817E937" w14:textId="38FFFD60" w:rsidR="00C02C7F" w:rsidRPr="002850CA" w:rsidRDefault="001223F2" w:rsidP="00A934CD">
      <w:pPr>
        <w:ind w:left="3040" w:right="1000"/>
        <w:rPr>
          <w:b/>
          <w:sz w:val="36"/>
        </w:rPr>
      </w:pPr>
      <w:r w:rsidRPr="002850CA">
        <w:rPr>
          <w:b/>
          <w:color w:val="050505"/>
          <w:sz w:val="36"/>
        </w:rPr>
        <w:t>PETITION 1359- 10</w:t>
      </w:r>
    </w:p>
    <w:p w14:paraId="485AE2BC" w14:textId="77777777" w:rsidR="00C02C7F" w:rsidRPr="002850CA" w:rsidRDefault="001223F2" w:rsidP="00A934CD">
      <w:pPr>
        <w:pStyle w:val="Heading1"/>
        <w:ind w:right="1000"/>
      </w:pPr>
      <w:r w:rsidRPr="002850CA">
        <w:rPr>
          <w:color w:val="050505"/>
        </w:rPr>
        <w:t>REPORT ON ADMISSIBILITY</w:t>
      </w:r>
    </w:p>
    <w:p w14:paraId="61B91498" w14:textId="77777777" w:rsidR="00C02C7F" w:rsidRPr="002850CA" w:rsidRDefault="00C02C7F" w:rsidP="00A934CD">
      <w:pPr>
        <w:pStyle w:val="BodyText"/>
        <w:ind w:right="1000"/>
        <w:rPr>
          <w:sz w:val="31"/>
        </w:rPr>
      </w:pPr>
    </w:p>
    <w:p w14:paraId="597FBE5E" w14:textId="42517D24" w:rsidR="0026469F" w:rsidRPr="002850CA" w:rsidRDefault="0026469F" w:rsidP="00A934CD">
      <w:pPr>
        <w:ind w:left="3040" w:right="1000"/>
        <w:rPr>
          <w:color w:val="050505"/>
          <w:sz w:val="24"/>
        </w:rPr>
      </w:pPr>
      <w:r w:rsidRPr="002850CA">
        <w:rPr>
          <w:color w:val="050505"/>
          <w:sz w:val="24"/>
        </w:rPr>
        <w:t>ANTONIO FERNANDO FERREYRA PEREYRA</w:t>
      </w:r>
    </w:p>
    <w:p w14:paraId="1458044E" w14:textId="612B699E" w:rsidR="00C02C7F" w:rsidRPr="002850CA" w:rsidRDefault="001223F2" w:rsidP="00A934CD">
      <w:pPr>
        <w:ind w:left="3040" w:right="1000"/>
        <w:rPr>
          <w:sz w:val="24"/>
        </w:rPr>
      </w:pPr>
      <w:r w:rsidRPr="002850CA">
        <w:rPr>
          <w:color w:val="050505"/>
          <w:sz w:val="24"/>
        </w:rPr>
        <w:t>ARGENTINA</w:t>
      </w:r>
    </w:p>
    <w:p w14:paraId="0FA9EC32" w14:textId="77777777" w:rsidR="00C02C7F" w:rsidRPr="002850CA" w:rsidRDefault="00C02C7F" w:rsidP="00A934CD">
      <w:pPr>
        <w:pStyle w:val="BodyText"/>
        <w:ind w:right="1000"/>
        <w:rPr>
          <w:sz w:val="28"/>
        </w:rPr>
      </w:pPr>
    </w:p>
    <w:p w14:paraId="04D6F510" w14:textId="77777777" w:rsidR="00C02C7F" w:rsidRPr="002850CA" w:rsidRDefault="00C02C7F" w:rsidP="00A934CD">
      <w:pPr>
        <w:pStyle w:val="BodyText"/>
        <w:ind w:right="1000"/>
        <w:rPr>
          <w:sz w:val="28"/>
        </w:rPr>
      </w:pPr>
    </w:p>
    <w:p w14:paraId="45841172" w14:textId="77777777" w:rsidR="00C02C7F" w:rsidRPr="002850CA" w:rsidRDefault="00C02C7F" w:rsidP="00A934CD">
      <w:pPr>
        <w:pStyle w:val="BodyText"/>
        <w:ind w:right="1000"/>
        <w:rPr>
          <w:sz w:val="28"/>
        </w:rPr>
      </w:pPr>
    </w:p>
    <w:p w14:paraId="769E29D0" w14:textId="77777777" w:rsidR="00C02C7F" w:rsidRPr="002850CA" w:rsidRDefault="00C02C7F" w:rsidP="00A934CD">
      <w:pPr>
        <w:pStyle w:val="BodyText"/>
        <w:ind w:right="1000"/>
        <w:rPr>
          <w:sz w:val="28"/>
        </w:rPr>
      </w:pPr>
    </w:p>
    <w:p w14:paraId="2CB703E1" w14:textId="77777777" w:rsidR="00C02C7F" w:rsidRPr="002850CA" w:rsidRDefault="00C02C7F" w:rsidP="00A934CD">
      <w:pPr>
        <w:pStyle w:val="BodyText"/>
        <w:ind w:right="1000"/>
        <w:rPr>
          <w:sz w:val="28"/>
        </w:rPr>
      </w:pPr>
    </w:p>
    <w:p w14:paraId="041C9733" w14:textId="77777777" w:rsidR="00C02C7F" w:rsidRPr="002850CA" w:rsidRDefault="00C02C7F" w:rsidP="00A934CD">
      <w:pPr>
        <w:pStyle w:val="BodyText"/>
        <w:ind w:right="1000"/>
        <w:rPr>
          <w:sz w:val="28"/>
        </w:rPr>
      </w:pPr>
    </w:p>
    <w:p w14:paraId="57E12571" w14:textId="77777777" w:rsidR="00C02C7F" w:rsidRPr="002850CA" w:rsidRDefault="00C02C7F" w:rsidP="00A934CD">
      <w:pPr>
        <w:pStyle w:val="BodyText"/>
        <w:ind w:right="1000"/>
        <w:rPr>
          <w:sz w:val="28"/>
        </w:rPr>
      </w:pPr>
    </w:p>
    <w:p w14:paraId="73663671" w14:textId="77777777" w:rsidR="00C02C7F" w:rsidRPr="002850CA" w:rsidRDefault="00C02C7F" w:rsidP="00A934CD">
      <w:pPr>
        <w:pStyle w:val="BodyText"/>
        <w:ind w:right="1000"/>
        <w:rPr>
          <w:sz w:val="28"/>
        </w:rPr>
      </w:pPr>
    </w:p>
    <w:p w14:paraId="33437773" w14:textId="77777777" w:rsidR="00C02C7F" w:rsidRPr="002850CA" w:rsidRDefault="00C02C7F" w:rsidP="00A934CD">
      <w:pPr>
        <w:pStyle w:val="BodyText"/>
        <w:ind w:right="1000"/>
        <w:rPr>
          <w:sz w:val="28"/>
        </w:rPr>
      </w:pPr>
    </w:p>
    <w:p w14:paraId="3E4A4DEB" w14:textId="77777777" w:rsidR="00C02C7F" w:rsidRPr="002850CA" w:rsidRDefault="00C02C7F" w:rsidP="00A934CD">
      <w:pPr>
        <w:pStyle w:val="BodyText"/>
        <w:ind w:right="1000"/>
        <w:rPr>
          <w:sz w:val="28"/>
        </w:rPr>
      </w:pPr>
    </w:p>
    <w:p w14:paraId="439C13BA" w14:textId="77777777" w:rsidR="00C02C7F" w:rsidRPr="002850CA" w:rsidRDefault="00C02C7F" w:rsidP="00A934CD">
      <w:pPr>
        <w:pStyle w:val="BodyText"/>
        <w:ind w:right="1000"/>
        <w:rPr>
          <w:sz w:val="28"/>
        </w:rPr>
      </w:pPr>
    </w:p>
    <w:p w14:paraId="55AD9ADD" w14:textId="77777777" w:rsidR="00C02C7F" w:rsidRPr="002850CA" w:rsidRDefault="00C02C7F" w:rsidP="00A934CD">
      <w:pPr>
        <w:pStyle w:val="BodyText"/>
        <w:ind w:right="1000"/>
        <w:rPr>
          <w:sz w:val="28"/>
        </w:rPr>
      </w:pPr>
    </w:p>
    <w:p w14:paraId="001AF764" w14:textId="77777777" w:rsidR="00C02C7F" w:rsidRPr="002850CA" w:rsidRDefault="00C02C7F" w:rsidP="00A934CD">
      <w:pPr>
        <w:pStyle w:val="BodyText"/>
        <w:ind w:right="1000"/>
        <w:rPr>
          <w:sz w:val="28"/>
        </w:rPr>
      </w:pPr>
    </w:p>
    <w:p w14:paraId="25916868" w14:textId="22DCEE0F" w:rsidR="00C02C7F" w:rsidRPr="002850CA" w:rsidRDefault="001223F2" w:rsidP="00A934CD">
      <w:pPr>
        <w:ind w:left="3023" w:right="1000"/>
        <w:rPr>
          <w:sz w:val="18"/>
        </w:rPr>
      </w:pPr>
      <w:r w:rsidRPr="002850CA">
        <w:rPr>
          <w:color w:val="050505"/>
          <w:sz w:val="18"/>
        </w:rPr>
        <w:t xml:space="preserve">Approved electronically by the Commission on </w:t>
      </w:r>
      <w:r w:rsidR="00A8020F">
        <w:rPr>
          <w:color w:val="050505"/>
          <w:sz w:val="18"/>
        </w:rPr>
        <w:t>September 3, 2021</w:t>
      </w:r>
    </w:p>
    <w:p w14:paraId="565F36A6" w14:textId="77777777" w:rsidR="00C02C7F" w:rsidRPr="002850CA" w:rsidRDefault="00C02C7F" w:rsidP="00A934CD">
      <w:pPr>
        <w:pStyle w:val="BodyText"/>
        <w:ind w:right="1000"/>
      </w:pPr>
    </w:p>
    <w:p w14:paraId="1DC05081" w14:textId="77777777" w:rsidR="00C02C7F" w:rsidRPr="002850CA" w:rsidRDefault="00C02C7F" w:rsidP="00A934CD">
      <w:pPr>
        <w:pStyle w:val="BodyText"/>
        <w:ind w:right="1000"/>
      </w:pPr>
    </w:p>
    <w:p w14:paraId="75DD224D" w14:textId="77777777" w:rsidR="00C02C7F" w:rsidRPr="002850CA" w:rsidRDefault="00C02C7F" w:rsidP="00A934CD">
      <w:pPr>
        <w:pStyle w:val="BodyText"/>
        <w:ind w:right="1000"/>
        <w:rPr>
          <w:sz w:val="16"/>
        </w:rPr>
      </w:pPr>
    </w:p>
    <w:p w14:paraId="3F79E214" w14:textId="42EFE4E3" w:rsidR="00C02C7F" w:rsidRPr="002850CA" w:rsidRDefault="001223F2" w:rsidP="00A8020F">
      <w:pPr>
        <w:ind w:left="3008" w:right="10"/>
        <w:rPr>
          <w:sz w:val="18"/>
        </w:rPr>
      </w:pPr>
      <w:r w:rsidRPr="002850CA">
        <w:rPr>
          <w:b/>
          <w:color w:val="595958"/>
          <w:sz w:val="18"/>
        </w:rPr>
        <w:t xml:space="preserve">Cite as: </w:t>
      </w:r>
      <w:r w:rsidRPr="002850CA">
        <w:rPr>
          <w:color w:val="595958"/>
          <w:sz w:val="18"/>
        </w:rPr>
        <w:t xml:space="preserve">IACHR, Report No. </w:t>
      </w:r>
      <w:r w:rsidR="00A8020F">
        <w:rPr>
          <w:color w:val="595958"/>
          <w:sz w:val="18"/>
        </w:rPr>
        <w:t>189</w:t>
      </w:r>
      <w:r w:rsidRPr="002850CA">
        <w:rPr>
          <w:color w:val="595958"/>
          <w:sz w:val="18"/>
        </w:rPr>
        <w:t>/21. Petition P-1359-10. Admissibility.</w:t>
      </w:r>
      <w:r w:rsidR="00A8020F">
        <w:rPr>
          <w:color w:val="595958"/>
          <w:sz w:val="18"/>
        </w:rPr>
        <w:t xml:space="preserve"> Antonio Fernando </w:t>
      </w:r>
      <w:proofErr w:type="spellStart"/>
      <w:r w:rsidR="00A8020F">
        <w:rPr>
          <w:color w:val="595958"/>
          <w:sz w:val="18"/>
        </w:rPr>
        <w:t>Ferreyra</w:t>
      </w:r>
      <w:proofErr w:type="spellEnd"/>
      <w:r w:rsidR="00A8020F">
        <w:rPr>
          <w:color w:val="595958"/>
          <w:sz w:val="18"/>
        </w:rPr>
        <w:t xml:space="preserve"> Pereyra</w:t>
      </w:r>
      <w:r w:rsidRPr="002850CA">
        <w:rPr>
          <w:color w:val="595958"/>
          <w:sz w:val="18"/>
        </w:rPr>
        <w:t xml:space="preserve">. Argentina. </w:t>
      </w:r>
      <w:r w:rsidR="00A8020F">
        <w:rPr>
          <w:color w:val="595958"/>
          <w:sz w:val="18"/>
        </w:rPr>
        <w:t>September 3, 2021</w:t>
      </w:r>
      <w:r w:rsidRPr="002850CA">
        <w:rPr>
          <w:color w:val="595958"/>
          <w:sz w:val="18"/>
        </w:rPr>
        <w:t>.</w:t>
      </w:r>
    </w:p>
    <w:p w14:paraId="41E2E7B7" w14:textId="77777777" w:rsidR="00C02C7F" w:rsidRPr="002850CA" w:rsidRDefault="00C02C7F" w:rsidP="00A934CD">
      <w:pPr>
        <w:pStyle w:val="BodyText"/>
        <w:ind w:right="1000"/>
      </w:pPr>
    </w:p>
    <w:p w14:paraId="38E03824" w14:textId="77777777" w:rsidR="00C02C7F" w:rsidRPr="002850CA" w:rsidRDefault="00C02C7F" w:rsidP="00A934CD">
      <w:pPr>
        <w:pStyle w:val="BodyText"/>
        <w:ind w:right="1000"/>
      </w:pPr>
    </w:p>
    <w:p w14:paraId="0CD67CB2" w14:textId="77777777" w:rsidR="00C02C7F" w:rsidRPr="002850CA" w:rsidRDefault="00C02C7F" w:rsidP="00A934CD">
      <w:pPr>
        <w:pStyle w:val="BodyText"/>
        <w:ind w:right="1000"/>
      </w:pPr>
    </w:p>
    <w:p w14:paraId="1B7A744F" w14:textId="77777777" w:rsidR="00C02C7F" w:rsidRPr="002850CA" w:rsidRDefault="001223F2" w:rsidP="00A934CD">
      <w:pPr>
        <w:pStyle w:val="BodyText"/>
        <w:ind w:right="1000"/>
        <w:rPr>
          <w:sz w:val="16"/>
        </w:rPr>
      </w:pPr>
      <w:r w:rsidRPr="002850CA">
        <w:rPr>
          <w:noProof/>
          <w:lang w:eastAsia="en-US" w:bidi="ar-SA"/>
        </w:rPr>
        <w:drawing>
          <wp:anchor distT="0" distB="0" distL="0" distR="0" simplePos="0" relativeHeight="251656192" behindDoc="0" locked="0" layoutInCell="1" allowOverlap="1" wp14:anchorId="5C333012" wp14:editId="3618042B">
            <wp:simplePos x="0" y="0"/>
            <wp:positionH relativeFrom="page">
              <wp:posOffset>2336800</wp:posOffset>
            </wp:positionH>
            <wp:positionV relativeFrom="paragraph">
              <wp:posOffset>719092</wp:posOffset>
            </wp:positionV>
            <wp:extent cx="1771650" cy="450850"/>
            <wp:effectExtent l="0" t="0" r="0" b="635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450850"/>
                    </a:xfrm>
                    <a:prstGeom prst="rect">
                      <a:avLst/>
                    </a:prstGeom>
                  </pic:spPr>
                </pic:pic>
              </a:graphicData>
            </a:graphic>
          </wp:anchor>
        </w:drawing>
      </w:r>
    </w:p>
    <w:p w14:paraId="43CCC4A7" w14:textId="77777777" w:rsidR="00C02C7F" w:rsidRPr="002850CA" w:rsidRDefault="00C02C7F" w:rsidP="00A934CD">
      <w:pPr>
        <w:ind w:right="1000"/>
        <w:rPr>
          <w:sz w:val="16"/>
        </w:rPr>
        <w:sectPr w:rsidR="00C02C7F" w:rsidRPr="002850CA">
          <w:type w:val="continuous"/>
          <w:pgSz w:w="12240" w:h="15840"/>
          <w:pgMar w:top="740" w:right="1200" w:bottom="280" w:left="680" w:header="720" w:footer="720" w:gutter="0"/>
          <w:cols w:space="720"/>
        </w:sectPr>
      </w:pPr>
    </w:p>
    <w:p w14:paraId="21A11F39" w14:textId="77777777" w:rsidR="00C02C7F" w:rsidRPr="002850CA" w:rsidRDefault="00C02C7F" w:rsidP="00A934CD">
      <w:pPr>
        <w:pStyle w:val="BodyText"/>
        <w:ind w:right="1000"/>
        <w:rPr>
          <w:sz w:val="11"/>
        </w:rPr>
      </w:pPr>
    </w:p>
    <w:p w14:paraId="3D379E68" w14:textId="77777777" w:rsidR="00C02C7F" w:rsidRPr="002850CA" w:rsidRDefault="001223F2" w:rsidP="00A8020F">
      <w:pPr>
        <w:pStyle w:val="Heading2"/>
        <w:numPr>
          <w:ilvl w:val="0"/>
          <w:numId w:val="3"/>
        </w:numPr>
        <w:spacing w:before="0"/>
        <w:ind w:left="0" w:right="1000" w:firstLine="720"/>
      </w:pPr>
      <w:bookmarkStart w:id="1" w:name="_bookmark4"/>
      <w:bookmarkEnd w:id="1"/>
      <w:r w:rsidRPr="002850CA">
        <w:t>INFORMATION ABOUT THE PETITION</w:t>
      </w:r>
    </w:p>
    <w:p w14:paraId="19C4C750" w14:textId="77777777" w:rsidR="00C02C7F" w:rsidRPr="002850CA" w:rsidRDefault="00C02C7F" w:rsidP="00A934CD">
      <w:pPr>
        <w:pStyle w:val="BodyText"/>
        <w:ind w:right="1000" w:firstLine="720"/>
        <w:rPr>
          <w:b/>
          <w:sz w:val="10"/>
        </w:rPr>
      </w:pPr>
    </w:p>
    <w:tbl>
      <w:tblPr>
        <w:tblStyle w:val="TableNormal1"/>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6586"/>
      </w:tblGrid>
      <w:tr w:rsidR="00C02C7F" w:rsidRPr="00612F55" w14:paraId="2E06C8FB" w14:textId="77777777" w:rsidTr="006A5786">
        <w:trPr>
          <w:trHeight w:val="222"/>
        </w:trPr>
        <w:tc>
          <w:tcPr>
            <w:tcW w:w="2791" w:type="dxa"/>
            <w:tcBorders>
              <w:bottom w:val="single" w:sz="6" w:space="0" w:color="000000"/>
              <w:right w:val="single" w:sz="6" w:space="0" w:color="000000"/>
            </w:tcBorders>
            <w:shd w:val="clear" w:color="auto" w:fill="67AE3C"/>
            <w:vAlign w:val="center"/>
          </w:tcPr>
          <w:p w14:paraId="2D1EFF23"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Position of the petitioner</w:t>
            </w:r>
          </w:p>
        </w:tc>
        <w:tc>
          <w:tcPr>
            <w:tcW w:w="6586" w:type="dxa"/>
            <w:tcBorders>
              <w:left w:val="single" w:sz="6" w:space="0" w:color="000000"/>
              <w:bottom w:val="single" w:sz="6" w:space="0" w:color="000000"/>
            </w:tcBorders>
          </w:tcPr>
          <w:p w14:paraId="192EA89A" w14:textId="4DE838EB" w:rsidR="00C02C7F" w:rsidRPr="00612F55" w:rsidRDefault="00EE7BDA" w:rsidP="00A934CD">
            <w:pPr>
              <w:pStyle w:val="TableParagraph"/>
              <w:spacing w:line="240" w:lineRule="auto"/>
              <w:ind w:left="0" w:right="760"/>
              <w:jc w:val="both"/>
              <w:rPr>
                <w:rFonts w:asciiTheme="majorHAnsi" w:hAnsiTheme="majorHAnsi"/>
                <w:sz w:val="20"/>
                <w:szCs w:val="20"/>
                <w:lang w:val="es-ES"/>
              </w:rPr>
            </w:pPr>
            <w:r w:rsidRPr="00612F55">
              <w:rPr>
                <w:rFonts w:asciiTheme="majorHAnsi" w:hAnsiTheme="majorHAnsi"/>
                <w:sz w:val="20"/>
                <w:szCs w:val="20"/>
                <w:lang w:val="es-ES"/>
              </w:rPr>
              <w:t xml:space="preserve">Mario Luis Coriolano and Antonio Fernando Ferreyra Pereyra </w:t>
            </w:r>
          </w:p>
        </w:tc>
      </w:tr>
      <w:tr w:rsidR="00C02C7F" w:rsidRPr="00612F55" w14:paraId="78BCB745" w14:textId="77777777" w:rsidTr="006A5786">
        <w:trPr>
          <w:trHeight w:val="222"/>
        </w:trPr>
        <w:tc>
          <w:tcPr>
            <w:tcW w:w="2791" w:type="dxa"/>
            <w:tcBorders>
              <w:top w:val="single" w:sz="6" w:space="0" w:color="000000"/>
              <w:bottom w:val="single" w:sz="6" w:space="0" w:color="000000"/>
              <w:right w:val="single" w:sz="6" w:space="0" w:color="000000"/>
            </w:tcBorders>
            <w:shd w:val="clear" w:color="auto" w:fill="67AE3C"/>
            <w:vAlign w:val="center"/>
          </w:tcPr>
          <w:p w14:paraId="5558FF07"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Alleged victim</w:t>
            </w:r>
          </w:p>
        </w:tc>
        <w:tc>
          <w:tcPr>
            <w:tcW w:w="6586" w:type="dxa"/>
            <w:tcBorders>
              <w:top w:val="single" w:sz="6" w:space="0" w:color="000000"/>
              <w:left w:val="single" w:sz="6" w:space="0" w:color="000000"/>
              <w:bottom w:val="single" w:sz="6" w:space="0" w:color="000000"/>
            </w:tcBorders>
          </w:tcPr>
          <w:p w14:paraId="523C9213" w14:textId="292236D2" w:rsidR="00C02C7F" w:rsidRPr="00612F55" w:rsidRDefault="00113C4F" w:rsidP="00A934CD">
            <w:pPr>
              <w:pStyle w:val="TableParagraph"/>
              <w:spacing w:line="240" w:lineRule="auto"/>
              <w:ind w:left="0" w:right="760"/>
              <w:jc w:val="both"/>
              <w:rPr>
                <w:rFonts w:asciiTheme="majorHAnsi" w:hAnsiTheme="majorHAnsi"/>
                <w:sz w:val="20"/>
                <w:szCs w:val="20"/>
              </w:rPr>
            </w:pPr>
            <w:r w:rsidRPr="00612F55">
              <w:rPr>
                <w:rFonts w:asciiTheme="majorHAnsi" w:hAnsiTheme="majorHAnsi"/>
                <w:sz w:val="20"/>
                <w:szCs w:val="20"/>
              </w:rPr>
              <w:t xml:space="preserve">Antonio Fernando </w:t>
            </w:r>
            <w:proofErr w:type="spellStart"/>
            <w:r w:rsidRPr="00612F55">
              <w:rPr>
                <w:rFonts w:asciiTheme="majorHAnsi" w:hAnsiTheme="majorHAnsi"/>
                <w:sz w:val="20"/>
                <w:szCs w:val="20"/>
              </w:rPr>
              <w:t>Ferreyra</w:t>
            </w:r>
            <w:proofErr w:type="spellEnd"/>
            <w:r w:rsidRPr="00612F55">
              <w:rPr>
                <w:rFonts w:asciiTheme="majorHAnsi" w:hAnsiTheme="majorHAnsi"/>
                <w:sz w:val="20"/>
                <w:szCs w:val="20"/>
              </w:rPr>
              <w:t xml:space="preserve"> Pereyra</w:t>
            </w:r>
          </w:p>
        </w:tc>
      </w:tr>
      <w:tr w:rsidR="00C02C7F" w:rsidRPr="00612F55" w14:paraId="2D2B5C75" w14:textId="77777777" w:rsidTr="006A5786">
        <w:trPr>
          <w:trHeight w:val="222"/>
        </w:trPr>
        <w:tc>
          <w:tcPr>
            <w:tcW w:w="2791" w:type="dxa"/>
            <w:tcBorders>
              <w:top w:val="single" w:sz="6" w:space="0" w:color="000000"/>
              <w:bottom w:val="single" w:sz="6" w:space="0" w:color="000000"/>
              <w:right w:val="single" w:sz="6" w:space="0" w:color="000000"/>
            </w:tcBorders>
            <w:shd w:val="clear" w:color="auto" w:fill="67AE3C"/>
            <w:vAlign w:val="center"/>
          </w:tcPr>
          <w:p w14:paraId="7ACFC022"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Respondent State</w:t>
            </w:r>
          </w:p>
        </w:tc>
        <w:tc>
          <w:tcPr>
            <w:tcW w:w="6586" w:type="dxa"/>
            <w:tcBorders>
              <w:top w:val="single" w:sz="6" w:space="0" w:color="000000"/>
              <w:left w:val="single" w:sz="6" w:space="0" w:color="000000"/>
              <w:bottom w:val="single" w:sz="6" w:space="0" w:color="000000"/>
            </w:tcBorders>
          </w:tcPr>
          <w:p w14:paraId="0F0AD21D" w14:textId="77777777" w:rsidR="00C02C7F" w:rsidRPr="00612F55" w:rsidRDefault="001223F2" w:rsidP="00A934CD">
            <w:pPr>
              <w:pStyle w:val="TableParagraph"/>
              <w:spacing w:line="240" w:lineRule="auto"/>
              <w:ind w:left="0" w:right="760"/>
              <w:jc w:val="both"/>
              <w:rPr>
                <w:rFonts w:asciiTheme="majorHAnsi" w:hAnsiTheme="majorHAnsi"/>
                <w:sz w:val="20"/>
                <w:szCs w:val="20"/>
              </w:rPr>
            </w:pPr>
            <w:r w:rsidRPr="00612F55">
              <w:rPr>
                <w:rFonts w:asciiTheme="majorHAnsi" w:hAnsiTheme="majorHAnsi"/>
                <w:sz w:val="20"/>
                <w:szCs w:val="20"/>
              </w:rPr>
              <w:t>Argentina</w:t>
            </w:r>
          </w:p>
        </w:tc>
      </w:tr>
      <w:tr w:rsidR="00C02C7F" w:rsidRPr="00612F55" w14:paraId="7B4FADA0" w14:textId="77777777" w:rsidTr="006A5786">
        <w:trPr>
          <w:trHeight w:val="889"/>
        </w:trPr>
        <w:tc>
          <w:tcPr>
            <w:tcW w:w="2791" w:type="dxa"/>
            <w:tcBorders>
              <w:top w:val="single" w:sz="6" w:space="0" w:color="000000"/>
              <w:bottom w:val="single" w:sz="6" w:space="0" w:color="000000"/>
              <w:right w:val="single" w:sz="6" w:space="0" w:color="000000"/>
            </w:tcBorders>
            <w:shd w:val="clear" w:color="auto" w:fill="67AE3C"/>
            <w:vAlign w:val="center"/>
          </w:tcPr>
          <w:p w14:paraId="123FDED4" w14:textId="531D36C0"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Rights invoked</w:t>
            </w:r>
          </w:p>
        </w:tc>
        <w:tc>
          <w:tcPr>
            <w:tcW w:w="6586" w:type="dxa"/>
            <w:tcBorders>
              <w:top w:val="single" w:sz="6" w:space="0" w:color="000000"/>
              <w:left w:val="single" w:sz="6" w:space="0" w:color="000000"/>
            </w:tcBorders>
          </w:tcPr>
          <w:p w14:paraId="343BF5C1" w14:textId="74B4AD0D" w:rsidR="00C02C7F" w:rsidRPr="00612F55" w:rsidRDefault="001223F2" w:rsidP="00317E54">
            <w:pPr>
              <w:pStyle w:val="TableParagraph"/>
              <w:spacing w:line="240" w:lineRule="auto"/>
              <w:ind w:left="0" w:right="80"/>
              <w:jc w:val="both"/>
              <w:rPr>
                <w:rFonts w:asciiTheme="majorHAnsi" w:hAnsiTheme="majorHAnsi"/>
                <w:sz w:val="20"/>
                <w:szCs w:val="20"/>
              </w:rPr>
            </w:pPr>
            <w:r w:rsidRPr="00612F55">
              <w:rPr>
                <w:rFonts w:asciiTheme="majorHAnsi" w:hAnsiTheme="majorHAnsi"/>
                <w:sz w:val="20"/>
                <w:szCs w:val="20"/>
              </w:rPr>
              <w:t>Articles 7.2, 7.3, 7.5 (personal freedom) and 8.2 (judicial protection) of the American Convention on Human Rights, in relation to Articles 1.1 (obligation to respect rights) and 2 (obligation to adopt provisions of domestic law) thereof</w:t>
            </w:r>
          </w:p>
        </w:tc>
      </w:tr>
    </w:tbl>
    <w:p w14:paraId="2FBD80BD" w14:textId="77777777" w:rsidR="00986405" w:rsidRPr="00612F55" w:rsidRDefault="00986405" w:rsidP="00986405">
      <w:pPr>
        <w:pStyle w:val="ListParagraph"/>
        <w:spacing w:before="0"/>
        <w:ind w:left="720" w:right="760" w:firstLine="0"/>
        <w:rPr>
          <w:rFonts w:asciiTheme="majorHAnsi" w:hAnsiTheme="majorHAnsi"/>
          <w:b/>
          <w:sz w:val="20"/>
          <w:szCs w:val="20"/>
        </w:rPr>
      </w:pPr>
    </w:p>
    <w:p w14:paraId="3AC4BC06" w14:textId="293CF95B" w:rsidR="00C02C7F" w:rsidRPr="00612F55" w:rsidRDefault="001223F2" w:rsidP="00A8020F">
      <w:pPr>
        <w:pStyle w:val="ListParagraph"/>
        <w:numPr>
          <w:ilvl w:val="0"/>
          <w:numId w:val="3"/>
        </w:numPr>
        <w:spacing w:before="0"/>
        <w:ind w:left="0" w:right="760" w:firstLine="720"/>
        <w:rPr>
          <w:rFonts w:asciiTheme="majorHAnsi" w:hAnsiTheme="majorHAnsi"/>
          <w:b/>
          <w:sz w:val="20"/>
          <w:szCs w:val="20"/>
        </w:rPr>
      </w:pPr>
      <w:r w:rsidRPr="00612F55">
        <w:rPr>
          <w:rFonts w:asciiTheme="majorHAnsi" w:hAnsiTheme="majorHAnsi"/>
          <w:b/>
          <w:sz w:val="20"/>
          <w:szCs w:val="20"/>
        </w:rPr>
        <w:t>PROCEEDINGS BEFORE THE IACHR</w:t>
      </w:r>
    </w:p>
    <w:p w14:paraId="286E1769" w14:textId="77777777" w:rsidR="00C02C7F" w:rsidRPr="00612F55" w:rsidRDefault="00C02C7F" w:rsidP="00A934CD">
      <w:pPr>
        <w:pStyle w:val="BodyText"/>
        <w:ind w:right="760"/>
        <w:rPr>
          <w:rFonts w:asciiTheme="majorHAnsi" w:hAnsiTheme="majorHAnsi"/>
          <w:b/>
        </w:rPr>
      </w:pPr>
    </w:p>
    <w:tbl>
      <w:tblPr>
        <w:tblStyle w:val="TableNormal1"/>
        <w:tblW w:w="9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1"/>
        <w:gridCol w:w="6496"/>
      </w:tblGrid>
      <w:tr w:rsidR="00C02C7F" w:rsidRPr="00612F55" w14:paraId="3325FE85" w14:textId="77777777" w:rsidTr="006A5786">
        <w:trPr>
          <w:trHeight w:val="225"/>
        </w:trPr>
        <w:tc>
          <w:tcPr>
            <w:tcW w:w="2791" w:type="dxa"/>
            <w:tcBorders>
              <w:left w:val="single" w:sz="4" w:space="0" w:color="000000"/>
            </w:tcBorders>
            <w:shd w:val="clear" w:color="auto" w:fill="67AE3C"/>
            <w:vAlign w:val="center"/>
          </w:tcPr>
          <w:p w14:paraId="2284D9D5"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Filing of the petition</w:t>
            </w:r>
          </w:p>
        </w:tc>
        <w:tc>
          <w:tcPr>
            <w:tcW w:w="6496" w:type="dxa"/>
            <w:tcBorders>
              <w:top w:val="single" w:sz="4" w:space="0" w:color="000000"/>
              <w:right w:val="single" w:sz="4" w:space="0" w:color="000000"/>
            </w:tcBorders>
          </w:tcPr>
          <w:p w14:paraId="5DA58D2E" w14:textId="4487832B" w:rsidR="00C02C7F" w:rsidRPr="00612F55" w:rsidRDefault="00220FFB" w:rsidP="00A934CD">
            <w:pPr>
              <w:pStyle w:val="TableParagraph"/>
              <w:spacing w:line="240" w:lineRule="auto"/>
              <w:ind w:left="18" w:right="760"/>
              <w:rPr>
                <w:rFonts w:asciiTheme="majorHAnsi" w:hAnsiTheme="majorHAnsi"/>
                <w:sz w:val="20"/>
                <w:szCs w:val="20"/>
              </w:rPr>
            </w:pPr>
            <w:r w:rsidRPr="00612F55">
              <w:rPr>
                <w:rFonts w:asciiTheme="majorHAnsi" w:hAnsiTheme="majorHAnsi"/>
                <w:sz w:val="20"/>
                <w:szCs w:val="20"/>
              </w:rPr>
              <w:t>October 12, 2010</w:t>
            </w:r>
          </w:p>
        </w:tc>
      </w:tr>
      <w:tr w:rsidR="00C02C7F" w:rsidRPr="00612F55" w14:paraId="32759362" w14:textId="77777777" w:rsidTr="006A5786">
        <w:trPr>
          <w:trHeight w:val="222"/>
        </w:trPr>
        <w:tc>
          <w:tcPr>
            <w:tcW w:w="2791" w:type="dxa"/>
            <w:tcBorders>
              <w:left w:val="single" w:sz="4" w:space="0" w:color="000000"/>
            </w:tcBorders>
            <w:shd w:val="clear" w:color="auto" w:fill="67AE3C"/>
            <w:vAlign w:val="center"/>
          </w:tcPr>
          <w:p w14:paraId="017B6122"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Notification of the petition</w:t>
            </w:r>
          </w:p>
        </w:tc>
        <w:tc>
          <w:tcPr>
            <w:tcW w:w="6496" w:type="dxa"/>
            <w:tcBorders>
              <w:right w:val="single" w:sz="4" w:space="0" w:color="000000"/>
            </w:tcBorders>
          </w:tcPr>
          <w:p w14:paraId="7549FCD6" w14:textId="3F715E3C" w:rsidR="00C02C7F" w:rsidRPr="00612F55" w:rsidRDefault="00987AEF" w:rsidP="00A934CD">
            <w:pPr>
              <w:pStyle w:val="TableParagraph"/>
              <w:spacing w:line="240" w:lineRule="auto"/>
              <w:ind w:left="18" w:right="760"/>
              <w:rPr>
                <w:rFonts w:asciiTheme="majorHAnsi" w:hAnsiTheme="majorHAnsi"/>
                <w:sz w:val="20"/>
                <w:szCs w:val="20"/>
              </w:rPr>
            </w:pPr>
            <w:r w:rsidRPr="00612F55">
              <w:rPr>
                <w:rFonts w:asciiTheme="majorHAnsi" w:hAnsiTheme="majorHAnsi"/>
                <w:sz w:val="20"/>
                <w:szCs w:val="20"/>
              </w:rPr>
              <w:t>December 3, 2015</w:t>
            </w:r>
          </w:p>
        </w:tc>
      </w:tr>
      <w:tr w:rsidR="00C02C7F" w:rsidRPr="00612F55" w14:paraId="41A7E7E6" w14:textId="77777777" w:rsidTr="006A5786">
        <w:trPr>
          <w:trHeight w:val="222"/>
        </w:trPr>
        <w:tc>
          <w:tcPr>
            <w:tcW w:w="2791" w:type="dxa"/>
            <w:tcBorders>
              <w:left w:val="single" w:sz="4" w:space="0" w:color="000000"/>
            </w:tcBorders>
            <w:shd w:val="clear" w:color="auto" w:fill="67AE3C"/>
            <w:vAlign w:val="center"/>
          </w:tcPr>
          <w:p w14:paraId="63A3DC5C" w14:textId="77777777"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State’s first response</w:t>
            </w:r>
          </w:p>
        </w:tc>
        <w:tc>
          <w:tcPr>
            <w:tcW w:w="6496" w:type="dxa"/>
            <w:tcBorders>
              <w:right w:val="single" w:sz="4" w:space="0" w:color="000000"/>
            </w:tcBorders>
          </w:tcPr>
          <w:p w14:paraId="20499362" w14:textId="77777777" w:rsidR="00C02C7F" w:rsidRPr="00612F55" w:rsidRDefault="001223F2" w:rsidP="00A934CD">
            <w:pPr>
              <w:pStyle w:val="TableParagraph"/>
              <w:spacing w:line="240" w:lineRule="auto"/>
              <w:ind w:left="18" w:right="760"/>
              <w:rPr>
                <w:rFonts w:asciiTheme="majorHAnsi" w:hAnsiTheme="majorHAnsi"/>
                <w:sz w:val="20"/>
                <w:szCs w:val="20"/>
              </w:rPr>
            </w:pPr>
            <w:r w:rsidRPr="00612F55">
              <w:rPr>
                <w:rFonts w:asciiTheme="majorHAnsi" w:hAnsiTheme="majorHAnsi"/>
                <w:sz w:val="20"/>
                <w:szCs w:val="20"/>
              </w:rPr>
              <w:t>December 4, 2014</w:t>
            </w:r>
          </w:p>
        </w:tc>
      </w:tr>
      <w:tr w:rsidR="00C02C7F" w:rsidRPr="00612F55" w14:paraId="53747EB1" w14:textId="77777777" w:rsidTr="006A5786">
        <w:trPr>
          <w:trHeight w:val="445"/>
        </w:trPr>
        <w:tc>
          <w:tcPr>
            <w:tcW w:w="2791" w:type="dxa"/>
            <w:tcBorders>
              <w:left w:val="single" w:sz="4" w:space="0" w:color="000000"/>
            </w:tcBorders>
            <w:shd w:val="clear" w:color="auto" w:fill="67AE3C"/>
            <w:vAlign w:val="center"/>
          </w:tcPr>
          <w:p w14:paraId="61783F77" w14:textId="4769B055" w:rsidR="00C02C7F" w:rsidRPr="00612F55" w:rsidRDefault="001223F2"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Additional observations from the State</w:t>
            </w:r>
          </w:p>
        </w:tc>
        <w:tc>
          <w:tcPr>
            <w:tcW w:w="6496" w:type="dxa"/>
            <w:tcBorders>
              <w:right w:val="single" w:sz="4" w:space="0" w:color="000000"/>
            </w:tcBorders>
          </w:tcPr>
          <w:p w14:paraId="5D279B0F" w14:textId="67DC6EE9" w:rsidR="00C02C7F" w:rsidRPr="00612F55" w:rsidRDefault="00987AEF" w:rsidP="00A934CD">
            <w:pPr>
              <w:pStyle w:val="TableParagraph"/>
              <w:spacing w:line="240" w:lineRule="auto"/>
              <w:ind w:left="18" w:right="760"/>
              <w:rPr>
                <w:rFonts w:asciiTheme="majorHAnsi" w:hAnsiTheme="majorHAnsi"/>
                <w:sz w:val="20"/>
                <w:szCs w:val="20"/>
              </w:rPr>
            </w:pPr>
            <w:r w:rsidRPr="00612F55">
              <w:rPr>
                <w:rFonts w:asciiTheme="majorHAnsi" w:hAnsiTheme="majorHAnsi"/>
                <w:sz w:val="20"/>
                <w:szCs w:val="20"/>
              </w:rPr>
              <w:t>December 8, 2017</w:t>
            </w:r>
          </w:p>
        </w:tc>
      </w:tr>
      <w:tr w:rsidR="00C02C7F" w:rsidRPr="00612F55" w14:paraId="48FD695B" w14:textId="77777777" w:rsidTr="006A5786">
        <w:trPr>
          <w:trHeight w:val="443"/>
        </w:trPr>
        <w:tc>
          <w:tcPr>
            <w:tcW w:w="2791" w:type="dxa"/>
            <w:tcBorders>
              <w:left w:val="single" w:sz="4" w:space="0" w:color="000000"/>
            </w:tcBorders>
            <w:shd w:val="clear" w:color="auto" w:fill="67AE3C"/>
            <w:vAlign w:val="center"/>
          </w:tcPr>
          <w:p w14:paraId="5872FE89" w14:textId="238476EA" w:rsidR="00C02C7F" w:rsidRPr="00612F55" w:rsidRDefault="00987AEF" w:rsidP="00B249A5">
            <w:pPr>
              <w:pStyle w:val="TableParagraph"/>
              <w:spacing w:after="120" w:line="240" w:lineRule="auto"/>
              <w:ind w:left="0"/>
              <w:jc w:val="center"/>
              <w:rPr>
                <w:rFonts w:asciiTheme="majorHAnsi" w:hAnsiTheme="majorHAnsi"/>
                <w:b/>
                <w:bCs/>
                <w:sz w:val="20"/>
                <w:szCs w:val="20"/>
              </w:rPr>
            </w:pPr>
            <w:r w:rsidRPr="00612F55">
              <w:rPr>
                <w:rFonts w:asciiTheme="majorHAnsi" w:hAnsiTheme="majorHAnsi"/>
                <w:b/>
                <w:bCs/>
                <w:color w:val="FFFFFF"/>
                <w:sz w:val="20"/>
                <w:szCs w:val="20"/>
              </w:rPr>
              <w:t>Additional observations from the petitioner</w:t>
            </w:r>
          </w:p>
        </w:tc>
        <w:tc>
          <w:tcPr>
            <w:tcW w:w="6496" w:type="dxa"/>
            <w:tcBorders>
              <w:bottom w:val="single" w:sz="4" w:space="0" w:color="000000"/>
              <w:right w:val="single" w:sz="4" w:space="0" w:color="000000"/>
            </w:tcBorders>
          </w:tcPr>
          <w:p w14:paraId="4E9BC5BB" w14:textId="0AEAD6D2" w:rsidR="00C02C7F" w:rsidRPr="00612F55" w:rsidRDefault="00987AEF" w:rsidP="00A934CD">
            <w:pPr>
              <w:pStyle w:val="TableParagraph"/>
              <w:spacing w:line="240" w:lineRule="auto"/>
              <w:ind w:left="18" w:right="760"/>
              <w:rPr>
                <w:rFonts w:asciiTheme="majorHAnsi" w:hAnsiTheme="majorHAnsi"/>
                <w:sz w:val="20"/>
                <w:szCs w:val="20"/>
              </w:rPr>
            </w:pPr>
            <w:r w:rsidRPr="00612F55">
              <w:rPr>
                <w:rFonts w:asciiTheme="majorHAnsi" w:hAnsiTheme="majorHAnsi"/>
                <w:sz w:val="20"/>
                <w:szCs w:val="20"/>
              </w:rPr>
              <w:t>June 15, 2018; February 6, 2020</w:t>
            </w:r>
          </w:p>
        </w:tc>
      </w:tr>
    </w:tbl>
    <w:p w14:paraId="14009161" w14:textId="77777777" w:rsidR="00986405" w:rsidRPr="00612F55" w:rsidRDefault="00986405" w:rsidP="00986405">
      <w:pPr>
        <w:pStyle w:val="ListParagraph"/>
        <w:spacing w:before="0"/>
        <w:ind w:left="900" w:right="760" w:firstLine="0"/>
        <w:rPr>
          <w:rFonts w:asciiTheme="majorHAnsi" w:hAnsiTheme="majorHAnsi"/>
          <w:b/>
          <w:sz w:val="20"/>
          <w:szCs w:val="20"/>
        </w:rPr>
      </w:pPr>
    </w:p>
    <w:p w14:paraId="3CBF9A68" w14:textId="77777777" w:rsidR="00C02C7F" w:rsidRPr="00612F55" w:rsidRDefault="001223F2" w:rsidP="00A8020F">
      <w:pPr>
        <w:pStyle w:val="ListParagraph"/>
        <w:numPr>
          <w:ilvl w:val="0"/>
          <w:numId w:val="3"/>
        </w:numPr>
        <w:spacing w:before="0"/>
        <w:ind w:left="0" w:right="760" w:firstLine="720"/>
        <w:rPr>
          <w:rFonts w:asciiTheme="majorHAnsi" w:hAnsiTheme="majorHAnsi"/>
          <w:b/>
          <w:sz w:val="20"/>
          <w:szCs w:val="20"/>
        </w:rPr>
      </w:pPr>
      <w:r w:rsidRPr="00612F55">
        <w:rPr>
          <w:rFonts w:asciiTheme="majorHAnsi" w:hAnsiTheme="majorHAnsi"/>
          <w:b/>
          <w:sz w:val="20"/>
          <w:szCs w:val="20"/>
        </w:rPr>
        <w:t>COMPETENCE</w:t>
      </w:r>
    </w:p>
    <w:p w14:paraId="1D935329" w14:textId="77777777" w:rsidR="00C02C7F" w:rsidRPr="00612F55" w:rsidRDefault="00C02C7F" w:rsidP="00A934CD">
      <w:pPr>
        <w:pStyle w:val="BodyText"/>
        <w:ind w:right="760"/>
        <w:rPr>
          <w:rFonts w:asciiTheme="majorHAnsi" w:hAnsiTheme="majorHAnsi"/>
          <w:b/>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6482"/>
      </w:tblGrid>
      <w:tr w:rsidR="00C02C7F" w:rsidRPr="00612F55" w14:paraId="7BD6E492" w14:textId="77777777" w:rsidTr="006A5786">
        <w:trPr>
          <w:trHeight w:val="222"/>
        </w:trPr>
        <w:tc>
          <w:tcPr>
            <w:tcW w:w="2760" w:type="dxa"/>
            <w:tcBorders>
              <w:bottom w:val="single" w:sz="6" w:space="0" w:color="000000"/>
              <w:right w:val="single" w:sz="6" w:space="0" w:color="000000"/>
            </w:tcBorders>
            <w:shd w:val="clear" w:color="auto" w:fill="67AE3C"/>
            <w:vAlign w:val="center"/>
          </w:tcPr>
          <w:p w14:paraId="37EA1B65" w14:textId="77777777" w:rsidR="00C02C7F" w:rsidRPr="00612F55" w:rsidRDefault="001223F2" w:rsidP="00B249A5">
            <w:pPr>
              <w:pStyle w:val="TableParagraph"/>
              <w:spacing w:after="120" w:line="240" w:lineRule="auto"/>
              <w:ind w:left="0"/>
              <w:jc w:val="center"/>
              <w:rPr>
                <w:rFonts w:asciiTheme="majorHAnsi" w:hAnsiTheme="majorHAnsi"/>
                <w:b/>
                <w:bCs/>
                <w:i/>
                <w:sz w:val="20"/>
                <w:szCs w:val="20"/>
              </w:rPr>
            </w:pPr>
            <w:proofErr w:type="spellStart"/>
            <w:r w:rsidRPr="00612F55">
              <w:rPr>
                <w:rFonts w:asciiTheme="majorHAnsi" w:hAnsiTheme="majorHAnsi"/>
                <w:b/>
                <w:bCs/>
                <w:i/>
                <w:color w:val="FFFFFF"/>
                <w:sz w:val="20"/>
                <w:szCs w:val="20"/>
              </w:rPr>
              <w:t>Ratione</w:t>
            </w:r>
            <w:proofErr w:type="spellEnd"/>
            <w:r w:rsidRPr="00612F55">
              <w:rPr>
                <w:rFonts w:asciiTheme="majorHAnsi" w:hAnsiTheme="majorHAnsi"/>
                <w:b/>
                <w:bCs/>
                <w:i/>
                <w:color w:val="FFFFFF"/>
                <w:sz w:val="20"/>
                <w:szCs w:val="20"/>
              </w:rPr>
              <w:t xml:space="preserve"> personae</w:t>
            </w:r>
          </w:p>
        </w:tc>
        <w:tc>
          <w:tcPr>
            <w:tcW w:w="6482" w:type="dxa"/>
            <w:tcBorders>
              <w:left w:val="single" w:sz="6" w:space="0" w:color="000000"/>
              <w:bottom w:val="single" w:sz="6" w:space="0" w:color="000000"/>
            </w:tcBorders>
          </w:tcPr>
          <w:p w14:paraId="2B29C0D1" w14:textId="77777777" w:rsidR="00C02C7F" w:rsidRPr="00612F55" w:rsidRDefault="001223F2" w:rsidP="00A934CD">
            <w:pPr>
              <w:pStyle w:val="TableParagraph"/>
              <w:spacing w:line="240" w:lineRule="auto"/>
              <w:ind w:left="50" w:right="760"/>
              <w:rPr>
                <w:rFonts w:asciiTheme="majorHAnsi" w:hAnsiTheme="majorHAnsi"/>
                <w:sz w:val="20"/>
                <w:szCs w:val="20"/>
              </w:rPr>
            </w:pPr>
            <w:r w:rsidRPr="00612F55">
              <w:rPr>
                <w:rFonts w:asciiTheme="majorHAnsi" w:hAnsiTheme="majorHAnsi"/>
                <w:sz w:val="20"/>
                <w:szCs w:val="20"/>
              </w:rPr>
              <w:t>Yes</w:t>
            </w:r>
          </w:p>
        </w:tc>
      </w:tr>
      <w:tr w:rsidR="00C02C7F" w:rsidRPr="00612F55" w14:paraId="6F84A2C7" w14:textId="77777777" w:rsidTr="006A5786">
        <w:trPr>
          <w:trHeight w:val="222"/>
        </w:trPr>
        <w:tc>
          <w:tcPr>
            <w:tcW w:w="2760" w:type="dxa"/>
            <w:tcBorders>
              <w:top w:val="single" w:sz="6" w:space="0" w:color="000000"/>
              <w:bottom w:val="single" w:sz="6" w:space="0" w:color="000000"/>
              <w:right w:val="single" w:sz="6" w:space="0" w:color="000000"/>
            </w:tcBorders>
            <w:shd w:val="clear" w:color="auto" w:fill="67AE3C"/>
            <w:vAlign w:val="center"/>
          </w:tcPr>
          <w:p w14:paraId="7E0B9C49" w14:textId="77777777" w:rsidR="00C02C7F" w:rsidRPr="00612F55" w:rsidRDefault="001223F2" w:rsidP="00B249A5">
            <w:pPr>
              <w:pStyle w:val="TableParagraph"/>
              <w:spacing w:after="120" w:line="240" w:lineRule="auto"/>
              <w:ind w:left="0"/>
              <w:jc w:val="center"/>
              <w:rPr>
                <w:rFonts w:asciiTheme="majorHAnsi" w:hAnsiTheme="majorHAnsi"/>
                <w:b/>
                <w:bCs/>
                <w:i/>
                <w:sz w:val="20"/>
                <w:szCs w:val="20"/>
              </w:rPr>
            </w:pPr>
            <w:proofErr w:type="spellStart"/>
            <w:r w:rsidRPr="00612F55">
              <w:rPr>
                <w:rFonts w:asciiTheme="majorHAnsi" w:hAnsiTheme="majorHAnsi"/>
                <w:b/>
                <w:bCs/>
                <w:i/>
                <w:color w:val="FFFFFF"/>
                <w:sz w:val="20"/>
                <w:szCs w:val="20"/>
              </w:rPr>
              <w:t>Ratione</w:t>
            </w:r>
            <w:proofErr w:type="spellEnd"/>
            <w:r w:rsidRPr="00612F55">
              <w:rPr>
                <w:rFonts w:asciiTheme="majorHAnsi" w:hAnsiTheme="majorHAnsi"/>
                <w:b/>
                <w:bCs/>
                <w:i/>
                <w:color w:val="FFFFFF"/>
                <w:sz w:val="20"/>
                <w:szCs w:val="20"/>
              </w:rPr>
              <w:t xml:space="preserve"> loci</w:t>
            </w:r>
          </w:p>
        </w:tc>
        <w:tc>
          <w:tcPr>
            <w:tcW w:w="6482" w:type="dxa"/>
            <w:tcBorders>
              <w:top w:val="single" w:sz="6" w:space="0" w:color="000000"/>
              <w:left w:val="single" w:sz="6" w:space="0" w:color="000000"/>
              <w:bottom w:val="single" w:sz="6" w:space="0" w:color="000000"/>
            </w:tcBorders>
          </w:tcPr>
          <w:p w14:paraId="1E77A86A" w14:textId="77777777" w:rsidR="00C02C7F" w:rsidRPr="00612F55" w:rsidRDefault="001223F2" w:rsidP="00A934CD">
            <w:pPr>
              <w:pStyle w:val="TableParagraph"/>
              <w:spacing w:line="240" w:lineRule="auto"/>
              <w:ind w:left="50" w:right="760"/>
              <w:rPr>
                <w:rFonts w:asciiTheme="majorHAnsi" w:hAnsiTheme="majorHAnsi"/>
                <w:sz w:val="20"/>
                <w:szCs w:val="20"/>
              </w:rPr>
            </w:pPr>
            <w:r w:rsidRPr="00612F55">
              <w:rPr>
                <w:rFonts w:asciiTheme="majorHAnsi" w:hAnsiTheme="majorHAnsi"/>
                <w:sz w:val="20"/>
                <w:szCs w:val="20"/>
              </w:rPr>
              <w:t>Yes</w:t>
            </w:r>
          </w:p>
        </w:tc>
      </w:tr>
      <w:tr w:rsidR="00C02C7F" w:rsidRPr="00612F55" w14:paraId="78FEFE3D" w14:textId="77777777" w:rsidTr="006A5786">
        <w:trPr>
          <w:trHeight w:val="222"/>
        </w:trPr>
        <w:tc>
          <w:tcPr>
            <w:tcW w:w="2760" w:type="dxa"/>
            <w:tcBorders>
              <w:top w:val="single" w:sz="6" w:space="0" w:color="000000"/>
              <w:bottom w:val="single" w:sz="6" w:space="0" w:color="000000"/>
              <w:right w:val="single" w:sz="6" w:space="0" w:color="000000"/>
            </w:tcBorders>
            <w:shd w:val="clear" w:color="auto" w:fill="67AE3C"/>
            <w:vAlign w:val="center"/>
          </w:tcPr>
          <w:p w14:paraId="4E6595F1" w14:textId="77777777" w:rsidR="00C02C7F" w:rsidRPr="00612F55" w:rsidRDefault="001223F2" w:rsidP="00B249A5">
            <w:pPr>
              <w:pStyle w:val="TableParagraph"/>
              <w:spacing w:after="120" w:line="240" w:lineRule="auto"/>
              <w:ind w:left="0"/>
              <w:jc w:val="center"/>
              <w:rPr>
                <w:rFonts w:asciiTheme="majorHAnsi" w:hAnsiTheme="majorHAnsi"/>
                <w:b/>
                <w:bCs/>
                <w:i/>
                <w:sz w:val="20"/>
                <w:szCs w:val="20"/>
              </w:rPr>
            </w:pPr>
            <w:proofErr w:type="spellStart"/>
            <w:r w:rsidRPr="00612F55">
              <w:rPr>
                <w:rFonts w:asciiTheme="majorHAnsi" w:hAnsiTheme="majorHAnsi"/>
                <w:b/>
                <w:bCs/>
                <w:i/>
                <w:color w:val="FFFFFF"/>
                <w:sz w:val="20"/>
                <w:szCs w:val="20"/>
              </w:rPr>
              <w:t>Ratione</w:t>
            </w:r>
            <w:proofErr w:type="spellEnd"/>
            <w:r w:rsidRPr="00612F55">
              <w:rPr>
                <w:rFonts w:asciiTheme="majorHAnsi" w:hAnsiTheme="majorHAnsi"/>
                <w:b/>
                <w:bCs/>
                <w:i/>
                <w:color w:val="FFFFFF"/>
                <w:sz w:val="20"/>
                <w:szCs w:val="20"/>
              </w:rPr>
              <w:t xml:space="preserve"> </w:t>
            </w:r>
            <w:proofErr w:type="spellStart"/>
            <w:r w:rsidRPr="00612F55">
              <w:rPr>
                <w:rFonts w:asciiTheme="majorHAnsi" w:hAnsiTheme="majorHAnsi"/>
                <w:b/>
                <w:bCs/>
                <w:i/>
                <w:color w:val="FFFFFF"/>
                <w:sz w:val="20"/>
                <w:szCs w:val="20"/>
              </w:rPr>
              <w:t>temporis</w:t>
            </w:r>
            <w:proofErr w:type="spellEnd"/>
          </w:p>
        </w:tc>
        <w:tc>
          <w:tcPr>
            <w:tcW w:w="6482" w:type="dxa"/>
            <w:tcBorders>
              <w:top w:val="single" w:sz="6" w:space="0" w:color="000000"/>
              <w:left w:val="single" w:sz="6" w:space="0" w:color="000000"/>
              <w:bottom w:val="single" w:sz="6" w:space="0" w:color="000000"/>
            </w:tcBorders>
          </w:tcPr>
          <w:p w14:paraId="2A361CE3" w14:textId="77777777" w:rsidR="00C02C7F" w:rsidRPr="00612F55" w:rsidRDefault="001223F2" w:rsidP="00A934CD">
            <w:pPr>
              <w:pStyle w:val="TableParagraph"/>
              <w:spacing w:line="240" w:lineRule="auto"/>
              <w:ind w:left="50" w:right="760"/>
              <w:rPr>
                <w:rFonts w:asciiTheme="majorHAnsi" w:hAnsiTheme="majorHAnsi"/>
                <w:sz w:val="20"/>
                <w:szCs w:val="20"/>
              </w:rPr>
            </w:pPr>
            <w:r w:rsidRPr="00612F55">
              <w:rPr>
                <w:rFonts w:asciiTheme="majorHAnsi" w:hAnsiTheme="majorHAnsi"/>
                <w:sz w:val="20"/>
                <w:szCs w:val="20"/>
              </w:rPr>
              <w:t>Yes</w:t>
            </w:r>
          </w:p>
        </w:tc>
      </w:tr>
      <w:tr w:rsidR="00C02C7F" w:rsidRPr="00612F55" w14:paraId="099011DD" w14:textId="77777777" w:rsidTr="006A5786">
        <w:trPr>
          <w:trHeight w:val="443"/>
        </w:trPr>
        <w:tc>
          <w:tcPr>
            <w:tcW w:w="2760" w:type="dxa"/>
            <w:tcBorders>
              <w:top w:val="single" w:sz="6" w:space="0" w:color="000000"/>
              <w:bottom w:val="single" w:sz="6" w:space="0" w:color="000000"/>
              <w:right w:val="single" w:sz="6" w:space="0" w:color="000000"/>
            </w:tcBorders>
            <w:shd w:val="clear" w:color="auto" w:fill="67AE3C"/>
            <w:vAlign w:val="center"/>
          </w:tcPr>
          <w:p w14:paraId="696C58D4" w14:textId="77777777" w:rsidR="00C02C7F" w:rsidRPr="00612F55" w:rsidRDefault="001223F2" w:rsidP="00B249A5">
            <w:pPr>
              <w:pStyle w:val="TableParagraph"/>
              <w:spacing w:after="120" w:line="240" w:lineRule="auto"/>
              <w:ind w:left="0"/>
              <w:jc w:val="center"/>
              <w:rPr>
                <w:rFonts w:asciiTheme="majorHAnsi" w:hAnsiTheme="majorHAnsi"/>
                <w:b/>
                <w:bCs/>
                <w:i/>
                <w:sz w:val="20"/>
                <w:szCs w:val="20"/>
              </w:rPr>
            </w:pPr>
            <w:proofErr w:type="spellStart"/>
            <w:r w:rsidRPr="00612F55">
              <w:rPr>
                <w:rFonts w:asciiTheme="majorHAnsi" w:hAnsiTheme="majorHAnsi"/>
                <w:b/>
                <w:bCs/>
                <w:i/>
                <w:color w:val="FFFFFF"/>
                <w:sz w:val="20"/>
                <w:szCs w:val="20"/>
              </w:rPr>
              <w:t>Ratione</w:t>
            </w:r>
            <w:proofErr w:type="spellEnd"/>
            <w:r w:rsidRPr="00612F55">
              <w:rPr>
                <w:rFonts w:asciiTheme="majorHAnsi" w:hAnsiTheme="majorHAnsi"/>
                <w:b/>
                <w:bCs/>
                <w:i/>
                <w:color w:val="FFFFFF"/>
                <w:sz w:val="20"/>
                <w:szCs w:val="20"/>
              </w:rPr>
              <w:t xml:space="preserve"> </w:t>
            </w:r>
            <w:proofErr w:type="spellStart"/>
            <w:r w:rsidRPr="00612F55">
              <w:rPr>
                <w:rFonts w:asciiTheme="majorHAnsi" w:hAnsiTheme="majorHAnsi"/>
                <w:b/>
                <w:bCs/>
                <w:i/>
                <w:color w:val="FFFFFF"/>
                <w:sz w:val="20"/>
                <w:szCs w:val="20"/>
              </w:rPr>
              <w:t>materiae</w:t>
            </w:r>
            <w:proofErr w:type="spellEnd"/>
          </w:p>
        </w:tc>
        <w:tc>
          <w:tcPr>
            <w:tcW w:w="6482" w:type="dxa"/>
            <w:tcBorders>
              <w:top w:val="single" w:sz="6" w:space="0" w:color="000000"/>
              <w:left w:val="single" w:sz="6" w:space="0" w:color="000000"/>
            </w:tcBorders>
          </w:tcPr>
          <w:p w14:paraId="7C98A1CA" w14:textId="18AAFB00" w:rsidR="00C02C7F" w:rsidRPr="00612F55" w:rsidRDefault="001223F2" w:rsidP="00A934CD">
            <w:pPr>
              <w:pStyle w:val="TableParagraph"/>
              <w:spacing w:line="240" w:lineRule="auto"/>
              <w:ind w:left="50" w:right="760"/>
              <w:rPr>
                <w:rFonts w:asciiTheme="majorHAnsi" w:hAnsiTheme="majorHAnsi"/>
                <w:sz w:val="20"/>
                <w:szCs w:val="20"/>
              </w:rPr>
            </w:pPr>
            <w:r w:rsidRPr="00612F55">
              <w:rPr>
                <w:rFonts w:asciiTheme="majorHAnsi" w:hAnsiTheme="majorHAnsi"/>
                <w:sz w:val="20"/>
                <w:szCs w:val="20"/>
              </w:rPr>
              <w:t>Yes, American Convention (deposit of the instrument of ratification</w:t>
            </w:r>
          </w:p>
          <w:p w14:paraId="0683CE5A" w14:textId="77777777" w:rsidR="00C02C7F" w:rsidRPr="00612F55" w:rsidRDefault="001223F2" w:rsidP="00A934CD">
            <w:pPr>
              <w:pStyle w:val="TableParagraph"/>
              <w:spacing w:line="240" w:lineRule="auto"/>
              <w:ind w:left="50" w:right="760"/>
              <w:rPr>
                <w:rFonts w:asciiTheme="majorHAnsi" w:hAnsiTheme="majorHAnsi"/>
                <w:sz w:val="20"/>
                <w:szCs w:val="20"/>
              </w:rPr>
            </w:pPr>
            <w:r w:rsidRPr="00612F55">
              <w:rPr>
                <w:rFonts w:asciiTheme="majorHAnsi" w:hAnsiTheme="majorHAnsi"/>
                <w:sz w:val="20"/>
                <w:szCs w:val="20"/>
              </w:rPr>
              <w:t>on September 5, 1984)</w:t>
            </w:r>
          </w:p>
        </w:tc>
      </w:tr>
    </w:tbl>
    <w:p w14:paraId="74D5EAFC" w14:textId="77777777" w:rsidR="00986405" w:rsidRPr="00612F55" w:rsidRDefault="00986405" w:rsidP="00986405">
      <w:pPr>
        <w:pStyle w:val="ListParagraph"/>
        <w:spacing w:before="0"/>
        <w:ind w:left="2160" w:right="760" w:firstLine="0"/>
        <w:rPr>
          <w:rFonts w:asciiTheme="majorHAnsi" w:hAnsiTheme="majorHAnsi"/>
          <w:b/>
          <w:sz w:val="20"/>
          <w:szCs w:val="20"/>
        </w:rPr>
      </w:pPr>
    </w:p>
    <w:p w14:paraId="770A037A" w14:textId="77777777" w:rsidR="00C02C7F" w:rsidRPr="00612F55" w:rsidRDefault="001223F2" w:rsidP="00A8020F">
      <w:pPr>
        <w:pStyle w:val="ListParagraph"/>
        <w:numPr>
          <w:ilvl w:val="0"/>
          <w:numId w:val="3"/>
        </w:numPr>
        <w:spacing w:before="0"/>
        <w:ind w:left="0" w:right="90" w:firstLine="720"/>
        <w:rPr>
          <w:rFonts w:asciiTheme="majorHAnsi" w:hAnsiTheme="majorHAnsi"/>
          <w:b/>
          <w:sz w:val="20"/>
          <w:szCs w:val="20"/>
        </w:rPr>
      </w:pPr>
      <w:r w:rsidRPr="00612F55">
        <w:rPr>
          <w:rFonts w:asciiTheme="majorHAnsi" w:hAnsiTheme="majorHAnsi"/>
          <w:b/>
          <w:sz w:val="20"/>
          <w:szCs w:val="20"/>
        </w:rPr>
        <w:t xml:space="preserve">DUPLICATION OF PROCEDURES AND INTERNATIONAL </w:t>
      </w:r>
      <w:r w:rsidRPr="00612F55">
        <w:rPr>
          <w:rFonts w:asciiTheme="majorHAnsi" w:hAnsiTheme="majorHAnsi"/>
          <w:b/>
          <w:i/>
          <w:iCs/>
          <w:sz w:val="20"/>
          <w:szCs w:val="20"/>
        </w:rPr>
        <w:t>RES JUDICATA</w:t>
      </w:r>
      <w:r w:rsidRPr="00612F55">
        <w:rPr>
          <w:rFonts w:asciiTheme="majorHAnsi" w:hAnsiTheme="majorHAnsi"/>
          <w:b/>
          <w:sz w:val="20"/>
          <w:szCs w:val="20"/>
        </w:rPr>
        <w:t>, COLORABLE CLAIM, EXHAUSTION OF DOMESTIC REMEDIES AND TIMELINESS OF THE PETITION</w:t>
      </w:r>
    </w:p>
    <w:p w14:paraId="5634685D" w14:textId="77777777" w:rsidR="00C02C7F" w:rsidRPr="00612F55" w:rsidRDefault="00C02C7F" w:rsidP="00A934CD">
      <w:pPr>
        <w:pStyle w:val="BodyText"/>
        <w:ind w:right="760"/>
        <w:rPr>
          <w:rFonts w:asciiTheme="majorHAnsi" w:hAnsiTheme="majorHAnsi"/>
          <w:b/>
        </w:rPr>
      </w:pPr>
    </w:p>
    <w:tbl>
      <w:tblPr>
        <w:tblStyle w:val="TableNormal1"/>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6522"/>
      </w:tblGrid>
      <w:tr w:rsidR="00C02C7F" w:rsidRPr="00612F55" w14:paraId="68B4CAD7" w14:textId="77777777" w:rsidTr="006A5786">
        <w:trPr>
          <w:trHeight w:val="443"/>
        </w:trPr>
        <w:tc>
          <w:tcPr>
            <w:tcW w:w="2765" w:type="dxa"/>
            <w:tcBorders>
              <w:bottom w:val="single" w:sz="6" w:space="0" w:color="000000"/>
              <w:right w:val="single" w:sz="6" w:space="0" w:color="000000"/>
            </w:tcBorders>
            <w:shd w:val="clear" w:color="auto" w:fill="67AE3C"/>
          </w:tcPr>
          <w:p w14:paraId="33949A2B"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 xml:space="preserve">Duplication and international </w:t>
            </w:r>
            <w:r w:rsidRPr="00612F55">
              <w:rPr>
                <w:rFonts w:asciiTheme="majorHAnsi" w:hAnsiTheme="majorHAnsi"/>
                <w:b/>
                <w:bCs/>
                <w:i/>
                <w:iCs/>
                <w:color w:val="FFFFFF" w:themeColor="background1"/>
                <w:sz w:val="20"/>
                <w:szCs w:val="20"/>
              </w:rPr>
              <w:t>res judicata</w:t>
            </w:r>
          </w:p>
          <w:p w14:paraId="66EB2A0D"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 xml:space="preserve"> </w:t>
            </w:r>
          </w:p>
        </w:tc>
        <w:tc>
          <w:tcPr>
            <w:tcW w:w="6522" w:type="dxa"/>
            <w:tcBorders>
              <w:left w:val="single" w:sz="6" w:space="0" w:color="000000"/>
              <w:bottom w:val="single" w:sz="6" w:space="0" w:color="000000"/>
            </w:tcBorders>
          </w:tcPr>
          <w:p w14:paraId="66B92B08" w14:textId="77777777" w:rsidR="00C02C7F" w:rsidRPr="00612F55" w:rsidRDefault="001223F2" w:rsidP="00A934CD">
            <w:pPr>
              <w:pStyle w:val="TableParagraph"/>
              <w:spacing w:line="240" w:lineRule="auto"/>
              <w:ind w:left="0" w:right="760"/>
              <w:rPr>
                <w:rFonts w:asciiTheme="majorHAnsi" w:hAnsiTheme="majorHAnsi"/>
                <w:sz w:val="20"/>
                <w:szCs w:val="20"/>
              </w:rPr>
            </w:pPr>
            <w:r w:rsidRPr="00612F55">
              <w:rPr>
                <w:rFonts w:asciiTheme="majorHAnsi" w:hAnsiTheme="majorHAnsi"/>
                <w:sz w:val="20"/>
                <w:szCs w:val="20"/>
              </w:rPr>
              <w:t>No</w:t>
            </w:r>
          </w:p>
        </w:tc>
      </w:tr>
      <w:tr w:rsidR="00C02C7F" w:rsidRPr="00612F55" w14:paraId="1357AF01" w14:textId="77777777" w:rsidTr="006A5786">
        <w:trPr>
          <w:trHeight w:val="892"/>
        </w:trPr>
        <w:tc>
          <w:tcPr>
            <w:tcW w:w="2765" w:type="dxa"/>
            <w:tcBorders>
              <w:top w:val="single" w:sz="6" w:space="0" w:color="000000"/>
              <w:bottom w:val="single" w:sz="6" w:space="0" w:color="000000"/>
              <w:right w:val="single" w:sz="6" w:space="0" w:color="000000"/>
            </w:tcBorders>
            <w:shd w:val="clear" w:color="auto" w:fill="67AE3C"/>
          </w:tcPr>
          <w:p w14:paraId="7AD67A63" w14:textId="77777777" w:rsidR="00C02C7F" w:rsidRPr="00612F55" w:rsidRDefault="00C02C7F" w:rsidP="00B249A5">
            <w:pPr>
              <w:pStyle w:val="TableParagraph"/>
              <w:spacing w:after="120" w:line="240" w:lineRule="auto"/>
              <w:ind w:left="0"/>
              <w:jc w:val="center"/>
              <w:rPr>
                <w:rFonts w:asciiTheme="majorHAnsi" w:hAnsiTheme="majorHAnsi"/>
                <w:b/>
                <w:bCs/>
                <w:color w:val="FFFFFF" w:themeColor="background1"/>
                <w:sz w:val="20"/>
                <w:szCs w:val="20"/>
              </w:rPr>
            </w:pPr>
          </w:p>
          <w:p w14:paraId="11221178"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Rights declared admissible</w:t>
            </w:r>
          </w:p>
        </w:tc>
        <w:tc>
          <w:tcPr>
            <w:tcW w:w="6522" w:type="dxa"/>
            <w:tcBorders>
              <w:top w:val="single" w:sz="6" w:space="0" w:color="000000"/>
              <w:left w:val="single" w:sz="6" w:space="0" w:color="000000"/>
              <w:bottom w:val="single" w:sz="6" w:space="0" w:color="000000"/>
            </w:tcBorders>
          </w:tcPr>
          <w:p w14:paraId="4B0B80C4" w14:textId="762D08B3" w:rsidR="00C02C7F" w:rsidRPr="00612F55" w:rsidRDefault="00807BF6" w:rsidP="00317E54">
            <w:pPr>
              <w:pStyle w:val="TableParagraph"/>
              <w:spacing w:line="240" w:lineRule="auto"/>
              <w:ind w:left="0" w:right="92"/>
              <w:jc w:val="both"/>
              <w:rPr>
                <w:rFonts w:asciiTheme="majorHAnsi" w:hAnsiTheme="majorHAnsi"/>
                <w:sz w:val="20"/>
                <w:szCs w:val="20"/>
              </w:rPr>
            </w:pPr>
            <w:r w:rsidRPr="00612F55">
              <w:rPr>
                <w:rFonts w:asciiTheme="majorHAnsi" w:hAnsiTheme="majorHAnsi"/>
                <w:sz w:val="20"/>
                <w:szCs w:val="20"/>
              </w:rPr>
              <w:t>Articles 7.2, 7.3, 7.5 (personal freedom) and 8.2 (judicial protection) of the American Convention on Human Rights, in relation to Articles 1.1 (obligation to respect rights) and 2 (obligation to adopt provisions of domestic law) thereof</w:t>
            </w:r>
          </w:p>
        </w:tc>
      </w:tr>
      <w:tr w:rsidR="00C02C7F" w:rsidRPr="00612F55" w14:paraId="6D15123B" w14:textId="77777777" w:rsidTr="006A5786">
        <w:trPr>
          <w:trHeight w:val="445"/>
        </w:trPr>
        <w:tc>
          <w:tcPr>
            <w:tcW w:w="2765" w:type="dxa"/>
            <w:tcBorders>
              <w:top w:val="single" w:sz="6" w:space="0" w:color="000000"/>
              <w:bottom w:val="single" w:sz="6" w:space="0" w:color="000000"/>
              <w:right w:val="single" w:sz="6" w:space="0" w:color="000000"/>
            </w:tcBorders>
            <w:shd w:val="clear" w:color="auto" w:fill="67AE3C"/>
          </w:tcPr>
          <w:p w14:paraId="25E17E00"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Exhaustion of domestic remedies or</w:t>
            </w:r>
          </w:p>
          <w:p w14:paraId="56AB8829"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applicability of an exception to the rule</w:t>
            </w:r>
          </w:p>
        </w:tc>
        <w:tc>
          <w:tcPr>
            <w:tcW w:w="6522" w:type="dxa"/>
            <w:tcBorders>
              <w:top w:val="single" w:sz="6" w:space="0" w:color="000000"/>
              <w:left w:val="single" w:sz="6" w:space="0" w:color="000000"/>
              <w:bottom w:val="single" w:sz="6" w:space="0" w:color="000000"/>
            </w:tcBorders>
          </w:tcPr>
          <w:p w14:paraId="0D9375A6" w14:textId="0F52A6FA" w:rsidR="00C02C7F" w:rsidRPr="00612F55" w:rsidRDefault="001223F2" w:rsidP="002B0C7A">
            <w:pPr>
              <w:pStyle w:val="TableParagraph"/>
              <w:spacing w:line="240" w:lineRule="auto"/>
              <w:ind w:left="0"/>
              <w:rPr>
                <w:rFonts w:asciiTheme="majorHAnsi" w:hAnsiTheme="majorHAnsi"/>
                <w:sz w:val="20"/>
                <w:szCs w:val="20"/>
              </w:rPr>
            </w:pPr>
            <w:r w:rsidRPr="00612F55">
              <w:rPr>
                <w:rFonts w:asciiTheme="majorHAnsi" w:hAnsiTheme="majorHAnsi"/>
                <w:sz w:val="20"/>
                <w:szCs w:val="20"/>
              </w:rPr>
              <w:t>Yes, exception of Article 46.2(c) of the American Convention</w:t>
            </w:r>
          </w:p>
        </w:tc>
      </w:tr>
      <w:tr w:rsidR="00C02C7F" w:rsidRPr="00612F55" w14:paraId="00883C9E" w14:textId="77777777" w:rsidTr="006A5786">
        <w:trPr>
          <w:trHeight w:val="220"/>
        </w:trPr>
        <w:tc>
          <w:tcPr>
            <w:tcW w:w="2765" w:type="dxa"/>
            <w:tcBorders>
              <w:top w:val="single" w:sz="6" w:space="0" w:color="000000"/>
              <w:bottom w:val="single" w:sz="6" w:space="0" w:color="000000"/>
              <w:right w:val="single" w:sz="6" w:space="0" w:color="000000"/>
            </w:tcBorders>
            <w:shd w:val="clear" w:color="auto" w:fill="67AE3C"/>
            <w:vAlign w:val="center"/>
          </w:tcPr>
          <w:p w14:paraId="5C6952B9" w14:textId="77777777" w:rsidR="00C02C7F" w:rsidRPr="00612F55" w:rsidRDefault="001223F2" w:rsidP="00B249A5">
            <w:pPr>
              <w:pStyle w:val="TableParagraph"/>
              <w:spacing w:after="120" w:line="240" w:lineRule="auto"/>
              <w:ind w:left="0"/>
              <w:jc w:val="center"/>
              <w:rPr>
                <w:rFonts w:asciiTheme="majorHAnsi" w:hAnsiTheme="majorHAnsi"/>
                <w:b/>
                <w:bCs/>
                <w:color w:val="FFFFFF" w:themeColor="background1"/>
                <w:sz w:val="20"/>
                <w:szCs w:val="20"/>
              </w:rPr>
            </w:pPr>
            <w:r w:rsidRPr="00612F55">
              <w:rPr>
                <w:rFonts w:asciiTheme="majorHAnsi" w:hAnsiTheme="majorHAnsi"/>
                <w:b/>
                <w:bCs/>
                <w:color w:val="FFFFFF" w:themeColor="background1"/>
                <w:sz w:val="20"/>
                <w:szCs w:val="20"/>
              </w:rPr>
              <w:t>Timeliness of the petition</w:t>
            </w:r>
          </w:p>
        </w:tc>
        <w:tc>
          <w:tcPr>
            <w:tcW w:w="6522" w:type="dxa"/>
            <w:tcBorders>
              <w:top w:val="single" w:sz="6" w:space="0" w:color="000000"/>
              <w:left w:val="single" w:sz="6" w:space="0" w:color="000000"/>
            </w:tcBorders>
          </w:tcPr>
          <w:p w14:paraId="4F97759F" w14:textId="69D72143" w:rsidR="00C02C7F" w:rsidRPr="00612F55" w:rsidRDefault="001223F2" w:rsidP="00317E54">
            <w:pPr>
              <w:pStyle w:val="TableParagraph"/>
              <w:spacing w:line="240" w:lineRule="auto"/>
              <w:ind w:left="0" w:right="92"/>
              <w:jc w:val="both"/>
              <w:rPr>
                <w:rFonts w:asciiTheme="majorHAnsi" w:hAnsiTheme="majorHAnsi"/>
                <w:sz w:val="20"/>
                <w:szCs w:val="20"/>
              </w:rPr>
            </w:pPr>
            <w:r w:rsidRPr="00612F55">
              <w:rPr>
                <w:rFonts w:asciiTheme="majorHAnsi" w:hAnsiTheme="majorHAnsi"/>
                <w:sz w:val="20"/>
                <w:szCs w:val="20"/>
              </w:rPr>
              <w:t>Yes, the petition was filed within a reasonable time, in accordance with Article 32.2 of the IACHR’s Rules of Procedure, in relation to Article 46.2 of the American Convention</w:t>
            </w:r>
          </w:p>
        </w:tc>
      </w:tr>
    </w:tbl>
    <w:p w14:paraId="058A2370" w14:textId="069D4844" w:rsidR="00C02C7F" w:rsidRPr="002850CA" w:rsidRDefault="00A8020F" w:rsidP="00D35559">
      <w:pPr>
        <w:pStyle w:val="ListParagraph"/>
        <w:numPr>
          <w:ilvl w:val="0"/>
          <w:numId w:val="3"/>
        </w:numPr>
        <w:spacing w:before="0"/>
        <w:ind w:left="0" w:right="760" w:firstLine="720"/>
        <w:rPr>
          <w:b/>
          <w:sz w:val="20"/>
          <w:szCs w:val="20"/>
        </w:rPr>
      </w:pPr>
      <w:r>
        <w:rPr>
          <w:b/>
          <w:sz w:val="20"/>
        </w:rPr>
        <w:lastRenderedPageBreak/>
        <w:t>SUMMARY OF THE FACTS ALLEGED</w:t>
      </w:r>
    </w:p>
    <w:bookmarkEnd w:id="0"/>
    <w:p w14:paraId="43A71486" w14:textId="77777777" w:rsidR="00113C4F" w:rsidRPr="002850CA" w:rsidRDefault="00113C4F" w:rsidP="00E16450">
      <w:pPr>
        <w:pStyle w:val="ListParagraph"/>
        <w:spacing w:before="0"/>
        <w:ind w:left="0" w:right="760" w:firstLine="720"/>
        <w:rPr>
          <w:sz w:val="20"/>
          <w:szCs w:val="20"/>
        </w:rPr>
      </w:pPr>
    </w:p>
    <w:p w14:paraId="62AE3BFA" w14:textId="4A4A2F08" w:rsidR="00E80E1F" w:rsidRPr="002850CA" w:rsidRDefault="001223F2" w:rsidP="00D35559">
      <w:pPr>
        <w:pStyle w:val="ListParagraph"/>
        <w:widowControl/>
        <w:numPr>
          <w:ilvl w:val="0"/>
          <w:numId w:val="2"/>
        </w:numPr>
        <w:spacing w:before="0"/>
        <w:ind w:left="0" w:firstLine="720"/>
        <w:rPr>
          <w:sz w:val="20"/>
          <w:szCs w:val="20"/>
        </w:rPr>
      </w:pPr>
      <w:r w:rsidRPr="002850CA">
        <w:rPr>
          <w:sz w:val="20"/>
        </w:rPr>
        <w:t xml:space="preserve">The petitioners allege the violation of the reasonable period of preventive detention of Antonio Fernando </w:t>
      </w:r>
      <w:proofErr w:type="spellStart"/>
      <w:r w:rsidRPr="002850CA">
        <w:rPr>
          <w:sz w:val="20"/>
        </w:rPr>
        <w:t>Ferreyra</w:t>
      </w:r>
      <w:proofErr w:type="spellEnd"/>
      <w:r w:rsidRPr="002850CA">
        <w:rPr>
          <w:sz w:val="20"/>
        </w:rPr>
        <w:t xml:space="preserve"> Pereyra (hereinafter “the alleged victim”) who was charged with murder aggravated by kinship. They claim that this situation violates the rights to personal liberty and presumption of innocence, protected by Articles 7 and 8 of the American Convention, in connection with the obligations to respect rights and to adopt provisions of domestic law set forth in Articles 1.1 and 2 of the same </w:t>
      </w:r>
      <w:proofErr w:type="gramStart"/>
      <w:r w:rsidRPr="002850CA">
        <w:rPr>
          <w:sz w:val="20"/>
        </w:rPr>
        <w:t>instrument</w:t>
      </w:r>
      <w:proofErr w:type="gramEnd"/>
      <w:r w:rsidRPr="002850CA">
        <w:rPr>
          <w:sz w:val="20"/>
        </w:rPr>
        <w:t>.</w:t>
      </w:r>
    </w:p>
    <w:p w14:paraId="63B921DC" w14:textId="77777777" w:rsidR="00E80E1F" w:rsidRPr="002850CA" w:rsidRDefault="00E80E1F" w:rsidP="00D35559">
      <w:pPr>
        <w:pStyle w:val="ListParagraph"/>
        <w:spacing w:before="0"/>
        <w:ind w:left="0" w:firstLine="720"/>
        <w:rPr>
          <w:sz w:val="20"/>
          <w:szCs w:val="20"/>
        </w:rPr>
      </w:pPr>
    </w:p>
    <w:p w14:paraId="412AC90D" w14:textId="151EBC28" w:rsidR="003411B6" w:rsidRPr="002850CA" w:rsidRDefault="00E80E1F" w:rsidP="00D35559">
      <w:pPr>
        <w:pStyle w:val="ListParagraph"/>
        <w:numPr>
          <w:ilvl w:val="0"/>
          <w:numId w:val="2"/>
        </w:numPr>
        <w:spacing w:before="0"/>
        <w:ind w:left="0" w:firstLine="720"/>
        <w:rPr>
          <w:sz w:val="20"/>
          <w:szCs w:val="20"/>
        </w:rPr>
      </w:pPr>
      <w:r w:rsidRPr="002850CA">
        <w:rPr>
          <w:sz w:val="20"/>
        </w:rPr>
        <w:t xml:space="preserve">The alleged victim was arrested on May 11, 2001, and sentenced to life imprisonment on August 24, 2004, by the Oral Criminal Court No. 3 of the Judicial Department of Lomas de Zamora of the Province of Buenos Aires (hereinafter “TOC3”). A cassation appeal was filed against that judgment, which was dismissed on December 9, 2008, by Division II of the TOC3. An extraordinary remedy of </w:t>
      </w:r>
      <w:r w:rsidR="00B02C63" w:rsidRPr="002850CA">
        <w:rPr>
          <w:sz w:val="20"/>
        </w:rPr>
        <w:t xml:space="preserve">inapplicability of the law </w:t>
      </w:r>
      <w:r w:rsidRPr="002850CA">
        <w:rPr>
          <w:sz w:val="20"/>
        </w:rPr>
        <w:t>was then filed with the Supreme Court of the Province of Buenos Aires (hereinafter the “Supreme Provincial Court”), whose resolution was still pending on the date the petition was filed with the IACHR.</w:t>
      </w:r>
    </w:p>
    <w:p w14:paraId="5674FD9A" w14:textId="77777777" w:rsidR="00B40AED" w:rsidRPr="002850CA" w:rsidRDefault="00B40AED" w:rsidP="00D35559">
      <w:pPr>
        <w:pStyle w:val="ListParagraph"/>
        <w:spacing w:before="0"/>
        <w:ind w:left="0" w:firstLine="720"/>
        <w:rPr>
          <w:sz w:val="20"/>
          <w:szCs w:val="20"/>
        </w:rPr>
      </w:pPr>
    </w:p>
    <w:p w14:paraId="66E22338" w14:textId="5FE40517" w:rsidR="003411B6" w:rsidRPr="002850CA" w:rsidRDefault="002B0C7A" w:rsidP="00D35559">
      <w:pPr>
        <w:pStyle w:val="ListParagraph"/>
        <w:numPr>
          <w:ilvl w:val="0"/>
          <w:numId w:val="2"/>
        </w:numPr>
        <w:spacing w:before="0"/>
        <w:ind w:left="0" w:firstLine="720"/>
        <w:rPr>
          <w:sz w:val="20"/>
          <w:szCs w:val="20"/>
        </w:rPr>
      </w:pPr>
      <w:r w:rsidRPr="002850CA">
        <w:rPr>
          <w:sz w:val="20"/>
        </w:rPr>
        <w:t xml:space="preserve">The alleged victim was prosecuted and subject to preventive detention since the date of his detention; his legal counsel understood that such a precautionary measure had exceeded the limit imposed by law and had become disproportionate, and so they repeatedly requested his release. On April 29, 2008, the TOC3 rejected a request for release; on 17 June 2008, </w:t>
      </w:r>
      <w:r w:rsidR="00916DDB" w:rsidRPr="002850CA">
        <w:rPr>
          <w:sz w:val="20"/>
        </w:rPr>
        <w:t>Division</w:t>
      </w:r>
      <w:r w:rsidRPr="002850CA">
        <w:rPr>
          <w:sz w:val="20"/>
        </w:rPr>
        <w:t xml:space="preserve"> I of th</w:t>
      </w:r>
      <w:r w:rsidR="00EB3116">
        <w:rPr>
          <w:sz w:val="20"/>
        </w:rPr>
        <w:t>e</w:t>
      </w:r>
      <w:r w:rsidR="0077778E" w:rsidRPr="002850CA">
        <w:rPr>
          <w:sz w:val="20"/>
        </w:rPr>
        <w:t xml:space="preserve"> </w:t>
      </w:r>
      <w:r w:rsidR="00EB3116">
        <w:rPr>
          <w:sz w:val="20"/>
        </w:rPr>
        <w:t>Chamber of Criminal Appeals</w:t>
      </w:r>
      <w:r w:rsidRPr="002850CA">
        <w:rPr>
          <w:sz w:val="20"/>
        </w:rPr>
        <w:t xml:space="preserve"> of Lomas de Zamora (hereinafter the “Departmental Chamber”) confirmed the denial of the release request; and on February 2, 2009, the TOC3 decided to dismiss the requested release. </w:t>
      </w:r>
    </w:p>
    <w:p w14:paraId="0C6E133C" w14:textId="77777777" w:rsidR="003411B6" w:rsidRPr="002850CA" w:rsidRDefault="003411B6" w:rsidP="00D35559">
      <w:pPr>
        <w:pStyle w:val="ListParagraph"/>
        <w:spacing w:before="0"/>
        <w:ind w:left="0" w:firstLine="720"/>
        <w:rPr>
          <w:sz w:val="20"/>
          <w:szCs w:val="20"/>
        </w:rPr>
      </w:pPr>
    </w:p>
    <w:p w14:paraId="32022696" w14:textId="7C82F2B4" w:rsidR="003411B6" w:rsidRPr="002850CA" w:rsidRDefault="00AD0BFF" w:rsidP="00D35559">
      <w:pPr>
        <w:pStyle w:val="ListParagraph"/>
        <w:numPr>
          <w:ilvl w:val="0"/>
          <w:numId w:val="2"/>
        </w:numPr>
        <w:spacing w:before="0"/>
        <w:ind w:left="0" w:firstLine="720"/>
        <w:rPr>
          <w:sz w:val="20"/>
          <w:szCs w:val="20"/>
        </w:rPr>
      </w:pPr>
      <w:r w:rsidRPr="002850CA">
        <w:rPr>
          <w:sz w:val="20"/>
        </w:rPr>
        <w:t xml:space="preserve">The petitioners also report that they filed other remedies who were dismissed. On February 12, 2009, Division II of the Court of Cassation Appeals dismissed a habeas corpus filed by the accused (proceeding no. 36,548) and forwarded copies to the intervening court; on February 19,  2009, the Court of Cassation Appeals declared the habeas corpus unfounded (proceeding 36,585); on June 2, 2009, the TOC3 decided not to admit a request for release; on November 4, 2009, the TOC3 rejected </w:t>
      </w:r>
      <w:r w:rsidRPr="002850CA">
        <w:rPr>
          <w:i/>
          <w:iCs/>
          <w:sz w:val="20"/>
        </w:rPr>
        <w:t xml:space="preserve">in </w:t>
      </w:r>
      <w:proofErr w:type="spellStart"/>
      <w:r w:rsidRPr="002850CA">
        <w:rPr>
          <w:i/>
          <w:iCs/>
          <w:sz w:val="20"/>
        </w:rPr>
        <w:t>limine</w:t>
      </w:r>
      <w:proofErr w:type="spellEnd"/>
      <w:r w:rsidRPr="002850CA">
        <w:rPr>
          <w:sz w:val="20"/>
        </w:rPr>
        <w:t xml:space="preserve"> a habeas corpus and did not admit a request for release; on December 9, 2009, the TOC3 rejected a request to end preventive detention due to the expiration of the statute of limitations, considering that it was not provided for in the </w:t>
      </w:r>
      <w:r w:rsidR="00B02C63" w:rsidRPr="002850CA">
        <w:rPr>
          <w:sz w:val="20"/>
        </w:rPr>
        <w:t>law</w:t>
      </w:r>
      <w:r w:rsidRPr="002850CA">
        <w:rPr>
          <w:sz w:val="20"/>
        </w:rPr>
        <w:t xml:space="preserve">; on December 29, 2009, Division I of the Departmental Chamber confirmed the rejection of the request for release; on April 23, 2010, the TOC3 again declared a habeas corpus inadmissible and rejected the request for release; on June 1, 2010, the Departmental Chamber rejected the habeas corpus and declared the request for release and attenuation measures inadmissible; on June 23, 2010, the Defense Office of Cassation of the Province of Buenos Aires filed a habeas corpus before Division II of the Court of Cassation Appeals, which was dismissed on June 29, 2010, since said </w:t>
      </w:r>
      <w:r w:rsidR="00FB2AEC">
        <w:rPr>
          <w:sz w:val="20"/>
        </w:rPr>
        <w:t>court</w:t>
      </w:r>
      <w:r w:rsidRPr="002850CA">
        <w:rPr>
          <w:sz w:val="20"/>
        </w:rPr>
        <w:t xml:space="preserve"> could not resolve the request because it was not the court of origin.</w:t>
      </w:r>
    </w:p>
    <w:p w14:paraId="697B2C18" w14:textId="77777777" w:rsidR="003411B6" w:rsidRPr="002850CA" w:rsidRDefault="003411B6" w:rsidP="00D35559">
      <w:pPr>
        <w:ind w:firstLine="720"/>
        <w:rPr>
          <w:sz w:val="20"/>
          <w:szCs w:val="20"/>
        </w:rPr>
      </w:pPr>
    </w:p>
    <w:p w14:paraId="0FDF3049" w14:textId="4B339182" w:rsidR="00EE7BDA" w:rsidRPr="002850CA" w:rsidRDefault="0079264E" w:rsidP="00D35559">
      <w:pPr>
        <w:pStyle w:val="ListParagraph"/>
        <w:numPr>
          <w:ilvl w:val="0"/>
          <w:numId w:val="2"/>
        </w:numPr>
        <w:spacing w:before="0"/>
        <w:ind w:left="0" w:firstLine="720"/>
        <w:rPr>
          <w:sz w:val="20"/>
          <w:szCs w:val="20"/>
        </w:rPr>
      </w:pPr>
      <w:r w:rsidRPr="002850CA">
        <w:rPr>
          <w:sz w:val="20"/>
        </w:rPr>
        <w:t xml:space="preserve">The petitioners also point out that on August 24, 2004, an extraordinary remedy of </w:t>
      </w:r>
      <w:r w:rsidR="00B02C63" w:rsidRPr="002850CA">
        <w:rPr>
          <w:sz w:val="20"/>
        </w:rPr>
        <w:t>inapplicability of the law</w:t>
      </w:r>
      <w:r w:rsidRPr="002850CA">
        <w:rPr>
          <w:sz w:val="20"/>
        </w:rPr>
        <w:t xml:space="preserve"> was filed with the Supreme Court of Justice of the Province of Buenos Aires to challenge the </w:t>
      </w:r>
      <w:r w:rsidR="00B02C63" w:rsidRPr="002850CA">
        <w:rPr>
          <w:sz w:val="20"/>
        </w:rPr>
        <w:t xml:space="preserve">conviction </w:t>
      </w:r>
      <w:r w:rsidRPr="002850CA">
        <w:rPr>
          <w:sz w:val="20"/>
        </w:rPr>
        <w:t>decision of the TOC3, after the cassation appeal had been dismissed. That proceeding had not been resolved by the time the petition was filed with the IACHR.</w:t>
      </w:r>
    </w:p>
    <w:p w14:paraId="154885D7" w14:textId="77777777" w:rsidR="003411B6" w:rsidRPr="002850CA" w:rsidRDefault="003411B6" w:rsidP="00D35559">
      <w:pPr>
        <w:pStyle w:val="ListParagraph"/>
        <w:spacing w:before="0"/>
        <w:ind w:left="0" w:firstLine="720"/>
        <w:rPr>
          <w:sz w:val="20"/>
          <w:szCs w:val="20"/>
        </w:rPr>
      </w:pPr>
    </w:p>
    <w:p w14:paraId="3BBAE8F7" w14:textId="4641BB5E" w:rsidR="002126CD" w:rsidRPr="002850CA" w:rsidRDefault="003411B6" w:rsidP="00D35559">
      <w:pPr>
        <w:pStyle w:val="ListParagraph"/>
        <w:numPr>
          <w:ilvl w:val="0"/>
          <w:numId w:val="2"/>
        </w:numPr>
        <w:spacing w:before="0"/>
        <w:ind w:left="0" w:firstLine="720"/>
        <w:rPr>
          <w:sz w:val="20"/>
          <w:szCs w:val="20"/>
        </w:rPr>
      </w:pPr>
      <w:r w:rsidRPr="002850CA">
        <w:rPr>
          <w:sz w:val="20"/>
        </w:rPr>
        <w:t>The petitioners note that the alleged victim had been in preventive detention for over nine years by the date on which they filed the petition with the Inter-American Commission. They allege that, as established by Law 24,390, after the first two years of preventive detention, each day of preventive detention will be counted as two days of imprisonment. As a result, the alleged victim reportedly accumulated the equivalent of more than sixteen years of imprisonment in preventive detention. They also argue that this period of detention was based on domestic provisions contrary to the American Convention, such as Article 169, Item 11, of the Code of Criminal Procedure of the Province of Buenos Aires, that reportedly subordinates the release from prison due to the exhaustion of the reasonable period of duration of the preventive prison to circumstances such as the seriousness of the offense and the probable penalty.</w:t>
      </w:r>
    </w:p>
    <w:p w14:paraId="72A156F3" w14:textId="77777777" w:rsidR="002126CD" w:rsidRPr="002850CA" w:rsidRDefault="002126CD" w:rsidP="00D35559">
      <w:pPr>
        <w:ind w:firstLine="720"/>
        <w:rPr>
          <w:sz w:val="20"/>
          <w:szCs w:val="20"/>
        </w:rPr>
      </w:pPr>
    </w:p>
    <w:p w14:paraId="70C9A0E6" w14:textId="14621447" w:rsidR="0052484F" w:rsidRPr="002850CA" w:rsidRDefault="00E86A6E" w:rsidP="00D35559">
      <w:pPr>
        <w:pStyle w:val="ListParagraph"/>
        <w:numPr>
          <w:ilvl w:val="0"/>
          <w:numId w:val="2"/>
        </w:numPr>
        <w:spacing w:before="0" w:after="240"/>
        <w:ind w:left="0" w:firstLine="720"/>
        <w:rPr>
          <w:sz w:val="20"/>
          <w:szCs w:val="20"/>
        </w:rPr>
      </w:pPr>
      <w:r w:rsidRPr="002850CA">
        <w:rPr>
          <w:sz w:val="20"/>
        </w:rPr>
        <w:t xml:space="preserve">The State reports that on May 11, 2001, the wife of the alleged victim was seriously shot to her left lung and that he took her to a hospital, where she died a week later </w:t>
      </w:r>
      <w:proofErr w:type="gramStart"/>
      <w:r w:rsidRPr="002850CA">
        <w:rPr>
          <w:sz w:val="20"/>
        </w:rPr>
        <w:t>as a result of</w:t>
      </w:r>
      <w:proofErr w:type="gramEnd"/>
      <w:r w:rsidRPr="002850CA">
        <w:rPr>
          <w:sz w:val="20"/>
        </w:rPr>
        <w:t xml:space="preserve"> traumatic cardiac arrest. It adds that the alleged victim was detained on the same day of the attack and was charged with the crime of attempted murder, which was aggravated on May 18, 2001, by the death of his wife, with whom he </w:t>
      </w:r>
      <w:r w:rsidRPr="002850CA">
        <w:rPr>
          <w:sz w:val="20"/>
        </w:rPr>
        <w:lastRenderedPageBreak/>
        <w:t>had married ten months earlier. On June 10, 2001, the judge of Supervisory Court No. 3 ordered the alleged victim’s preventive detention for the crime of murder aggravated by kinship.</w:t>
      </w:r>
      <w:r w:rsidR="00AE217D" w:rsidRPr="002850CA">
        <w:rPr>
          <w:vertAlign w:val="superscript"/>
        </w:rPr>
        <w:footnoteReference w:id="1"/>
      </w:r>
      <w:r w:rsidRPr="002850CA">
        <w:rPr>
          <w:sz w:val="20"/>
        </w:rPr>
        <w:t xml:space="preserve"> With the assistance of a public defender, the alleged victim filed an appeal against said ruling. However, the Departmental Chamber of Lomas de Zamora confirmed the preventive detention on July 11, 2001, by saying that “the danger of escape inferred from the </w:t>
      </w:r>
      <w:proofErr w:type="gramStart"/>
      <w:r w:rsidRPr="002850CA">
        <w:rPr>
          <w:sz w:val="20"/>
        </w:rPr>
        <w:t>pending  sentence</w:t>
      </w:r>
      <w:proofErr w:type="gramEnd"/>
      <w:r w:rsidRPr="002850CA">
        <w:rPr>
          <w:sz w:val="20"/>
        </w:rPr>
        <w:t xml:space="preserve"> of the </w:t>
      </w:r>
      <w:r w:rsidR="0077778E" w:rsidRPr="002850CA">
        <w:rPr>
          <w:sz w:val="20"/>
        </w:rPr>
        <w:t xml:space="preserve">crime </w:t>
      </w:r>
      <w:r w:rsidRPr="002850CA">
        <w:rPr>
          <w:sz w:val="20"/>
        </w:rPr>
        <w:t>charge</w:t>
      </w:r>
      <w:r w:rsidR="0077778E" w:rsidRPr="002850CA">
        <w:rPr>
          <w:sz w:val="20"/>
        </w:rPr>
        <w:t>d</w:t>
      </w:r>
      <w:r w:rsidRPr="002850CA">
        <w:rPr>
          <w:sz w:val="20"/>
        </w:rPr>
        <w:t xml:space="preserve"> made it essential for the perpetrator to remain deprived of his liberty.”</w:t>
      </w:r>
    </w:p>
    <w:p w14:paraId="0645D8B1" w14:textId="3ED43CA7" w:rsidR="00E86A6E" w:rsidRPr="002850CA" w:rsidRDefault="0052484F" w:rsidP="00D35559">
      <w:pPr>
        <w:pStyle w:val="ListParagraph"/>
        <w:numPr>
          <w:ilvl w:val="0"/>
          <w:numId w:val="2"/>
        </w:numPr>
        <w:spacing w:before="0"/>
        <w:ind w:left="0" w:firstLine="720"/>
        <w:rPr>
          <w:sz w:val="20"/>
          <w:szCs w:val="20"/>
        </w:rPr>
      </w:pPr>
      <w:r w:rsidRPr="002850CA">
        <w:rPr>
          <w:sz w:val="20"/>
        </w:rPr>
        <w:t xml:space="preserve">The State adds that on September 11, 2001, the TOC3 was convened for the oral public trial; the defense did not oppose such decision. During the oral trial, the defense did not contradict the facts, but requested that the problematic use of psychoactive substances presented by the accused was evaluated, and that his low cultural level and his alleged psychological and psychiatric condition (on which no evidence was provided) were taken into consideration. On August 24, 2004, the TOC3 declared the alleged victim criminally responsible for the crime with which he had been charged. On August 31, 2004, a public defender filed a cassation appeal to challenge such decision. The alleged victim requested his release before the TOC3, who denied it to him on April 29, 2008. This decision was appealed before Division I of the Departmental Chamber, which confirmed the decision to deny his release on June 17 of the same year. On December 9, 2008, the Criminal Court of Cassation Appeals of the Province of Buenos Aires (hereinafter “Court of Cassation”) dismissed the appeal against the conviction issued by the TOC 3. This ruling was challenged by the defense of the alleged victim through an extraordinary remedy of </w:t>
      </w:r>
      <w:r w:rsidR="0077778E" w:rsidRPr="002850CA">
        <w:rPr>
          <w:sz w:val="20"/>
        </w:rPr>
        <w:t xml:space="preserve">inapplicability of the law </w:t>
      </w:r>
      <w:r w:rsidRPr="002850CA">
        <w:rPr>
          <w:sz w:val="20"/>
        </w:rPr>
        <w:t xml:space="preserve">before the Supreme Court of Justice of the Province of Buenos Aires. In addition, the defense of the alleged victim filed a habeas </w:t>
      </w:r>
      <w:proofErr w:type="gramStart"/>
      <w:r w:rsidRPr="002850CA">
        <w:rPr>
          <w:sz w:val="20"/>
        </w:rPr>
        <w:t>corpus  on</w:t>
      </w:r>
      <w:proofErr w:type="gramEnd"/>
      <w:r w:rsidRPr="002850CA">
        <w:rPr>
          <w:sz w:val="20"/>
        </w:rPr>
        <w:t xml:space="preserve"> February 11, 2009, in which they stated that the reasonable period of preventive detention had been exhausted and thus requested the alleged victim’s immediate release from prison. </w:t>
      </w:r>
      <w:proofErr w:type="gramStart"/>
      <w:r w:rsidRPr="002850CA">
        <w:rPr>
          <w:sz w:val="20"/>
        </w:rPr>
        <w:t>On  February</w:t>
      </w:r>
      <w:proofErr w:type="gramEnd"/>
      <w:r w:rsidRPr="002850CA">
        <w:rPr>
          <w:sz w:val="20"/>
        </w:rPr>
        <w:t xml:space="preserve"> 12, 2009, the above-mentioned action was declared inadmissible because it had been incorrectly brought before the Court of Cassation.</w:t>
      </w:r>
    </w:p>
    <w:p w14:paraId="612F4991" w14:textId="77777777" w:rsidR="00E86A6E" w:rsidRPr="002850CA" w:rsidRDefault="00E86A6E" w:rsidP="00D35559">
      <w:pPr>
        <w:pStyle w:val="ListParagraph"/>
        <w:spacing w:before="0"/>
        <w:ind w:left="0" w:firstLine="720"/>
        <w:rPr>
          <w:sz w:val="20"/>
          <w:szCs w:val="20"/>
        </w:rPr>
      </w:pPr>
    </w:p>
    <w:p w14:paraId="473991D5" w14:textId="3EA0312E" w:rsidR="00F75FF5" w:rsidRPr="002850CA" w:rsidRDefault="00E86A6E" w:rsidP="00D35559">
      <w:pPr>
        <w:pStyle w:val="ListParagraph"/>
        <w:numPr>
          <w:ilvl w:val="0"/>
          <w:numId w:val="2"/>
        </w:numPr>
        <w:spacing w:before="0"/>
        <w:ind w:left="0" w:firstLine="720"/>
        <w:rPr>
          <w:sz w:val="20"/>
          <w:szCs w:val="20"/>
        </w:rPr>
      </w:pPr>
      <w:r w:rsidRPr="002850CA">
        <w:rPr>
          <w:sz w:val="20"/>
        </w:rPr>
        <w:t xml:space="preserve">In addition, the State says that the </w:t>
      </w:r>
      <w:r w:rsidR="00B3153B" w:rsidRPr="002850CA">
        <w:rPr>
          <w:sz w:val="20"/>
        </w:rPr>
        <w:t>public defender</w:t>
      </w:r>
      <w:r w:rsidRPr="002850CA">
        <w:rPr>
          <w:sz w:val="20"/>
        </w:rPr>
        <w:t xml:space="preserve"> filed an extraordinary remedy of </w:t>
      </w:r>
      <w:r w:rsidR="0077778E" w:rsidRPr="002850CA">
        <w:rPr>
          <w:sz w:val="20"/>
        </w:rPr>
        <w:t xml:space="preserve">inapplicability of the law </w:t>
      </w:r>
      <w:r w:rsidRPr="002850CA">
        <w:rPr>
          <w:sz w:val="20"/>
        </w:rPr>
        <w:t xml:space="preserve">to challenge the decision of the Court of Cassation rejecting the habeas corpus. Said remedy was dismissed on December 2, 2009, by the Supreme Court of Justice of the Province of Buenos Aires, since it did not contest a final judgment or did result in a grievance that would be difficult to repair in the future. </w:t>
      </w:r>
    </w:p>
    <w:p w14:paraId="22DE6B0D" w14:textId="77777777" w:rsidR="00F75FF5" w:rsidRPr="002850CA" w:rsidRDefault="00F75FF5" w:rsidP="00D35559">
      <w:pPr>
        <w:pStyle w:val="ListParagraph"/>
        <w:spacing w:before="0"/>
        <w:ind w:left="0" w:firstLine="720"/>
        <w:rPr>
          <w:sz w:val="20"/>
          <w:szCs w:val="20"/>
        </w:rPr>
      </w:pPr>
    </w:p>
    <w:p w14:paraId="0A4BE82F" w14:textId="1736C1B1" w:rsidR="00F75FF5" w:rsidRPr="002850CA" w:rsidRDefault="00685E3C" w:rsidP="00D35559">
      <w:pPr>
        <w:pStyle w:val="ListParagraph"/>
        <w:numPr>
          <w:ilvl w:val="0"/>
          <w:numId w:val="2"/>
        </w:numPr>
        <w:spacing w:before="0"/>
        <w:ind w:left="0" w:firstLine="720"/>
        <w:rPr>
          <w:sz w:val="20"/>
          <w:szCs w:val="20"/>
        </w:rPr>
      </w:pPr>
      <w:r w:rsidRPr="002850CA">
        <w:rPr>
          <w:sz w:val="20"/>
        </w:rPr>
        <w:t xml:space="preserve">The defense of the alleged victim filed a federal extraordinary remedy </w:t>
      </w:r>
      <w:r w:rsidR="0077778E" w:rsidRPr="002850CA">
        <w:rPr>
          <w:sz w:val="20"/>
        </w:rPr>
        <w:t>because of the rejection of</w:t>
      </w:r>
      <w:r w:rsidRPr="002850CA">
        <w:rPr>
          <w:sz w:val="20"/>
        </w:rPr>
        <w:t xml:space="preserve"> the habeas corpus, which was denied by the Supreme Court of Justice of the Province of Buenos Aires, since </w:t>
      </w:r>
      <w:r w:rsidR="0077778E" w:rsidRPr="002850CA">
        <w:rPr>
          <w:sz w:val="20"/>
        </w:rPr>
        <w:t>it</w:t>
      </w:r>
      <w:r w:rsidRPr="002850CA">
        <w:rPr>
          <w:sz w:val="20"/>
        </w:rPr>
        <w:t xml:space="preserve"> </w:t>
      </w:r>
      <w:r w:rsidR="0077778E" w:rsidRPr="002850CA">
        <w:rPr>
          <w:sz w:val="20"/>
        </w:rPr>
        <w:t xml:space="preserve">did not meet </w:t>
      </w:r>
      <w:r w:rsidRPr="002850CA">
        <w:rPr>
          <w:sz w:val="20"/>
        </w:rPr>
        <w:t xml:space="preserve">the formal requirements of admissibility. On July 27, 2011, the </w:t>
      </w:r>
      <w:r w:rsidR="003A0AEA" w:rsidRPr="002850CA">
        <w:rPr>
          <w:sz w:val="20"/>
        </w:rPr>
        <w:t>Division</w:t>
      </w:r>
      <w:r w:rsidRPr="002850CA">
        <w:rPr>
          <w:sz w:val="20"/>
        </w:rPr>
        <w:t xml:space="preserve"> of the Court of Cassation in charge of the case during the judicial recess rejected a new habeas corpus filed by the alleged victim because it was brought </w:t>
      </w:r>
      <w:proofErr w:type="gramStart"/>
      <w:r w:rsidRPr="002850CA">
        <w:rPr>
          <w:sz w:val="20"/>
        </w:rPr>
        <w:t>directly, but</w:t>
      </w:r>
      <w:proofErr w:type="gramEnd"/>
      <w:r w:rsidRPr="002850CA">
        <w:rPr>
          <w:sz w:val="20"/>
        </w:rPr>
        <w:t xml:space="preserve"> referred the proceedings to the Departmental Chamber. On January 27, 2012, the Court of Cassation declared the habeas corpus inadmissible since it failed to warn about situations of emergency or institutional gravity that would authorize its intervention. On September 26, 2012, the Departmental Chamber revoked the resolution by which the TOC3 had denied the alleged victim his </w:t>
      </w:r>
      <w:proofErr w:type="gramStart"/>
      <w:r w:rsidRPr="002850CA">
        <w:rPr>
          <w:sz w:val="20"/>
        </w:rPr>
        <w:t>freedom, and</w:t>
      </w:r>
      <w:proofErr w:type="gramEnd"/>
      <w:r w:rsidRPr="002850CA">
        <w:rPr>
          <w:sz w:val="20"/>
        </w:rPr>
        <w:t xml:space="preserve"> granted him his conditional release under </w:t>
      </w:r>
      <w:r w:rsidR="00E86CEB" w:rsidRPr="002850CA">
        <w:rPr>
          <w:sz w:val="20"/>
        </w:rPr>
        <w:t>a promissory oath</w:t>
      </w:r>
      <w:r w:rsidRPr="002850CA">
        <w:rPr>
          <w:sz w:val="20"/>
        </w:rPr>
        <w:t xml:space="preserve"> and under various conditions.</w:t>
      </w:r>
      <w:r w:rsidR="00E8510C" w:rsidRPr="002850CA">
        <w:rPr>
          <w:vertAlign w:val="superscript"/>
        </w:rPr>
        <w:footnoteReference w:id="2"/>
      </w:r>
      <w:r w:rsidRPr="002850CA">
        <w:rPr>
          <w:sz w:val="20"/>
        </w:rPr>
        <w:t xml:space="preserve"> On March 26, 2014, the Supreme Court of Justice of the Province of Buenos Aires rejected the appeal of </w:t>
      </w:r>
      <w:r w:rsidR="0077778E" w:rsidRPr="002850CA">
        <w:rPr>
          <w:sz w:val="20"/>
        </w:rPr>
        <w:t xml:space="preserve">inapplicability of the law </w:t>
      </w:r>
      <w:r w:rsidRPr="002850CA">
        <w:rPr>
          <w:sz w:val="20"/>
        </w:rPr>
        <w:t>brought by the defense against the conviction.</w:t>
      </w:r>
    </w:p>
    <w:p w14:paraId="3C8FAB3F" w14:textId="77777777" w:rsidR="00F75FF5" w:rsidRPr="002850CA" w:rsidRDefault="00F75FF5" w:rsidP="00D35559">
      <w:pPr>
        <w:pStyle w:val="ListParagraph"/>
        <w:spacing w:before="0"/>
        <w:ind w:left="0" w:firstLine="720"/>
        <w:rPr>
          <w:sz w:val="20"/>
          <w:szCs w:val="20"/>
        </w:rPr>
      </w:pPr>
    </w:p>
    <w:p w14:paraId="62F5ECF0" w14:textId="019D9061" w:rsidR="00E86A6E" w:rsidRPr="002850CA" w:rsidRDefault="00F75FF5" w:rsidP="00D35559">
      <w:pPr>
        <w:pStyle w:val="ListParagraph"/>
        <w:numPr>
          <w:ilvl w:val="0"/>
          <w:numId w:val="2"/>
        </w:numPr>
        <w:spacing w:before="0"/>
        <w:ind w:left="0" w:firstLine="720"/>
        <w:rPr>
          <w:sz w:val="20"/>
          <w:szCs w:val="20"/>
        </w:rPr>
      </w:pPr>
      <w:r w:rsidRPr="002850CA">
        <w:rPr>
          <w:sz w:val="20"/>
        </w:rPr>
        <w:t xml:space="preserve">The State reports that on February 3, 2016, the Supreme Court of Justice of the Province of Buenos Aires decided to dismiss the federal extraordinary appeal filed by the legal representation of the alleged victim against the judgment that had rejected the appeal of </w:t>
      </w:r>
      <w:r w:rsidR="0077778E" w:rsidRPr="002850CA">
        <w:rPr>
          <w:sz w:val="20"/>
        </w:rPr>
        <w:t xml:space="preserve">inapplicability of the law </w:t>
      </w:r>
      <w:r w:rsidRPr="002850CA">
        <w:rPr>
          <w:sz w:val="20"/>
        </w:rPr>
        <w:t>against the conviction imposed by the Court of Cassation. The defense of the alleged victim filed a complaint with Argentina’s Supreme Court of Justice, which was dismissed. An appeal for review was filed then, which was also dismissed on February 7, 2017.</w:t>
      </w:r>
    </w:p>
    <w:p w14:paraId="1EDFBEA1" w14:textId="77777777" w:rsidR="00C02C7F" w:rsidRPr="002850CA" w:rsidRDefault="001223F2" w:rsidP="000268C7">
      <w:pPr>
        <w:pStyle w:val="ListParagraph"/>
        <w:numPr>
          <w:ilvl w:val="0"/>
          <w:numId w:val="3"/>
        </w:numPr>
        <w:spacing w:before="0"/>
        <w:ind w:left="0" w:right="760" w:firstLine="720"/>
        <w:rPr>
          <w:b/>
          <w:bCs/>
          <w:sz w:val="20"/>
          <w:szCs w:val="20"/>
        </w:rPr>
      </w:pPr>
      <w:r w:rsidRPr="002850CA">
        <w:rPr>
          <w:b/>
          <w:sz w:val="20"/>
        </w:rPr>
        <w:lastRenderedPageBreak/>
        <w:t>EXHAUSTION OF DOMESTIC REMEDIES AND TIMELINESS OF THE PETITION</w:t>
      </w:r>
    </w:p>
    <w:p w14:paraId="66D0F5C3" w14:textId="77777777" w:rsidR="0091162B" w:rsidRPr="002850CA" w:rsidRDefault="0091162B" w:rsidP="00317E54">
      <w:pPr>
        <w:pStyle w:val="ListParagraph"/>
        <w:spacing w:before="0"/>
        <w:ind w:left="1440" w:right="40" w:firstLine="0"/>
        <w:rPr>
          <w:sz w:val="20"/>
          <w:szCs w:val="20"/>
        </w:rPr>
      </w:pPr>
    </w:p>
    <w:p w14:paraId="71D2AEDC" w14:textId="52412FED" w:rsidR="002126CD" w:rsidRPr="002850CA" w:rsidRDefault="0075545F" w:rsidP="00D35559">
      <w:pPr>
        <w:pStyle w:val="ListParagraph"/>
        <w:numPr>
          <w:ilvl w:val="0"/>
          <w:numId w:val="2"/>
        </w:numPr>
        <w:spacing w:before="0"/>
        <w:ind w:left="0" w:right="40" w:firstLine="720"/>
        <w:rPr>
          <w:sz w:val="20"/>
          <w:szCs w:val="20"/>
        </w:rPr>
      </w:pPr>
      <w:r w:rsidRPr="002850CA">
        <w:rPr>
          <w:sz w:val="20"/>
        </w:rPr>
        <w:t>The petitioners argue that the procedural delay of the domestic courts in the decision of this case is addressed by Article 46.2(c) of the American Convention and that the federal extraordinary remedy filed is not an appropriate and effective way to denounce the violation of rights protected under that treaty. Consequently, there was no obligation to exhaust those remedies.</w:t>
      </w:r>
    </w:p>
    <w:p w14:paraId="09164C22" w14:textId="77777777" w:rsidR="002126CD" w:rsidRPr="002850CA" w:rsidRDefault="002126CD" w:rsidP="00D35559">
      <w:pPr>
        <w:pStyle w:val="ListParagraph"/>
        <w:spacing w:before="0"/>
        <w:ind w:left="0" w:right="40" w:firstLine="720"/>
        <w:rPr>
          <w:sz w:val="20"/>
          <w:szCs w:val="20"/>
        </w:rPr>
      </w:pPr>
    </w:p>
    <w:p w14:paraId="0532296A" w14:textId="5AB040DF" w:rsidR="00536852" w:rsidRPr="002850CA" w:rsidRDefault="008D2D69" w:rsidP="00D35559">
      <w:pPr>
        <w:pStyle w:val="ListParagraph"/>
        <w:numPr>
          <w:ilvl w:val="0"/>
          <w:numId w:val="2"/>
        </w:numPr>
        <w:spacing w:before="0"/>
        <w:ind w:left="0" w:right="40" w:firstLine="720"/>
        <w:rPr>
          <w:sz w:val="20"/>
          <w:szCs w:val="20"/>
        </w:rPr>
      </w:pPr>
      <w:r w:rsidRPr="002850CA">
        <w:rPr>
          <w:sz w:val="20"/>
        </w:rPr>
        <w:t xml:space="preserve">The State argues that the petitioners expect the IACHR to “act as a fourth judicial instance and review the assessments of fact and law made by the domestic instances” and that “there are no facts that characterize a violation of the rights guaranteed by the Convention.” The State specifically asserts that the alleged victim was released thanks to the remedies he filed with the judicial authorities of the province of Buenos Aires; that the </w:t>
      </w:r>
      <w:r w:rsidR="0077778E" w:rsidRPr="002850CA">
        <w:rPr>
          <w:sz w:val="20"/>
        </w:rPr>
        <w:t xml:space="preserve">Departmental Chamber </w:t>
      </w:r>
      <w:r w:rsidRPr="002850CA">
        <w:rPr>
          <w:sz w:val="20"/>
        </w:rPr>
        <w:t xml:space="preserve">ordered his release on September 26, 2012, so he did not need to file extraordinary remedies; and that his detention, although not based on a final judgment, was in accordance with all the </w:t>
      </w:r>
      <w:proofErr w:type="gramStart"/>
      <w:r w:rsidRPr="002850CA">
        <w:rPr>
          <w:sz w:val="20"/>
        </w:rPr>
        <w:t>legal  requirements</w:t>
      </w:r>
      <w:proofErr w:type="gramEnd"/>
      <w:r w:rsidRPr="002850CA">
        <w:rPr>
          <w:sz w:val="20"/>
        </w:rPr>
        <w:t xml:space="preserve"> and the rights of the alleged victim. It states that the detention lasted from May 11, 2001, to September 26, 2012, and that he was therefore deprived of his liberty for eleven years, four months and fifteen days. The State says that his deprivation of liberty was based on criminal law and was ordered by competent authorities and through reasoned decisions, fully respecting his right to a fair trial; that the alleged victim was finally released as requested by the </w:t>
      </w:r>
      <w:r w:rsidR="00B3153B" w:rsidRPr="002850CA">
        <w:rPr>
          <w:sz w:val="20"/>
        </w:rPr>
        <w:t>public defender</w:t>
      </w:r>
      <w:r w:rsidRPr="002850CA">
        <w:rPr>
          <w:sz w:val="20"/>
        </w:rPr>
        <w:t>; and that even though the judgement was not final, he had been found guilty by the judicial authorities. In conclusion, the State requests the Inter-American Commission to dismiss this petition.</w:t>
      </w:r>
    </w:p>
    <w:p w14:paraId="672E9DA6" w14:textId="77777777" w:rsidR="00536852" w:rsidRPr="002850CA" w:rsidRDefault="00536852" w:rsidP="00D35559">
      <w:pPr>
        <w:ind w:right="40" w:firstLine="720"/>
        <w:jc w:val="center"/>
        <w:rPr>
          <w:sz w:val="20"/>
          <w:szCs w:val="20"/>
        </w:rPr>
      </w:pPr>
    </w:p>
    <w:p w14:paraId="35CCC781" w14:textId="1BD49DD9" w:rsidR="00652350" w:rsidRPr="002850CA" w:rsidRDefault="00FE1DDB" w:rsidP="00D35559">
      <w:pPr>
        <w:pStyle w:val="ListParagraph"/>
        <w:numPr>
          <w:ilvl w:val="0"/>
          <w:numId w:val="2"/>
        </w:numPr>
        <w:spacing w:before="0"/>
        <w:ind w:left="0" w:right="40" w:firstLine="720"/>
        <w:rPr>
          <w:sz w:val="20"/>
          <w:szCs w:val="20"/>
        </w:rPr>
      </w:pPr>
      <w:r w:rsidRPr="002850CA">
        <w:rPr>
          <w:sz w:val="20"/>
        </w:rPr>
        <w:t xml:space="preserve">For purposes of admissibility, the Commission must decide whether the facts alleged could characterize a violation of rights, according to the provisions of Article 47(b) of the American Convention, or whether the petition is “manifestly groundless” or “obviously out of order,” pursuant to subparagraph c of that article.  The criterion for evaluating these requirements is different from that used to pronounce on the merits of the petition. The Commission must conduct a </w:t>
      </w:r>
      <w:r w:rsidRPr="002850CA">
        <w:rPr>
          <w:i/>
          <w:iCs/>
          <w:sz w:val="20"/>
        </w:rPr>
        <w:t>prima facie</w:t>
      </w:r>
      <w:r w:rsidRPr="002850CA">
        <w:rPr>
          <w:sz w:val="20"/>
        </w:rPr>
        <w:t xml:space="preserve"> evaluation to determine whether the petition establishes the legal grounds for a possible or potential violation of a right enshrined by the Convention, but not to establish the actual existence of a violation of rights.  This determination constitutes a preliminary analysis that does not imply a prejudgment of the merits of the matter.</w:t>
      </w:r>
      <w:r w:rsidR="00536852" w:rsidRPr="002850CA">
        <w:rPr>
          <w:vertAlign w:val="superscript"/>
        </w:rPr>
        <w:footnoteReference w:id="3"/>
      </w:r>
      <w:r w:rsidRPr="002850CA">
        <w:rPr>
          <w:sz w:val="20"/>
        </w:rPr>
        <w:t xml:space="preserve"> The IACHR has established that it is competent to declare a petition admissible and rule on the basis for it when the petition refers to a judgment by a domestic court handed down without regard to due process or which apparently violates any other right guaranteed by the Convention. The Commission recalls that it has admitted petitions when it transpires from the arguments of the </w:t>
      </w:r>
      <w:proofErr w:type="gramStart"/>
      <w:r w:rsidRPr="002850CA">
        <w:rPr>
          <w:sz w:val="20"/>
        </w:rPr>
        <w:t>parties</w:t>
      </w:r>
      <w:proofErr w:type="gramEnd"/>
      <w:r w:rsidRPr="002850CA">
        <w:rPr>
          <w:sz w:val="20"/>
        </w:rPr>
        <w:t xml:space="preserve"> </w:t>
      </w:r>
      <w:r w:rsidRPr="002850CA">
        <w:rPr>
          <w:i/>
          <w:iCs/>
          <w:sz w:val="20"/>
        </w:rPr>
        <w:t>prima facie</w:t>
      </w:r>
      <w:r w:rsidRPr="002850CA">
        <w:rPr>
          <w:sz w:val="20"/>
        </w:rPr>
        <w:t xml:space="preserve"> that the court judgments or procedures followed could have been arbitrary or might have involved arbitrary unequal treatment or possible discrimination.</w:t>
      </w:r>
      <w:r w:rsidR="00904A45" w:rsidRPr="002850CA">
        <w:rPr>
          <w:vertAlign w:val="superscript"/>
        </w:rPr>
        <w:footnoteReference w:id="4"/>
      </w:r>
    </w:p>
    <w:p w14:paraId="3432BC66" w14:textId="77777777" w:rsidR="00904A45" w:rsidRPr="002850CA" w:rsidRDefault="00904A45" w:rsidP="00D35559">
      <w:pPr>
        <w:pStyle w:val="ListParagraph"/>
        <w:spacing w:before="0"/>
        <w:ind w:left="0" w:right="40" w:firstLine="720"/>
        <w:rPr>
          <w:sz w:val="20"/>
          <w:szCs w:val="20"/>
        </w:rPr>
      </w:pPr>
    </w:p>
    <w:p w14:paraId="7296CE89" w14:textId="77777777" w:rsidR="00152C57" w:rsidRPr="002850CA" w:rsidRDefault="00904A45" w:rsidP="00D35559">
      <w:pPr>
        <w:pStyle w:val="ListParagraph"/>
        <w:numPr>
          <w:ilvl w:val="0"/>
          <w:numId w:val="2"/>
        </w:numPr>
        <w:spacing w:before="0"/>
        <w:ind w:left="0" w:right="40" w:firstLine="720"/>
        <w:rPr>
          <w:sz w:val="20"/>
          <w:szCs w:val="20"/>
        </w:rPr>
      </w:pPr>
      <w:proofErr w:type="gramStart"/>
      <w:r w:rsidRPr="002850CA">
        <w:rPr>
          <w:sz w:val="20"/>
        </w:rPr>
        <w:t>In light of</w:t>
      </w:r>
      <w:proofErr w:type="gramEnd"/>
      <w:r w:rsidRPr="002850CA">
        <w:rPr>
          <w:sz w:val="20"/>
        </w:rPr>
        <w:t xml:space="preserve"> these preliminary considerations, the IACHR notes that the facts set forth in this petition may constitute violations of rights guaranteed under the American Convention and that, therefore, there is no reason to close this case. </w:t>
      </w:r>
    </w:p>
    <w:p w14:paraId="1E7E4938" w14:textId="77777777" w:rsidR="00152C57" w:rsidRPr="002850CA" w:rsidRDefault="00152C57" w:rsidP="00D35559">
      <w:pPr>
        <w:ind w:firstLine="720"/>
        <w:rPr>
          <w:sz w:val="20"/>
          <w:szCs w:val="20"/>
        </w:rPr>
      </w:pPr>
    </w:p>
    <w:p w14:paraId="5622CD5B" w14:textId="3D8A5FB4" w:rsidR="00A70099" w:rsidRPr="002850CA" w:rsidRDefault="00152C57" w:rsidP="000268C7">
      <w:pPr>
        <w:pStyle w:val="ListParagraph"/>
        <w:widowControl/>
        <w:numPr>
          <w:ilvl w:val="0"/>
          <w:numId w:val="2"/>
        </w:numPr>
        <w:spacing w:before="0"/>
        <w:ind w:left="0" w:right="43" w:firstLine="720"/>
        <w:rPr>
          <w:sz w:val="20"/>
          <w:szCs w:val="20"/>
        </w:rPr>
      </w:pPr>
      <w:r w:rsidRPr="002850CA">
        <w:rPr>
          <w:sz w:val="20"/>
        </w:rPr>
        <w:t>In addition, the IACHR notes with concern that the extensive detention of the alleged victim was not based on a final judgment, according to the contributions of the petitioners and the State itself.</w:t>
      </w:r>
      <w:r w:rsidR="00A70099" w:rsidRPr="002850CA">
        <w:rPr>
          <w:sz w:val="20"/>
          <w:szCs w:val="20"/>
          <w:vertAlign w:val="superscript"/>
        </w:rPr>
        <w:footnoteReference w:id="5"/>
      </w:r>
      <w:r w:rsidRPr="002850CA">
        <w:rPr>
          <w:sz w:val="20"/>
        </w:rPr>
        <w:t xml:space="preserve"> In addition, the facts indicate that over the years there were multiple unsuccessful attempts to reverse such detention. In this regard, the Commission recalls its jurisprudence, at the stage of admissibility,</w:t>
      </w:r>
      <w:r w:rsidR="00A70099" w:rsidRPr="002850CA">
        <w:rPr>
          <w:sz w:val="20"/>
          <w:szCs w:val="20"/>
          <w:vertAlign w:val="superscript"/>
        </w:rPr>
        <w:footnoteReference w:id="6"/>
      </w:r>
      <w:r w:rsidRPr="002850CA">
        <w:rPr>
          <w:sz w:val="20"/>
        </w:rPr>
        <w:t xml:space="preserve"> which points out that extensive detentions that are not based on a final judgment may result in an unwarranted delay.</w:t>
      </w:r>
    </w:p>
    <w:p w14:paraId="60E9C457" w14:textId="09F30B69" w:rsidR="00B653C2" w:rsidRPr="002850CA" w:rsidRDefault="00A70099" w:rsidP="00D35559">
      <w:pPr>
        <w:pStyle w:val="ListParagraph"/>
        <w:numPr>
          <w:ilvl w:val="0"/>
          <w:numId w:val="2"/>
        </w:numPr>
        <w:spacing w:before="0"/>
        <w:ind w:left="0" w:right="40" w:firstLine="720"/>
        <w:rPr>
          <w:sz w:val="20"/>
          <w:szCs w:val="20"/>
        </w:rPr>
      </w:pPr>
      <w:r w:rsidRPr="002850CA">
        <w:rPr>
          <w:sz w:val="20"/>
        </w:rPr>
        <w:lastRenderedPageBreak/>
        <w:t>However, in the present case, the Inter-American Commission considers that the State had the opportunity to resolve the proceedings domestically, and that domestic remedies were exhausted as of the decision of February 7, 2017. The exhaustion of domestic remedies took place after the petition had been filed with the IACHR. On this subject, the Commission reiterates its continuing position that what should be taken into account in determining whether domestic remedies have been exhausted is the situation at the ruling on admissibility, because the time of presentation of the complaint differs from the time of the ruling on admissibility.</w:t>
      </w:r>
      <w:r w:rsidR="00152C57" w:rsidRPr="002850CA">
        <w:rPr>
          <w:rStyle w:val="FootnoteReference"/>
          <w:sz w:val="20"/>
          <w:szCs w:val="20"/>
        </w:rPr>
        <w:footnoteReference w:id="7"/>
      </w:r>
      <w:r w:rsidRPr="002850CA">
        <w:rPr>
          <w:sz w:val="20"/>
        </w:rPr>
        <w:t xml:space="preserve"> Therefore, considering the context and characteristics of this petition, the Commission finds that it was submitted within a reasonable period of time and that it meets the admissibility requirement concerning the presentation deadline. </w:t>
      </w:r>
    </w:p>
    <w:p w14:paraId="4C09616F" w14:textId="77777777" w:rsidR="00B653C2" w:rsidRPr="002850CA" w:rsidRDefault="00B653C2" w:rsidP="00B653C2">
      <w:pPr>
        <w:ind w:right="40"/>
        <w:rPr>
          <w:sz w:val="20"/>
          <w:szCs w:val="20"/>
        </w:rPr>
      </w:pPr>
    </w:p>
    <w:p w14:paraId="3D1E0045" w14:textId="77777777" w:rsidR="00C02C7F" w:rsidRPr="002850CA" w:rsidRDefault="001223F2" w:rsidP="00D35559">
      <w:pPr>
        <w:pStyle w:val="ListParagraph"/>
        <w:numPr>
          <w:ilvl w:val="0"/>
          <w:numId w:val="3"/>
        </w:numPr>
        <w:spacing w:before="0"/>
        <w:ind w:left="0" w:right="760" w:firstLine="720"/>
        <w:rPr>
          <w:b/>
          <w:bCs/>
          <w:sz w:val="20"/>
          <w:szCs w:val="20"/>
        </w:rPr>
      </w:pPr>
      <w:r w:rsidRPr="002850CA">
        <w:rPr>
          <w:b/>
          <w:sz w:val="20"/>
        </w:rPr>
        <w:t>ANALYSIS OF COLORABLE CLAIM</w:t>
      </w:r>
    </w:p>
    <w:p w14:paraId="270FC955" w14:textId="77777777" w:rsidR="0091162B" w:rsidRPr="002850CA" w:rsidRDefault="0091162B" w:rsidP="00317E54">
      <w:pPr>
        <w:pStyle w:val="ListParagraph"/>
        <w:spacing w:before="0"/>
        <w:ind w:left="1440" w:right="40" w:firstLine="0"/>
        <w:rPr>
          <w:sz w:val="20"/>
          <w:szCs w:val="20"/>
        </w:rPr>
      </w:pPr>
    </w:p>
    <w:p w14:paraId="7E2CFC08" w14:textId="2078A2E3" w:rsidR="00B40AED" w:rsidRPr="002850CA" w:rsidRDefault="001223F2" w:rsidP="00D35559">
      <w:pPr>
        <w:pStyle w:val="ListParagraph"/>
        <w:numPr>
          <w:ilvl w:val="0"/>
          <w:numId w:val="2"/>
        </w:numPr>
        <w:spacing w:before="0"/>
        <w:ind w:left="0" w:right="40" w:firstLine="720"/>
        <w:rPr>
          <w:sz w:val="20"/>
          <w:szCs w:val="20"/>
        </w:rPr>
      </w:pPr>
      <w:r w:rsidRPr="002850CA">
        <w:rPr>
          <w:sz w:val="20"/>
        </w:rPr>
        <w:t xml:space="preserve">The Inter-American Commission notes that this petition alleges the preventive detention of the alleged victim for an unreasonable </w:t>
      </w:r>
      <w:proofErr w:type="gramStart"/>
      <w:r w:rsidRPr="002850CA">
        <w:rPr>
          <w:sz w:val="20"/>
        </w:rPr>
        <w:t>period of time</w:t>
      </w:r>
      <w:proofErr w:type="gramEnd"/>
      <w:r w:rsidRPr="002850CA">
        <w:rPr>
          <w:sz w:val="20"/>
        </w:rPr>
        <w:t xml:space="preserve">, according to domestic provisions that are reportedly incompatible with the American Convention. </w:t>
      </w:r>
      <w:r w:rsidRPr="002850CA">
        <w:t>In view of these considerations and after examining the elements of fact and law set forth by the parties, the Commission considers that the claims of the petitioners are not unfounded and need to be studied on the merits since the alleged facts, if corroborated, could imply violations of Articles 7 (personal liberty), 8 (right to a fair trial) and 25 (judicial protection) of the American Convention, in relation to Articles 1.1 (obligation to respect rights) and 2 (duty to ad</w:t>
      </w:r>
      <w:hyperlink w:anchor="_bookmark10" w:history="1">
        <w:r w:rsidRPr="002850CA">
          <w:rPr>
            <w:sz w:val="20"/>
          </w:rPr>
          <w:t>o</w:t>
        </w:r>
      </w:hyperlink>
      <w:r w:rsidRPr="002850CA">
        <w:t>pt provisions of domestic law), in accordance with other similar cases on which the Commission pronounced in the past.</w:t>
      </w:r>
    </w:p>
    <w:p w14:paraId="3DF88328" w14:textId="77777777" w:rsidR="0091162B" w:rsidRPr="002850CA" w:rsidRDefault="0091162B" w:rsidP="00D35559">
      <w:pPr>
        <w:ind w:right="40" w:firstLine="720"/>
        <w:rPr>
          <w:sz w:val="20"/>
          <w:szCs w:val="20"/>
        </w:rPr>
      </w:pPr>
    </w:p>
    <w:p w14:paraId="58EE60C4" w14:textId="013B9D9A" w:rsidR="00C02C7F" w:rsidRPr="002850CA" w:rsidRDefault="00B40AED" w:rsidP="00D35559">
      <w:pPr>
        <w:pStyle w:val="ListParagraph"/>
        <w:numPr>
          <w:ilvl w:val="0"/>
          <w:numId w:val="2"/>
        </w:numPr>
        <w:spacing w:before="0"/>
        <w:ind w:left="0" w:right="40" w:firstLine="720"/>
        <w:rPr>
          <w:sz w:val="20"/>
          <w:szCs w:val="20"/>
        </w:rPr>
      </w:pPr>
      <w:proofErr w:type="gramStart"/>
      <w:r w:rsidRPr="002850CA">
        <w:rPr>
          <w:sz w:val="20"/>
        </w:rPr>
        <w:t>With regard to</w:t>
      </w:r>
      <w:proofErr w:type="gramEnd"/>
      <w:r w:rsidRPr="002850CA">
        <w:rPr>
          <w:sz w:val="20"/>
        </w:rPr>
        <w:t xml:space="preserve"> the State's allegations that the Commission might be acting as a “fourth instance”, it should be reiterated that the Inter-American Commission is not competent to review decisions taken by domestic judicial authorities that act within their competence and apply the due process rules under the American Convention. However, the IACHR has repeatedly established that it does has jurisdiction to declare a petition admissible, as well as to refer to the merits of the case, when the case concerns domestic proceedings that might violate the rights guaranteed under the American Convention.</w:t>
      </w:r>
    </w:p>
    <w:p w14:paraId="01DA825B" w14:textId="77777777" w:rsidR="0091162B" w:rsidRPr="002850CA" w:rsidRDefault="0091162B" w:rsidP="00317E54">
      <w:pPr>
        <w:pStyle w:val="ListParagraph"/>
        <w:spacing w:before="0"/>
        <w:ind w:left="1440" w:right="40" w:firstLine="0"/>
        <w:rPr>
          <w:sz w:val="20"/>
          <w:szCs w:val="20"/>
        </w:rPr>
      </w:pPr>
    </w:p>
    <w:p w14:paraId="4C0322DB" w14:textId="77777777" w:rsidR="00C02C7F" w:rsidRPr="002850CA" w:rsidRDefault="001223F2" w:rsidP="00D35559">
      <w:pPr>
        <w:pStyle w:val="ListParagraph"/>
        <w:numPr>
          <w:ilvl w:val="0"/>
          <w:numId w:val="3"/>
        </w:numPr>
        <w:spacing w:before="0"/>
        <w:ind w:left="0" w:right="760" w:firstLine="720"/>
        <w:rPr>
          <w:b/>
          <w:bCs/>
          <w:sz w:val="20"/>
          <w:szCs w:val="20"/>
        </w:rPr>
      </w:pPr>
      <w:r w:rsidRPr="002850CA">
        <w:rPr>
          <w:b/>
          <w:sz w:val="20"/>
        </w:rPr>
        <w:t>DECISION</w:t>
      </w:r>
    </w:p>
    <w:p w14:paraId="3D3A46FF" w14:textId="77777777" w:rsidR="0091162B" w:rsidRPr="002850CA" w:rsidRDefault="0091162B" w:rsidP="00317E54">
      <w:pPr>
        <w:pStyle w:val="ListParagraph"/>
        <w:spacing w:before="0"/>
        <w:ind w:left="1440" w:right="40" w:firstLine="0"/>
        <w:rPr>
          <w:sz w:val="20"/>
          <w:szCs w:val="20"/>
        </w:rPr>
      </w:pPr>
    </w:p>
    <w:p w14:paraId="2F5D1BBA" w14:textId="1BB68FBC" w:rsidR="00C02C7F" w:rsidRPr="002850CA" w:rsidRDefault="001223F2" w:rsidP="00D35559">
      <w:pPr>
        <w:pStyle w:val="ListParagraph"/>
        <w:numPr>
          <w:ilvl w:val="0"/>
          <w:numId w:val="2"/>
        </w:numPr>
        <w:spacing w:before="0"/>
        <w:ind w:left="0" w:right="40" w:firstLine="720"/>
        <w:rPr>
          <w:sz w:val="20"/>
          <w:szCs w:val="20"/>
        </w:rPr>
      </w:pPr>
      <w:r w:rsidRPr="002850CA">
        <w:rPr>
          <w:sz w:val="20"/>
        </w:rPr>
        <w:t xml:space="preserve">To declare this petition admissible in relation to Articles 7, 8 and 25 of the American Convention in accordance with Articles 1.1 and 2 of the same </w:t>
      </w:r>
      <w:proofErr w:type="gramStart"/>
      <w:r w:rsidRPr="002850CA">
        <w:rPr>
          <w:sz w:val="20"/>
        </w:rPr>
        <w:t>instrument</w:t>
      </w:r>
      <w:proofErr w:type="gramEnd"/>
      <w:r w:rsidRPr="002850CA">
        <w:rPr>
          <w:sz w:val="20"/>
        </w:rPr>
        <w:t>.</w:t>
      </w:r>
    </w:p>
    <w:p w14:paraId="1A3DAA4A" w14:textId="77777777" w:rsidR="0091162B" w:rsidRPr="002850CA" w:rsidRDefault="0091162B" w:rsidP="00D35559">
      <w:pPr>
        <w:pStyle w:val="ListParagraph"/>
        <w:spacing w:before="0"/>
        <w:ind w:left="0" w:right="40" w:firstLine="720"/>
        <w:rPr>
          <w:sz w:val="20"/>
          <w:szCs w:val="20"/>
        </w:rPr>
      </w:pPr>
    </w:p>
    <w:p w14:paraId="15EB5B61" w14:textId="2D8D2127" w:rsidR="00C02C7F" w:rsidRPr="002850CA" w:rsidRDefault="001223F2" w:rsidP="00D35559">
      <w:pPr>
        <w:pStyle w:val="ListParagraph"/>
        <w:numPr>
          <w:ilvl w:val="0"/>
          <w:numId w:val="2"/>
        </w:numPr>
        <w:spacing w:before="0"/>
        <w:ind w:left="0" w:right="40" w:firstLine="720"/>
        <w:rPr>
          <w:sz w:val="20"/>
          <w:szCs w:val="20"/>
        </w:rPr>
      </w:pPr>
      <w:r w:rsidRPr="002850CA">
        <w:rPr>
          <w:sz w:val="20"/>
        </w:rPr>
        <w:t>To notify the parties of this decision; to proceed with the merits of the case; to publish this decision and include it in its Annual Report to the General Assembly of the Organization of American States.</w:t>
      </w:r>
    </w:p>
    <w:p w14:paraId="29848FBA" w14:textId="5AEA12C5" w:rsidR="00B40AED" w:rsidRDefault="00B40AED" w:rsidP="00D35559">
      <w:pPr>
        <w:ind w:left="720" w:right="40"/>
        <w:rPr>
          <w:sz w:val="20"/>
          <w:szCs w:val="20"/>
        </w:rPr>
      </w:pPr>
    </w:p>
    <w:p w14:paraId="0CBC88CC" w14:textId="32348E9B" w:rsidR="00A8020F" w:rsidRDefault="00A8020F" w:rsidP="00A8020F">
      <w:pPr>
        <w:suppressAutoHyphens/>
        <w:ind w:firstLine="720"/>
        <w:jc w:val="both"/>
        <w:rPr>
          <w:spacing w:val="-2"/>
          <w:sz w:val="20"/>
        </w:rPr>
      </w:pPr>
      <w:bookmarkStart w:id="2" w:name="_Hlk69908510"/>
      <w:r w:rsidRPr="006D25D7">
        <w:rPr>
          <w:spacing w:val="-2"/>
          <w:sz w:val="20"/>
        </w:rPr>
        <w:t xml:space="preserve">Approved by the Inter-American Commission on Human Rights on the </w:t>
      </w:r>
      <w:r>
        <w:rPr>
          <w:spacing w:val="-2"/>
          <w:sz w:val="20"/>
        </w:rPr>
        <w:t>3</w:t>
      </w:r>
      <w:r w:rsidRPr="00A8020F">
        <w:rPr>
          <w:spacing w:val="-2"/>
          <w:sz w:val="20"/>
          <w:vertAlign w:val="superscript"/>
        </w:rPr>
        <w:t>rd</w:t>
      </w:r>
      <w:r>
        <w:rPr>
          <w:spacing w:val="-2"/>
          <w:sz w:val="20"/>
        </w:rPr>
        <w:t xml:space="preserve"> </w:t>
      </w:r>
      <w:r w:rsidRPr="006D25D7">
        <w:rPr>
          <w:spacing w:val="-2"/>
          <w:sz w:val="20"/>
        </w:rPr>
        <w:t>d</w:t>
      </w:r>
      <w:r>
        <w:rPr>
          <w:spacing w:val="-2"/>
          <w:sz w:val="20"/>
        </w:rPr>
        <w:t xml:space="preserve">ay of the month of </w:t>
      </w:r>
      <w:proofErr w:type="gramStart"/>
      <w:r>
        <w:rPr>
          <w:spacing w:val="-2"/>
          <w:sz w:val="20"/>
        </w:rPr>
        <w:t>September,</w:t>
      </w:r>
      <w:proofErr w:type="gramEnd"/>
      <w:r>
        <w:rPr>
          <w:spacing w:val="-2"/>
          <w:sz w:val="20"/>
        </w:rPr>
        <w:t xml:space="preserve"> 2021</w:t>
      </w:r>
      <w:r w:rsidRPr="006D25D7">
        <w:rPr>
          <w:spacing w:val="-2"/>
          <w:sz w:val="20"/>
        </w:rPr>
        <w:t xml:space="preserve">. </w:t>
      </w:r>
      <w:r>
        <w:rPr>
          <w:spacing w:val="-2"/>
          <w:sz w:val="20"/>
        </w:rPr>
        <w:t xml:space="preserve"> (Signed:) </w:t>
      </w:r>
      <w:r>
        <w:rPr>
          <w:rFonts w:asciiTheme="majorHAnsi" w:hAnsiTheme="majorHAnsi" w:cs="Arial"/>
          <w:noProof/>
          <w:spacing w:val="-2"/>
          <w:sz w:val="20"/>
          <w:szCs w:val="20"/>
        </w:rPr>
        <w:t>Antonia Urrejola</w:t>
      </w:r>
      <w:r w:rsidRPr="006D25D7">
        <w:rPr>
          <w:sz w:val="20"/>
        </w:rPr>
        <w:t xml:space="preserve">, President; </w:t>
      </w:r>
      <w:r>
        <w:rPr>
          <w:rFonts w:asciiTheme="majorHAnsi" w:hAnsiTheme="majorHAnsi" w:cs="Arial"/>
          <w:noProof/>
          <w:spacing w:val="-2"/>
          <w:sz w:val="20"/>
          <w:szCs w:val="20"/>
        </w:rPr>
        <w:t>Julissa Mantilla Falcón</w:t>
      </w:r>
      <w:r w:rsidRPr="006D25D7">
        <w:rPr>
          <w:sz w:val="20"/>
        </w:rPr>
        <w:t xml:space="preserve">, First Vice President; </w:t>
      </w:r>
      <w:proofErr w:type="spellStart"/>
      <w:r>
        <w:rPr>
          <w:sz w:val="20"/>
          <w:szCs w:val="20"/>
        </w:rPr>
        <w:t>Flávia</w:t>
      </w:r>
      <w:proofErr w:type="spellEnd"/>
      <w:r>
        <w:rPr>
          <w:sz w:val="20"/>
          <w:szCs w:val="20"/>
        </w:rPr>
        <w:t xml:space="preserve"> </w:t>
      </w:r>
      <w:proofErr w:type="spellStart"/>
      <w:r>
        <w:rPr>
          <w:sz w:val="20"/>
          <w:szCs w:val="20"/>
        </w:rPr>
        <w:t>Piovesan</w:t>
      </w:r>
      <w:proofErr w:type="spellEnd"/>
      <w:r w:rsidRPr="006D25D7">
        <w:rPr>
          <w:sz w:val="20"/>
        </w:rPr>
        <w:t>, Second Vice President;</w:t>
      </w:r>
      <w:r w:rsidRPr="00F9365E">
        <w:rPr>
          <w:sz w:val="20"/>
        </w:rPr>
        <w:t xml:space="preserve"> Margarette May Macaulay,</w:t>
      </w:r>
      <w:r w:rsidRPr="006D25D7">
        <w:rPr>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 (</w:t>
      </w:r>
      <w:r w:rsidR="00612F55">
        <w:rPr>
          <w:rFonts w:asciiTheme="majorHAnsi" w:hAnsiTheme="majorHAnsi" w:cs="Arial"/>
          <w:noProof/>
          <w:spacing w:val="-2"/>
          <w:sz w:val="20"/>
          <w:szCs w:val="20"/>
        </w:rPr>
        <w:t>dissending opinion</w:t>
      </w:r>
      <w:r>
        <w:rPr>
          <w:rFonts w:asciiTheme="majorHAnsi" w:hAnsiTheme="majorHAnsi" w:cs="Arial"/>
          <w:noProof/>
          <w:spacing w:val="-2"/>
          <w:sz w:val="20"/>
          <w:szCs w:val="20"/>
        </w:rPr>
        <w:t>)</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cs="Arial"/>
          <w:noProof/>
          <w:spacing w:val="-2"/>
          <w:sz w:val="20"/>
        </w:rPr>
        <w:t xml:space="preserve"> Commissioners</w:t>
      </w:r>
      <w:r w:rsidRPr="006D25D7">
        <w:rPr>
          <w:spacing w:val="-2"/>
          <w:sz w:val="20"/>
        </w:rPr>
        <w:t>.</w:t>
      </w:r>
    </w:p>
    <w:bookmarkEnd w:id="2"/>
    <w:p w14:paraId="60DF0700" w14:textId="77777777" w:rsidR="00A8020F" w:rsidRPr="00D35559" w:rsidRDefault="00A8020F" w:rsidP="00D35559">
      <w:pPr>
        <w:ind w:left="720" w:right="40"/>
        <w:rPr>
          <w:sz w:val="20"/>
          <w:szCs w:val="20"/>
        </w:rPr>
      </w:pPr>
    </w:p>
    <w:sectPr w:rsidR="00A8020F" w:rsidRPr="00D35559" w:rsidSect="00D35559">
      <w:headerReference w:type="default" r:id="rId12"/>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7974" w14:textId="77777777" w:rsidR="00653B3B" w:rsidRDefault="00653B3B">
      <w:r>
        <w:separator/>
      </w:r>
    </w:p>
  </w:endnote>
  <w:endnote w:type="continuationSeparator" w:id="0">
    <w:p w14:paraId="366F48AB" w14:textId="77777777" w:rsidR="00653B3B" w:rsidRDefault="0065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E212" w14:textId="53F9104C" w:rsidR="00C02C7F" w:rsidRDefault="00035FF1">
    <w:pPr>
      <w:pStyle w:val="BodyText"/>
      <w:spacing w:line="14" w:lineRule="auto"/>
    </w:pPr>
    <w:r>
      <w:rPr>
        <w:noProof/>
        <w:lang w:eastAsia="en-US" w:bidi="ar-SA"/>
      </w:rPr>
      <mc:AlternateContent>
        <mc:Choice Requires="wps">
          <w:drawing>
            <wp:anchor distT="0" distB="0" distL="114300" distR="114300" simplePos="0" relativeHeight="251274240" behindDoc="1" locked="0" layoutInCell="1" allowOverlap="1" wp14:anchorId="22DEC8B2" wp14:editId="2DEC0E9B">
              <wp:simplePos x="0" y="0"/>
              <wp:positionH relativeFrom="page">
                <wp:posOffset>3831590</wp:posOffset>
              </wp:positionH>
              <wp:positionV relativeFrom="page">
                <wp:posOffset>9290050</wp:posOffset>
              </wp:positionV>
              <wp:extent cx="10795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0E4" w14:textId="14B89398" w:rsidR="00C02C7F" w:rsidRDefault="001223F2">
                          <w:pPr>
                            <w:spacing w:before="20"/>
                            <w:ind w:left="40"/>
                            <w:rPr>
                              <w:sz w:val="16"/>
                            </w:rPr>
                          </w:pPr>
                          <w:r>
                            <w:fldChar w:fldCharType="begin"/>
                          </w:r>
                          <w:r>
                            <w:rPr>
                              <w:sz w:val="16"/>
                            </w:rPr>
                            <w:instrText xml:space="preserve"> PAGE </w:instrText>
                          </w:r>
                          <w:r>
                            <w:fldChar w:fldCharType="separate"/>
                          </w:r>
                          <w:r w:rsidR="00FB74AA">
                            <w:rPr>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8B2" id="_x0000_t202" coordsize="21600,21600" o:spt="202" path="m,l,21600r21600,l21600,xe">
              <v:stroke joinstyle="miter"/>
              <v:path gradientshapeok="t" o:connecttype="rect"/>
            </v:shapetype>
            <v:shape id="Text Box 1" o:spid="_x0000_s1027" type="#_x0000_t202" style="position:absolute;margin-left:301.7pt;margin-top:731.5pt;width:8.5pt;height:11.4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" filled="f" stroked="f">
              <v:textbox inset="0,0,0,0">
                <w:txbxContent>
                  <w:p w14:paraId="020200E4" w14:textId="14B89398" w:rsidR="00C02C7F" w:rsidRDefault="001223F2">
                    <w:pPr>
                      <w:spacing w:before="20"/>
                      <w:ind w:left="40"/>
                      <w:rPr>
                        <w:sz w:val="16"/>
                      </w:rPr>
                    </w:pPr>
                    <w:r>
                      <w:fldChar w:fldCharType="begin"/>
                    </w:r>
                    <w:r>
                      <w:rPr>
                        <w:sz w:val="16"/>
                      </w:rPr>
                      <w:instrText xml:space="preserve"> PAGE </w:instrText>
                    </w:r>
                    <w:r>
                      <w:fldChar w:fldCharType="separate"/>
                    </w:r>
                    <w:r w:rsidR="00FB74AA">
                      <w:rPr>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29B9" w14:textId="77777777" w:rsidR="00653B3B" w:rsidRDefault="00653B3B">
      <w:r>
        <w:separator/>
      </w:r>
    </w:p>
  </w:footnote>
  <w:footnote w:type="continuationSeparator" w:id="0">
    <w:p w14:paraId="6981710F" w14:textId="77777777" w:rsidR="00653B3B" w:rsidRDefault="00653B3B">
      <w:r>
        <w:continuationSeparator/>
      </w:r>
    </w:p>
  </w:footnote>
  <w:footnote w:id="1">
    <w:p w14:paraId="0B7F5DA6" w14:textId="07C599AB" w:rsidR="00AE217D" w:rsidRPr="00152C57" w:rsidRDefault="00AE217D" w:rsidP="00D35559">
      <w:pPr>
        <w:pStyle w:val="FootnoteText"/>
        <w:ind w:right="40" w:firstLine="720"/>
        <w:jc w:val="both"/>
        <w:rPr>
          <w:sz w:val="16"/>
          <w:szCs w:val="16"/>
        </w:rPr>
      </w:pPr>
      <w:r>
        <w:rPr>
          <w:rStyle w:val="FootnoteReference"/>
          <w:sz w:val="16"/>
          <w:szCs w:val="16"/>
        </w:rPr>
        <w:footnoteRef/>
      </w:r>
      <w:r>
        <w:rPr>
          <w:sz w:val="16"/>
        </w:rPr>
        <w:t xml:space="preserve"> Article 80, Item 1, of the Argentine Criminal Code punishes anyone who causes the death of his ancestors, descendants, or spouse with life imprisonment.</w:t>
      </w:r>
    </w:p>
  </w:footnote>
  <w:footnote w:id="2">
    <w:p w14:paraId="1DEAF0CA" w14:textId="121F5B86" w:rsidR="00E8510C" w:rsidRPr="00152C57" w:rsidRDefault="00E8510C" w:rsidP="00D35559">
      <w:pPr>
        <w:pStyle w:val="FootnoteText"/>
        <w:ind w:right="40" w:firstLine="720"/>
        <w:jc w:val="both"/>
        <w:rPr>
          <w:sz w:val="16"/>
          <w:szCs w:val="16"/>
        </w:rPr>
      </w:pPr>
      <w:r>
        <w:rPr>
          <w:rStyle w:val="FootnoteReference"/>
          <w:sz w:val="16"/>
          <w:szCs w:val="16"/>
        </w:rPr>
        <w:footnoteRef/>
      </w:r>
      <w:r>
        <w:rPr>
          <w:sz w:val="16"/>
        </w:rPr>
        <w:t xml:space="preserve"> The conditions imposed were as follows: to establish legal domicile in the Province of Buenos Aires and not to be absent without judicial authorization for over twenty-four hours; to be under the attention of a pre-trial services organization (</w:t>
      </w:r>
      <w:proofErr w:type="spellStart"/>
      <w:r>
        <w:rPr>
          <w:sz w:val="16"/>
        </w:rPr>
        <w:t>Patronato</w:t>
      </w:r>
      <w:proofErr w:type="spellEnd"/>
      <w:r>
        <w:rPr>
          <w:sz w:val="16"/>
        </w:rPr>
        <w:t xml:space="preserve"> de </w:t>
      </w:r>
      <w:proofErr w:type="spellStart"/>
      <w:r>
        <w:rPr>
          <w:sz w:val="16"/>
        </w:rPr>
        <w:t>Liberados</w:t>
      </w:r>
      <w:proofErr w:type="spellEnd"/>
      <w:r>
        <w:rPr>
          <w:sz w:val="16"/>
        </w:rPr>
        <w:t>); to find a job and to inform their place of work and schedule within a month; to refrain from alcohol and drug use; to refrain from committing new offenses or visiting places or persons that could have a negative effect on their proper resocialization; and to perform a psychological treatment to mitigate impulsiveness.</w:t>
      </w:r>
    </w:p>
  </w:footnote>
  <w:footnote w:id="3">
    <w:p w14:paraId="5B785416" w14:textId="36F54B72" w:rsidR="00536852" w:rsidRPr="00B309F8" w:rsidRDefault="00536852" w:rsidP="00D35559">
      <w:pPr>
        <w:pStyle w:val="FootnoteText"/>
        <w:ind w:right="40" w:firstLine="720"/>
        <w:jc w:val="both"/>
        <w:rPr>
          <w:sz w:val="16"/>
          <w:szCs w:val="16"/>
        </w:rPr>
      </w:pPr>
      <w:r>
        <w:rPr>
          <w:rStyle w:val="FootnoteReference"/>
          <w:sz w:val="16"/>
          <w:szCs w:val="16"/>
        </w:rPr>
        <w:footnoteRef/>
      </w:r>
      <w:r>
        <w:rPr>
          <w:sz w:val="16"/>
        </w:rPr>
        <w:t xml:space="preserve"> See, </w:t>
      </w:r>
      <w:r>
        <w:rPr>
          <w:i/>
          <w:iCs/>
          <w:sz w:val="16"/>
        </w:rPr>
        <w:t>v. g.</w:t>
      </w:r>
      <w:r>
        <w:rPr>
          <w:sz w:val="16"/>
        </w:rPr>
        <w:t xml:space="preserve">, IACHR, Report No. 69/08, Petition 681-00. </w:t>
      </w:r>
      <w:proofErr w:type="spellStart"/>
      <w:r w:rsidRPr="00612F55">
        <w:rPr>
          <w:sz w:val="16"/>
          <w:lang w:val="es-US"/>
        </w:rPr>
        <w:t>Admissibility</w:t>
      </w:r>
      <w:proofErr w:type="spellEnd"/>
      <w:r w:rsidRPr="00612F55">
        <w:rPr>
          <w:sz w:val="16"/>
          <w:lang w:val="es-US"/>
        </w:rPr>
        <w:t xml:space="preserve">. Guillermo Patricio Lynn. Argentina. </w:t>
      </w:r>
      <w:proofErr w:type="spellStart"/>
      <w:r w:rsidRPr="00612F55">
        <w:rPr>
          <w:sz w:val="16"/>
          <w:lang w:val="es-US"/>
        </w:rPr>
        <w:t>October</w:t>
      </w:r>
      <w:proofErr w:type="spellEnd"/>
      <w:r w:rsidRPr="00612F55">
        <w:rPr>
          <w:sz w:val="16"/>
          <w:lang w:val="es-US"/>
        </w:rPr>
        <w:t xml:space="preserve"> 16, 2008; para. </w:t>
      </w:r>
      <w:r w:rsidRPr="00B309F8">
        <w:rPr>
          <w:sz w:val="16"/>
        </w:rPr>
        <w:t>48.</w:t>
      </w:r>
    </w:p>
  </w:footnote>
  <w:footnote w:id="4">
    <w:p w14:paraId="28166491" w14:textId="5904FCC3" w:rsidR="00904A45" w:rsidRPr="00B309F8" w:rsidRDefault="00904A45" w:rsidP="00D35559">
      <w:pPr>
        <w:pStyle w:val="FootnoteText"/>
        <w:ind w:right="40" w:firstLine="720"/>
        <w:jc w:val="both"/>
        <w:rPr>
          <w:sz w:val="16"/>
          <w:szCs w:val="16"/>
        </w:rPr>
      </w:pPr>
      <w:r w:rsidRPr="00B309F8">
        <w:rPr>
          <w:rStyle w:val="FootnoteReference"/>
          <w:sz w:val="16"/>
          <w:szCs w:val="16"/>
        </w:rPr>
        <w:footnoteRef/>
      </w:r>
      <w:r w:rsidRPr="00B309F8">
        <w:rPr>
          <w:sz w:val="16"/>
        </w:rPr>
        <w:t xml:space="preserve"> See, </w:t>
      </w:r>
      <w:r w:rsidRPr="00B309F8">
        <w:rPr>
          <w:i/>
          <w:iCs/>
          <w:sz w:val="16"/>
        </w:rPr>
        <w:t>v. g.</w:t>
      </w:r>
      <w:r w:rsidRPr="00B309F8">
        <w:rPr>
          <w:sz w:val="16"/>
        </w:rPr>
        <w:t xml:space="preserve">, IACHR, Report No. 64/14, Petition 806-06. Admissibility. Laureano </w:t>
      </w:r>
      <w:proofErr w:type="spellStart"/>
      <w:r w:rsidRPr="00B309F8">
        <w:rPr>
          <w:sz w:val="16"/>
        </w:rPr>
        <w:t>Brizuela</w:t>
      </w:r>
      <w:proofErr w:type="spellEnd"/>
      <w:r w:rsidRPr="00B309F8">
        <w:rPr>
          <w:sz w:val="16"/>
        </w:rPr>
        <w:t xml:space="preserve"> Wilde. Mexico. July 25, 2014; para. 43.</w:t>
      </w:r>
    </w:p>
  </w:footnote>
  <w:footnote w:id="5">
    <w:p w14:paraId="102D0F74" w14:textId="00FD2802" w:rsidR="00A70099" w:rsidRPr="00152C57" w:rsidRDefault="00A70099" w:rsidP="00D35559">
      <w:pPr>
        <w:pStyle w:val="FootnoteText"/>
        <w:ind w:right="40" w:firstLine="720"/>
        <w:jc w:val="both"/>
        <w:rPr>
          <w:sz w:val="16"/>
          <w:szCs w:val="16"/>
        </w:rPr>
      </w:pPr>
      <w:r w:rsidRPr="00B309F8">
        <w:rPr>
          <w:rStyle w:val="FootnoteReference"/>
          <w:sz w:val="16"/>
          <w:szCs w:val="16"/>
        </w:rPr>
        <w:footnoteRef/>
      </w:r>
      <w:r w:rsidRPr="00B309F8">
        <w:rPr>
          <w:sz w:val="16"/>
        </w:rPr>
        <w:t xml:space="preserve"> According to the State itself: In the present case, Mr. FERREYRA PEREYRA was no longer subjected to a</w:t>
      </w:r>
      <w:r w:rsidRPr="00B309F8">
        <w:rPr>
          <w:i/>
          <w:sz w:val="16"/>
        </w:rPr>
        <w:t xml:space="preserve"> “future judgement”, </w:t>
      </w:r>
      <w:r w:rsidRPr="00B309F8">
        <w:rPr>
          <w:sz w:val="16"/>
        </w:rPr>
        <w:t xml:space="preserve">but to a judgment actually issued by the Oral Court that tried him; and even though that decision was not final, he had been found guilty by the judicial bodies of the State, which granted him freedom as set forth in Law 24,390 and under </w:t>
      </w:r>
      <w:r w:rsidR="00E86CEB" w:rsidRPr="00B309F8">
        <w:rPr>
          <w:sz w:val="16"/>
        </w:rPr>
        <w:t>a promissory oath</w:t>
      </w:r>
      <w:r w:rsidRPr="00B309F8">
        <w:rPr>
          <w:sz w:val="16"/>
        </w:rPr>
        <w:t>, in accordance</w:t>
      </w:r>
      <w:r>
        <w:rPr>
          <w:sz w:val="16"/>
        </w:rPr>
        <w:t xml:space="preserve"> with Article 169, Item 10, of the Code of Criminal Procedure of the Province of Buenos Aires, which provides for a person’s release when “</w:t>
      </w:r>
      <w:r>
        <w:rPr>
          <w:i/>
          <w:sz w:val="16"/>
        </w:rPr>
        <w:t>the non-final judgement imposes a penalty that enables the granting of conditional release or parole, and the other conditions necessary to grant it are met”.</w:t>
      </w:r>
      <w:r>
        <w:rPr>
          <w:sz w:val="16"/>
        </w:rPr>
        <w:t xml:space="preserve"> See Brief of the State of December 8, 2017, p. 17.</w:t>
      </w:r>
    </w:p>
  </w:footnote>
  <w:footnote w:id="6">
    <w:p w14:paraId="2BB67E21" w14:textId="77777777" w:rsidR="00A70099" w:rsidRPr="00152C57" w:rsidRDefault="00A70099" w:rsidP="00D35559">
      <w:pPr>
        <w:pStyle w:val="FootnoteText"/>
        <w:ind w:right="40" w:firstLine="720"/>
        <w:jc w:val="both"/>
        <w:rPr>
          <w:i/>
          <w:iCs/>
          <w:sz w:val="16"/>
          <w:szCs w:val="16"/>
        </w:rPr>
      </w:pPr>
      <w:r>
        <w:rPr>
          <w:rStyle w:val="FootnoteReference"/>
          <w:sz w:val="16"/>
          <w:szCs w:val="16"/>
        </w:rPr>
        <w:footnoteRef/>
      </w:r>
      <w:r>
        <w:rPr>
          <w:sz w:val="16"/>
        </w:rPr>
        <w:t xml:space="preserve"> See IACHR. </w:t>
      </w:r>
      <w:hyperlink r:id="rId1" w:history="1">
        <w:r>
          <w:rPr>
            <w:rStyle w:val="Hyperlink"/>
            <w:sz w:val="16"/>
          </w:rPr>
          <w:t>Admissibility Report No. 02/01.</w:t>
        </w:r>
      </w:hyperlink>
      <w:hyperlink r:id="rId2" w:history="1">
        <w:r>
          <w:rPr>
            <w:rStyle w:val="Hyperlink"/>
            <w:sz w:val="16"/>
          </w:rPr>
          <w:t>Case 11,280</w:t>
        </w:r>
      </w:hyperlink>
      <w:r>
        <w:rPr>
          <w:sz w:val="16"/>
        </w:rPr>
        <w:t xml:space="preserve">. Juan Carlos </w:t>
      </w:r>
      <w:proofErr w:type="spellStart"/>
      <w:r>
        <w:rPr>
          <w:sz w:val="16"/>
        </w:rPr>
        <w:t>Bayarri</w:t>
      </w:r>
      <w:proofErr w:type="spellEnd"/>
      <w:r>
        <w:rPr>
          <w:sz w:val="16"/>
        </w:rPr>
        <w:t xml:space="preserve">. Argentina. January 19, 2001, paras. 2, 32 (2). The petitioners allege that the victim was arbitrarily detained without a court order on November 18, </w:t>
      </w:r>
      <w:proofErr w:type="gramStart"/>
      <w:r>
        <w:rPr>
          <w:sz w:val="16"/>
        </w:rPr>
        <w:t>1991,  and</w:t>
      </w:r>
      <w:proofErr w:type="gramEnd"/>
      <w:r>
        <w:rPr>
          <w:sz w:val="16"/>
        </w:rPr>
        <w:t xml:space="preserve"> subjected to torture, under which he confessed to the police that he had participated in the kidnapping of several persons.  […] The petitioners also allege that he was in preventive detention for over 8 years, despite having repeatedly requested his release, which was arbitrarily denied by the courts. […] 32. […] With regard to the criminal cases opened for the crimes of cruel treatment and unlawful deprivation of liberty </w:t>
      </w:r>
      <w:proofErr w:type="gramStart"/>
      <w:r>
        <w:rPr>
          <w:sz w:val="16"/>
        </w:rPr>
        <w:t>in order to</w:t>
      </w:r>
      <w:proofErr w:type="gramEnd"/>
      <w:r>
        <w:rPr>
          <w:sz w:val="16"/>
        </w:rPr>
        <w:t xml:space="preserve"> resolve the alleged violations of Articles 5 and 7 of the Convention, the petitioners said that there was an unwarranted delay and no final decision had been issued so far.  In this regard, the State noted that domestic remedies had not been exhausted because such cases were still pending. The Commission considers that the period of over nine years elapsed between the beginning of the proceedings in 1991 and the present date constitutes </w:t>
      </w:r>
      <w:r>
        <w:rPr>
          <w:i/>
          <w:iCs/>
          <w:sz w:val="16"/>
        </w:rPr>
        <w:t>prima facie</w:t>
      </w:r>
      <w:r>
        <w:rPr>
          <w:sz w:val="16"/>
        </w:rPr>
        <w:t xml:space="preserve"> an unjustified delay in the </w:t>
      </w:r>
      <w:proofErr w:type="gramStart"/>
      <w:r>
        <w:rPr>
          <w:sz w:val="16"/>
        </w:rPr>
        <w:t>aforementioned criminal</w:t>
      </w:r>
      <w:proofErr w:type="gramEnd"/>
      <w:r>
        <w:rPr>
          <w:sz w:val="16"/>
        </w:rPr>
        <w:t xml:space="preserve"> proceedings. Consequently, when considering the exception provided for in Article 46(2)(c) of the Convention, the rule of exhaustion of domestic remedies set forth in Article 46(1)(a) of the Convention does not apply.</w:t>
      </w:r>
    </w:p>
  </w:footnote>
  <w:footnote w:id="7">
    <w:p w14:paraId="144A0D84" w14:textId="18A9627F" w:rsidR="00152C57" w:rsidRPr="00152C57" w:rsidRDefault="00152C57" w:rsidP="00D35559">
      <w:pPr>
        <w:pStyle w:val="FootnoteText"/>
        <w:ind w:firstLine="720"/>
        <w:jc w:val="both"/>
        <w:rPr>
          <w:sz w:val="16"/>
          <w:szCs w:val="16"/>
        </w:rPr>
      </w:pPr>
      <w:r>
        <w:rPr>
          <w:rStyle w:val="FootnoteReference"/>
          <w:sz w:val="16"/>
          <w:szCs w:val="16"/>
        </w:rPr>
        <w:footnoteRef/>
      </w:r>
      <w:r>
        <w:t xml:space="preserve"> </w:t>
      </w:r>
      <w:r>
        <w:rPr>
          <w:sz w:val="16"/>
        </w:rPr>
        <w:t xml:space="preserve">IACHR. Report No. 4/15. Petition 582-01. Admissibility. </w:t>
      </w:r>
      <w:r w:rsidRPr="00A8020F">
        <w:rPr>
          <w:sz w:val="16"/>
          <w:lang w:val="pt-BR"/>
        </w:rPr>
        <w:t xml:space="preserve">Raúl Rolando Romero Feris. Argentina. </w:t>
      </w:r>
      <w:r>
        <w:rPr>
          <w:sz w:val="16"/>
        </w:rPr>
        <w:t>January 29, 2015;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E9F3" w14:textId="77777777" w:rsidR="00986405" w:rsidRDefault="00986405" w:rsidP="00986405">
    <w:pPr>
      <w:pStyle w:val="Header"/>
      <w:jc w:val="center"/>
    </w:pPr>
    <w:r>
      <w:rPr>
        <w:noProof/>
        <w:lang w:eastAsia="en-US" w:bidi="ar-SA"/>
      </w:rPr>
      <w:drawing>
        <wp:inline distT="0" distB="0" distL="0" distR="0" wp14:anchorId="44F1CE55" wp14:editId="6145EE8E">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102012"/>
                  </a:xfrm>
                  <a:prstGeom prst="rect">
                    <a:avLst/>
                  </a:prstGeom>
                  <a:noFill/>
                  <a:ln>
                    <a:noFill/>
                  </a:ln>
                </pic:spPr>
              </pic:pic>
            </a:graphicData>
          </a:graphic>
        </wp:inline>
      </w:drawing>
    </w:r>
  </w:p>
  <w:p w14:paraId="40FCFFE5" w14:textId="77777777" w:rsidR="00986405" w:rsidRPr="00EC7D62" w:rsidRDefault="00653B3B" w:rsidP="00986405">
    <w:pPr>
      <w:pStyle w:val="Header"/>
      <w:jc w:val="center"/>
    </w:pPr>
    <w:r>
      <w:rPr>
        <w:bdr w:val="nil"/>
      </w:rPr>
      <w:pict w14:anchorId="6BF0576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1" w15:restartNumberingAfterBreak="0">
    <w:nsid w:val="57021CDB"/>
    <w:multiLevelType w:val="hybridMultilevel"/>
    <w:tmpl w:val="7BA620FC"/>
    <w:lvl w:ilvl="0" w:tplc="C93C930E">
      <w:start w:val="1"/>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2" w15:restartNumberingAfterBreak="0">
    <w:nsid w:val="64486C16"/>
    <w:multiLevelType w:val="hybridMultilevel"/>
    <w:tmpl w:val="16FE8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7F"/>
    <w:rsid w:val="00001ECC"/>
    <w:rsid w:val="000170F8"/>
    <w:rsid w:val="000268C7"/>
    <w:rsid w:val="00035FF1"/>
    <w:rsid w:val="00060129"/>
    <w:rsid w:val="000A0B39"/>
    <w:rsid w:val="000A1F36"/>
    <w:rsid w:val="000D1E8F"/>
    <w:rsid w:val="0010225A"/>
    <w:rsid w:val="00113C4F"/>
    <w:rsid w:val="001223F2"/>
    <w:rsid w:val="00152C57"/>
    <w:rsid w:val="00155A22"/>
    <w:rsid w:val="001C2B66"/>
    <w:rsid w:val="002126CD"/>
    <w:rsid w:val="00220FFB"/>
    <w:rsid w:val="002216BB"/>
    <w:rsid w:val="002262D2"/>
    <w:rsid w:val="00237F86"/>
    <w:rsid w:val="00257BD6"/>
    <w:rsid w:val="00264063"/>
    <w:rsid w:val="0026469F"/>
    <w:rsid w:val="002850CA"/>
    <w:rsid w:val="002869A4"/>
    <w:rsid w:val="002B0C7A"/>
    <w:rsid w:val="002B36D4"/>
    <w:rsid w:val="002E2FBD"/>
    <w:rsid w:val="00317E54"/>
    <w:rsid w:val="003210D5"/>
    <w:rsid w:val="003411B6"/>
    <w:rsid w:val="003829C5"/>
    <w:rsid w:val="00383A35"/>
    <w:rsid w:val="00384195"/>
    <w:rsid w:val="003A0AEA"/>
    <w:rsid w:val="0040749D"/>
    <w:rsid w:val="00437890"/>
    <w:rsid w:val="00443572"/>
    <w:rsid w:val="00483404"/>
    <w:rsid w:val="00485B7A"/>
    <w:rsid w:val="004C0E46"/>
    <w:rsid w:val="004C4B41"/>
    <w:rsid w:val="004D44BC"/>
    <w:rsid w:val="0051407E"/>
    <w:rsid w:val="00520505"/>
    <w:rsid w:val="0052484F"/>
    <w:rsid w:val="00536852"/>
    <w:rsid w:val="00555821"/>
    <w:rsid w:val="00585047"/>
    <w:rsid w:val="00586D3D"/>
    <w:rsid w:val="006112DC"/>
    <w:rsid w:val="00612F55"/>
    <w:rsid w:val="00652350"/>
    <w:rsid w:val="00653B3B"/>
    <w:rsid w:val="006856C3"/>
    <w:rsid w:val="00685E3C"/>
    <w:rsid w:val="006A3793"/>
    <w:rsid w:val="006A5786"/>
    <w:rsid w:val="006D4378"/>
    <w:rsid w:val="007254E5"/>
    <w:rsid w:val="007367F9"/>
    <w:rsid w:val="0075545F"/>
    <w:rsid w:val="007754A3"/>
    <w:rsid w:val="0077778E"/>
    <w:rsid w:val="0079264E"/>
    <w:rsid w:val="00807BF6"/>
    <w:rsid w:val="008104E1"/>
    <w:rsid w:val="00812B49"/>
    <w:rsid w:val="0081407D"/>
    <w:rsid w:val="00855DA2"/>
    <w:rsid w:val="008818E3"/>
    <w:rsid w:val="0089587A"/>
    <w:rsid w:val="008D2D69"/>
    <w:rsid w:val="00904A45"/>
    <w:rsid w:val="0091162B"/>
    <w:rsid w:val="00916DDB"/>
    <w:rsid w:val="00925902"/>
    <w:rsid w:val="00956619"/>
    <w:rsid w:val="00985D2C"/>
    <w:rsid w:val="00986405"/>
    <w:rsid w:val="00987AEF"/>
    <w:rsid w:val="00992AD0"/>
    <w:rsid w:val="00994DB1"/>
    <w:rsid w:val="009E2F6F"/>
    <w:rsid w:val="00A1206F"/>
    <w:rsid w:val="00A17629"/>
    <w:rsid w:val="00A63CE0"/>
    <w:rsid w:val="00A70099"/>
    <w:rsid w:val="00A8020F"/>
    <w:rsid w:val="00A934CD"/>
    <w:rsid w:val="00AB16FB"/>
    <w:rsid w:val="00AB6EF4"/>
    <w:rsid w:val="00AC496D"/>
    <w:rsid w:val="00AD0BFF"/>
    <w:rsid w:val="00AE217D"/>
    <w:rsid w:val="00AF00BE"/>
    <w:rsid w:val="00B02C63"/>
    <w:rsid w:val="00B22F5E"/>
    <w:rsid w:val="00B249A5"/>
    <w:rsid w:val="00B250EB"/>
    <w:rsid w:val="00B309F8"/>
    <w:rsid w:val="00B3153B"/>
    <w:rsid w:val="00B40AED"/>
    <w:rsid w:val="00B610FB"/>
    <w:rsid w:val="00B653C2"/>
    <w:rsid w:val="00BA6930"/>
    <w:rsid w:val="00BA766B"/>
    <w:rsid w:val="00C02C7F"/>
    <w:rsid w:val="00CB5138"/>
    <w:rsid w:val="00CC2C71"/>
    <w:rsid w:val="00CE7CD2"/>
    <w:rsid w:val="00CF597D"/>
    <w:rsid w:val="00D1487D"/>
    <w:rsid w:val="00D15A28"/>
    <w:rsid w:val="00D35559"/>
    <w:rsid w:val="00D40C14"/>
    <w:rsid w:val="00D805E4"/>
    <w:rsid w:val="00DA5C1E"/>
    <w:rsid w:val="00DB2A30"/>
    <w:rsid w:val="00E16450"/>
    <w:rsid w:val="00E31B73"/>
    <w:rsid w:val="00E80E1F"/>
    <w:rsid w:val="00E8510C"/>
    <w:rsid w:val="00E86A6E"/>
    <w:rsid w:val="00E86CEB"/>
    <w:rsid w:val="00E86ED7"/>
    <w:rsid w:val="00E92FE5"/>
    <w:rsid w:val="00EB3116"/>
    <w:rsid w:val="00EE2807"/>
    <w:rsid w:val="00EE7095"/>
    <w:rsid w:val="00EE7BDA"/>
    <w:rsid w:val="00EF50A8"/>
    <w:rsid w:val="00F65C07"/>
    <w:rsid w:val="00F75FF5"/>
    <w:rsid w:val="00F94692"/>
    <w:rsid w:val="00FB2AEC"/>
    <w:rsid w:val="00FB5FD8"/>
    <w:rsid w:val="00FB6063"/>
    <w:rsid w:val="00FB74AA"/>
    <w:rsid w:val="00FD220E"/>
    <w:rsid w:val="00FE1DDB"/>
    <w:rsid w:val="00FE64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eastAsia="es-ES" w:bidi="es-ES"/>
    </w:rPr>
  </w:style>
  <w:style w:type="paragraph" w:styleId="Heading1">
    <w:name w:val="heading 1"/>
    <w:basedOn w:val="Normal"/>
    <w:uiPriority w:val="9"/>
    <w:qFormat/>
    <w:pPr>
      <w:ind w:left="3040"/>
      <w:outlineLvl w:val="0"/>
    </w:pPr>
    <w:rPr>
      <w:sz w:val="24"/>
      <w:szCs w:val="24"/>
    </w:rPr>
  </w:style>
  <w:style w:type="paragraph" w:styleId="Heading2">
    <w:name w:val="heading 2"/>
    <w:basedOn w:val="Normal"/>
    <w:uiPriority w:val="9"/>
    <w:unhideWhenUsed/>
    <w:qFormat/>
    <w:pPr>
      <w:spacing w:before="122"/>
      <w:ind w:left="2199"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758" w:hanging="721"/>
      <w:jc w:val="both"/>
    </w:pPr>
  </w:style>
  <w:style w:type="paragraph" w:customStyle="1" w:styleId="TableParagraph">
    <w:name w:val="Table Paragraph"/>
    <w:basedOn w:val="Normal"/>
    <w:uiPriority w:val="1"/>
    <w:qFormat/>
    <w:pPr>
      <w:spacing w:line="203" w:lineRule="exact"/>
      <w:ind w:left="105"/>
    </w:pPr>
  </w:style>
  <w:style w:type="paragraph" w:styleId="Header">
    <w:name w:val="header"/>
    <w:aliases w:val="encabezado"/>
    <w:basedOn w:val="Normal"/>
    <w:link w:val="HeaderChar"/>
    <w:unhideWhenUsed/>
    <w:rsid w:val="00035FF1"/>
    <w:pPr>
      <w:tabs>
        <w:tab w:val="center" w:pos="4252"/>
        <w:tab w:val="right" w:pos="8504"/>
      </w:tabs>
    </w:pPr>
  </w:style>
  <w:style w:type="character" w:customStyle="1" w:styleId="HeaderChar">
    <w:name w:val="Header Char"/>
    <w:aliases w:val="encabezado Char"/>
    <w:basedOn w:val="DefaultParagraphFont"/>
    <w:link w:val="Header"/>
    <w:rsid w:val="00035FF1"/>
    <w:rPr>
      <w:rFonts w:ascii="Cambria" w:eastAsia="Cambria" w:hAnsi="Cambria" w:cs="Cambria"/>
      <w:lang w:val="en-US" w:eastAsia="es-ES" w:bidi="es-ES"/>
    </w:rPr>
  </w:style>
  <w:style w:type="paragraph" w:styleId="Footer">
    <w:name w:val="footer"/>
    <w:basedOn w:val="Normal"/>
    <w:link w:val="FooterChar"/>
    <w:uiPriority w:val="99"/>
    <w:unhideWhenUsed/>
    <w:rsid w:val="00035FF1"/>
    <w:pPr>
      <w:tabs>
        <w:tab w:val="center" w:pos="4252"/>
        <w:tab w:val="right" w:pos="8504"/>
      </w:tabs>
    </w:pPr>
  </w:style>
  <w:style w:type="character" w:customStyle="1" w:styleId="FooterChar">
    <w:name w:val="Footer Char"/>
    <w:basedOn w:val="DefaultParagraphFont"/>
    <w:link w:val="Footer"/>
    <w:uiPriority w:val="99"/>
    <w:rsid w:val="00035FF1"/>
    <w:rPr>
      <w:rFonts w:ascii="Cambria" w:eastAsia="Cambria" w:hAnsi="Cambria" w:cs="Cambria"/>
      <w:lang w:val="en-US" w:eastAsia="es-ES" w:bidi="es-ES"/>
    </w:rPr>
  </w:style>
  <w:style w:type="paragraph" w:styleId="FootnoteText">
    <w:name w:val="footnote text"/>
    <w:basedOn w:val="Normal"/>
    <w:link w:val="FootnoteTextChar"/>
    <w:uiPriority w:val="99"/>
    <w:semiHidden/>
    <w:unhideWhenUsed/>
    <w:rsid w:val="00536852"/>
    <w:rPr>
      <w:sz w:val="20"/>
      <w:szCs w:val="20"/>
    </w:rPr>
  </w:style>
  <w:style w:type="character" w:customStyle="1" w:styleId="FootnoteTextChar">
    <w:name w:val="Footnote Text Char"/>
    <w:basedOn w:val="DefaultParagraphFont"/>
    <w:link w:val="FootnoteText"/>
    <w:uiPriority w:val="99"/>
    <w:semiHidden/>
    <w:rsid w:val="00536852"/>
    <w:rPr>
      <w:rFonts w:ascii="Cambria" w:eastAsia="Cambria" w:hAnsi="Cambria" w:cs="Cambria"/>
      <w:sz w:val="20"/>
      <w:szCs w:val="20"/>
      <w:lang w:val="en-US" w:eastAsia="es-ES" w:bidi="es-ES"/>
    </w:rPr>
  </w:style>
  <w:style w:type="character" w:styleId="FootnoteReference">
    <w:name w:val="footnote reference"/>
    <w:basedOn w:val="DefaultParagraphFont"/>
    <w:uiPriority w:val="99"/>
    <w:semiHidden/>
    <w:unhideWhenUsed/>
    <w:rsid w:val="00536852"/>
    <w:rPr>
      <w:vertAlign w:val="superscript"/>
    </w:rPr>
  </w:style>
  <w:style w:type="character" w:styleId="CommentReference">
    <w:name w:val="annotation reference"/>
    <w:basedOn w:val="DefaultParagraphFont"/>
    <w:uiPriority w:val="99"/>
    <w:semiHidden/>
    <w:unhideWhenUsed/>
    <w:rsid w:val="007367F9"/>
    <w:rPr>
      <w:sz w:val="16"/>
      <w:szCs w:val="16"/>
    </w:rPr>
  </w:style>
  <w:style w:type="paragraph" w:styleId="CommentText">
    <w:name w:val="annotation text"/>
    <w:basedOn w:val="Normal"/>
    <w:link w:val="CommentTextChar"/>
    <w:uiPriority w:val="99"/>
    <w:semiHidden/>
    <w:unhideWhenUsed/>
    <w:rsid w:val="007367F9"/>
    <w:rPr>
      <w:sz w:val="20"/>
      <w:szCs w:val="20"/>
    </w:rPr>
  </w:style>
  <w:style w:type="character" w:customStyle="1" w:styleId="CommentTextChar">
    <w:name w:val="Comment Text Char"/>
    <w:basedOn w:val="DefaultParagraphFont"/>
    <w:link w:val="CommentText"/>
    <w:uiPriority w:val="99"/>
    <w:semiHidden/>
    <w:rsid w:val="007367F9"/>
    <w:rPr>
      <w:rFonts w:ascii="Cambria" w:eastAsia="Cambria" w:hAnsi="Cambria" w:cs="Cambria"/>
      <w:sz w:val="20"/>
      <w:szCs w:val="20"/>
      <w:lang w:val="en-US" w:eastAsia="es-ES" w:bidi="es-ES"/>
    </w:rPr>
  </w:style>
  <w:style w:type="paragraph" w:styleId="CommentSubject">
    <w:name w:val="annotation subject"/>
    <w:basedOn w:val="CommentText"/>
    <w:next w:val="CommentText"/>
    <w:link w:val="CommentSubjectChar"/>
    <w:uiPriority w:val="99"/>
    <w:semiHidden/>
    <w:unhideWhenUsed/>
    <w:rsid w:val="007367F9"/>
    <w:rPr>
      <w:b/>
      <w:bCs/>
    </w:rPr>
  </w:style>
  <w:style w:type="character" w:customStyle="1" w:styleId="CommentSubjectChar">
    <w:name w:val="Comment Subject Char"/>
    <w:basedOn w:val="CommentTextChar"/>
    <w:link w:val="CommentSubject"/>
    <w:uiPriority w:val="99"/>
    <w:semiHidden/>
    <w:rsid w:val="007367F9"/>
    <w:rPr>
      <w:rFonts w:ascii="Cambria" w:eastAsia="Cambria" w:hAnsi="Cambria" w:cs="Cambria"/>
      <w:b/>
      <w:bCs/>
      <w:sz w:val="20"/>
      <w:szCs w:val="20"/>
      <w:lang w:val="en-US" w:eastAsia="es-ES" w:bidi="es-ES"/>
    </w:rPr>
  </w:style>
  <w:style w:type="character" w:styleId="Hyperlink">
    <w:name w:val="Hyperlink"/>
    <w:basedOn w:val="DefaultParagraphFont"/>
    <w:uiPriority w:val="99"/>
    <w:unhideWhenUsed/>
    <w:rsid w:val="00437890"/>
    <w:rPr>
      <w:color w:val="0000FF" w:themeColor="hyperlink"/>
      <w:u w:val="single"/>
    </w:rPr>
  </w:style>
  <w:style w:type="character" w:customStyle="1" w:styleId="Mencinsinresolver1">
    <w:name w:val="Mención sin resolver1"/>
    <w:basedOn w:val="DefaultParagraphFont"/>
    <w:uiPriority w:val="99"/>
    <w:semiHidden/>
    <w:unhideWhenUsed/>
    <w:rsid w:val="00437890"/>
    <w:rPr>
      <w:color w:val="605E5C"/>
      <w:shd w:val="clear" w:color="auto" w:fill="E1DFDD"/>
    </w:rPr>
  </w:style>
  <w:style w:type="character" w:styleId="FollowedHyperlink">
    <w:name w:val="FollowedHyperlink"/>
    <w:basedOn w:val="DefaultParagraphFont"/>
    <w:uiPriority w:val="99"/>
    <w:semiHidden/>
    <w:unhideWhenUsed/>
    <w:rsid w:val="00437890"/>
    <w:rPr>
      <w:color w:val="800080" w:themeColor="followedHyperlink"/>
      <w:u w:val="single"/>
    </w:rPr>
  </w:style>
  <w:style w:type="paragraph" w:styleId="BalloonText">
    <w:name w:val="Balloon Text"/>
    <w:basedOn w:val="Normal"/>
    <w:link w:val="BalloonTextChar"/>
    <w:uiPriority w:val="99"/>
    <w:semiHidden/>
    <w:unhideWhenUsed/>
    <w:rsid w:val="00A63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E0"/>
    <w:rPr>
      <w:rFonts w:ascii="Segoe UI" w:eastAsia="Cambria"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cidh.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idh.org/annualrep/2008eng/Chap3.n.eng.htm" TargetMode="External"/><Relationship Id="rId1" Type="http://schemas.openxmlformats.org/officeDocument/2006/relationships/hyperlink" Target="http://www.cidh.org/annualrep/2008eng/Chap3.n.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4D8B-F9CB-49C8-843B-BCB4E81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2974</Words>
  <Characters>15439</Characters>
  <Application>Microsoft Office Word</Application>
  <DocSecurity>0</DocSecurity>
  <Lines>233</Lines>
  <Paragraphs>56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189/21</dc:title>
  <dc:creator/>
  <cp:lastModifiedBy/>
  <cp:revision>1</cp:revision>
  <dcterms:created xsi:type="dcterms:W3CDTF">2021-09-23T12:24:00Z</dcterms:created>
  <dcterms:modified xsi:type="dcterms:W3CDTF">2021-09-23T12:25:00Z</dcterms:modified>
</cp:coreProperties>
</file>