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F557B" w:rsidRDefault="006311DA" w:rsidP="00627C9F">
      <w:pPr>
        <w:jc w:val="both"/>
        <w:rPr>
          <w:rFonts w:asciiTheme="majorHAnsi" w:hAnsiTheme="majorHAnsi" w:cs="Univers"/>
          <w:b/>
          <w:bCs/>
          <w:sz w:val="22"/>
          <w:szCs w:val="22"/>
        </w:rPr>
      </w:pPr>
      <w:r w:rsidRPr="00CF557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F557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CF557B" w:rsidRDefault="00040C3A" w:rsidP="00040C3A">
      <w:pPr>
        <w:tabs>
          <w:tab w:val="center" w:pos="5400"/>
        </w:tabs>
        <w:suppressAutoHyphens/>
        <w:jc w:val="both"/>
        <w:rPr>
          <w:rFonts w:asciiTheme="majorHAnsi" w:hAnsiTheme="majorHAnsi"/>
          <w:sz w:val="22"/>
          <w:szCs w:val="22"/>
        </w:rPr>
      </w:pPr>
    </w:p>
    <w:p w:rsidR="00040C3A" w:rsidRPr="00CF557B" w:rsidRDefault="00040C3A" w:rsidP="00040C3A">
      <w:pPr>
        <w:tabs>
          <w:tab w:val="center" w:pos="5400"/>
        </w:tabs>
        <w:suppressAutoHyphens/>
        <w:jc w:val="both"/>
        <w:rPr>
          <w:rFonts w:asciiTheme="majorHAnsi" w:hAnsiTheme="majorHAnsi"/>
          <w:sz w:val="22"/>
          <w:szCs w:val="22"/>
        </w:rPr>
      </w:pPr>
    </w:p>
    <w:p w:rsidR="005128E4" w:rsidRPr="00CF557B" w:rsidRDefault="005128E4" w:rsidP="00040C3A">
      <w:pPr>
        <w:tabs>
          <w:tab w:val="center" w:pos="5400"/>
        </w:tabs>
        <w:suppressAutoHyphens/>
        <w:rPr>
          <w:rFonts w:asciiTheme="majorHAnsi" w:hAnsiTheme="majorHAnsi"/>
          <w:sz w:val="22"/>
          <w:szCs w:val="22"/>
        </w:rPr>
      </w:pPr>
    </w:p>
    <w:p w:rsidR="005128E4" w:rsidRPr="00CF557B" w:rsidRDefault="005128E4" w:rsidP="00040C3A">
      <w:pPr>
        <w:tabs>
          <w:tab w:val="center" w:pos="5400"/>
        </w:tabs>
        <w:suppressAutoHyphens/>
        <w:rPr>
          <w:rFonts w:asciiTheme="majorHAnsi" w:hAnsiTheme="majorHAnsi"/>
          <w:sz w:val="22"/>
          <w:szCs w:val="22"/>
        </w:rPr>
      </w:pPr>
    </w:p>
    <w:p w:rsidR="005128E4" w:rsidRPr="00CF557B" w:rsidRDefault="005128E4" w:rsidP="00040C3A">
      <w:pPr>
        <w:tabs>
          <w:tab w:val="center" w:pos="5400"/>
        </w:tabs>
        <w:suppressAutoHyphens/>
        <w:rPr>
          <w:rFonts w:asciiTheme="majorHAnsi" w:hAnsiTheme="majorHAnsi"/>
          <w:sz w:val="22"/>
          <w:szCs w:val="22"/>
        </w:rPr>
      </w:pPr>
    </w:p>
    <w:p w:rsidR="00040C3A" w:rsidRPr="00CF557B" w:rsidRDefault="00040C3A" w:rsidP="005128E4">
      <w:pPr>
        <w:tabs>
          <w:tab w:val="center" w:pos="5400"/>
        </w:tabs>
        <w:suppressAutoHyphens/>
        <w:jc w:val="center"/>
        <w:rPr>
          <w:rFonts w:asciiTheme="majorHAnsi" w:hAnsiTheme="majorHAnsi"/>
          <w:sz w:val="22"/>
          <w:szCs w:val="22"/>
        </w:rPr>
      </w:pPr>
    </w:p>
    <w:p w:rsidR="00040C3A" w:rsidRPr="00CF557B" w:rsidRDefault="00040C3A" w:rsidP="005128E4">
      <w:pPr>
        <w:tabs>
          <w:tab w:val="center" w:pos="5400"/>
        </w:tabs>
        <w:suppressAutoHyphens/>
        <w:jc w:val="center"/>
        <w:rPr>
          <w:rFonts w:asciiTheme="majorHAnsi" w:hAnsiTheme="majorHAnsi"/>
          <w:sz w:val="22"/>
          <w:szCs w:val="22"/>
        </w:rPr>
      </w:pPr>
    </w:p>
    <w:p w:rsidR="005B52B0" w:rsidRPr="00CF557B" w:rsidRDefault="005B52B0" w:rsidP="005128E4">
      <w:pPr>
        <w:tabs>
          <w:tab w:val="center" w:pos="5400"/>
        </w:tabs>
        <w:suppressAutoHyphens/>
        <w:jc w:val="center"/>
        <w:rPr>
          <w:rFonts w:asciiTheme="majorHAnsi" w:hAnsiTheme="majorHAnsi"/>
          <w:sz w:val="22"/>
          <w:szCs w:val="22"/>
        </w:rPr>
      </w:pPr>
      <w:bookmarkStart w:id="0" w:name="_GoBack"/>
      <w:bookmarkEnd w:id="0"/>
    </w:p>
    <w:p w:rsidR="005B52B0" w:rsidRPr="00CF557B" w:rsidRDefault="005B52B0" w:rsidP="005128E4">
      <w:pPr>
        <w:tabs>
          <w:tab w:val="center" w:pos="5400"/>
        </w:tabs>
        <w:suppressAutoHyphens/>
        <w:jc w:val="center"/>
        <w:rPr>
          <w:rFonts w:asciiTheme="majorHAnsi" w:hAnsiTheme="majorHAnsi"/>
          <w:sz w:val="22"/>
          <w:szCs w:val="22"/>
        </w:rPr>
      </w:pPr>
    </w:p>
    <w:p w:rsidR="005B52B0" w:rsidRPr="00CF557B" w:rsidRDefault="005B52B0" w:rsidP="005128E4">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E533FF" w:rsidP="00040C3A">
      <w:pPr>
        <w:tabs>
          <w:tab w:val="center" w:pos="5400"/>
        </w:tabs>
        <w:suppressAutoHyphens/>
        <w:jc w:val="center"/>
        <w:rPr>
          <w:rFonts w:asciiTheme="majorHAnsi" w:hAnsiTheme="majorHAnsi"/>
          <w:sz w:val="22"/>
          <w:szCs w:val="22"/>
        </w:rPr>
      </w:pPr>
      <w:r w:rsidRPr="00CF557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37D" w:rsidRPr="007F3424" w:rsidRDefault="0061137D" w:rsidP="0061137D">
                            <w:pPr>
                              <w:spacing w:line="276" w:lineRule="auto"/>
                              <w:rPr>
                                <w:rFonts w:asciiTheme="majorHAnsi" w:hAnsiTheme="majorHAnsi" w:cs="Arial"/>
                                <w:b/>
                                <w:bCs/>
                                <w:color w:val="0D0D0D" w:themeColor="text1" w:themeTint="F2"/>
                                <w:sz w:val="36"/>
                                <w:szCs w:val="22"/>
                              </w:rPr>
                            </w:pPr>
                            <w:r w:rsidRPr="007F3424">
                              <w:rPr>
                                <w:rFonts w:asciiTheme="majorHAnsi" w:hAnsiTheme="majorHAnsi" w:cs="Arial"/>
                                <w:b/>
                                <w:bCs/>
                                <w:color w:val="0D0D0D" w:themeColor="text1" w:themeTint="F2"/>
                                <w:sz w:val="36"/>
                                <w:szCs w:val="22"/>
                              </w:rPr>
                              <w:t xml:space="preserve">REPORT </w:t>
                            </w:r>
                            <w:r w:rsidRPr="007F3424">
                              <w:rPr>
                                <w:rFonts w:asciiTheme="majorHAnsi" w:hAnsiTheme="majorHAnsi" w:cs="Arial"/>
                                <w:b/>
                                <w:bCs/>
                                <w:color w:val="0D0D0D" w:themeColor="text1" w:themeTint="F2"/>
                                <w:sz w:val="36"/>
                                <w:szCs w:val="40"/>
                              </w:rPr>
                              <w:t>No.</w:t>
                            </w:r>
                            <w:r w:rsidR="009B66AC">
                              <w:rPr>
                                <w:rFonts w:asciiTheme="majorHAnsi" w:hAnsiTheme="majorHAnsi" w:cs="Arial"/>
                                <w:b/>
                                <w:bCs/>
                                <w:color w:val="0D0D0D" w:themeColor="text1" w:themeTint="F2"/>
                                <w:sz w:val="36"/>
                                <w:szCs w:val="22"/>
                              </w:rPr>
                              <w:t xml:space="preserve"> 39</w:t>
                            </w:r>
                            <w:r>
                              <w:rPr>
                                <w:rFonts w:asciiTheme="majorHAnsi" w:hAnsiTheme="majorHAnsi" w:cs="Arial"/>
                                <w:b/>
                                <w:bCs/>
                                <w:color w:val="0D0D0D" w:themeColor="text1" w:themeTint="F2"/>
                                <w:sz w:val="36"/>
                                <w:szCs w:val="22"/>
                              </w:rPr>
                              <w:t>/21</w:t>
                            </w:r>
                          </w:p>
                          <w:p w:rsidR="0061137D" w:rsidRPr="007F3424" w:rsidRDefault="0061137D" w:rsidP="0061137D">
                            <w:pPr>
                              <w:spacing w:line="276" w:lineRule="auto"/>
                              <w:rPr>
                                <w:rFonts w:asciiTheme="majorHAnsi" w:hAnsiTheme="majorHAnsi" w:cs="Arial"/>
                                <w:b/>
                                <w:color w:val="0D0D0D" w:themeColor="text1" w:themeTint="F2"/>
                                <w:sz w:val="36"/>
                                <w:szCs w:val="22"/>
                              </w:rPr>
                            </w:pPr>
                            <w:r w:rsidRPr="007F3424">
                              <w:rPr>
                                <w:rFonts w:asciiTheme="majorHAnsi" w:hAnsiTheme="majorHAnsi" w:cs="Arial"/>
                                <w:b/>
                                <w:color w:val="0D0D0D" w:themeColor="text1" w:themeTint="F2"/>
                                <w:sz w:val="36"/>
                                <w:szCs w:val="22"/>
                              </w:rPr>
                              <w:t xml:space="preserve">PETITION </w:t>
                            </w:r>
                            <w:r w:rsidRPr="007F3424">
                              <w:rPr>
                                <w:rFonts w:asciiTheme="majorHAnsi" w:eastAsia="Cambria" w:hAnsiTheme="majorHAnsi" w:cs="Cambria"/>
                                <w:b/>
                                <w:sz w:val="36"/>
                                <w:szCs w:val="36"/>
                              </w:rPr>
                              <w:t>245-03</w:t>
                            </w:r>
                          </w:p>
                          <w:p w:rsidR="0061137D" w:rsidRPr="007F3424" w:rsidRDefault="0061137D" w:rsidP="0061137D">
                            <w:pPr>
                              <w:spacing w:line="276" w:lineRule="auto"/>
                              <w:rPr>
                                <w:rFonts w:asciiTheme="majorHAnsi" w:hAnsiTheme="majorHAnsi" w:cs="Arial"/>
                                <w:color w:val="0D0D0D" w:themeColor="text1" w:themeTint="F2"/>
                                <w:szCs w:val="22"/>
                              </w:rPr>
                            </w:pPr>
                            <w:r w:rsidRPr="007F3424">
                              <w:rPr>
                                <w:rFonts w:asciiTheme="majorHAnsi" w:hAnsiTheme="majorHAnsi" w:cs="Arial"/>
                                <w:color w:val="0D0D0D" w:themeColor="text1" w:themeTint="F2"/>
                                <w:szCs w:val="22"/>
                              </w:rPr>
                              <w:t>FRIENDLY SETTLEMENT</w:t>
                            </w:r>
                            <w:r w:rsidR="00B942F2">
                              <w:rPr>
                                <w:rFonts w:asciiTheme="majorHAnsi" w:hAnsiTheme="majorHAnsi" w:cs="Arial"/>
                                <w:color w:val="0D0D0D" w:themeColor="text1" w:themeTint="F2"/>
                                <w:szCs w:val="22"/>
                              </w:rPr>
                              <w:t xml:space="preserve"> REPORT</w:t>
                            </w:r>
                          </w:p>
                          <w:p w:rsidR="0061137D" w:rsidRPr="007F3424" w:rsidRDefault="0061137D" w:rsidP="0061137D">
                            <w:pPr>
                              <w:spacing w:line="276" w:lineRule="auto"/>
                              <w:rPr>
                                <w:rFonts w:asciiTheme="majorHAnsi" w:hAnsiTheme="majorHAnsi" w:cs="Arial"/>
                                <w:color w:val="0D0D0D" w:themeColor="text1" w:themeTint="F2"/>
                                <w:szCs w:val="22"/>
                              </w:rPr>
                            </w:pPr>
                            <w:bookmarkStart w:id="1" w:name="_ftnref1"/>
                          </w:p>
                          <w:bookmarkEnd w:id="1"/>
                          <w:p w:rsidR="0061137D" w:rsidRPr="007F3424" w:rsidRDefault="0061137D" w:rsidP="0061137D">
                            <w:pPr>
                              <w:spacing w:line="276" w:lineRule="auto"/>
                              <w:rPr>
                                <w:rFonts w:ascii="Cambria" w:hAnsi="Cambria" w:cstheme="minorHAnsi"/>
                                <w:lang w:eastAsia="es-ES"/>
                              </w:rPr>
                            </w:pPr>
                            <w:r w:rsidRPr="007F3424">
                              <w:rPr>
                                <w:rFonts w:ascii="Cambria" w:hAnsi="Cambria" w:cstheme="minorHAnsi"/>
                                <w:lang w:eastAsia="es-ES"/>
                              </w:rPr>
                              <w:t xml:space="preserve">WALTER MAURO YÁÑEZ </w:t>
                            </w:r>
                          </w:p>
                          <w:p w:rsidR="0061137D" w:rsidRPr="007F3424" w:rsidRDefault="0061137D" w:rsidP="0061137D">
                            <w:pPr>
                              <w:spacing w:line="276" w:lineRule="auto"/>
                              <w:rPr>
                                <w:rFonts w:ascii="Cambria" w:hAnsi="Cambria" w:cstheme="minorHAnsi"/>
                                <w:lang w:eastAsia="es-ES"/>
                              </w:rPr>
                            </w:pPr>
                            <w:r w:rsidRPr="007F3424">
                              <w:rPr>
                                <w:rFonts w:ascii="Cambria" w:hAnsi="Cambria" w:cstheme="minorHAnsi"/>
                                <w:lang w:eastAsia="es-ES"/>
                              </w:rPr>
                              <w:t xml:space="preserve">ARGENTINA </w:t>
                            </w:r>
                          </w:p>
                          <w:p w:rsidR="005B52B0" w:rsidRPr="0061137D"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1137D" w:rsidRPr="007F3424" w:rsidRDefault="0061137D" w:rsidP="0061137D">
                      <w:pPr>
                        <w:spacing w:line="276" w:lineRule="auto"/>
                        <w:rPr>
                          <w:rFonts w:asciiTheme="majorHAnsi" w:hAnsiTheme="majorHAnsi" w:cs="Arial"/>
                          <w:b/>
                          <w:bCs/>
                          <w:color w:val="0D0D0D" w:themeColor="text1" w:themeTint="F2"/>
                          <w:sz w:val="36"/>
                          <w:szCs w:val="22"/>
                        </w:rPr>
                      </w:pPr>
                      <w:r w:rsidRPr="007F3424">
                        <w:rPr>
                          <w:rFonts w:asciiTheme="majorHAnsi" w:hAnsiTheme="majorHAnsi" w:cs="Arial"/>
                          <w:b/>
                          <w:bCs/>
                          <w:color w:val="0D0D0D" w:themeColor="text1" w:themeTint="F2"/>
                          <w:sz w:val="36"/>
                          <w:szCs w:val="22"/>
                        </w:rPr>
                        <w:t xml:space="preserve">REPORT </w:t>
                      </w:r>
                      <w:r w:rsidRPr="007F3424">
                        <w:rPr>
                          <w:rFonts w:asciiTheme="majorHAnsi" w:hAnsiTheme="majorHAnsi" w:cs="Arial"/>
                          <w:b/>
                          <w:bCs/>
                          <w:color w:val="0D0D0D" w:themeColor="text1" w:themeTint="F2"/>
                          <w:sz w:val="36"/>
                          <w:szCs w:val="40"/>
                        </w:rPr>
                        <w:t>No.</w:t>
                      </w:r>
                      <w:r w:rsidR="009B66AC">
                        <w:rPr>
                          <w:rFonts w:asciiTheme="majorHAnsi" w:hAnsiTheme="majorHAnsi" w:cs="Arial"/>
                          <w:b/>
                          <w:bCs/>
                          <w:color w:val="0D0D0D" w:themeColor="text1" w:themeTint="F2"/>
                          <w:sz w:val="36"/>
                          <w:szCs w:val="22"/>
                        </w:rPr>
                        <w:t xml:space="preserve"> 39</w:t>
                      </w:r>
                      <w:r>
                        <w:rPr>
                          <w:rFonts w:asciiTheme="majorHAnsi" w:hAnsiTheme="majorHAnsi" w:cs="Arial"/>
                          <w:b/>
                          <w:bCs/>
                          <w:color w:val="0D0D0D" w:themeColor="text1" w:themeTint="F2"/>
                          <w:sz w:val="36"/>
                          <w:szCs w:val="22"/>
                        </w:rPr>
                        <w:t>/21</w:t>
                      </w:r>
                    </w:p>
                    <w:p w:rsidR="0061137D" w:rsidRPr="007F3424" w:rsidRDefault="0061137D" w:rsidP="0061137D">
                      <w:pPr>
                        <w:spacing w:line="276" w:lineRule="auto"/>
                        <w:rPr>
                          <w:rFonts w:asciiTheme="majorHAnsi" w:hAnsiTheme="majorHAnsi" w:cs="Arial"/>
                          <w:b/>
                          <w:color w:val="0D0D0D" w:themeColor="text1" w:themeTint="F2"/>
                          <w:sz w:val="36"/>
                          <w:szCs w:val="22"/>
                        </w:rPr>
                      </w:pPr>
                      <w:r w:rsidRPr="007F3424">
                        <w:rPr>
                          <w:rFonts w:asciiTheme="majorHAnsi" w:hAnsiTheme="majorHAnsi" w:cs="Arial"/>
                          <w:b/>
                          <w:color w:val="0D0D0D" w:themeColor="text1" w:themeTint="F2"/>
                          <w:sz w:val="36"/>
                          <w:szCs w:val="22"/>
                        </w:rPr>
                        <w:t xml:space="preserve">PETITION </w:t>
                      </w:r>
                      <w:r w:rsidRPr="007F3424">
                        <w:rPr>
                          <w:rFonts w:asciiTheme="majorHAnsi" w:eastAsia="Cambria" w:hAnsiTheme="majorHAnsi" w:cs="Cambria"/>
                          <w:b/>
                          <w:sz w:val="36"/>
                          <w:szCs w:val="36"/>
                        </w:rPr>
                        <w:t>245-03</w:t>
                      </w:r>
                    </w:p>
                    <w:p w:rsidR="0061137D" w:rsidRPr="007F3424" w:rsidRDefault="0061137D" w:rsidP="0061137D">
                      <w:pPr>
                        <w:spacing w:line="276" w:lineRule="auto"/>
                        <w:rPr>
                          <w:rFonts w:asciiTheme="majorHAnsi" w:hAnsiTheme="majorHAnsi" w:cs="Arial"/>
                          <w:color w:val="0D0D0D" w:themeColor="text1" w:themeTint="F2"/>
                          <w:szCs w:val="22"/>
                        </w:rPr>
                      </w:pPr>
                      <w:r w:rsidRPr="007F3424">
                        <w:rPr>
                          <w:rFonts w:asciiTheme="majorHAnsi" w:hAnsiTheme="majorHAnsi" w:cs="Arial"/>
                          <w:color w:val="0D0D0D" w:themeColor="text1" w:themeTint="F2"/>
                          <w:szCs w:val="22"/>
                        </w:rPr>
                        <w:t>FRIENDLY SETTLEMENT</w:t>
                      </w:r>
                      <w:r w:rsidR="00B942F2">
                        <w:rPr>
                          <w:rFonts w:asciiTheme="majorHAnsi" w:hAnsiTheme="majorHAnsi" w:cs="Arial"/>
                          <w:color w:val="0D0D0D" w:themeColor="text1" w:themeTint="F2"/>
                          <w:szCs w:val="22"/>
                        </w:rPr>
                        <w:t xml:space="preserve"> REPORT</w:t>
                      </w:r>
                    </w:p>
                    <w:p w:rsidR="0061137D" w:rsidRPr="007F3424" w:rsidRDefault="0061137D" w:rsidP="0061137D">
                      <w:pPr>
                        <w:spacing w:line="276" w:lineRule="auto"/>
                        <w:rPr>
                          <w:rFonts w:asciiTheme="majorHAnsi" w:hAnsiTheme="majorHAnsi" w:cs="Arial"/>
                          <w:color w:val="0D0D0D" w:themeColor="text1" w:themeTint="F2"/>
                          <w:szCs w:val="22"/>
                        </w:rPr>
                      </w:pPr>
                      <w:bookmarkStart w:id="1" w:name="_ftnref1"/>
                    </w:p>
                    <w:bookmarkEnd w:id="1"/>
                    <w:p w:rsidR="0061137D" w:rsidRPr="007F3424" w:rsidRDefault="0061137D" w:rsidP="0061137D">
                      <w:pPr>
                        <w:spacing w:line="276" w:lineRule="auto"/>
                        <w:rPr>
                          <w:rFonts w:ascii="Cambria" w:hAnsi="Cambria" w:cstheme="minorHAnsi"/>
                          <w:lang w:eastAsia="es-ES"/>
                        </w:rPr>
                      </w:pPr>
                      <w:r w:rsidRPr="007F3424">
                        <w:rPr>
                          <w:rFonts w:ascii="Cambria" w:hAnsi="Cambria" w:cstheme="minorHAnsi"/>
                          <w:lang w:eastAsia="es-ES"/>
                        </w:rPr>
                        <w:t xml:space="preserve">WALTER MAURO YÁÑEZ </w:t>
                      </w:r>
                    </w:p>
                    <w:p w:rsidR="0061137D" w:rsidRPr="007F3424" w:rsidRDefault="0061137D" w:rsidP="0061137D">
                      <w:pPr>
                        <w:spacing w:line="276" w:lineRule="auto"/>
                        <w:rPr>
                          <w:rFonts w:ascii="Cambria" w:hAnsi="Cambria" w:cstheme="minorHAnsi"/>
                          <w:lang w:eastAsia="es-ES"/>
                        </w:rPr>
                      </w:pPr>
                      <w:r w:rsidRPr="007F3424">
                        <w:rPr>
                          <w:rFonts w:ascii="Cambria" w:hAnsi="Cambria" w:cstheme="minorHAnsi"/>
                          <w:lang w:eastAsia="es-ES"/>
                        </w:rPr>
                        <w:t xml:space="preserve">ARGENTINA </w:t>
                      </w:r>
                    </w:p>
                    <w:p w:rsidR="005B52B0" w:rsidRPr="0061137D"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CF557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027C3" w:rsidRDefault="009B66AC" w:rsidP="002C1641">
                            <w:pPr>
                              <w:jc w:val="right"/>
                              <w:rPr>
                                <w:rFonts w:asciiTheme="minorHAnsi" w:hAnsiTheme="minorHAnsi"/>
                                <w:color w:val="FFFFFF" w:themeColor="background1"/>
                                <w:sz w:val="22"/>
                                <w:lang w:val="pt-BR"/>
                              </w:rPr>
                            </w:pPr>
                            <w:r w:rsidRPr="00A027C3">
                              <w:rPr>
                                <w:rFonts w:asciiTheme="minorHAnsi" w:hAnsiTheme="minorHAnsi"/>
                                <w:color w:val="FFFFFF" w:themeColor="background1"/>
                                <w:sz w:val="22"/>
                                <w:lang w:val="pt-BR"/>
                              </w:rPr>
                              <w:t>OEA/Ser.L/V/II.</w:t>
                            </w:r>
                          </w:p>
                          <w:p w:rsidR="00627C9F" w:rsidRPr="00A027C3" w:rsidRDefault="00627C9F" w:rsidP="002C1641">
                            <w:pPr>
                              <w:jc w:val="right"/>
                              <w:rPr>
                                <w:rFonts w:asciiTheme="minorHAnsi" w:hAnsiTheme="minorHAnsi"/>
                                <w:color w:val="FFFFFF" w:themeColor="background1"/>
                                <w:sz w:val="22"/>
                                <w:lang w:val="pt-BR"/>
                              </w:rPr>
                            </w:pPr>
                            <w:r w:rsidRPr="00A027C3">
                              <w:rPr>
                                <w:rFonts w:asciiTheme="minorHAnsi" w:hAnsiTheme="minorHAnsi"/>
                                <w:color w:val="FFFFFF" w:themeColor="background1"/>
                                <w:sz w:val="22"/>
                                <w:lang w:val="pt-BR"/>
                              </w:rPr>
                              <w:t xml:space="preserve">Doc. </w:t>
                            </w:r>
                            <w:r w:rsidR="009C351A">
                              <w:rPr>
                                <w:rFonts w:asciiTheme="minorHAnsi" w:hAnsiTheme="minorHAnsi"/>
                                <w:color w:val="FFFFFF" w:themeColor="background1"/>
                                <w:sz w:val="22"/>
                                <w:lang w:val="pt-BR"/>
                              </w:rPr>
                              <w:t>43</w:t>
                            </w:r>
                          </w:p>
                          <w:p w:rsidR="00627C9F" w:rsidRPr="004B7EB6" w:rsidRDefault="009B187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19 </w:t>
                            </w:r>
                            <w:r w:rsidR="0061137D">
                              <w:rPr>
                                <w:rFonts w:asciiTheme="minorHAnsi" w:hAnsiTheme="minorHAnsi"/>
                                <w:color w:val="FFFFFF" w:themeColor="background1"/>
                                <w:sz w:val="22"/>
                              </w:rPr>
                              <w:t>March 2021</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0654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A027C3" w:rsidRDefault="009B66AC" w:rsidP="002C1641">
                      <w:pPr>
                        <w:jc w:val="right"/>
                        <w:rPr>
                          <w:rFonts w:asciiTheme="minorHAnsi" w:hAnsiTheme="minorHAnsi"/>
                          <w:color w:val="FFFFFF" w:themeColor="background1"/>
                          <w:sz w:val="22"/>
                          <w:lang w:val="pt-BR"/>
                        </w:rPr>
                      </w:pPr>
                      <w:r w:rsidRPr="00A027C3">
                        <w:rPr>
                          <w:rFonts w:asciiTheme="minorHAnsi" w:hAnsiTheme="minorHAnsi"/>
                          <w:color w:val="FFFFFF" w:themeColor="background1"/>
                          <w:sz w:val="22"/>
                          <w:lang w:val="pt-BR"/>
                        </w:rPr>
                        <w:t>OEA/Ser.L/V/II.</w:t>
                      </w:r>
                    </w:p>
                    <w:p w:rsidR="00627C9F" w:rsidRPr="00A027C3" w:rsidRDefault="00627C9F" w:rsidP="002C1641">
                      <w:pPr>
                        <w:jc w:val="right"/>
                        <w:rPr>
                          <w:rFonts w:asciiTheme="minorHAnsi" w:hAnsiTheme="minorHAnsi"/>
                          <w:color w:val="FFFFFF" w:themeColor="background1"/>
                          <w:sz w:val="22"/>
                          <w:lang w:val="pt-BR"/>
                        </w:rPr>
                      </w:pPr>
                      <w:r w:rsidRPr="00A027C3">
                        <w:rPr>
                          <w:rFonts w:asciiTheme="minorHAnsi" w:hAnsiTheme="minorHAnsi"/>
                          <w:color w:val="FFFFFF" w:themeColor="background1"/>
                          <w:sz w:val="22"/>
                          <w:lang w:val="pt-BR"/>
                        </w:rPr>
                        <w:t xml:space="preserve">Doc. </w:t>
                      </w:r>
                      <w:r w:rsidR="009C351A">
                        <w:rPr>
                          <w:rFonts w:asciiTheme="minorHAnsi" w:hAnsiTheme="minorHAnsi"/>
                          <w:color w:val="FFFFFF" w:themeColor="background1"/>
                          <w:sz w:val="22"/>
                          <w:lang w:val="pt-BR"/>
                        </w:rPr>
                        <w:t>43</w:t>
                      </w:r>
                    </w:p>
                    <w:p w:rsidR="00627C9F" w:rsidRPr="004B7EB6" w:rsidRDefault="009B187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19 </w:t>
                      </w:r>
                      <w:r w:rsidR="0061137D">
                        <w:rPr>
                          <w:rFonts w:asciiTheme="minorHAnsi" w:hAnsiTheme="minorHAnsi"/>
                          <w:color w:val="FFFFFF" w:themeColor="background1"/>
                          <w:sz w:val="22"/>
                        </w:rPr>
                        <w:t>March 2021</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0654B">
                        <w:rPr>
                          <w:rFonts w:asciiTheme="minorHAnsi" w:hAnsiTheme="minorHAnsi"/>
                          <w:color w:val="FFFFFF" w:themeColor="background1"/>
                          <w:sz w:val="22"/>
                        </w:rPr>
                        <w:t>Spanish</w:t>
                      </w:r>
                    </w:p>
                  </w:txbxContent>
                </v:textbox>
              </v:shape>
            </w:pict>
          </mc:Fallback>
        </mc:AlternateContent>
      </w: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cs="Arial"/>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5128E4" w:rsidRPr="00CF557B" w:rsidRDefault="005128E4"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5128E4" w:rsidRPr="00CF557B" w:rsidRDefault="005128E4" w:rsidP="00040C3A">
      <w:pPr>
        <w:tabs>
          <w:tab w:val="center" w:pos="5400"/>
        </w:tabs>
        <w:suppressAutoHyphens/>
        <w:jc w:val="center"/>
        <w:rPr>
          <w:rFonts w:asciiTheme="majorHAnsi" w:hAnsiTheme="majorHAnsi"/>
          <w:sz w:val="22"/>
          <w:szCs w:val="22"/>
        </w:rPr>
      </w:pPr>
    </w:p>
    <w:p w:rsidR="005128E4" w:rsidRPr="00CF557B" w:rsidRDefault="005128E4" w:rsidP="00040C3A">
      <w:pPr>
        <w:tabs>
          <w:tab w:val="center" w:pos="5400"/>
        </w:tabs>
        <w:suppressAutoHyphens/>
        <w:jc w:val="center"/>
        <w:rPr>
          <w:rFonts w:asciiTheme="majorHAnsi" w:hAnsiTheme="majorHAnsi"/>
          <w:sz w:val="22"/>
          <w:szCs w:val="22"/>
        </w:rPr>
      </w:pPr>
    </w:p>
    <w:p w:rsidR="005128E4" w:rsidRPr="00CF557B" w:rsidRDefault="005128E4"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040C3A" w:rsidRPr="00CF557B" w:rsidRDefault="00040C3A" w:rsidP="00040C3A">
      <w:pPr>
        <w:tabs>
          <w:tab w:val="center" w:pos="5400"/>
        </w:tabs>
        <w:suppressAutoHyphens/>
        <w:jc w:val="center"/>
        <w:rPr>
          <w:rFonts w:asciiTheme="majorHAnsi" w:hAnsiTheme="majorHAnsi"/>
          <w:sz w:val="22"/>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3C32BC" w:rsidP="00040C3A">
      <w:pPr>
        <w:tabs>
          <w:tab w:val="center" w:pos="5400"/>
        </w:tabs>
        <w:suppressAutoHyphens/>
        <w:jc w:val="center"/>
        <w:rPr>
          <w:rFonts w:asciiTheme="majorHAnsi" w:hAnsiTheme="majorHAnsi"/>
          <w:sz w:val="18"/>
          <w:szCs w:val="22"/>
        </w:rPr>
      </w:pPr>
      <w:r w:rsidRPr="00CF557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9B66AC">
                              <w:rPr>
                                <w:rFonts w:asciiTheme="majorHAnsi" w:hAnsiTheme="majorHAnsi"/>
                                <w:color w:val="0D0D0D" w:themeColor="text1" w:themeTint="F2"/>
                                <w:sz w:val="18"/>
                                <w:szCs w:val="22"/>
                              </w:rPr>
                              <w:t>on March 19</w:t>
                            </w:r>
                            <w:r w:rsidR="0061137D">
                              <w:rPr>
                                <w:rFonts w:asciiTheme="majorHAnsi" w:hAnsiTheme="majorHAnsi"/>
                                <w:color w:val="0D0D0D" w:themeColor="text1" w:themeTint="F2"/>
                                <w:sz w:val="18"/>
                                <w:szCs w:val="22"/>
                              </w:rPr>
                              <w:t>, 2021</w:t>
                            </w:r>
                            <w:r w:rsidR="006F100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9B66AC">
                        <w:rPr>
                          <w:rFonts w:asciiTheme="majorHAnsi" w:hAnsiTheme="majorHAnsi"/>
                          <w:color w:val="0D0D0D" w:themeColor="text1" w:themeTint="F2"/>
                          <w:sz w:val="18"/>
                          <w:szCs w:val="22"/>
                        </w:rPr>
                        <w:t>on March 19</w:t>
                      </w:r>
                      <w:r w:rsidR="0061137D">
                        <w:rPr>
                          <w:rFonts w:asciiTheme="majorHAnsi" w:hAnsiTheme="majorHAnsi"/>
                          <w:color w:val="0D0D0D" w:themeColor="text1" w:themeTint="F2"/>
                          <w:sz w:val="18"/>
                          <w:szCs w:val="22"/>
                        </w:rPr>
                        <w:t>, 2021</w:t>
                      </w:r>
                      <w:r w:rsidR="006F1009">
                        <w:rPr>
                          <w:rFonts w:asciiTheme="majorHAnsi" w:hAnsiTheme="majorHAnsi"/>
                          <w:color w:val="0D0D0D" w:themeColor="text1" w:themeTint="F2"/>
                          <w:sz w:val="18"/>
                          <w:szCs w:val="22"/>
                        </w:rPr>
                        <w:t>.</w:t>
                      </w:r>
                    </w:p>
                  </w:txbxContent>
                </v:textbox>
              </v:shape>
            </w:pict>
          </mc:Fallback>
        </mc:AlternateContent>
      </w: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3C32BC" w:rsidP="00040C3A">
      <w:pPr>
        <w:tabs>
          <w:tab w:val="center" w:pos="5400"/>
        </w:tabs>
        <w:suppressAutoHyphens/>
        <w:jc w:val="center"/>
        <w:rPr>
          <w:rFonts w:asciiTheme="majorHAnsi" w:hAnsiTheme="majorHAnsi"/>
          <w:sz w:val="18"/>
          <w:szCs w:val="22"/>
        </w:rPr>
      </w:pPr>
      <w:r w:rsidRPr="00CF557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61137D" w:rsidRDefault="0061137D" w:rsidP="00F644E6">
                            <w:pPr>
                              <w:spacing w:line="276" w:lineRule="auto"/>
                              <w:rPr>
                                <w:rFonts w:asciiTheme="majorHAnsi" w:hAnsiTheme="majorHAnsi"/>
                                <w:color w:val="595959" w:themeColor="text1" w:themeTint="A6"/>
                                <w:sz w:val="18"/>
                                <w:szCs w:val="18"/>
                                <w:lang w:val="es-CO"/>
                              </w:rPr>
                            </w:pPr>
                            <w:r w:rsidRPr="009B66AC">
                              <w:rPr>
                                <w:rFonts w:asciiTheme="majorHAnsi" w:hAnsiTheme="majorHAnsi"/>
                                <w:b/>
                                <w:color w:val="595959" w:themeColor="text1" w:themeTint="A6"/>
                                <w:sz w:val="18"/>
                                <w:szCs w:val="18"/>
                              </w:rPr>
                              <w:t>Cite as:</w:t>
                            </w:r>
                            <w:r w:rsidRPr="009B66AC">
                              <w:rPr>
                                <w:rFonts w:asciiTheme="majorHAnsi" w:hAnsiTheme="majorHAnsi"/>
                                <w:color w:val="595959" w:themeColor="text1" w:themeTint="A6"/>
                                <w:sz w:val="18"/>
                                <w:szCs w:val="18"/>
                              </w:rPr>
                              <w:t xml:space="preserve"> IACHR, Report No. </w:t>
                            </w:r>
                            <w:r w:rsidR="009B66AC">
                              <w:rPr>
                                <w:rFonts w:asciiTheme="majorHAnsi" w:hAnsiTheme="majorHAnsi"/>
                                <w:color w:val="595959" w:themeColor="text1" w:themeTint="A6"/>
                                <w:sz w:val="18"/>
                                <w:szCs w:val="18"/>
                              </w:rPr>
                              <w:t>39</w:t>
                            </w:r>
                            <w:r w:rsidRPr="007F3424">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1</w:t>
                            </w:r>
                            <w:r w:rsidRPr="007F3424">
                              <w:rPr>
                                <w:rFonts w:asciiTheme="majorHAnsi" w:hAnsiTheme="majorHAnsi"/>
                                <w:color w:val="595959" w:themeColor="text1" w:themeTint="A6"/>
                                <w:sz w:val="18"/>
                                <w:szCs w:val="18"/>
                              </w:rPr>
                              <w:t xml:space="preserve">, Petition 245-03. Friendly Settlement. Walter Mauro </w:t>
                            </w:r>
                            <w:proofErr w:type="spellStart"/>
                            <w:r w:rsidR="009C351A" w:rsidRPr="007F3424">
                              <w:rPr>
                                <w:rFonts w:asciiTheme="majorHAnsi" w:hAnsiTheme="majorHAnsi"/>
                                <w:color w:val="595959" w:themeColor="text1" w:themeTint="A6"/>
                                <w:sz w:val="18"/>
                                <w:szCs w:val="18"/>
                              </w:rPr>
                              <w:t>Yañez</w:t>
                            </w:r>
                            <w:proofErr w:type="spellEnd"/>
                            <w:r w:rsidRPr="007F3424">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proofErr w:type="spellStart"/>
                            <w:r w:rsidR="009B66AC">
                              <w:rPr>
                                <w:rFonts w:asciiTheme="majorHAnsi" w:hAnsiTheme="majorHAnsi"/>
                                <w:color w:val="595959" w:themeColor="text1" w:themeTint="A6"/>
                                <w:sz w:val="18"/>
                                <w:szCs w:val="18"/>
                                <w:lang w:val="es-CO"/>
                              </w:rPr>
                              <w:t>March</w:t>
                            </w:r>
                            <w:proofErr w:type="spellEnd"/>
                            <w:r w:rsidR="009B66AC">
                              <w:rPr>
                                <w:rFonts w:asciiTheme="majorHAnsi" w:hAnsiTheme="majorHAnsi"/>
                                <w:color w:val="595959" w:themeColor="text1" w:themeTint="A6"/>
                                <w:sz w:val="18"/>
                                <w:szCs w:val="18"/>
                                <w:lang w:val="es-CO"/>
                              </w:rPr>
                              <w:t xml:space="preserve"> 19</w:t>
                            </w:r>
                            <w:r>
                              <w:rPr>
                                <w:rFonts w:asciiTheme="majorHAnsi" w:hAnsiTheme="majorHAnsi"/>
                                <w:color w:val="595959" w:themeColor="text1" w:themeTint="A6"/>
                                <w:sz w:val="18"/>
                                <w:szCs w:val="18"/>
                                <w:lang w:val="es-CO"/>
                              </w:rPr>
                              <w:t>,</w:t>
                            </w:r>
                            <w:r w:rsidRPr="007539EC">
                              <w:rPr>
                                <w:rFonts w:asciiTheme="majorHAnsi" w:hAnsiTheme="majorHAnsi"/>
                                <w:color w:val="595959" w:themeColor="text1" w:themeTint="A6"/>
                                <w:sz w:val="18"/>
                                <w:szCs w:val="18"/>
                                <w:lang w:val="es-CO"/>
                              </w:rPr>
                              <w:t xml:space="preserve"> 202</w:t>
                            </w:r>
                            <w:r>
                              <w:rPr>
                                <w:rFonts w:asciiTheme="majorHAnsi" w:hAnsiTheme="majorHAnsi"/>
                                <w:color w:val="595959" w:themeColor="text1" w:themeTint="A6"/>
                                <w:sz w:val="18"/>
                                <w:szCs w:val="18"/>
                                <w:lang w:val="es-CO"/>
                              </w:rPr>
                              <w:t>1</w:t>
                            </w:r>
                            <w:r w:rsidRPr="007539EC">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61137D" w:rsidRDefault="0061137D" w:rsidP="00F644E6">
                      <w:pPr>
                        <w:spacing w:line="276" w:lineRule="auto"/>
                        <w:rPr>
                          <w:rFonts w:asciiTheme="majorHAnsi" w:hAnsiTheme="majorHAnsi"/>
                          <w:color w:val="595959" w:themeColor="text1" w:themeTint="A6"/>
                          <w:sz w:val="18"/>
                          <w:szCs w:val="18"/>
                          <w:lang w:val="es-CO"/>
                        </w:rPr>
                      </w:pPr>
                      <w:r w:rsidRPr="009B66AC">
                        <w:rPr>
                          <w:rFonts w:asciiTheme="majorHAnsi" w:hAnsiTheme="majorHAnsi"/>
                          <w:b/>
                          <w:color w:val="595959" w:themeColor="text1" w:themeTint="A6"/>
                          <w:sz w:val="18"/>
                          <w:szCs w:val="18"/>
                        </w:rPr>
                        <w:t xml:space="preserve">Cite </w:t>
                      </w:r>
                      <w:proofErr w:type="gramStart"/>
                      <w:r w:rsidRPr="009B66AC">
                        <w:rPr>
                          <w:rFonts w:asciiTheme="majorHAnsi" w:hAnsiTheme="majorHAnsi"/>
                          <w:b/>
                          <w:color w:val="595959" w:themeColor="text1" w:themeTint="A6"/>
                          <w:sz w:val="18"/>
                          <w:szCs w:val="18"/>
                        </w:rPr>
                        <w:t>as:</w:t>
                      </w:r>
                      <w:proofErr w:type="gramEnd"/>
                      <w:r w:rsidRPr="009B66AC">
                        <w:rPr>
                          <w:rFonts w:asciiTheme="majorHAnsi" w:hAnsiTheme="majorHAnsi"/>
                          <w:color w:val="595959" w:themeColor="text1" w:themeTint="A6"/>
                          <w:sz w:val="18"/>
                          <w:szCs w:val="18"/>
                        </w:rPr>
                        <w:t xml:space="preserve"> IACHR, Report No. </w:t>
                      </w:r>
                      <w:r w:rsidR="009B66AC">
                        <w:rPr>
                          <w:rFonts w:asciiTheme="majorHAnsi" w:hAnsiTheme="majorHAnsi"/>
                          <w:color w:val="595959" w:themeColor="text1" w:themeTint="A6"/>
                          <w:sz w:val="18"/>
                          <w:szCs w:val="18"/>
                        </w:rPr>
                        <w:t>39</w:t>
                      </w:r>
                      <w:r w:rsidRPr="007F3424">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1</w:t>
                      </w:r>
                      <w:r w:rsidRPr="007F3424">
                        <w:rPr>
                          <w:rFonts w:asciiTheme="majorHAnsi" w:hAnsiTheme="majorHAnsi"/>
                          <w:color w:val="595959" w:themeColor="text1" w:themeTint="A6"/>
                          <w:sz w:val="18"/>
                          <w:szCs w:val="18"/>
                        </w:rPr>
                        <w:t xml:space="preserve">, Petition 245-03. Friendly Settlement. Walter Mauro </w:t>
                      </w:r>
                      <w:r w:rsidR="009C351A" w:rsidRPr="007F3424">
                        <w:rPr>
                          <w:rFonts w:asciiTheme="majorHAnsi" w:hAnsiTheme="majorHAnsi"/>
                          <w:color w:val="595959" w:themeColor="text1" w:themeTint="A6"/>
                          <w:sz w:val="18"/>
                          <w:szCs w:val="18"/>
                        </w:rPr>
                        <w:t>Yañez</w:t>
                      </w:r>
                      <w:r w:rsidRPr="007F3424">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B66AC">
                        <w:rPr>
                          <w:rFonts w:asciiTheme="majorHAnsi" w:hAnsiTheme="majorHAnsi"/>
                          <w:color w:val="595959" w:themeColor="text1" w:themeTint="A6"/>
                          <w:sz w:val="18"/>
                          <w:szCs w:val="18"/>
                          <w:lang w:val="es-CO"/>
                        </w:rPr>
                        <w:t>March 19</w:t>
                      </w:r>
                      <w:r>
                        <w:rPr>
                          <w:rFonts w:asciiTheme="majorHAnsi" w:hAnsiTheme="majorHAnsi"/>
                          <w:color w:val="595959" w:themeColor="text1" w:themeTint="A6"/>
                          <w:sz w:val="18"/>
                          <w:szCs w:val="18"/>
                          <w:lang w:val="es-CO"/>
                        </w:rPr>
                        <w:t>,</w:t>
                      </w:r>
                      <w:r w:rsidRPr="007539EC">
                        <w:rPr>
                          <w:rFonts w:asciiTheme="majorHAnsi" w:hAnsiTheme="majorHAnsi"/>
                          <w:color w:val="595959" w:themeColor="text1" w:themeTint="A6"/>
                          <w:sz w:val="18"/>
                          <w:szCs w:val="18"/>
                          <w:lang w:val="es-CO"/>
                        </w:rPr>
                        <w:t xml:space="preserve"> 202</w:t>
                      </w:r>
                      <w:r>
                        <w:rPr>
                          <w:rFonts w:asciiTheme="majorHAnsi" w:hAnsiTheme="majorHAnsi"/>
                          <w:color w:val="595959" w:themeColor="text1" w:themeTint="A6"/>
                          <w:sz w:val="18"/>
                          <w:szCs w:val="18"/>
                          <w:lang w:val="es-CO"/>
                        </w:rPr>
                        <w:t>1</w:t>
                      </w:r>
                      <w:r w:rsidRPr="007539EC">
                        <w:rPr>
                          <w:rFonts w:asciiTheme="majorHAnsi" w:hAnsiTheme="majorHAnsi"/>
                          <w:color w:val="595959" w:themeColor="text1" w:themeTint="A6"/>
                          <w:sz w:val="18"/>
                          <w:szCs w:val="18"/>
                          <w:lang w:val="es-CO"/>
                        </w:rPr>
                        <w:t>.</w:t>
                      </w:r>
                    </w:p>
                  </w:txbxContent>
                </v:textbox>
              </v:shape>
            </w:pict>
          </mc:Fallback>
        </mc:AlternateContent>
      </w:r>
    </w:p>
    <w:p w:rsidR="002C1641" w:rsidRPr="00CF557B" w:rsidRDefault="002C1641" w:rsidP="00040C3A">
      <w:pPr>
        <w:tabs>
          <w:tab w:val="center" w:pos="5400"/>
        </w:tabs>
        <w:suppressAutoHyphens/>
        <w:jc w:val="center"/>
        <w:rPr>
          <w:rFonts w:asciiTheme="majorHAnsi" w:hAnsiTheme="majorHAnsi"/>
          <w:sz w:val="18"/>
          <w:szCs w:val="22"/>
        </w:rPr>
      </w:pPr>
    </w:p>
    <w:p w:rsidR="002C1641" w:rsidRPr="00CF557B" w:rsidRDefault="002C1641" w:rsidP="00040C3A">
      <w:pPr>
        <w:tabs>
          <w:tab w:val="center" w:pos="5400"/>
        </w:tabs>
        <w:suppressAutoHyphens/>
        <w:jc w:val="center"/>
        <w:rPr>
          <w:rFonts w:asciiTheme="majorHAnsi" w:hAnsiTheme="majorHAnsi"/>
          <w:sz w:val="18"/>
          <w:szCs w:val="22"/>
        </w:rPr>
      </w:pPr>
    </w:p>
    <w:p w:rsidR="003C32BC" w:rsidRPr="00CF557B" w:rsidRDefault="003C32BC" w:rsidP="003C32BC">
      <w:pPr>
        <w:tabs>
          <w:tab w:val="center" w:pos="5400"/>
        </w:tabs>
        <w:suppressAutoHyphens/>
        <w:jc w:val="center"/>
        <w:rPr>
          <w:rFonts w:asciiTheme="majorHAnsi" w:hAnsiTheme="majorHAnsi"/>
          <w:sz w:val="18"/>
          <w:szCs w:val="22"/>
        </w:rPr>
      </w:pPr>
    </w:p>
    <w:p w:rsidR="003C32BC" w:rsidRPr="00CF557B" w:rsidRDefault="006311DA" w:rsidP="003C32BC">
      <w:pPr>
        <w:tabs>
          <w:tab w:val="center" w:pos="5400"/>
        </w:tabs>
        <w:suppressAutoHyphens/>
        <w:jc w:val="center"/>
        <w:rPr>
          <w:rFonts w:asciiTheme="majorHAnsi" w:hAnsiTheme="majorHAnsi"/>
          <w:sz w:val="18"/>
          <w:szCs w:val="22"/>
        </w:rPr>
      </w:pPr>
      <w:r w:rsidRPr="00CF557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F557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CF557B" w:rsidRDefault="007607C4" w:rsidP="003C32BC">
      <w:pPr>
        <w:tabs>
          <w:tab w:val="center" w:pos="5400"/>
        </w:tabs>
        <w:suppressAutoHyphens/>
        <w:jc w:val="center"/>
        <w:rPr>
          <w:rFonts w:asciiTheme="majorHAnsi" w:hAnsiTheme="majorHAnsi"/>
          <w:sz w:val="18"/>
          <w:szCs w:val="22"/>
        </w:rPr>
        <w:sectPr w:rsidR="007607C4" w:rsidRPr="00CF557B"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1137D" w:rsidRPr="00CF557B" w:rsidRDefault="009B66AC" w:rsidP="0061137D">
      <w:pPr>
        <w:jc w:val="center"/>
        <w:rPr>
          <w:rFonts w:asciiTheme="majorHAnsi" w:hAnsiTheme="majorHAnsi"/>
          <w:b/>
          <w:sz w:val="22"/>
          <w:szCs w:val="22"/>
        </w:rPr>
      </w:pPr>
      <w:r>
        <w:rPr>
          <w:rFonts w:asciiTheme="majorHAnsi" w:hAnsiTheme="majorHAnsi"/>
          <w:b/>
          <w:sz w:val="18"/>
          <w:szCs w:val="18"/>
        </w:rPr>
        <w:lastRenderedPageBreak/>
        <w:t>REPORT No. 39</w:t>
      </w:r>
      <w:r w:rsidR="0061137D" w:rsidRPr="00CF557B">
        <w:rPr>
          <w:rFonts w:asciiTheme="majorHAnsi" w:hAnsiTheme="majorHAnsi"/>
          <w:b/>
          <w:sz w:val="18"/>
          <w:szCs w:val="18"/>
        </w:rPr>
        <w:t>/21</w:t>
      </w:r>
    </w:p>
    <w:p w:rsidR="0061137D" w:rsidRPr="00CF557B" w:rsidRDefault="0061137D" w:rsidP="0061137D">
      <w:pPr>
        <w:tabs>
          <w:tab w:val="center" w:pos="5400"/>
        </w:tabs>
        <w:suppressAutoHyphens/>
        <w:spacing w:line="276" w:lineRule="auto"/>
        <w:jc w:val="center"/>
        <w:rPr>
          <w:rFonts w:asciiTheme="majorHAnsi" w:hAnsiTheme="majorHAnsi"/>
          <w:b/>
          <w:sz w:val="18"/>
          <w:szCs w:val="18"/>
        </w:rPr>
      </w:pPr>
      <w:r w:rsidRPr="00CF557B">
        <w:rPr>
          <w:rFonts w:asciiTheme="majorHAnsi" w:hAnsiTheme="majorHAnsi"/>
          <w:b/>
          <w:sz w:val="18"/>
          <w:szCs w:val="18"/>
        </w:rPr>
        <w:t>PETITION P-245-03</w:t>
      </w:r>
    </w:p>
    <w:p w:rsidR="0061137D" w:rsidRPr="00CF557B" w:rsidRDefault="0061137D" w:rsidP="0061137D">
      <w:pPr>
        <w:tabs>
          <w:tab w:val="center" w:pos="5400"/>
        </w:tabs>
        <w:suppressAutoHyphens/>
        <w:spacing w:line="276" w:lineRule="auto"/>
        <w:jc w:val="center"/>
        <w:rPr>
          <w:rFonts w:asciiTheme="majorHAnsi" w:hAnsiTheme="majorHAnsi"/>
          <w:sz w:val="18"/>
          <w:szCs w:val="18"/>
        </w:rPr>
      </w:pPr>
      <w:r w:rsidRPr="00CF557B">
        <w:rPr>
          <w:rFonts w:asciiTheme="majorHAnsi" w:hAnsiTheme="majorHAnsi"/>
          <w:sz w:val="18"/>
          <w:szCs w:val="18"/>
        </w:rPr>
        <w:t>FRIENDLY SETTLEMENT REPORT</w:t>
      </w:r>
    </w:p>
    <w:p w:rsidR="0061137D" w:rsidRPr="00CF557B" w:rsidRDefault="0061137D" w:rsidP="0061137D">
      <w:pPr>
        <w:spacing w:line="276" w:lineRule="auto"/>
        <w:jc w:val="center"/>
        <w:rPr>
          <w:rFonts w:ascii="Cambria" w:hAnsi="Cambria" w:cstheme="minorHAnsi"/>
          <w:sz w:val="18"/>
          <w:szCs w:val="18"/>
          <w:lang w:eastAsia="es-ES"/>
        </w:rPr>
      </w:pPr>
      <w:r w:rsidRPr="00CF557B">
        <w:rPr>
          <w:rFonts w:ascii="Cambria" w:hAnsi="Cambria" w:cstheme="minorHAnsi"/>
          <w:sz w:val="18"/>
          <w:szCs w:val="18"/>
          <w:lang w:eastAsia="es-ES"/>
        </w:rPr>
        <w:t>WALTER MAURO YÁÑEZ</w:t>
      </w:r>
    </w:p>
    <w:p w:rsidR="0061137D" w:rsidRPr="00CF557B" w:rsidRDefault="0061137D" w:rsidP="0061137D">
      <w:pPr>
        <w:tabs>
          <w:tab w:val="center" w:pos="5400"/>
        </w:tabs>
        <w:suppressAutoHyphens/>
        <w:spacing w:line="276" w:lineRule="auto"/>
        <w:jc w:val="center"/>
        <w:rPr>
          <w:rFonts w:asciiTheme="majorHAnsi" w:hAnsiTheme="majorHAnsi"/>
          <w:sz w:val="18"/>
          <w:szCs w:val="18"/>
        </w:rPr>
      </w:pPr>
      <w:r w:rsidRPr="00CF557B">
        <w:rPr>
          <w:rFonts w:asciiTheme="majorHAnsi" w:hAnsiTheme="majorHAnsi"/>
          <w:sz w:val="18"/>
          <w:szCs w:val="18"/>
        </w:rPr>
        <w:t>ARGENTINA</w:t>
      </w:r>
    </w:p>
    <w:p w:rsidR="0061137D" w:rsidRPr="00CF557B" w:rsidRDefault="009B66AC" w:rsidP="0061137D">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MARCH 19</w:t>
      </w:r>
      <w:r w:rsidR="0061137D" w:rsidRPr="00CF557B">
        <w:rPr>
          <w:rFonts w:asciiTheme="majorHAnsi" w:hAnsiTheme="majorHAnsi"/>
          <w:sz w:val="18"/>
          <w:szCs w:val="18"/>
        </w:rPr>
        <w:t>, 2021</w:t>
      </w:r>
    </w:p>
    <w:p w:rsidR="0061137D" w:rsidRPr="00CF557B" w:rsidRDefault="0061137D" w:rsidP="0061137D">
      <w:pPr>
        <w:tabs>
          <w:tab w:val="center" w:pos="5400"/>
        </w:tabs>
        <w:suppressAutoHyphens/>
        <w:spacing w:line="276" w:lineRule="auto"/>
        <w:ind w:left="851" w:hanging="709"/>
        <w:jc w:val="center"/>
        <w:rPr>
          <w:rFonts w:asciiTheme="majorHAnsi" w:hAnsiTheme="majorHAnsi"/>
          <w:sz w:val="22"/>
          <w:szCs w:val="22"/>
        </w:rPr>
      </w:pPr>
    </w:p>
    <w:p w:rsidR="0061137D" w:rsidRPr="00CF557B" w:rsidRDefault="0061137D" w:rsidP="0061137D">
      <w:pPr>
        <w:tabs>
          <w:tab w:val="center" w:pos="5400"/>
        </w:tabs>
        <w:suppressAutoHyphens/>
        <w:ind w:firstLine="720"/>
        <w:jc w:val="center"/>
        <w:rPr>
          <w:rFonts w:asciiTheme="majorHAnsi" w:hAnsiTheme="majorHAnsi"/>
          <w:sz w:val="20"/>
          <w:szCs w:val="20"/>
        </w:rPr>
      </w:pPr>
    </w:p>
    <w:p w:rsidR="0061137D" w:rsidRPr="00CF557B" w:rsidRDefault="0061137D" w:rsidP="0061137D">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F557B">
        <w:rPr>
          <w:rFonts w:eastAsia="Times New Roman"/>
          <w:b/>
          <w:bCs/>
          <w:kern w:val="36"/>
          <w:sz w:val="20"/>
          <w:szCs w:val="20"/>
          <w:lang w:eastAsia="es-BO"/>
        </w:rPr>
        <w:t xml:space="preserve">SUMMARY </w:t>
      </w:r>
      <w:r w:rsidRPr="00CF557B">
        <w:rPr>
          <w:b/>
          <w:bCs/>
          <w:sz w:val="20"/>
          <w:szCs w:val="20"/>
        </w:rPr>
        <w:t>AND RELEVANT PROCEEDINGS OF THE FRIENDLY SETTLEMENT PROCESS</w:t>
      </w:r>
      <w:r w:rsidRPr="00CF557B">
        <w:rPr>
          <w:rFonts w:eastAsia="MS Mincho" w:cstheme="minorHAnsi"/>
          <w:b/>
          <w:color w:val="000000" w:themeColor="text1"/>
          <w:sz w:val="20"/>
          <w:szCs w:val="20"/>
        </w:rPr>
        <w:t xml:space="preserve"> </w:t>
      </w:r>
    </w:p>
    <w:p w:rsidR="0061137D" w:rsidRPr="00CF557B" w:rsidRDefault="0061137D" w:rsidP="0061137D">
      <w:pPr>
        <w:tabs>
          <w:tab w:val="center" w:pos="720"/>
        </w:tabs>
        <w:suppressAutoHyphens/>
        <w:ind w:firstLine="720"/>
        <w:jc w:val="both"/>
        <w:rPr>
          <w:rFonts w:asciiTheme="majorHAnsi" w:hAnsiTheme="majorHAnsi"/>
          <w:b/>
          <w:sz w:val="20"/>
          <w:szCs w:val="20"/>
        </w:rPr>
      </w:pPr>
    </w:p>
    <w:p w:rsidR="0061137D" w:rsidRPr="00CF557B" w:rsidRDefault="0061137D" w:rsidP="0061137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rPr>
      </w:pPr>
      <w:r w:rsidRPr="00CF557B">
        <w:rPr>
          <w:rFonts w:asciiTheme="majorHAnsi" w:hAnsiTheme="majorHAnsi"/>
          <w:sz w:val="20"/>
          <w:szCs w:val="20"/>
        </w:rPr>
        <w:t>On April 2, 2003, the Inter-American Commission on Human Rights (hereinafter “the Commission” or “IACHR”) received a petition presented by Pablo Gabriel Salinas Cavalotti, Alfredo Guevara and Diego Lavado on behalf of Mrs. Norma Del Carmen Yáñez (hereinafter "the petitioners"), which alleged the international responsibility of the Argentine Republic (hereinafter "State" or "Argentine State" or "Argentina"), for the violation of human rights enshrined in Articles 4 ( right to life), 8 (fair trial) and 25 (judicial protection) in relation to Articles 1.1 (obligation to respect the rights and guarantees included in the Convention) of the American Convention on Human Rights (hereinafter “the American Convention", "ACHR" or the "Convention"), to the detriment of Walter Mauro Yáñez, (hereinafter "alleged victim"), who died on March 11, 2001, as a result of a gunshot wound, presumably fired by an Infantry Agent from the Mendoza Police Station, who, together with his father, appeared as owners of a pantry-type shop, which had been broken into by four young people, including the alleged victim.</w:t>
      </w:r>
    </w:p>
    <w:p w:rsidR="0061137D" w:rsidRPr="00CF557B" w:rsidRDefault="0061137D" w:rsidP="0061137D">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jc w:val="both"/>
        <w:rPr>
          <w:rFonts w:asciiTheme="majorHAnsi" w:hAnsiTheme="majorHAnsi"/>
          <w:sz w:val="20"/>
          <w:szCs w:val="20"/>
        </w:rPr>
      </w:pPr>
    </w:p>
    <w:p w:rsidR="0061137D" w:rsidRPr="00CF557B" w:rsidRDefault="0061137D" w:rsidP="0061137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rPr>
      </w:pPr>
      <w:r w:rsidRPr="00CF557B">
        <w:rPr>
          <w:rFonts w:asciiTheme="majorHAnsi" w:hAnsiTheme="majorHAnsi"/>
          <w:sz w:val="20"/>
          <w:szCs w:val="20"/>
        </w:rPr>
        <w:t>On July 21, 2005, the parties began their pursuit of a friendly settlement. After several meetings held between the parties, the petitioners submitted to the State a proposal for monetary and non-monetary reparations, ratifying their interest in arriving at a Friendly Settlement Agreement (hereinafter “FSA” or “Agreement”).</w:t>
      </w:r>
    </w:p>
    <w:p w:rsidR="0061137D" w:rsidRPr="00CF557B" w:rsidRDefault="0061137D" w:rsidP="0061137D">
      <w:pPr>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0" w:firstLine="720"/>
        <w:jc w:val="both"/>
        <w:rPr>
          <w:rFonts w:asciiTheme="majorHAnsi" w:hAnsiTheme="majorHAnsi"/>
          <w:color w:val="auto"/>
          <w:sz w:val="20"/>
          <w:szCs w:val="20"/>
        </w:rPr>
      </w:pPr>
      <w:r w:rsidRPr="00CF557B">
        <w:rPr>
          <w:rFonts w:asciiTheme="majorHAnsi" w:hAnsiTheme="majorHAnsi"/>
          <w:color w:val="auto"/>
          <w:sz w:val="20"/>
          <w:szCs w:val="20"/>
        </w:rPr>
        <w:t>On November 3, 2009, the parties signed a Friendly Settlement Act, through which the Argentine State recognized its international responsibility for the human rights violations committed to the detriment of Walter Mauro Yáñez.</w:t>
      </w:r>
    </w:p>
    <w:p w:rsidR="0061137D" w:rsidRPr="00CF557B" w:rsidRDefault="0061137D" w:rsidP="0061137D">
      <w:pPr>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0" w:firstLine="720"/>
        <w:jc w:val="both"/>
        <w:rPr>
          <w:rFonts w:asciiTheme="majorHAnsi" w:hAnsiTheme="majorHAnsi"/>
          <w:color w:val="auto"/>
          <w:sz w:val="20"/>
          <w:szCs w:val="20"/>
        </w:rPr>
      </w:pPr>
      <w:r w:rsidRPr="00CF557B">
        <w:rPr>
          <w:rFonts w:asciiTheme="majorHAnsi" w:hAnsiTheme="majorHAnsi"/>
          <w:color w:val="auto"/>
          <w:sz w:val="20"/>
          <w:szCs w:val="20"/>
        </w:rPr>
        <w:t>In accordance with what was stated by the parties, on January 8, 2013, Decree No. 2265 was published, approving the Friendly Settlement Agreement of November 3, 2009 and its Ratification Minutes of July 16, 2012.</w:t>
      </w:r>
    </w:p>
    <w:p w:rsidR="0061137D" w:rsidRPr="00CF557B" w:rsidRDefault="0061137D" w:rsidP="0061137D">
      <w:pPr>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0" w:firstLine="720"/>
        <w:jc w:val="both"/>
        <w:rPr>
          <w:rFonts w:asciiTheme="majorHAnsi" w:hAnsiTheme="majorHAnsi"/>
          <w:color w:val="auto"/>
          <w:sz w:val="20"/>
          <w:szCs w:val="20"/>
        </w:rPr>
      </w:pPr>
      <w:r w:rsidRPr="00CF557B">
        <w:rPr>
          <w:rFonts w:asciiTheme="majorHAnsi" w:hAnsiTheme="majorHAnsi"/>
          <w:color w:val="auto"/>
          <w:sz w:val="20"/>
          <w:szCs w:val="20"/>
        </w:rPr>
        <w:t>On the other hand, and in accordance with the provisions of the provincial Constitution, on September 21, 2005, Law No. 8813 was published, through which the Legislative Power ratified the aforementioned Decree.</w:t>
      </w:r>
    </w:p>
    <w:p w:rsidR="0061137D" w:rsidRPr="00CF557B" w:rsidRDefault="0061137D" w:rsidP="0061137D">
      <w:pPr>
        <w:pStyle w:val="ListParagraph"/>
        <w:ind w:left="0" w:firstLine="720"/>
        <w:rPr>
          <w:rFonts w:asciiTheme="majorHAnsi" w:hAnsiTheme="majorHAnsi"/>
          <w:sz w:val="20"/>
          <w:szCs w:val="20"/>
        </w:rPr>
      </w:pPr>
    </w:p>
    <w:p w:rsidR="0061137D" w:rsidRPr="00CF557B" w:rsidRDefault="0061137D" w:rsidP="0061137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rPr>
      </w:pPr>
      <w:r w:rsidRPr="00CF557B">
        <w:rPr>
          <w:rFonts w:asciiTheme="majorHAnsi" w:hAnsiTheme="majorHAnsi"/>
          <w:sz w:val="20"/>
          <w:szCs w:val="20"/>
        </w:rPr>
        <w:t>On August 18, 2020, the State reported the signing of the Friendly Settlement Agreement between the petitioner and the national State, indicating that the agreed reparation measures had been fully complied with. Therefore, they requested the Commission to approve the FSA signed on July 29, 2020.</w:t>
      </w:r>
    </w:p>
    <w:p w:rsidR="0061137D" w:rsidRPr="00CF557B" w:rsidRDefault="0061137D" w:rsidP="0061137D">
      <w:pPr>
        <w:tabs>
          <w:tab w:val="center" w:pos="720"/>
        </w:tabs>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0" w:firstLine="720"/>
        <w:jc w:val="both"/>
        <w:rPr>
          <w:rFonts w:asciiTheme="majorHAnsi" w:hAnsiTheme="majorHAnsi"/>
          <w:sz w:val="20"/>
          <w:szCs w:val="20"/>
        </w:rPr>
      </w:pPr>
      <w:r w:rsidRPr="00CF557B">
        <w:rPr>
          <w:rFonts w:asciiTheme="majorHAnsi" w:hAnsiTheme="majorHAnsi"/>
          <w:sz w:val="20"/>
          <w:szCs w:val="20"/>
        </w:rPr>
        <w:t>In this friendly settlement report, as established in Article 49 of the Convention and in Article 40.5 of the Commission's Rules of Procedure, a review of the facts alleged by the petitioner is made and the friendly settlement agreement signed on July 29, 2020 by the petitioners and the Argentine State is transcribed. Likewise, the Agreement signed between the parties is approved and the publication of this report in the Annual Report of the IACHR to the General Assembly of the Organization of American States is agreed.</w:t>
      </w:r>
    </w:p>
    <w:p w:rsidR="0061137D" w:rsidRPr="00CF557B" w:rsidRDefault="0061137D" w:rsidP="0061137D">
      <w:pPr>
        <w:tabs>
          <w:tab w:val="center" w:pos="5400"/>
        </w:tabs>
        <w:suppressAutoHyphens/>
        <w:jc w:val="both"/>
        <w:rPr>
          <w:rFonts w:asciiTheme="majorHAnsi" w:hAnsiTheme="majorHAnsi"/>
          <w:b/>
          <w:sz w:val="20"/>
          <w:szCs w:val="20"/>
        </w:rPr>
      </w:pPr>
    </w:p>
    <w:p w:rsidR="0061137D" w:rsidRPr="00CF557B" w:rsidRDefault="0061137D" w:rsidP="0061137D">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F557B">
        <w:rPr>
          <w:rFonts w:eastAsia="Times New Roman"/>
          <w:b/>
          <w:bCs/>
          <w:kern w:val="36"/>
          <w:sz w:val="20"/>
          <w:szCs w:val="20"/>
          <w:lang w:eastAsia="es-BO"/>
        </w:rPr>
        <w:t>THE FACTS ALLEGED</w:t>
      </w:r>
      <w:r w:rsidRPr="00CF557B">
        <w:rPr>
          <w:rFonts w:eastAsia="MS Mincho" w:cstheme="minorHAnsi"/>
          <w:b/>
          <w:color w:val="000000" w:themeColor="text1"/>
          <w:sz w:val="20"/>
          <w:szCs w:val="20"/>
        </w:rPr>
        <w:t xml:space="preserve"> </w:t>
      </w:r>
    </w:p>
    <w:p w:rsidR="0061137D" w:rsidRPr="00CF557B" w:rsidRDefault="0061137D" w:rsidP="0061137D">
      <w:pPr>
        <w:tabs>
          <w:tab w:val="center" w:pos="630"/>
        </w:tabs>
        <w:suppressAutoHyphens/>
        <w:ind w:firstLine="720"/>
        <w:jc w:val="both"/>
        <w:rPr>
          <w:rFonts w:asciiTheme="majorHAnsi" w:hAnsiTheme="majorHAnsi"/>
          <w:sz w:val="20"/>
          <w:szCs w:val="20"/>
        </w:rPr>
      </w:pP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 xml:space="preserve">According to the petitioners' allegations, on Sunday, March 11, 2001, at around 6 a.m., in the </w:t>
      </w:r>
      <w:r w:rsidRPr="00CF557B">
        <w:rPr>
          <w:rFonts w:asciiTheme="majorHAnsi" w:hAnsiTheme="majorHAnsi"/>
          <w:i/>
          <w:iCs/>
          <w:sz w:val="20"/>
          <w:szCs w:val="20"/>
        </w:rPr>
        <w:t>Cooperativa de Bermejo</w:t>
      </w:r>
      <w:r w:rsidRPr="00CF557B">
        <w:rPr>
          <w:rFonts w:asciiTheme="majorHAnsi" w:hAnsiTheme="majorHAnsi"/>
          <w:sz w:val="20"/>
          <w:szCs w:val="20"/>
        </w:rPr>
        <w:t xml:space="preserve"> neighborhood, in the Department of </w:t>
      </w:r>
      <w:r w:rsidRPr="00CF557B">
        <w:rPr>
          <w:rFonts w:asciiTheme="majorHAnsi" w:hAnsiTheme="majorHAnsi"/>
          <w:i/>
          <w:iCs/>
          <w:sz w:val="20"/>
          <w:szCs w:val="20"/>
        </w:rPr>
        <w:t>Guaymallén</w:t>
      </w:r>
      <w:r w:rsidRPr="00CF557B">
        <w:rPr>
          <w:rFonts w:asciiTheme="majorHAnsi" w:hAnsiTheme="majorHAnsi"/>
          <w:sz w:val="20"/>
          <w:szCs w:val="20"/>
        </w:rPr>
        <w:t xml:space="preserve">, four young men, including Walter Mauro Yáñez, allegedly tried to enter a pantry-type shop. Alerted by the neighbors, the owner of the business, </w:t>
      </w:r>
      <w:r w:rsidRPr="00CF557B">
        <w:rPr>
          <w:rFonts w:asciiTheme="majorHAnsi" w:hAnsiTheme="majorHAnsi"/>
          <w:sz w:val="20"/>
          <w:szCs w:val="20"/>
        </w:rPr>
        <w:lastRenderedPageBreak/>
        <w:t>Mr. Rosendo Salvador Cabrillana and his son (Daniel Alejandro Cabrillana, Infantry Agent of the Mendoza Police Station) reportedly went to the place in the former's truck. The group of youngsters allegedly fled after recognizing the two men upon their arrival.</w:t>
      </w:r>
    </w:p>
    <w:p w:rsidR="0061137D" w:rsidRPr="00CF557B" w:rsidRDefault="0061137D" w:rsidP="0061137D">
      <w:pPr>
        <w:tabs>
          <w:tab w:val="center" w:pos="630"/>
        </w:tabs>
        <w:suppressAutoHyphens/>
        <w:ind w:firstLine="720"/>
        <w:jc w:val="both"/>
        <w:rPr>
          <w:rFonts w:asciiTheme="majorHAnsi" w:hAnsiTheme="majorHAnsi"/>
          <w:sz w:val="20"/>
          <w:szCs w:val="20"/>
        </w:rPr>
      </w:pP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According to the defendant's version, the young men had allegedly opened fire on him and his father, ignoring the command "POLICE STOP", allegedly forcing him to draw and operate the regulation weapon in self-defense. As a result, young Walter Mauro David Yáñez, aged 20, would have been mortally wounded.</w:t>
      </w:r>
    </w:p>
    <w:p w:rsidR="0061137D" w:rsidRPr="00CF557B" w:rsidRDefault="0061137D" w:rsidP="0061137D">
      <w:pPr>
        <w:tabs>
          <w:tab w:val="center" w:pos="630"/>
        </w:tabs>
        <w:suppressAutoHyphens/>
        <w:jc w:val="both"/>
        <w:rPr>
          <w:rFonts w:asciiTheme="majorHAnsi" w:hAnsiTheme="majorHAnsi"/>
          <w:sz w:val="20"/>
          <w:szCs w:val="20"/>
        </w:rPr>
      </w:pP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According to the version of those who accompanied the victim, the defendant had opened fire without giving the command of "POLICE STOP", and while they fled completely unarmed, the alleged victim was found still alive by the defendant and his father moments after the shooting, who, upon seeing him, allegedly put him in their truck to take him to the Central Hospital, where he allegedly died hours later. Later, Agent Cabrillana went to the police station to submit his weapon.</w:t>
      </w:r>
    </w:p>
    <w:p w:rsidR="0061137D" w:rsidRPr="00CF557B" w:rsidRDefault="0061137D" w:rsidP="0061137D">
      <w:pPr>
        <w:tabs>
          <w:tab w:val="center" w:pos="630"/>
        </w:tabs>
        <w:suppressAutoHyphens/>
        <w:ind w:firstLine="720"/>
        <w:jc w:val="both"/>
        <w:rPr>
          <w:rFonts w:asciiTheme="majorHAnsi" w:hAnsiTheme="majorHAnsi"/>
          <w:sz w:val="20"/>
          <w:szCs w:val="20"/>
        </w:rPr>
      </w:pPr>
      <w:r w:rsidRPr="00CF557B">
        <w:rPr>
          <w:rFonts w:asciiTheme="majorHAnsi" w:hAnsiTheme="majorHAnsi"/>
          <w:sz w:val="20"/>
          <w:szCs w:val="20"/>
        </w:rPr>
        <w:t xml:space="preserve">  </w:t>
      </w: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These events allegedly resulted in case No. 90.922 “Prosecutor v / Cabrillana Daniel A. p / Attempt of Aggravated Robbery followed by death”, filed in the Seventh Investigating Court, of the First Judicial District of the Province of Mendoza. On April 11, 2001, the Investigating Judge ruled that there was insufficient evidence to proceed to trial and released the defendant from house arrest. Later, on April 18, the Office of Public Prosecutor alleged the nullity of the witness statements of those who had participated in the attempt of aggravated robbery, on account of their status as defendants in the proceedings of the case, as well as the ruling of insufficient evidence to proceed to trial, for having been based on the same statements.</w:t>
      </w:r>
    </w:p>
    <w:p w:rsidR="0061137D" w:rsidRPr="00CF557B" w:rsidRDefault="0061137D" w:rsidP="0061137D">
      <w:pPr>
        <w:rPr>
          <w:rFonts w:asciiTheme="majorHAnsi" w:hAnsiTheme="majorHAnsi"/>
          <w:sz w:val="20"/>
          <w:szCs w:val="20"/>
        </w:rPr>
      </w:pP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On April 20, 2001, after the ruling of insufficient evidence to proceed to trial had been issued, the autopsy performed on the corpse of Walter Mauro Yáñez was added to the record, which allegedly determined that the cause of death was a “hypovolemic shock, internal hemorrhage and a gunshot wound from the back to front”. According to the petitioners, on May 14, 2001, the Judge ruled on the motion for nullity, declaring null all the actions requested by the Office of the Public Prosecutor. Subsequently, on May 15, 2001, the Judge issued a new order of insufficient evidence to proceed to trial t and release from house arrest.</w:t>
      </w:r>
    </w:p>
    <w:p w:rsidR="0061137D" w:rsidRPr="00CF557B" w:rsidRDefault="0061137D" w:rsidP="0061137D">
      <w:pPr>
        <w:rPr>
          <w:rFonts w:asciiTheme="majorHAnsi" w:hAnsiTheme="majorHAnsi"/>
          <w:sz w:val="20"/>
          <w:szCs w:val="20"/>
        </w:rPr>
      </w:pP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On October 26, 2001, the Central Hospital was requested to send the alleged victim's medical record, which was attached to the file on February 1, 2002. As indicated by the petitioners, on November 21, 2001, they allegedly asked the Judge to issue an indictment against the accused. On November 26, 2001, the case against the defendant was dismissed, as the period of the extraordinary extension had expired, and the Judge understood the situation of doubt regarding the facts under investigation had not changed. The petitioners reported that they had allegedly appealed this dismissal and that this appeal had been rejected. Thus, they allegedly filed a new appeal, which also was allegedly rejected by the Judge.</w:t>
      </w:r>
    </w:p>
    <w:p w:rsidR="0061137D" w:rsidRPr="00CF557B" w:rsidRDefault="0061137D" w:rsidP="0061137D">
      <w:pPr>
        <w:tabs>
          <w:tab w:val="center" w:pos="630"/>
        </w:tabs>
        <w:suppressAutoHyphens/>
        <w:ind w:firstLine="720"/>
        <w:jc w:val="both"/>
        <w:rPr>
          <w:rFonts w:asciiTheme="majorHAnsi" w:hAnsiTheme="majorHAnsi"/>
          <w:sz w:val="20"/>
          <w:szCs w:val="20"/>
        </w:rPr>
      </w:pPr>
    </w:p>
    <w:p w:rsidR="0061137D" w:rsidRPr="00CF557B" w:rsidRDefault="0061137D" w:rsidP="0061137D">
      <w:pPr>
        <w:pStyle w:val="ListParagraph"/>
        <w:numPr>
          <w:ilvl w:val="0"/>
          <w:numId w:val="105"/>
        </w:numPr>
        <w:tabs>
          <w:tab w:val="center" w:pos="630"/>
        </w:tabs>
        <w:suppressAutoHyphens/>
        <w:ind w:left="0" w:firstLine="720"/>
        <w:jc w:val="both"/>
        <w:rPr>
          <w:rFonts w:asciiTheme="majorHAnsi" w:hAnsiTheme="majorHAnsi"/>
          <w:sz w:val="20"/>
          <w:szCs w:val="20"/>
        </w:rPr>
      </w:pPr>
      <w:r w:rsidRPr="00CF557B">
        <w:rPr>
          <w:rFonts w:asciiTheme="majorHAnsi" w:hAnsiTheme="majorHAnsi"/>
          <w:sz w:val="20"/>
          <w:szCs w:val="20"/>
        </w:rPr>
        <w:t xml:space="preserve">Consequently, not having received a favorable response, the petitioners filed a writ of certiorari with the Supreme Court of Justice of </w:t>
      </w:r>
      <w:r w:rsidR="00CF557B" w:rsidRPr="00CF557B">
        <w:rPr>
          <w:rFonts w:asciiTheme="majorHAnsi" w:hAnsiTheme="majorHAnsi"/>
          <w:sz w:val="20"/>
          <w:szCs w:val="20"/>
        </w:rPr>
        <w:t>the Province of</w:t>
      </w:r>
      <w:r w:rsidRPr="00CF557B">
        <w:rPr>
          <w:rFonts w:asciiTheme="majorHAnsi" w:hAnsiTheme="majorHAnsi"/>
          <w:sz w:val="20"/>
          <w:szCs w:val="20"/>
        </w:rPr>
        <w:t xml:space="preserve"> Mendoza, which also rejected the petition filed by the petitioners.</w:t>
      </w:r>
    </w:p>
    <w:p w:rsidR="0061137D" w:rsidRPr="00CF557B" w:rsidRDefault="0061137D" w:rsidP="0061137D">
      <w:pPr>
        <w:tabs>
          <w:tab w:val="center" w:pos="720"/>
        </w:tabs>
        <w:suppressAutoHyphens/>
        <w:ind w:firstLine="720"/>
        <w:jc w:val="both"/>
        <w:rPr>
          <w:rFonts w:asciiTheme="majorHAnsi" w:hAnsiTheme="majorHAnsi"/>
          <w:b/>
          <w:sz w:val="20"/>
          <w:szCs w:val="20"/>
        </w:rPr>
      </w:pPr>
    </w:p>
    <w:p w:rsidR="0061137D" w:rsidRPr="00CF557B" w:rsidRDefault="0061137D" w:rsidP="0061137D">
      <w:pPr>
        <w:tabs>
          <w:tab w:val="center" w:pos="720"/>
        </w:tabs>
        <w:suppressAutoHyphens/>
        <w:ind w:firstLine="720"/>
        <w:jc w:val="both"/>
        <w:rPr>
          <w:rFonts w:asciiTheme="majorHAnsi" w:hAnsiTheme="majorHAnsi"/>
          <w:b/>
          <w:sz w:val="20"/>
          <w:szCs w:val="20"/>
        </w:rPr>
      </w:pPr>
      <w:r w:rsidRPr="00CF557B">
        <w:rPr>
          <w:rFonts w:asciiTheme="majorHAnsi" w:hAnsiTheme="majorHAnsi"/>
          <w:b/>
          <w:sz w:val="20"/>
          <w:szCs w:val="20"/>
        </w:rPr>
        <w:t>III.          FRIENDLY SETTLEMENT</w:t>
      </w:r>
    </w:p>
    <w:p w:rsidR="0061137D" w:rsidRPr="00CF557B" w:rsidRDefault="0061137D" w:rsidP="0061137D">
      <w:pPr>
        <w:tabs>
          <w:tab w:val="center" w:pos="720"/>
        </w:tabs>
        <w:suppressAutoHyphens/>
        <w:ind w:firstLine="720"/>
        <w:jc w:val="both"/>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0" w:firstLine="720"/>
        <w:jc w:val="both"/>
        <w:rPr>
          <w:rFonts w:asciiTheme="majorHAnsi" w:hAnsiTheme="majorHAnsi"/>
          <w:sz w:val="20"/>
          <w:szCs w:val="20"/>
        </w:rPr>
      </w:pPr>
      <w:r w:rsidRPr="00CF557B">
        <w:rPr>
          <w:rFonts w:asciiTheme="majorHAnsi" w:hAnsiTheme="majorHAnsi"/>
          <w:sz w:val="20"/>
          <w:szCs w:val="20"/>
        </w:rPr>
        <w:t>On July 29, 2020, the parties signed a friendly settlement agreement. The text of the friendly settlement agreement sent to the IACHR is included below:</w:t>
      </w:r>
    </w:p>
    <w:p w:rsidR="0061137D" w:rsidRPr="00CF557B" w:rsidRDefault="0061137D" w:rsidP="0061137D">
      <w:pPr>
        <w:tabs>
          <w:tab w:val="center" w:pos="720"/>
        </w:tabs>
        <w:suppressAutoHyphens/>
        <w:rPr>
          <w:rFonts w:asciiTheme="majorHAnsi" w:hAnsiTheme="majorHAnsi"/>
          <w:sz w:val="20"/>
          <w:szCs w:val="20"/>
        </w:rPr>
      </w:pPr>
    </w:p>
    <w:p w:rsidR="0061137D" w:rsidRPr="00CF557B" w:rsidRDefault="0061137D" w:rsidP="0061137D">
      <w:pPr>
        <w:tabs>
          <w:tab w:val="center" w:pos="720"/>
        </w:tabs>
        <w:suppressAutoHyphens/>
        <w:jc w:val="center"/>
        <w:rPr>
          <w:rFonts w:asciiTheme="majorHAnsi" w:hAnsiTheme="majorHAnsi"/>
          <w:b/>
          <w:sz w:val="20"/>
          <w:szCs w:val="20"/>
        </w:rPr>
      </w:pPr>
      <w:r w:rsidRPr="00CF557B">
        <w:rPr>
          <w:rFonts w:asciiTheme="majorHAnsi" w:hAnsiTheme="majorHAnsi"/>
          <w:b/>
          <w:sz w:val="20"/>
          <w:szCs w:val="20"/>
        </w:rPr>
        <w:t>FRIENDLY SETTLEMENT AGREEMENT PETITION P-245-03</w:t>
      </w:r>
    </w:p>
    <w:p w:rsidR="0061137D" w:rsidRPr="00CF557B" w:rsidRDefault="0061137D" w:rsidP="0061137D">
      <w:pPr>
        <w:tabs>
          <w:tab w:val="center" w:pos="720"/>
        </w:tabs>
        <w:suppressAutoHyphens/>
        <w:jc w:val="center"/>
        <w:rPr>
          <w:rFonts w:asciiTheme="majorHAnsi" w:hAnsiTheme="majorHAnsi"/>
          <w:b/>
          <w:sz w:val="20"/>
          <w:szCs w:val="20"/>
        </w:rPr>
      </w:pPr>
      <w:r w:rsidRPr="00CF557B">
        <w:rPr>
          <w:rFonts w:asciiTheme="majorHAnsi" w:hAnsiTheme="majorHAnsi"/>
          <w:b/>
          <w:sz w:val="20"/>
          <w:szCs w:val="20"/>
        </w:rPr>
        <w:t>Walter Mauro Yáñez</w:t>
      </w:r>
    </w:p>
    <w:p w:rsidR="0061137D" w:rsidRPr="00CF557B" w:rsidRDefault="0061137D" w:rsidP="0061137D">
      <w:pPr>
        <w:tabs>
          <w:tab w:val="center" w:pos="720"/>
        </w:tabs>
        <w:suppressAutoHyphens/>
        <w:jc w:val="center"/>
        <w:rPr>
          <w:rFonts w:asciiTheme="majorHAnsi" w:hAnsiTheme="majorHAnsi"/>
          <w:b/>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r w:rsidRPr="00CF557B">
        <w:rPr>
          <w:rFonts w:asciiTheme="majorHAnsi" w:hAnsiTheme="majorHAnsi" w:cstheme="minorHAnsi"/>
          <w:sz w:val="20"/>
          <w:szCs w:val="20"/>
        </w:rPr>
        <w:t xml:space="preserve">In the Autonomous City of Buenos Aires, Argentine Republic, on July 29, 2020, the parties to Petition P. 245-03 “WALTER MAURO YAÑEZ vs. REPÚBLICA ARGENTINA” from the registry of the Inter-American Commission on Human Rights, represented in this act by Dr. Pablo SALINAS, for the petitioners, and Dr. Andrea POCHAK —Under-Secretary for Protection and International Liaison of Human Rights of the Nation—, Dr. Gabriela Laura KLETZEL —National Director of International Legal Affairs in Human Rights— of the National Secretariat </w:t>
      </w:r>
      <w:r w:rsidRPr="00CF557B">
        <w:rPr>
          <w:rFonts w:asciiTheme="majorHAnsi" w:hAnsiTheme="majorHAnsi" w:cstheme="minorHAnsi"/>
          <w:sz w:val="20"/>
          <w:szCs w:val="20"/>
        </w:rPr>
        <w:lastRenderedPageBreak/>
        <w:t>for Human Rights, and Dr. A. Javier SALGADO —Director of International Litigation in Human Rights of the Ministry of Foreign Relations, International Trade and Worship—, for the ARGENTINE STATE, in its capacity as a party to the American Convention on Human Rights, acting by express mandate of Article 99 paragraph 11 of the Argentine Constitution, agree to enter into this FRIENDLY SETTLEMENT AGREEMENT.</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r w:rsidRPr="00CF557B">
        <w:rPr>
          <w:rFonts w:asciiTheme="majorHAnsi" w:hAnsiTheme="majorHAnsi" w:cstheme="minorHAnsi"/>
          <w:b/>
          <w:sz w:val="20"/>
          <w:szCs w:val="20"/>
        </w:rPr>
        <w:t>I. The friendly settlement process between the petitioners and the Government of the Province of Mendoza</w:t>
      </w:r>
      <w:r w:rsidRPr="00CF557B">
        <w:rPr>
          <w:rFonts w:asciiTheme="majorHAnsi" w:hAnsiTheme="majorHAnsi" w:cstheme="minorHAnsi"/>
          <w:sz w:val="20"/>
          <w:szCs w:val="20"/>
        </w:rPr>
        <w:t>.</w:t>
      </w: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p>
    <w:p w:rsidR="0061137D" w:rsidRPr="00CF557B" w:rsidRDefault="0061137D" w:rsidP="0061137D">
      <w:pPr>
        <w:suppressAutoHyphens/>
        <w:ind w:left="709" w:right="835"/>
        <w:jc w:val="both"/>
        <w:rPr>
          <w:rFonts w:asciiTheme="majorHAnsi" w:hAnsiTheme="majorHAnsi" w:cstheme="minorHAnsi"/>
          <w:sz w:val="20"/>
          <w:szCs w:val="20"/>
        </w:rPr>
      </w:pPr>
      <w:r w:rsidRPr="00CF557B">
        <w:rPr>
          <w:rFonts w:asciiTheme="majorHAnsi" w:hAnsiTheme="majorHAnsi" w:cstheme="minorHAnsi"/>
          <w:sz w:val="20"/>
          <w:szCs w:val="20"/>
        </w:rPr>
        <w:t>A. As was duly communicated to the Illustrious Inter-American Commission on Human Rights, the petitioners and the provincial authorities opened a space for dialogue to explore a friendly settlement on the matter.</w:t>
      </w:r>
    </w:p>
    <w:p w:rsidR="0061137D" w:rsidRPr="00CF557B" w:rsidRDefault="0061137D" w:rsidP="0061137D">
      <w:pPr>
        <w:suppressAutoHyphens/>
        <w:ind w:left="709" w:right="835"/>
        <w:jc w:val="both"/>
        <w:rPr>
          <w:rFonts w:asciiTheme="majorHAnsi" w:hAnsiTheme="majorHAnsi" w:cstheme="minorHAnsi"/>
          <w:sz w:val="20"/>
          <w:szCs w:val="20"/>
        </w:rPr>
      </w:pPr>
    </w:p>
    <w:p w:rsidR="0061137D" w:rsidRPr="00CF557B" w:rsidRDefault="0061137D" w:rsidP="0061137D">
      <w:pPr>
        <w:suppressAutoHyphens/>
        <w:ind w:left="709" w:right="835"/>
        <w:jc w:val="both"/>
        <w:rPr>
          <w:rFonts w:asciiTheme="majorHAnsi" w:hAnsiTheme="majorHAnsi" w:cstheme="minorHAnsi"/>
          <w:sz w:val="20"/>
          <w:szCs w:val="20"/>
        </w:rPr>
      </w:pPr>
      <w:r w:rsidRPr="00CF557B">
        <w:rPr>
          <w:rFonts w:asciiTheme="majorHAnsi" w:hAnsiTheme="majorHAnsi" w:cstheme="minorHAnsi"/>
          <w:sz w:val="20"/>
          <w:szCs w:val="20"/>
        </w:rPr>
        <w:t>B. In the framework of said dialogue, the Province of Mendoza and the petitioners reached a Friendly Settlement Agreement which was approved by Provincial Decree No. 2265, published on January 8, 2013 and later ratified by Law No. 8813 published on September 21, 2015, in accordance with the provisions of the Provincial Constitution.</w:t>
      </w:r>
    </w:p>
    <w:p w:rsidR="0061137D" w:rsidRPr="00CF557B" w:rsidRDefault="0061137D" w:rsidP="0061137D">
      <w:pPr>
        <w:suppressAutoHyphens/>
        <w:ind w:left="709" w:right="835"/>
        <w:jc w:val="both"/>
        <w:rPr>
          <w:rFonts w:asciiTheme="majorHAnsi" w:hAnsiTheme="majorHAnsi" w:cstheme="minorHAnsi"/>
          <w:sz w:val="20"/>
          <w:szCs w:val="20"/>
        </w:rPr>
      </w:pPr>
    </w:p>
    <w:p w:rsidR="0061137D" w:rsidRPr="00CF557B" w:rsidRDefault="0061137D" w:rsidP="0061137D">
      <w:pPr>
        <w:suppressAutoHyphens/>
        <w:ind w:left="709" w:right="835"/>
        <w:jc w:val="both"/>
        <w:rPr>
          <w:rFonts w:asciiTheme="majorHAnsi" w:hAnsiTheme="majorHAnsi" w:cstheme="minorHAnsi"/>
          <w:sz w:val="20"/>
          <w:szCs w:val="20"/>
        </w:rPr>
      </w:pPr>
      <w:r w:rsidRPr="00CF557B">
        <w:rPr>
          <w:rFonts w:asciiTheme="majorHAnsi" w:hAnsiTheme="majorHAnsi" w:cstheme="minorHAnsi"/>
          <w:sz w:val="20"/>
          <w:szCs w:val="20"/>
        </w:rPr>
        <w:t>C. The text of the Agreement is reproduced below.</w:t>
      </w:r>
    </w:p>
    <w:p w:rsidR="0061137D" w:rsidRPr="00CF557B" w:rsidRDefault="0061137D" w:rsidP="0061137D">
      <w:pPr>
        <w:suppressAutoHyphens/>
        <w:ind w:left="709" w:right="835"/>
        <w:jc w:val="both"/>
        <w:rPr>
          <w:rFonts w:asciiTheme="majorHAnsi" w:hAnsiTheme="majorHAnsi" w:cstheme="minorHAnsi"/>
          <w:sz w:val="20"/>
          <w:szCs w:val="20"/>
        </w:rPr>
      </w:pPr>
    </w:p>
    <w:p w:rsidR="0061137D" w:rsidRPr="00CF557B" w:rsidRDefault="0061137D" w:rsidP="0061137D">
      <w:pPr>
        <w:suppressAutoHyphens/>
        <w:ind w:left="1134" w:right="835" w:hanging="425"/>
        <w:jc w:val="both"/>
        <w:rPr>
          <w:rFonts w:asciiTheme="majorHAnsi" w:hAnsiTheme="majorHAnsi" w:cstheme="minorHAnsi"/>
          <w:sz w:val="20"/>
          <w:szCs w:val="20"/>
        </w:rPr>
      </w:pPr>
      <w:r w:rsidRPr="00CF557B">
        <w:rPr>
          <w:rFonts w:asciiTheme="majorHAnsi" w:hAnsiTheme="majorHAnsi" w:cstheme="minorHAnsi"/>
          <w:sz w:val="20"/>
          <w:szCs w:val="20"/>
        </w:rPr>
        <w:t>“1)   That in light of the time elapsed since the signing of the minutes at pages. 98/99, dated November 3, 2009; the parties meet in order to fully ratify it in accordance with the clauses set forth therein, with the exception that the clause under which OSEP coverage was requested is eliminated in conformity with the withdrawal of such request made at page. 118. To this end, the aforementioned provisions are transcribed:</w:t>
      </w:r>
    </w:p>
    <w:p w:rsidR="0061137D" w:rsidRPr="00CF557B" w:rsidRDefault="0061137D" w:rsidP="0061137D">
      <w:pPr>
        <w:suppressAutoHyphens/>
        <w:ind w:left="709" w:right="835"/>
        <w:jc w:val="both"/>
        <w:rPr>
          <w:rFonts w:asciiTheme="majorHAnsi" w:hAnsiTheme="majorHAnsi" w:cstheme="minorHAnsi"/>
          <w:sz w:val="20"/>
          <w:szCs w:val="20"/>
        </w:rPr>
      </w:pPr>
    </w:p>
    <w:p w:rsidR="0061137D" w:rsidRPr="00CF557B" w:rsidRDefault="0061137D" w:rsidP="0061137D">
      <w:pPr>
        <w:pStyle w:val="ListParagraph"/>
        <w:numPr>
          <w:ilvl w:val="0"/>
          <w:numId w:val="107"/>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Rescind point 4 of Minutes No. 1 of the friendly settlement efforts, dated February 19, 2008, added to page. 11 of administrative file N ° 4604-S-07- 00100.</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pStyle w:val="ListParagraph"/>
        <w:numPr>
          <w:ilvl w:val="0"/>
          <w:numId w:val="107"/>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Continue with the friendly settlement process, provided for in Article 41 (Sic) of the IACHR Rules of Procedure, in accordance with the communication sent on July 21, 2005 to the Ambassador Representative for Human Rights in the International Sphere of the Ministry of Foreign Affairs International Trade and Cult of the Nation, Dr. Horacio Méndez Carreras.</w:t>
      </w:r>
    </w:p>
    <w:p w:rsidR="0061137D" w:rsidRPr="00CF557B" w:rsidRDefault="0061137D" w:rsidP="0061137D">
      <w:pPr>
        <w:rPr>
          <w:rFonts w:asciiTheme="majorHAnsi" w:hAnsiTheme="majorHAnsi" w:cstheme="minorHAnsi"/>
          <w:sz w:val="20"/>
          <w:szCs w:val="20"/>
        </w:rPr>
      </w:pPr>
    </w:p>
    <w:p w:rsidR="0061137D" w:rsidRPr="00CF557B" w:rsidRDefault="0061137D" w:rsidP="0061137D">
      <w:pPr>
        <w:pStyle w:val="ListParagraph"/>
        <w:numPr>
          <w:ilvl w:val="0"/>
          <w:numId w:val="107"/>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 xml:space="preserve">In accordance with the statement in the preceding point, the Government of the Province of Mendoza undertakes to make full reparation to the successors in title of Walter Mauro </w:t>
      </w:r>
      <w:r w:rsidR="009C351A" w:rsidRPr="00CF557B">
        <w:rPr>
          <w:rFonts w:asciiTheme="majorHAnsi" w:hAnsiTheme="majorHAnsi" w:cstheme="minorHAnsi"/>
          <w:sz w:val="20"/>
          <w:szCs w:val="20"/>
        </w:rPr>
        <w:t>Yañez</w:t>
      </w:r>
      <w:r w:rsidRPr="00CF557B">
        <w:rPr>
          <w:rFonts w:asciiTheme="majorHAnsi" w:hAnsiTheme="majorHAnsi" w:cstheme="minorHAnsi"/>
          <w:sz w:val="20"/>
          <w:szCs w:val="20"/>
        </w:rPr>
        <w:t>, with prior agreement of the Attorney General, as follows:</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pStyle w:val="ListParagraph"/>
        <w:numPr>
          <w:ilvl w:val="0"/>
          <w:numId w:val="108"/>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By the highest authorities of the Province of Mendoza making a public request for an apology to the next of kin of the victim;</w:t>
      </w:r>
    </w:p>
    <w:p w:rsidR="0061137D" w:rsidRPr="00CF557B" w:rsidRDefault="0061137D" w:rsidP="0061137D">
      <w:pPr>
        <w:tabs>
          <w:tab w:val="center" w:pos="720"/>
        </w:tabs>
        <w:suppressAutoHyphens/>
        <w:ind w:left="765" w:right="835"/>
        <w:jc w:val="both"/>
        <w:rPr>
          <w:rFonts w:asciiTheme="majorHAnsi" w:hAnsiTheme="majorHAnsi" w:cstheme="minorHAnsi"/>
          <w:sz w:val="20"/>
          <w:szCs w:val="20"/>
        </w:rPr>
      </w:pPr>
    </w:p>
    <w:p w:rsidR="0061137D" w:rsidRPr="00CF557B" w:rsidRDefault="0061137D" w:rsidP="0061137D">
      <w:pPr>
        <w:pStyle w:val="ListParagraph"/>
        <w:numPr>
          <w:ilvl w:val="0"/>
          <w:numId w:val="108"/>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Initiate the corresponding procedures to create a Human Rights Prosecution Unit at the Office of the Public Prosecutor, which would be in charge of conducting the preparatory criminal investigation of crimes committed by members of the Security and Prison Forces and Penitentiaries.</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pStyle w:val="ListParagraph"/>
        <w:numPr>
          <w:ilvl w:val="0"/>
          <w:numId w:val="108"/>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Permanently train members of the Security and Prison Forces on Human Rights.</w:t>
      </w:r>
    </w:p>
    <w:p w:rsidR="0061137D" w:rsidRPr="00CF557B" w:rsidRDefault="0061137D" w:rsidP="0061137D">
      <w:pPr>
        <w:pStyle w:val="ListParagraph"/>
        <w:tabs>
          <w:tab w:val="center" w:pos="720"/>
        </w:tabs>
        <w:suppressAutoHyphens/>
        <w:ind w:left="1125" w:right="835"/>
        <w:jc w:val="both"/>
        <w:rPr>
          <w:rFonts w:asciiTheme="majorHAnsi" w:hAnsiTheme="majorHAnsi" w:cstheme="minorHAnsi"/>
          <w:sz w:val="20"/>
          <w:szCs w:val="20"/>
        </w:rPr>
      </w:pPr>
    </w:p>
    <w:p w:rsidR="0061137D" w:rsidRPr="00CF557B" w:rsidRDefault="0061137D" w:rsidP="0061137D">
      <w:pPr>
        <w:pStyle w:val="ListParagraph"/>
        <w:numPr>
          <w:ilvl w:val="0"/>
          <w:numId w:val="108"/>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 xml:space="preserve">Provide compensation in the amount of $ 135.000 (one hundred and thirty-five thousand pesos) to Ms. Norma del Carmen </w:t>
      </w:r>
      <w:r w:rsidR="009C351A" w:rsidRPr="00CF557B">
        <w:rPr>
          <w:rFonts w:asciiTheme="majorHAnsi" w:hAnsiTheme="majorHAnsi" w:cstheme="minorHAnsi"/>
          <w:sz w:val="20"/>
          <w:szCs w:val="20"/>
        </w:rPr>
        <w:t>Yañez</w:t>
      </w:r>
      <w:r w:rsidRPr="00CF557B">
        <w:rPr>
          <w:rFonts w:asciiTheme="majorHAnsi" w:hAnsiTheme="majorHAnsi" w:cstheme="minorHAnsi"/>
          <w:sz w:val="20"/>
          <w:szCs w:val="20"/>
        </w:rPr>
        <w:t xml:space="preserve"> for material and moral damages resulting from the violation of the right to fair trial and judicial protection during the investigation over the death of her son Walter Mauro </w:t>
      </w:r>
      <w:r w:rsidR="009C351A" w:rsidRPr="00CF557B">
        <w:rPr>
          <w:rFonts w:asciiTheme="majorHAnsi" w:hAnsiTheme="majorHAnsi" w:cstheme="minorHAnsi"/>
          <w:sz w:val="20"/>
          <w:szCs w:val="20"/>
        </w:rPr>
        <w:t>Yañez</w:t>
      </w:r>
      <w:r w:rsidRPr="00CF557B">
        <w:rPr>
          <w:rFonts w:asciiTheme="majorHAnsi" w:hAnsiTheme="majorHAnsi" w:cstheme="minorHAnsi"/>
          <w:sz w:val="20"/>
          <w:szCs w:val="20"/>
        </w:rPr>
        <w:t>.</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pStyle w:val="ListParagraph"/>
        <w:numPr>
          <w:ilvl w:val="0"/>
          <w:numId w:val="108"/>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lastRenderedPageBreak/>
        <w:t xml:space="preserve">Pay Ms. Norma del Carmen </w:t>
      </w:r>
      <w:r w:rsidR="009C351A" w:rsidRPr="00CF557B">
        <w:rPr>
          <w:rFonts w:asciiTheme="majorHAnsi" w:hAnsiTheme="majorHAnsi" w:cstheme="minorHAnsi"/>
          <w:sz w:val="20"/>
          <w:szCs w:val="20"/>
        </w:rPr>
        <w:t>Yañez</w:t>
      </w:r>
      <w:r w:rsidRPr="00CF557B">
        <w:rPr>
          <w:rFonts w:asciiTheme="majorHAnsi" w:hAnsiTheme="majorHAnsi" w:cstheme="minorHAnsi"/>
          <w:sz w:val="20"/>
          <w:szCs w:val="20"/>
        </w:rPr>
        <w:t xml:space="preserve"> the sum of $ 40.000 (forty thousand pesos) for professional fees and legal costs and expenses.</w:t>
      </w:r>
    </w:p>
    <w:p w:rsidR="0061137D" w:rsidRPr="00CF557B" w:rsidRDefault="0061137D" w:rsidP="0061137D">
      <w:pPr>
        <w:rPr>
          <w:rFonts w:asciiTheme="majorHAnsi" w:hAnsiTheme="majorHAnsi" w:cstheme="minorHAnsi"/>
          <w:sz w:val="20"/>
          <w:szCs w:val="20"/>
        </w:rPr>
      </w:pPr>
    </w:p>
    <w:p w:rsidR="0061137D" w:rsidRPr="00CF557B" w:rsidRDefault="0061137D" w:rsidP="0061137D">
      <w:pPr>
        <w:pStyle w:val="ListParagraph"/>
        <w:numPr>
          <w:ilvl w:val="0"/>
          <w:numId w:val="109"/>
        </w:numPr>
        <w:tabs>
          <w:tab w:val="center" w:pos="720"/>
        </w:tabs>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The parties will keep the authorities of the Ministry of Foreign Relations, International Trade and Worship of the Nation permanently informed, so it may evaluate all the background information.</w:t>
      </w: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p>
    <w:p w:rsidR="0061137D" w:rsidRPr="00CF557B" w:rsidRDefault="0061137D" w:rsidP="0061137D">
      <w:pPr>
        <w:pStyle w:val="ListParagraph"/>
        <w:numPr>
          <w:ilvl w:val="0"/>
          <w:numId w:val="109"/>
        </w:numPr>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This agreement will be submitted to the approval of the Governor by decree and ratification by law issued by the Honorable Provincial Legislature.</w:t>
      </w:r>
    </w:p>
    <w:p w:rsidR="0061137D" w:rsidRPr="00CF557B" w:rsidRDefault="0061137D" w:rsidP="0061137D">
      <w:pPr>
        <w:pStyle w:val="ListParagraph"/>
        <w:rPr>
          <w:rFonts w:asciiTheme="majorHAnsi" w:hAnsiTheme="majorHAnsi" w:cstheme="minorHAnsi"/>
          <w:sz w:val="20"/>
          <w:szCs w:val="20"/>
        </w:rPr>
      </w:pPr>
    </w:p>
    <w:p w:rsidR="0061137D" w:rsidRPr="00CF557B" w:rsidRDefault="0061137D" w:rsidP="0061137D">
      <w:pPr>
        <w:pStyle w:val="ListParagraph"/>
        <w:numPr>
          <w:ilvl w:val="0"/>
          <w:numId w:val="109"/>
        </w:numPr>
        <w:suppressAutoHyphens/>
        <w:ind w:right="835"/>
        <w:jc w:val="both"/>
        <w:rPr>
          <w:rFonts w:asciiTheme="majorHAnsi" w:hAnsiTheme="majorHAnsi" w:cstheme="minorHAnsi"/>
          <w:sz w:val="20"/>
          <w:szCs w:val="20"/>
        </w:rPr>
      </w:pPr>
      <w:r w:rsidRPr="00CF557B">
        <w:rPr>
          <w:rFonts w:asciiTheme="majorHAnsi" w:hAnsiTheme="majorHAnsi" w:cstheme="minorHAnsi"/>
          <w:sz w:val="20"/>
          <w:szCs w:val="20"/>
        </w:rPr>
        <w:t>Likewise, it is expressly stated that the parties agree that the compensation amounts previously established must be understood to be complemented with the interest accrued from the moment of publication of the Approval Decree in the Official Gazette of the Province of Mendoza.”</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b/>
          <w:sz w:val="20"/>
          <w:szCs w:val="20"/>
        </w:rPr>
      </w:pPr>
      <w:r w:rsidRPr="00CF557B">
        <w:rPr>
          <w:rFonts w:asciiTheme="majorHAnsi" w:hAnsiTheme="majorHAnsi" w:cstheme="minorHAnsi"/>
          <w:b/>
          <w:sz w:val="20"/>
          <w:szCs w:val="20"/>
        </w:rPr>
        <w:t>II. Friendly Settlement Agreement</w:t>
      </w: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r w:rsidRPr="00CF557B">
        <w:rPr>
          <w:rFonts w:asciiTheme="majorHAnsi" w:hAnsiTheme="majorHAnsi" w:cstheme="minorHAnsi"/>
          <w:sz w:val="20"/>
          <w:szCs w:val="20"/>
        </w:rPr>
        <w:t>A. The petitioner states that the reparation measures agreed to with the Government of the Province of Mendoza have been fully complied with and, consequently, it is appropriate to proceed to the signature of the definitive agreement between the petitioners and the Argentine State.</w:t>
      </w: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r w:rsidRPr="00CF557B">
        <w:rPr>
          <w:rFonts w:asciiTheme="majorHAnsi" w:hAnsiTheme="majorHAnsi" w:cstheme="minorHAnsi"/>
          <w:sz w:val="20"/>
          <w:szCs w:val="20"/>
        </w:rPr>
        <w:t>B. Likewise, the petitioner states that it definitively and irrevocably renounces to initiate any other claim of any nature against the Argentine State in relation to the present case.</w:t>
      </w:r>
    </w:p>
    <w:p w:rsidR="0061137D" w:rsidRPr="00CF557B" w:rsidRDefault="0061137D" w:rsidP="0061137D">
      <w:pPr>
        <w:tabs>
          <w:tab w:val="center" w:pos="720"/>
        </w:tabs>
        <w:suppressAutoHyphens/>
        <w:ind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b/>
          <w:sz w:val="20"/>
          <w:szCs w:val="20"/>
        </w:rPr>
      </w:pPr>
      <w:r w:rsidRPr="00CF557B">
        <w:rPr>
          <w:rFonts w:asciiTheme="majorHAnsi" w:hAnsiTheme="majorHAnsi" w:cstheme="minorHAnsi"/>
          <w:b/>
          <w:sz w:val="20"/>
          <w:szCs w:val="20"/>
        </w:rPr>
        <w:t>III. Petition</w:t>
      </w: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r w:rsidRPr="00CF557B">
        <w:rPr>
          <w:rFonts w:asciiTheme="majorHAnsi" w:hAnsiTheme="majorHAnsi" w:cstheme="minorHAnsi"/>
          <w:sz w:val="20"/>
          <w:szCs w:val="20"/>
        </w:rPr>
        <w:t>A. The Government of the ARGENTINE REPUBLIC and the petitioner welcome the signing of this agreement and mutually value the goodwill shown during the negotiation process.</w:t>
      </w: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p>
    <w:p w:rsidR="0061137D" w:rsidRPr="00CF557B" w:rsidRDefault="0061137D" w:rsidP="0061137D">
      <w:pPr>
        <w:tabs>
          <w:tab w:val="center" w:pos="720"/>
        </w:tabs>
        <w:suppressAutoHyphens/>
        <w:ind w:left="720" w:right="835"/>
        <w:jc w:val="both"/>
        <w:rPr>
          <w:rFonts w:asciiTheme="majorHAnsi" w:hAnsiTheme="majorHAnsi" w:cstheme="minorHAnsi"/>
          <w:sz w:val="20"/>
          <w:szCs w:val="20"/>
        </w:rPr>
      </w:pPr>
      <w:r w:rsidRPr="00CF557B">
        <w:rPr>
          <w:rFonts w:asciiTheme="majorHAnsi" w:hAnsiTheme="majorHAnsi" w:cstheme="minorHAnsi"/>
          <w:sz w:val="20"/>
          <w:szCs w:val="20"/>
        </w:rPr>
        <w:t>B. Based on this, the parties expressly request that the Inter-American Commission on Human Rights ratify this Friendly Settlement Agreement by adopting the Report provided for in Article 49 of the American Convention on Human Rights.</w:t>
      </w:r>
    </w:p>
    <w:p w:rsidR="0061137D" w:rsidRPr="00CF557B" w:rsidRDefault="0061137D" w:rsidP="0061137D">
      <w:pPr>
        <w:tabs>
          <w:tab w:val="center" w:pos="720"/>
        </w:tabs>
        <w:suppressAutoHyphens/>
        <w:jc w:val="both"/>
        <w:rPr>
          <w:rFonts w:asciiTheme="majorHAnsi" w:hAnsiTheme="majorHAnsi"/>
          <w:sz w:val="20"/>
          <w:szCs w:val="20"/>
        </w:rPr>
      </w:pPr>
    </w:p>
    <w:p w:rsidR="0061137D" w:rsidRPr="00CF557B" w:rsidRDefault="0061137D" w:rsidP="0061137D">
      <w:pPr>
        <w:tabs>
          <w:tab w:val="center" w:pos="720"/>
        </w:tabs>
        <w:suppressAutoHyphens/>
        <w:ind w:firstLine="720"/>
        <w:jc w:val="both"/>
        <w:rPr>
          <w:rFonts w:asciiTheme="majorHAnsi" w:hAnsiTheme="majorHAnsi"/>
          <w:b/>
          <w:sz w:val="20"/>
          <w:szCs w:val="20"/>
        </w:rPr>
      </w:pPr>
      <w:r w:rsidRPr="00CF557B">
        <w:rPr>
          <w:rFonts w:asciiTheme="majorHAnsi" w:hAnsiTheme="majorHAnsi"/>
          <w:b/>
          <w:sz w:val="20"/>
          <w:szCs w:val="20"/>
        </w:rPr>
        <w:t xml:space="preserve">IV.         DETERMINATION OF COMPATIBILITY AND COMPLIANCE </w:t>
      </w:r>
    </w:p>
    <w:p w:rsidR="0061137D" w:rsidRPr="00CF557B" w:rsidRDefault="0061137D" w:rsidP="0061137D">
      <w:pPr>
        <w:tabs>
          <w:tab w:val="center" w:pos="720"/>
        </w:tabs>
        <w:suppressAutoHyphens/>
        <w:ind w:firstLine="720"/>
        <w:jc w:val="both"/>
        <w:rPr>
          <w:rFonts w:asciiTheme="majorHAnsi" w:hAnsiTheme="majorHAnsi"/>
          <w:sz w:val="20"/>
          <w:szCs w:val="20"/>
        </w:rPr>
      </w:pPr>
    </w:p>
    <w:p w:rsidR="0061137D" w:rsidRPr="00CF557B" w:rsidRDefault="0061137D" w:rsidP="0061137D">
      <w:pPr>
        <w:pStyle w:val="ListParagraph"/>
        <w:numPr>
          <w:ilvl w:val="0"/>
          <w:numId w:val="105"/>
        </w:numPr>
        <w:tabs>
          <w:tab w:val="left" w:pos="0"/>
          <w:tab w:val="left" w:pos="180"/>
        </w:tabs>
        <w:ind w:left="0" w:firstLine="720"/>
        <w:jc w:val="both"/>
        <w:rPr>
          <w:rFonts w:cs="Calibri"/>
          <w:sz w:val="20"/>
          <w:szCs w:val="20"/>
        </w:rPr>
      </w:pPr>
      <w:r w:rsidRPr="00CF557B">
        <w:rPr>
          <w:rFonts w:cs="Calibri"/>
          <w:sz w:val="20"/>
          <w:szCs w:val="20"/>
        </w:rPr>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CF557B">
        <w:rPr>
          <w:rFonts w:cs="Calibri"/>
          <w:i/>
          <w:sz w:val="20"/>
          <w:szCs w:val="20"/>
        </w:rPr>
        <w:t>pacta sunt servanda</w:t>
      </w:r>
      <w:r w:rsidRPr="00CF557B">
        <w:rPr>
          <w:rFonts w:cs="Calibri"/>
          <w:sz w:val="20"/>
          <w:szCs w:val="20"/>
        </w:rPr>
        <w:t>, by which states should carry out their treaty obligations in good faith.</w:t>
      </w:r>
      <w:r w:rsidRPr="00CF557B">
        <w:rPr>
          <w:rStyle w:val="FootnoteReference"/>
          <w:rFonts w:cs="Calibri"/>
          <w:sz w:val="20"/>
          <w:szCs w:val="20"/>
        </w:rPr>
        <w:footnoteReference w:id="2"/>
      </w:r>
      <w:r w:rsidRPr="00CF557B">
        <w:rPr>
          <w:rFonts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61137D" w:rsidRPr="00CF557B" w:rsidRDefault="0061137D" w:rsidP="0061137D">
      <w:pPr>
        <w:tabs>
          <w:tab w:val="center" w:pos="720"/>
        </w:tabs>
        <w:suppressAutoHyphens/>
        <w:ind w:left="90"/>
        <w:jc w:val="both"/>
        <w:rPr>
          <w:rFonts w:asciiTheme="majorHAnsi" w:hAnsiTheme="majorHAnsi"/>
          <w:sz w:val="20"/>
          <w:szCs w:val="20"/>
        </w:rPr>
      </w:pPr>
      <w:r w:rsidRPr="00CF557B">
        <w:rPr>
          <w:rFonts w:asciiTheme="majorHAnsi" w:hAnsiTheme="majorHAnsi"/>
          <w:sz w:val="20"/>
          <w:szCs w:val="20"/>
        </w:rPr>
        <w:t xml:space="preserve"> </w:t>
      </w:r>
    </w:p>
    <w:p w:rsidR="0061137D" w:rsidRPr="00CF557B" w:rsidRDefault="0061137D" w:rsidP="0061137D">
      <w:pPr>
        <w:pStyle w:val="ListParagraph"/>
        <w:numPr>
          <w:ilvl w:val="0"/>
          <w:numId w:val="105"/>
        </w:numPr>
        <w:tabs>
          <w:tab w:val="center" w:pos="720"/>
        </w:tabs>
        <w:suppressAutoHyphens/>
        <w:ind w:left="90" w:firstLine="630"/>
        <w:jc w:val="both"/>
        <w:rPr>
          <w:rFonts w:asciiTheme="majorHAnsi" w:hAnsiTheme="majorHAnsi"/>
          <w:sz w:val="20"/>
          <w:szCs w:val="20"/>
        </w:rPr>
      </w:pPr>
      <w:r w:rsidRPr="00CF557B">
        <w:rPr>
          <w:rFonts w:asciiTheme="majorHAnsi" w:hAnsiTheme="majorHAnsi"/>
          <w:sz w:val="20"/>
          <w:szCs w:val="20"/>
        </w:rPr>
        <w:t xml:space="preserve">The Inter-American Commission on Human Rights has closely monitored the development of the friendly settlement achieved in this case and highly values the efforts made by both parties during the negotiation of the agreement to reach this friendly </w:t>
      </w:r>
      <w:r w:rsidR="00CF557B" w:rsidRPr="00CF557B">
        <w:rPr>
          <w:rFonts w:asciiTheme="majorHAnsi" w:hAnsiTheme="majorHAnsi"/>
          <w:sz w:val="20"/>
          <w:szCs w:val="20"/>
        </w:rPr>
        <w:t>settlement that</w:t>
      </w:r>
      <w:r w:rsidRPr="00CF557B">
        <w:rPr>
          <w:rFonts w:asciiTheme="majorHAnsi" w:hAnsiTheme="majorHAnsi"/>
          <w:sz w:val="20"/>
          <w:szCs w:val="20"/>
        </w:rPr>
        <w:t xml:space="preserve"> is compatible with the object and purpose of Convention.</w:t>
      </w:r>
    </w:p>
    <w:p w:rsidR="0061137D" w:rsidRPr="00CF557B" w:rsidRDefault="0061137D" w:rsidP="0061137D">
      <w:pPr>
        <w:pStyle w:val="ListParagraph"/>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0" w:firstLine="720"/>
        <w:jc w:val="both"/>
        <w:rPr>
          <w:rFonts w:asciiTheme="majorHAnsi" w:hAnsiTheme="majorHAnsi"/>
          <w:sz w:val="20"/>
          <w:szCs w:val="20"/>
        </w:rPr>
      </w:pPr>
      <w:r w:rsidRPr="00CF557B">
        <w:rPr>
          <w:rFonts w:asciiTheme="majorHAnsi" w:hAnsiTheme="majorHAnsi"/>
          <w:sz w:val="20"/>
          <w:szCs w:val="20"/>
        </w:rPr>
        <w:t xml:space="preserve">The IACHR observes that, in accordance with the provisions of section III of the friendly settlement agreement, the parties agreed to request the Commission to issue the report contemplated in Article </w:t>
      </w:r>
      <w:r w:rsidRPr="00CF557B">
        <w:rPr>
          <w:rFonts w:asciiTheme="majorHAnsi" w:hAnsiTheme="majorHAnsi"/>
          <w:sz w:val="20"/>
          <w:szCs w:val="20"/>
        </w:rPr>
        <w:lastRenderedPageBreak/>
        <w:t>49 of the American Convention, once the friendly settlement agreement was signed. Therefore, it is necessary to assess the content of and compliance with the friendly settlement agreement.</w:t>
      </w:r>
    </w:p>
    <w:p w:rsidR="0061137D" w:rsidRPr="00CF557B" w:rsidRDefault="0061137D" w:rsidP="0061137D">
      <w:pPr>
        <w:tabs>
          <w:tab w:val="center" w:pos="720"/>
        </w:tabs>
        <w:suppressAutoHyphens/>
        <w:jc w:val="both"/>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90" w:firstLine="630"/>
        <w:jc w:val="both"/>
        <w:rPr>
          <w:rFonts w:asciiTheme="majorHAnsi" w:hAnsiTheme="majorHAnsi"/>
          <w:color w:val="auto"/>
          <w:sz w:val="20"/>
          <w:szCs w:val="20"/>
        </w:rPr>
      </w:pPr>
      <w:r w:rsidRPr="00CF557B">
        <w:rPr>
          <w:rFonts w:asciiTheme="majorHAnsi" w:hAnsiTheme="majorHAnsi"/>
          <w:color w:val="auto"/>
          <w:sz w:val="20"/>
          <w:szCs w:val="20"/>
        </w:rPr>
        <w:t xml:space="preserve">In relation to subsection b) of the third section of the agreement concerning the creation of a Human Rights Prosecution Unit, which would be in charge of carrying out the preparatory criminal investigation of the crimes committed by members of the Security and Prison Forces, on May 27, 2020, the petitioners indicated that the State had proceeded with the creation of a Specialized Institutional Violence Prosecution Office, in compliance with this aspect of the agreement and expressed its satisfaction with its compliance. </w:t>
      </w:r>
      <w:r w:rsidR="00CF557B" w:rsidRPr="00CF557B">
        <w:rPr>
          <w:rFonts w:asciiTheme="majorHAnsi" w:hAnsiTheme="majorHAnsi"/>
          <w:color w:val="auto"/>
          <w:sz w:val="20"/>
          <w:szCs w:val="20"/>
        </w:rPr>
        <w:t>Considering this information</w:t>
      </w:r>
      <w:r w:rsidRPr="00CF557B">
        <w:rPr>
          <w:rFonts w:asciiTheme="majorHAnsi" w:hAnsiTheme="majorHAnsi"/>
          <w:color w:val="auto"/>
          <w:sz w:val="20"/>
          <w:szCs w:val="20"/>
        </w:rPr>
        <w:t>, the Commission considers that subsection b) of the third section has been fully complied with and</w:t>
      </w:r>
      <w:r w:rsidR="00CF557B">
        <w:rPr>
          <w:rFonts w:asciiTheme="majorHAnsi" w:hAnsiTheme="majorHAnsi"/>
          <w:color w:val="auto"/>
          <w:sz w:val="20"/>
          <w:szCs w:val="20"/>
        </w:rPr>
        <w:t xml:space="preserve"> so it</w:t>
      </w:r>
      <w:r w:rsidRPr="00CF557B">
        <w:rPr>
          <w:rFonts w:asciiTheme="majorHAnsi" w:hAnsiTheme="majorHAnsi"/>
          <w:color w:val="auto"/>
          <w:sz w:val="20"/>
          <w:szCs w:val="20"/>
        </w:rPr>
        <w:t xml:space="preserve"> declares</w:t>
      </w:r>
      <w:r w:rsidR="00CF557B">
        <w:rPr>
          <w:rFonts w:asciiTheme="majorHAnsi" w:hAnsiTheme="majorHAnsi"/>
          <w:color w:val="auto"/>
          <w:sz w:val="20"/>
          <w:szCs w:val="20"/>
        </w:rPr>
        <w:t xml:space="preserve"> it</w:t>
      </w:r>
      <w:r w:rsidRPr="00CF557B">
        <w:rPr>
          <w:rFonts w:asciiTheme="majorHAnsi" w:hAnsiTheme="majorHAnsi"/>
          <w:color w:val="auto"/>
          <w:sz w:val="20"/>
          <w:szCs w:val="20"/>
        </w:rPr>
        <w:t xml:space="preserve"> so.</w:t>
      </w:r>
    </w:p>
    <w:p w:rsidR="0061137D" w:rsidRPr="00CF557B" w:rsidRDefault="0061137D" w:rsidP="0061137D">
      <w:pPr>
        <w:pStyle w:val="ListParagraph"/>
        <w:jc w:val="both"/>
        <w:rPr>
          <w:rFonts w:asciiTheme="majorHAnsi" w:hAnsiTheme="majorHAnsi"/>
          <w:color w:val="auto"/>
          <w:sz w:val="20"/>
          <w:szCs w:val="20"/>
        </w:rPr>
      </w:pPr>
    </w:p>
    <w:p w:rsidR="0061137D" w:rsidRPr="00CF557B" w:rsidRDefault="0061137D" w:rsidP="0061137D">
      <w:pPr>
        <w:pStyle w:val="ListParagraph"/>
        <w:numPr>
          <w:ilvl w:val="0"/>
          <w:numId w:val="105"/>
        </w:numPr>
        <w:tabs>
          <w:tab w:val="center" w:pos="720"/>
        </w:tabs>
        <w:suppressAutoHyphens/>
        <w:ind w:left="90" w:firstLine="630"/>
        <w:jc w:val="both"/>
        <w:rPr>
          <w:rFonts w:asciiTheme="majorHAnsi" w:hAnsiTheme="majorHAnsi"/>
          <w:color w:val="auto"/>
          <w:sz w:val="20"/>
          <w:szCs w:val="20"/>
        </w:rPr>
      </w:pPr>
      <w:r w:rsidRPr="00CF557B">
        <w:rPr>
          <w:rFonts w:asciiTheme="majorHAnsi" w:hAnsiTheme="majorHAnsi"/>
          <w:color w:val="auto"/>
          <w:sz w:val="20"/>
          <w:szCs w:val="20"/>
        </w:rPr>
        <w:t>Regarding the rest of the agreement, it should be noted that the Commission does not have detailed information on how these measures were complied with, despite the fact that such information was requested from the parties both formally and informally. At the same time, it should be noted that taking into consideration the satisfaction of the parties in the friendly settlement agreement and their indication of total compliance with the agreed measures, the Commission proceeds with the approval of the agreement, considering that the commitments assumed in said agreement have been fully complied with and so it declares it so.</w:t>
      </w:r>
    </w:p>
    <w:p w:rsidR="0061137D" w:rsidRPr="00CF557B" w:rsidRDefault="0061137D" w:rsidP="0061137D">
      <w:pPr>
        <w:pStyle w:val="ListParagraph"/>
        <w:jc w:val="both"/>
        <w:rPr>
          <w:rFonts w:asciiTheme="majorHAnsi" w:hAnsiTheme="majorHAnsi"/>
          <w:sz w:val="20"/>
          <w:szCs w:val="20"/>
        </w:rPr>
      </w:pPr>
    </w:p>
    <w:p w:rsidR="0061137D" w:rsidRPr="00CF557B" w:rsidRDefault="0061137D" w:rsidP="0061137D">
      <w:pPr>
        <w:pStyle w:val="ListParagraph"/>
        <w:numPr>
          <w:ilvl w:val="0"/>
          <w:numId w:val="105"/>
        </w:numPr>
        <w:tabs>
          <w:tab w:val="center" w:pos="720"/>
        </w:tabs>
        <w:suppressAutoHyphens/>
        <w:ind w:left="90" w:firstLine="720"/>
        <w:jc w:val="both"/>
        <w:rPr>
          <w:rFonts w:asciiTheme="majorHAnsi" w:hAnsiTheme="majorHAnsi"/>
          <w:sz w:val="20"/>
          <w:szCs w:val="20"/>
        </w:rPr>
      </w:pPr>
      <w:r w:rsidRPr="00CF557B">
        <w:rPr>
          <w:rFonts w:asciiTheme="majorHAnsi" w:hAnsiTheme="majorHAnsi"/>
          <w:sz w:val="20"/>
          <w:szCs w:val="20"/>
        </w:rPr>
        <w:t>Therefore, the Commission considers that the commitments established in subsections I.C. 3 a, b, c, d and e are fully complied with and so it declares it so. On the other hand, the Commission considers that the rest of the content of the agreement is declarative in nature and therefore it is not susceptible of supervision. Finally, based on all information included here, the Commission decides to close the case.</w:t>
      </w:r>
    </w:p>
    <w:p w:rsidR="0061137D" w:rsidRPr="00CF557B" w:rsidRDefault="0061137D" w:rsidP="0061137D">
      <w:pPr>
        <w:pStyle w:val="ListParagraph"/>
        <w:rPr>
          <w:rFonts w:asciiTheme="majorHAnsi" w:hAnsiTheme="majorHAnsi"/>
          <w:sz w:val="20"/>
          <w:szCs w:val="20"/>
        </w:rPr>
      </w:pPr>
    </w:p>
    <w:p w:rsidR="0061137D" w:rsidRPr="00CF557B" w:rsidRDefault="0061137D" w:rsidP="0061137D">
      <w:pPr>
        <w:tabs>
          <w:tab w:val="center" w:pos="720"/>
        </w:tabs>
        <w:suppressAutoHyphens/>
        <w:ind w:firstLine="720"/>
        <w:jc w:val="both"/>
        <w:rPr>
          <w:rFonts w:asciiTheme="majorHAnsi" w:hAnsiTheme="majorHAnsi"/>
          <w:b/>
          <w:sz w:val="20"/>
          <w:szCs w:val="20"/>
        </w:rPr>
      </w:pPr>
      <w:r w:rsidRPr="00CF557B">
        <w:rPr>
          <w:rFonts w:asciiTheme="majorHAnsi" w:hAnsiTheme="majorHAnsi"/>
          <w:b/>
          <w:sz w:val="20"/>
          <w:szCs w:val="20"/>
        </w:rPr>
        <w:t xml:space="preserve">V. </w:t>
      </w:r>
      <w:r w:rsidR="00333B7C">
        <w:rPr>
          <w:rFonts w:asciiTheme="majorHAnsi" w:hAnsiTheme="majorHAnsi"/>
          <w:b/>
          <w:sz w:val="20"/>
          <w:szCs w:val="20"/>
        </w:rPr>
        <w:tab/>
      </w:r>
      <w:r w:rsidRPr="00CF557B">
        <w:rPr>
          <w:rFonts w:asciiTheme="majorHAnsi" w:hAnsiTheme="majorHAnsi"/>
          <w:b/>
          <w:sz w:val="20"/>
          <w:szCs w:val="20"/>
        </w:rPr>
        <w:t>CONCLUSIONS</w:t>
      </w:r>
    </w:p>
    <w:p w:rsidR="0061137D" w:rsidRPr="00CF557B" w:rsidRDefault="0061137D" w:rsidP="0061137D">
      <w:pPr>
        <w:tabs>
          <w:tab w:val="center" w:pos="720"/>
        </w:tabs>
        <w:suppressAutoHyphens/>
        <w:jc w:val="both"/>
        <w:rPr>
          <w:rFonts w:asciiTheme="majorHAnsi" w:hAnsiTheme="majorHAnsi"/>
          <w:sz w:val="20"/>
          <w:szCs w:val="20"/>
        </w:rPr>
      </w:pPr>
    </w:p>
    <w:p w:rsidR="0061137D" w:rsidRPr="00333B7C" w:rsidRDefault="0061137D" w:rsidP="00333B7C">
      <w:pPr>
        <w:pStyle w:val="ListParagraph"/>
        <w:numPr>
          <w:ilvl w:val="0"/>
          <w:numId w:val="110"/>
        </w:numPr>
        <w:tabs>
          <w:tab w:val="left" w:pos="360"/>
        </w:tabs>
        <w:ind w:left="90" w:firstLine="630"/>
        <w:jc w:val="both"/>
        <w:rPr>
          <w:rFonts w:cs="Calibri"/>
          <w:b/>
          <w:sz w:val="20"/>
          <w:szCs w:val="20"/>
        </w:rPr>
      </w:pPr>
      <w:r w:rsidRPr="00333B7C">
        <w:rPr>
          <w:sz w:val="20"/>
          <w:szCs w:val="20"/>
        </w:rPr>
        <w:t xml:space="preserve">Based on the foregoing considerations, and pursuant to the procedure set out in Articles 48(1) (f) and 49 of the American Convention, the Commission wishes to reiterate its profound appreciation for the efforts made by the parties and its satisfaction that a friendly settlement was reached in the instant case, based on respect for human rights and compatible with the object and purpose of the American Convention. </w:t>
      </w:r>
    </w:p>
    <w:p w:rsidR="0061137D" w:rsidRPr="00CF557B" w:rsidRDefault="0061137D" w:rsidP="0061137D">
      <w:pPr>
        <w:pStyle w:val="ListParagraph"/>
        <w:jc w:val="both"/>
        <w:rPr>
          <w:rFonts w:cs="Calibri"/>
          <w:b/>
          <w:sz w:val="20"/>
          <w:szCs w:val="20"/>
        </w:rPr>
      </w:pPr>
    </w:p>
    <w:p w:rsidR="0061137D" w:rsidRPr="00CF557B" w:rsidRDefault="0061137D" w:rsidP="00333B7C">
      <w:pPr>
        <w:pStyle w:val="ListParagraph"/>
        <w:numPr>
          <w:ilvl w:val="0"/>
          <w:numId w:val="110"/>
        </w:numPr>
        <w:tabs>
          <w:tab w:val="left" w:pos="360"/>
        </w:tabs>
        <w:ind w:left="0" w:firstLine="720"/>
        <w:jc w:val="both"/>
        <w:rPr>
          <w:rFonts w:cs="Calibri"/>
          <w:b/>
          <w:sz w:val="20"/>
          <w:szCs w:val="20"/>
        </w:rPr>
      </w:pPr>
      <w:r w:rsidRPr="00CF557B">
        <w:rPr>
          <w:sz w:val="20"/>
          <w:szCs w:val="20"/>
        </w:rPr>
        <w:t xml:space="preserve">In light of the considerations and conclusions set forth in this report, </w:t>
      </w:r>
    </w:p>
    <w:p w:rsidR="0061137D" w:rsidRPr="00CF557B" w:rsidRDefault="0061137D" w:rsidP="0061137D">
      <w:pPr>
        <w:tabs>
          <w:tab w:val="center" w:pos="720"/>
        </w:tabs>
        <w:suppressAutoHyphens/>
        <w:jc w:val="both"/>
        <w:rPr>
          <w:rFonts w:asciiTheme="majorHAnsi" w:hAnsiTheme="majorHAnsi"/>
          <w:sz w:val="20"/>
          <w:szCs w:val="20"/>
        </w:rPr>
      </w:pPr>
    </w:p>
    <w:p w:rsidR="0061137D" w:rsidRPr="00CF557B" w:rsidRDefault="0061137D" w:rsidP="0061137D">
      <w:pPr>
        <w:tabs>
          <w:tab w:val="center" w:pos="720"/>
        </w:tabs>
        <w:suppressAutoHyphens/>
        <w:ind w:firstLine="720"/>
        <w:jc w:val="center"/>
        <w:rPr>
          <w:rFonts w:asciiTheme="majorHAnsi" w:hAnsiTheme="majorHAnsi"/>
          <w:b/>
          <w:sz w:val="20"/>
          <w:szCs w:val="20"/>
        </w:rPr>
      </w:pPr>
      <w:r w:rsidRPr="00CF557B">
        <w:rPr>
          <w:rFonts w:asciiTheme="majorHAnsi" w:hAnsiTheme="majorHAnsi"/>
          <w:b/>
          <w:sz w:val="20"/>
          <w:szCs w:val="20"/>
        </w:rPr>
        <w:t>THE INTER-AMERICAN COMMISSION ON HUMAN RIGHTS</w:t>
      </w:r>
    </w:p>
    <w:p w:rsidR="0061137D" w:rsidRPr="00CF557B" w:rsidRDefault="0061137D" w:rsidP="0061137D">
      <w:pPr>
        <w:tabs>
          <w:tab w:val="center" w:pos="720"/>
        </w:tabs>
        <w:suppressAutoHyphens/>
        <w:ind w:firstLine="720"/>
        <w:jc w:val="both"/>
        <w:rPr>
          <w:rFonts w:asciiTheme="majorHAnsi" w:hAnsiTheme="majorHAnsi"/>
          <w:sz w:val="20"/>
          <w:szCs w:val="20"/>
        </w:rPr>
      </w:pPr>
    </w:p>
    <w:p w:rsidR="0061137D" w:rsidRPr="00CF557B" w:rsidRDefault="0061137D" w:rsidP="0061137D">
      <w:pPr>
        <w:tabs>
          <w:tab w:val="center" w:pos="720"/>
        </w:tabs>
        <w:suppressAutoHyphens/>
        <w:ind w:firstLine="720"/>
        <w:jc w:val="both"/>
        <w:rPr>
          <w:rFonts w:asciiTheme="majorHAnsi" w:hAnsiTheme="majorHAnsi"/>
          <w:b/>
          <w:sz w:val="20"/>
          <w:szCs w:val="20"/>
        </w:rPr>
      </w:pPr>
      <w:r w:rsidRPr="00CF557B">
        <w:rPr>
          <w:rFonts w:asciiTheme="majorHAnsi" w:hAnsiTheme="majorHAnsi"/>
          <w:b/>
          <w:sz w:val="20"/>
          <w:szCs w:val="20"/>
        </w:rPr>
        <w:t xml:space="preserve">DECIDES: </w:t>
      </w:r>
    </w:p>
    <w:p w:rsidR="0061137D" w:rsidRPr="00CF557B" w:rsidRDefault="0061137D" w:rsidP="0061137D">
      <w:pPr>
        <w:tabs>
          <w:tab w:val="center" w:pos="720"/>
        </w:tabs>
        <w:suppressAutoHyphens/>
        <w:ind w:firstLine="720"/>
        <w:jc w:val="both"/>
        <w:rPr>
          <w:rFonts w:asciiTheme="majorHAnsi" w:hAnsiTheme="majorHAnsi"/>
          <w:sz w:val="20"/>
          <w:szCs w:val="20"/>
        </w:rPr>
      </w:pPr>
    </w:p>
    <w:p w:rsidR="0061137D" w:rsidRPr="00CF557B" w:rsidRDefault="0061137D" w:rsidP="0061137D">
      <w:pPr>
        <w:pStyle w:val="ListParagraph"/>
        <w:numPr>
          <w:ilvl w:val="0"/>
          <w:numId w:val="106"/>
        </w:numPr>
        <w:tabs>
          <w:tab w:val="center" w:pos="720"/>
        </w:tabs>
        <w:suppressAutoHyphens/>
        <w:jc w:val="both"/>
        <w:rPr>
          <w:rFonts w:asciiTheme="majorHAnsi" w:hAnsiTheme="majorHAnsi"/>
          <w:sz w:val="20"/>
          <w:szCs w:val="20"/>
        </w:rPr>
      </w:pPr>
      <w:r w:rsidRPr="00CF557B">
        <w:rPr>
          <w:rFonts w:asciiTheme="majorHAnsi" w:hAnsiTheme="majorHAnsi"/>
          <w:sz w:val="20"/>
          <w:szCs w:val="20"/>
        </w:rPr>
        <w:t>To approve the terms of the agreement signed by the parties on July 29, 2020.</w:t>
      </w:r>
    </w:p>
    <w:p w:rsidR="0061137D" w:rsidRPr="00CF557B" w:rsidRDefault="0061137D" w:rsidP="0061137D">
      <w:pPr>
        <w:pStyle w:val="ListParagraph"/>
        <w:tabs>
          <w:tab w:val="center" w:pos="720"/>
        </w:tabs>
        <w:suppressAutoHyphens/>
        <w:ind w:left="1440"/>
        <w:jc w:val="both"/>
        <w:rPr>
          <w:rFonts w:asciiTheme="majorHAnsi" w:hAnsiTheme="majorHAnsi"/>
          <w:sz w:val="20"/>
          <w:szCs w:val="20"/>
        </w:rPr>
      </w:pPr>
    </w:p>
    <w:p w:rsidR="0061137D" w:rsidRPr="00CF557B" w:rsidRDefault="0061137D" w:rsidP="0061137D">
      <w:pPr>
        <w:pStyle w:val="ListParagraph"/>
        <w:numPr>
          <w:ilvl w:val="0"/>
          <w:numId w:val="106"/>
        </w:numPr>
        <w:tabs>
          <w:tab w:val="center" w:pos="720"/>
        </w:tabs>
        <w:suppressAutoHyphens/>
        <w:jc w:val="both"/>
        <w:rPr>
          <w:rFonts w:asciiTheme="majorHAnsi" w:hAnsiTheme="majorHAnsi"/>
          <w:sz w:val="20"/>
          <w:szCs w:val="20"/>
        </w:rPr>
      </w:pPr>
      <w:r w:rsidRPr="00CF557B">
        <w:rPr>
          <w:rFonts w:asciiTheme="majorHAnsi" w:hAnsiTheme="majorHAnsi"/>
          <w:sz w:val="20"/>
          <w:szCs w:val="20"/>
        </w:rPr>
        <w:t>To declare that section I. C.3, letters a), b), c), d) and e), of the friendly settlement agreement has been fully complied with, pursuant to the analysis included in this report.</w:t>
      </w:r>
    </w:p>
    <w:p w:rsidR="0061137D" w:rsidRPr="00CF557B" w:rsidRDefault="0061137D" w:rsidP="0061137D">
      <w:pPr>
        <w:rPr>
          <w:rFonts w:asciiTheme="majorHAnsi" w:hAnsiTheme="majorHAnsi"/>
          <w:sz w:val="20"/>
          <w:szCs w:val="20"/>
        </w:rPr>
      </w:pPr>
    </w:p>
    <w:p w:rsidR="0061137D" w:rsidRPr="00CF557B" w:rsidRDefault="0061137D" w:rsidP="0061137D">
      <w:pPr>
        <w:pStyle w:val="ListParagraph"/>
        <w:numPr>
          <w:ilvl w:val="0"/>
          <w:numId w:val="106"/>
        </w:numPr>
        <w:tabs>
          <w:tab w:val="center" w:pos="720"/>
        </w:tabs>
        <w:suppressAutoHyphens/>
        <w:jc w:val="both"/>
        <w:rPr>
          <w:rFonts w:asciiTheme="majorHAnsi" w:hAnsiTheme="majorHAnsi"/>
          <w:sz w:val="20"/>
          <w:szCs w:val="20"/>
        </w:rPr>
      </w:pPr>
      <w:r w:rsidRPr="00CF557B">
        <w:rPr>
          <w:rFonts w:asciiTheme="majorHAnsi" w:hAnsiTheme="majorHAnsi"/>
          <w:sz w:val="20"/>
          <w:szCs w:val="20"/>
        </w:rPr>
        <w:t>To declare, that the friendly settlement agreement has been fully complied with, pursuant to the analysis included in this report.</w:t>
      </w:r>
    </w:p>
    <w:p w:rsidR="0061137D" w:rsidRPr="00CF557B" w:rsidRDefault="0061137D" w:rsidP="0061137D">
      <w:pPr>
        <w:pStyle w:val="ListParagraph"/>
        <w:tabs>
          <w:tab w:val="center" w:pos="720"/>
        </w:tabs>
        <w:suppressAutoHyphens/>
        <w:ind w:left="1440"/>
        <w:jc w:val="both"/>
        <w:rPr>
          <w:rFonts w:asciiTheme="majorHAnsi" w:hAnsiTheme="majorHAnsi"/>
          <w:sz w:val="20"/>
          <w:szCs w:val="20"/>
        </w:rPr>
      </w:pPr>
    </w:p>
    <w:p w:rsidR="0061137D" w:rsidRDefault="0061137D" w:rsidP="0061137D">
      <w:pPr>
        <w:pStyle w:val="ListParagraph"/>
        <w:numPr>
          <w:ilvl w:val="0"/>
          <w:numId w:val="106"/>
        </w:numPr>
        <w:tabs>
          <w:tab w:val="center" w:pos="720"/>
        </w:tabs>
        <w:suppressAutoHyphens/>
        <w:jc w:val="both"/>
        <w:rPr>
          <w:rFonts w:asciiTheme="majorHAnsi" w:hAnsiTheme="majorHAnsi"/>
          <w:sz w:val="20"/>
          <w:szCs w:val="20"/>
        </w:rPr>
      </w:pPr>
      <w:r w:rsidRPr="00CF557B">
        <w:rPr>
          <w:rFonts w:asciiTheme="majorHAnsi" w:hAnsiTheme="majorHAnsi"/>
          <w:sz w:val="20"/>
          <w:szCs w:val="20"/>
        </w:rPr>
        <w:t>To publish this report and include it in its Annual Report to the General Assembly of the OAS.</w:t>
      </w:r>
    </w:p>
    <w:p w:rsidR="009B66AC" w:rsidRPr="00CF557B" w:rsidRDefault="009B66AC" w:rsidP="009B66AC">
      <w:pPr>
        <w:pStyle w:val="ListParagraph"/>
        <w:tabs>
          <w:tab w:val="center" w:pos="720"/>
        </w:tabs>
        <w:suppressAutoHyphens/>
        <w:ind w:left="1440"/>
        <w:jc w:val="both"/>
        <w:rPr>
          <w:rFonts w:asciiTheme="majorHAnsi" w:hAnsiTheme="majorHAnsi"/>
          <w:sz w:val="20"/>
          <w:szCs w:val="20"/>
        </w:rPr>
      </w:pPr>
    </w:p>
    <w:p w:rsidR="009B66AC" w:rsidRPr="009B66AC" w:rsidRDefault="009B66AC" w:rsidP="009B66A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mbria"/>
          <w:color w:val="000000"/>
          <w:sz w:val="20"/>
          <w:szCs w:val="20"/>
          <w:u w:color="000000"/>
          <w:lang w:eastAsia="es-ES"/>
        </w:rPr>
      </w:pPr>
      <w:r w:rsidRPr="009B66AC">
        <w:rPr>
          <w:rFonts w:asciiTheme="majorHAnsi" w:eastAsia="Cambria" w:hAnsiTheme="majorHAnsi" w:cs="Cambria"/>
          <w:color w:val="000000"/>
          <w:sz w:val="20"/>
          <w:szCs w:val="20"/>
          <w:u w:color="000000"/>
          <w:lang w:eastAsia="es-ES"/>
        </w:rPr>
        <w:t xml:space="preserve">Approved by the Inter-American Commission on Human Rights on </w:t>
      </w:r>
      <w:r w:rsidR="003E3AC6">
        <w:rPr>
          <w:rFonts w:asciiTheme="majorHAnsi" w:eastAsia="Cambria" w:hAnsiTheme="majorHAnsi" w:cs="Cambria"/>
          <w:color w:val="000000"/>
          <w:sz w:val="20"/>
          <w:szCs w:val="20"/>
          <w:u w:color="000000"/>
          <w:lang w:eastAsia="es-ES"/>
        </w:rPr>
        <w:t>March 19</w:t>
      </w:r>
      <w:r w:rsidRPr="009B66AC">
        <w:rPr>
          <w:rFonts w:asciiTheme="majorHAnsi" w:eastAsia="Cambria" w:hAnsiTheme="majorHAnsi" w:cs="Cambria"/>
          <w:color w:val="000000"/>
          <w:sz w:val="20"/>
          <w:szCs w:val="20"/>
          <w:u w:color="000000"/>
          <w:lang w:eastAsia="es-ES"/>
        </w:rPr>
        <w:t>,</w:t>
      </w:r>
      <w:r w:rsidR="003E3AC6">
        <w:rPr>
          <w:rFonts w:asciiTheme="majorHAnsi" w:eastAsia="Cambria" w:hAnsiTheme="majorHAnsi" w:cs="Cambria"/>
          <w:color w:val="000000"/>
          <w:sz w:val="20"/>
          <w:szCs w:val="20"/>
          <w:u w:color="000000"/>
          <w:lang w:eastAsia="es-ES"/>
        </w:rPr>
        <w:t xml:space="preserve"> 2021</w:t>
      </w:r>
      <w:r w:rsidRPr="009B66AC">
        <w:rPr>
          <w:rFonts w:asciiTheme="majorHAnsi" w:eastAsia="Cambria" w:hAnsiTheme="majorHAnsi" w:cs="Cambria"/>
          <w:color w:val="000000"/>
          <w:sz w:val="20"/>
          <w:szCs w:val="20"/>
          <w:u w:color="000000"/>
          <w:lang w:eastAsia="es-ES"/>
        </w:rPr>
        <w:t>. (Signed): Antonia Urrejola</w:t>
      </w:r>
      <w:r w:rsidR="002260AF">
        <w:rPr>
          <w:rFonts w:asciiTheme="majorHAnsi" w:eastAsia="Cambria" w:hAnsiTheme="majorHAnsi" w:cs="Cambria"/>
          <w:color w:val="000000"/>
          <w:sz w:val="20"/>
          <w:szCs w:val="20"/>
          <w:u w:color="000000"/>
          <w:lang w:eastAsia="es-ES"/>
        </w:rPr>
        <w:t>,</w:t>
      </w:r>
      <w:r w:rsidRPr="009B66AC">
        <w:rPr>
          <w:rFonts w:asciiTheme="majorHAnsi" w:eastAsia="Cambria" w:hAnsiTheme="majorHAnsi" w:cs="Cambria"/>
          <w:color w:val="000000"/>
          <w:sz w:val="20"/>
          <w:szCs w:val="20"/>
          <w:u w:color="000000"/>
          <w:lang w:eastAsia="es-ES"/>
        </w:rPr>
        <w:t xml:space="preserve"> President; Julissa Mantilla Falcón, First </w:t>
      </w:r>
      <w:r w:rsidR="006F1009">
        <w:rPr>
          <w:rFonts w:asciiTheme="majorHAnsi" w:eastAsia="Cambria" w:hAnsiTheme="majorHAnsi" w:cs="Cambria"/>
          <w:color w:val="000000"/>
          <w:sz w:val="20"/>
          <w:szCs w:val="20"/>
          <w:u w:color="000000"/>
          <w:lang w:eastAsia="es-ES"/>
        </w:rPr>
        <w:t>Vice-</w:t>
      </w:r>
      <w:r w:rsidR="002260AF">
        <w:rPr>
          <w:rFonts w:asciiTheme="majorHAnsi" w:eastAsia="Cambria" w:hAnsiTheme="majorHAnsi" w:cs="Cambria"/>
          <w:color w:val="000000"/>
          <w:sz w:val="20"/>
          <w:szCs w:val="20"/>
          <w:u w:color="000000"/>
          <w:lang w:eastAsia="es-ES"/>
        </w:rPr>
        <w:t>Presiden</w:t>
      </w:r>
      <w:r w:rsidR="006F1009">
        <w:rPr>
          <w:rFonts w:asciiTheme="majorHAnsi" w:eastAsia="Cambria" w:hAnsiTheme="majorHAnsi" w:cs="Cambria"/>
          <w:color w:val="000000"/>
          <w:sz w:val="20"/>
          <w:szCs w:val="20"/>
          <w:u w:color="000000"/>
          <w:lang w:eastAsia="es-ES"/>
        </w:rPr>
        <w:t xml:space="preserve">t; </w:t>
      </w:r>
      <w:proofErr w:type="spellStart"/>
      <w:r w:rsidR="006F1009">
        <w:rPr>
          <w:rFonts w:asciiTheme="majorHAnsi" w:eastAsia="Cambria" w:hAnsiTheme="majorHAnsi" w:cs="Cambria"/>
          <w:color w:val="000000"/>
          <w:sz w:val="20"/>
          <w:szCs w:val="20"/>
          <w:u w:color="000000"/>
          <w:lang w:eastAsia="es-ES"/>
        </w:rPr>
        <w:t>Flávia</w:t>
      </w:r>
      <w:proofErr w:type="spellEnd"/>
      <w:r w:rsidR="006F1009">
        <w:rPr>
          <w:rFonts w:asciiTheme="majorHAnsi" w:eastAsia="Cambria" w:hAnsiTheme="majorHAnsi" w:cs="Cambria"/>
          <w:color w:val="000000"/>
          <w:sz w:val="20"/>
          <w:szCs w:val="20"/>
          <w:u w:color="000000"/>
          <w:lang w:eastAsia="es-ES"/>
        </w:rPr>
        <w:t xml:space="preserve"> </w:t>
      </w:r>
      <w:proofErr w:type="spellStart"/>
      <w:r w:rsidR="006F1009">
        <w:rPr>
          <w:rFonts w:asciiTheme="majorHAnsi" w:eastAsia="Cambria" w:hAnsiTheme="majorHAnsi" w:cs="Cambria"/>
          <w:color w:val="000000"/>
          <w:sz w:val="20"/>
          <w:szCs w:val="20"/>
          <w:u w:color="000000"/>
          <w:lang w:eastAsia="es-ES"/>
        </w:rPr>
        <w:t>Piovesan</w:t>
      </w:r>
      <w:proofErr w:type="spellEnd"/>
      <w:r w:rsidR="006F1009">
        <w:rPr>
          <w:rFonts w:asciiTheme="majorHAnsi" w:eastAsia="Cambria" w:hAnsiTheme="majorHAnsi" w:cs="Cambria"/>
          <w:color w:val="000000"/>
          <w:sz w:val="20"/>
          <w:szCs w:val="20"/>
          <w:u w:color="000000"/>
          <w:lang w:eastAsia="es-ES"/>
        </w:rPr>
        <w:t>, Second Vice-</w:t>
      </w:r>
      <w:r w:rsidR="002260AF">
        <w:rPr>
          <w:rFonts w:asciiTheme="majorHAnsi" w:eastAsia="Cambria" w:hAnsiTheme="majorHAnsi" w:cs="Cambria"/>
          <w:color w:val="000000"/>
          <w:sz w:val="20"/>
          <w:szCs w:val="20"/>
          <w:u w:color="000000"/>
          <w:lang w:eastAsia="es-ES"/>
        </w:rPr>
        <w:t xml:space="preserve">President; </w:t>
      </w:r>
      <w:r w:rsidRPr="009B66AC">
        <w:rPr>
          <w:rFonts w:asciiTheme="majorHAnsi" w:eastAsia="Cambria" w:hAnsiTheme="majorHAnsi" w:cs="Cambria"/>
          <w:color w:val="000000"/>
          <w:sz w:val="20"/>
          <w:szCs w:val="20"/>
          <w:u w:color="000000"/>
          <w:lang w:eastAsia="es-ES"/>
        </w:rPr>
        <w:t>Margarette May Macaulay, Esmeralda E. Arosemena Bernal</w:t>
      </w:r>
      <w:r w:rsidR="002260AF">
        <w:rPr>
          <w:rFonts w:asciiTheme="majorHAnsi" w:eastAsia="Cambria" w:hAnsiTheme="majorHAnsi" w:cs="Cambria"/>
          <w:color w:val="000000"/>
          <w:sz w:val="20"/>
          <w:szCs w:val="20"/>
          <w:u w:color="000000"/>
          <w:lang w:eastAsia="es-ES"/>
        </w:rPr>
        <w:t xml:space="preserve"> de Troitiño, Edgar Stuardo Ralo</w:t>
      </w:r>
      <w:r w:rsidRPr="009B66AC">
        <w:rPr>
          <w:rFonts w:asciiTheme="majorHAnsi" w:eastAsia="Cambria" w:hAnsiTheme="majorHAnsi" w:cs="Cambria"/>
          <w:color w:val="000000"/>
          <w:sz w:val="20"/>
          <w:szCs w:val="20"/>
          <w:u w:color="000000"/>
          <w:lang w:eastAsia="es-ES"/>
        </w:rPr>
        <w:t>n Orellana and Joel Hernández García, Members of the Commission.</w:t>
      </w:r>
    </w:p>
    <w:p w:rsidR="009B66AC" w:rsidRDefault="009B66AC" w:rsidP="009B66AC">
      <w:pPr>
        <w:tabs>
          <w:tab w:val="center" w:pos="5400"/>
        </w:tabs>
        <w:suppressAutoHyphens/>
        <w:spacing w:line="276" w:lineRule="auto"/>
        <w:rPr>
          <w:rFonts w:asciiTheme="majorHAnsi" w:hAnsiTheme="majorHAnsi"/>
          <w:sz w:val="20"/>
          <w:szCs w:val="20"/>
        </w:rPr>
      </w:pPr>
    </w:p>
    <w:p w:rsidR="009B66AC" w:rsidRDefault="009B66AC" w:rsidP="009B66AC">
      <w:pPr>
        <w:tabs>
          <w:tab w:val="center" w:pos="5400"/>
        </w:tabs>
        <w:suppressAutoHyphens/>
        <w:spacing w:line="276" w:lineRule="auto"/>
        <w:rPr>
          <w:rFonts w:asciiTheme="majorHAnsi" w:hAnsiTheme="majorHAnsi"/>
          <w:sz w:val="20"/>
          <w:szCs w:val="20"/>
        </w:rPr>
      </w:pPr>
    </w:p>
    <w:p w:rsidR="009B66AC" w:rsidRDefault="009B66AC" w:rsidP="009B66AC">
      <w:pPr>
        <w:tabs>
          <w:tab w:val="center" w:pos="5400"/>
        </w:tabs>
        <w:suppressAutoHyphens/>
        <w:spacing w:line="276" w:lineRule="auto"/>
        <w:rPr>
          <w:rFonts w:asciiTheme="majorHAnsi" w:hAnsiTheme="majorHAnsi"/>
          <w:sz w:val="20"/>
          <w:szCs w:val="20"/>
        </w:rPr>
      </w:pPr>
    </w:p>
    <w:sectPr w:rsidR="009B66AC" w:rsidSect="004716A1">
      <w:pgSz w:w="12240" w:h="15840"/>
      <w:pgMar w:top="1440" w:right="1325"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64" w:rsidRDefault="00C13164" w:rsidP="00036A8A">
      <w:r>
        <w:separator/>
      </w:r>
    </w:p>
  </w:endnote>
  <w:endnote w:type="continuationSeparator" w:id="0">
    <w:p w:rsidR="00C13164" w:rsidRDefault="00C1316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FC" w:rsidRDefault="00183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835FC">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64" w:rsidRPr="00036A8A" w:rsidRDefault="00C1316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13164" w:rsidRPr="00036A8A" w:rsidRDefault="00C13164" w:rsidP="00036A8A">
      <w:pPr>
        <w:rPr>
          <w:rFonts w:asciiTheme="majorHAnsi" w:hAnsiTheme="majorHAnsi"/>
          <w:sz w:val="16"/>
          <w:szCs w:val="16"/>
        </w:rPr>
      </w:pPr>
      <w:r w:rsidRPr="00036A8A">
        <w:rPr>
          <w:rFonts w:asciiTheme="majorHAnsi" w:hAnsiTheme="majorHAnsi"/>
          <w:sz w:val="16"/>
          <w:szCs w:val="16"/>
        </w:rPr>
        <w:separator/>
      </w:r>
    </w:p>
    <w:p w:rsidR="00C13164" w:rsidRPr="00036A8A" w:rsidRDefault="00C1316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13164" w:rsidRPr="0093441A" w:rsidRDefault="00C1316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1137D" w:rsidRPr="00AF5EDE" w:rsidRDefault="0061137D" w:rsidP="0061137D">
      <w:pPr>
        <w:pStyle w:val="FootnoteText"/>
        <w:ind w:firstLine="720"/>
        <w:jc w:val="both"/>
        <w:rPr>
          <w:rFonts w:ascii="Cambria" w:hAnsi="Cambria"/>
          <w:sz w:val="16"/>
          <w:szCs w:val="16"/>
        </w:rPr>
      </w:pPr>
      <w:r w:rsidRPr="00AF5EDE">
        <w:rPr>
          <w:rStyle w:val="FootnoteReference"/>
          <w:rFonts w:ascii="Cambria" w:hAnsi="Cambria"/>
          <w:sz w:val="16"/>
          <w:szCs w:val="16"/>
        </w:rPr>
        <w:footnoteRef/>
      </w:r>
      <w:r w:rsidRPr="00AF5EDE">
        <w:rPr>
          <w:rFonts w:ascii="Cambria" w:hAnsi="Cambria"/>
          <w:sz w:val="16"/>
          <w:szCs w:val="16"/>
        </w:rPr>
        <w:t xml:space="preserve"> Vienna Convention on the Law of Treaties, U.N. Doc A/CONF.39/27 (1969), Article 26:</w:t>
      </w:r>
      <w:r w:rsidRPr="00AF5EDE">
        <w:rPr>
          <w:rFonts w:ascii="Cambria" w:hAnsi="Cambria"/>
          <w:b/>
          <w:sz w:val="16"/>
          <w:szCs w:val="16"/>
        </w:rPr>
        <w:t xml:space="preserve"> </w:t>
      </w:r>
      <w:proofErr w:type="spellStart"/>
      <w:r w:rsidRPr="00AF5EDE">
        <w:rPr>
          <w:rFonts w:ascii="Cambria" w:hAnsi="Cambria"/>
          <w:b/>
          <w:sz w:val="16"/>
          <w:szCs w:val="16"/>
        </w:rPr>
        <w:t>Pacta</w:t>
      </w:r>
      <w:proofErr w:type="spellEnd"/>
      <w:r w:rsidRPr="00AF5EDE">
        <w:rPr>
          <w:rFonts w:ascii="Cambria" w:hAnsi="Cambria"/>
          <w:b/>
          <w:sz w:val="16"/>
          <w:szCs w:val="16"/>
        </w:rPr>
        <w:t xml:space="preserve"> </w:t>
      </w:r>
      <w:proofErr w:type="spellStart"/>
      <w:r w:rsidRPr="00AF5EDE">
        <w:rPr>
          <w:rFonts w:ascii="Cambria" w:hAnsi="Cambria"/>
          <w:b/>
          <w:sz w:val="16"/>
          <w:szCs w:val="16"/>
        </w:rPr>
        <w:t>sunt</w:t>
      </w:r>
      <w:proofErr w:type="spellEnd"/>
      <w:r w:rsidRPr="00AF5EDE">
        <w:rPr>
          <w:rFonts w:ascii="Cambria" w:hAnsi="Cambria"/>
          <w:b/>
          <w:sz w:val="16"/>
          <w:szCs w:val="16"/>
        </w:rPr>
        <w:t xml:space="preserve"> </w:t>
      </w:r>
      <w:proofErr w:type="spellStart"/>
      <w:r w:rsidRPr="00AF5EDE">
        <w:rPr>
          <w:rFonts w:ascii="Cambria" w:hAnsi="Cambria"/>
          <w:b/>
          <w:sz w:val="16"/>
          <w:szCs w:val="16"/>
        </w:rPr>
        <w:t>servanda</w:t>
      </w:r>
      <w:proofErr w:type="spellEnd"/>
      <w:r w:rsidRPr="00AF5EDE">
        <w:rPr>
          <w:rFonts w:ascii="Cambria" w:hAnsi="Cambria"/>
          <w:b/>
          <w:sz w:val="16"/>
          <w:szCs w:val="16"/>
        </w:rPr>
        <w:t xml:space="preserve">. </w:t>
      </w:r>
      <w:r w:rsidRPr="00AF5EDE">
        <w:rPr>
          <w:rFonts w:ascii="Cambria" w:hAnsi="Cambria"/>
          <w:i/>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1316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FC" w:rsidRDefault="00183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63D2B"/>
    <w:multiLevelType w:val="hybridMultilevel"/>
    <w:tmpl w:val="E836073A"/>
    <w:lvl w:ilvl="0" w:tplc="71821F8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26118E"/>
    <w:multiLevelType w:val="hybridMultilevel"/>
    <w:tmpl w:val="E54085C4"/>
    <w:lvl w:ilvl="0" w:tplc="116496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BE71416"/>
    <w:multiLevelType w:val="hybridMultilevel"/>
    <w:tmpl w:val="18249B0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1DB7325"/>
    <w:multiLevelType w:val="hybridMultilevel"/>
    <w:tmpl w:val="6E24C538"/>
    <w:lvl w:ilvl="0" w:tplc="4AF64F1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622DD8"/>
    <w:multiLevelType w:val="hybridMultilevel"/>
    <w:tmpl w:val="7F16D868"/>
    <w:lvl w:ilvl="0" w:tplc="DA14D180">
      <w:start w:val="4"/>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4"/>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6"/>
  </w:num>
  <w:num w:numId="80">
    <w:abstractNumId w:val="37"/>
  </w:num>
  <w:num w:numId="81">
    <w:abstractNumId w:val="38"/>
  </w:num>
  <w:num w:numId="82">
    <w:abstractNumId w:val="43"/>
  </w:num>
  <w:num w:numId="83">
    <w:abstractNumId w:val="44"/>
  </w:num>
  <w:num w:numId="84">
    <w:abstractNumId w:val="52"/>
  </w:num>
  <w:num w:numId="85">
    <w:abstractNumId w:val="55"/>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2"/>
  </w:num>
  <w:num w:numId="95">
    <w:abstractNumId w:val="45"/>
  </w:num>
  <w:num w:numId="96">
    <w:abstractNumId w:val="58"/>
  </w:num>
  <w:num w:numId="97">
    <w:abstractNumId w:val="56"/>
  </w:num>
  <w:num w:numId="98">
    <w:abstractNumId w:val="50"/>
  </w:num>
  <w:num w:numId="99">
    <w:abstractNumId w:val="39"/>
  </w:num>
  <w:num w:numId="100">
    <w:abstractNumId w:val="3"/>
  </w:num>
  <w:num w:numId="101">
    <w:abstractNumId w:val="27"/>
  </w:num>
  <w:num w:numId="102">
    <w:abstractNumId w:val="53"/>
  </w:num>
  <w:num w:numId="103">
    <w:abstractNumId w:val="6"/>
  </w:num>
  <w:num w:numId="104">
    <w:abstractNumId w:val="51"/>
  </w:num>
  <w:num w:numId="105">
    <w:abstractNumId w:val="35"/>
  </w:num>
  <w:num w:numId="106">
    <w:abstractNumId w:val="4"/>
  </w:num>
  <w:num w:numId="107">
    <w:abstractNumId w:val="7"/>
  </w:num>
  <w:num w:numId="108">
    <w:abstractNumId w:val="46"/>
  </w:num>
  <w:num w:numId="109">
    <w:abstractNumId w:val="48"/>
  </w:num>
  <w:num w:numId="110">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087"/>
    <w:rsid w:val="00070F3A"/>
    <w:rsid w:val="000716C5"/>
    <w:rsid w:val="00075E23"/>
    <w:rsid w:val="00092F32"/>
    <w:rsid w:val="0009344A"/>
    <w:rsid w:val="000A575F"/>
    <w:rsid w:val="000D10DB"/>
    <w:rsid w:val="0013104F"/>
    <w:rsid w:val="00137EBA"/>
    <w:rsid w:val="00145EDC"/>
    <w:rsid w:val="00167A34"/>
    <w:rsid w:val="0018037F"/>
    <w:rsid w:val="001835FC"/>
    <w:rsid w:val="001A5F27"/>
    <w:rsid w:val="001A7870"/>
    <w:rsid w:val="001C1B41"/>
    <w:rsid w:val="001D5490"/>
    <w:rsid w:val="00210E0E"/>
    <w:rsid w:val="002260AF"/>
    <w:rsid w:val="00247403"/>
    <w:rsid w:val="00247542"/>
    <w:rsid w:val="00257893"/>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22450"/>
    <w:rsid w:val="003246B5"/>
    <w:rsid w:val="0033169F"/>
    <w:rsid w:val="00333B7C"/>
    <w:rsid w:val="003414AC"/>
    <w:rsid w:val="00356185"/>
    <w:rsid w:val="00360380"/>
    <w:rsid w:val="003815A8"/>
    <w:rsid w:val="00386CF0"/>
    <w:rsid w:val="003C32BC"/>
    <w:rsid w:val="003E3AC6"/>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0654B"/>
    <w:rsid w:val="0061137D"/>
    <w:rsid w:val="00612443"/>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1009"/>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1871"/>
    <w:rsid w:val="009B381B"/>
    <w:rsid w:val="009B66AC"/>
    <w:rsid w:val="009C351A"/>
    <w:rsid w:val="009D7611"/>
    <w:rsid w:val="009D770B"/>
    <w:rsid w:val="009E53DE"/>
    <w:rsid w:val="00A027C3"/>
    <w:rsid w:val="00A43458"/>
    <w:rsid w:val="00A44A5E"/>
    <w:rsid w:val="00A528D1"/>
    <w:rsid w:val="00A66BE5"/>
    <w:rsid w:val="00AD37C1"/>
    <w:rsid w:val="00AE66EC"/>
    <w:rsid w:val="00AE6F91"/>
    <w:rsid w:val="00AF5571"/>
    <w:rsid w:val="00B167E9"/>
    <w:rsid w:val="00B314DB"/>
    <w:rsid w:val="00B31EBE"/>
    <w:rsid w:val="00B3718B"/>
    <w:rsid w:val="00B4632A"/>
    <w:rsid w:val="00B942F2"/>
    <w:rsid w:val="00BA276C"/>
    <w:rsid w:val="00BB306F"/>
    <w:rsid w:val="00BD232B"/>
    <w:rsid w:val="00BD4B89"/>
    <w:rsid w:val="00BF6561"/>
    <w:rsid w:val="00C13164"/>
    <w:rsid w:val="00C21762"/>
    <w:rsid w:val="00C24543"/>
    <w:rsid w:val="00C256A2"/>
    <w:rsid w:val="00C3492D"/>
    <w:rsid w:val="00C55560"/>
    <w:rsid w:val="00C66B72"/>
    <w:rsid w:val="00C9567A"/>
    <w:rsid w:val="00CB2660"/>
    <w:rsid w:val="00CB6B1A"/>
    <w:rsid w:val="00CC5E90"/>
    <w:rsid w:val="00CD046C"/>
    <w:rsid w:val="00CE5199"/>
    <w:rsid w:val="00CE66D5"/>
    <w:rsid w:val="00CF557B"/>
    <w:rsid w:val="00D34786"/>
    <w:rsid w:val="00D40A1E"/>
    <w:rsid w:val="00D712D3"/>
    <w:rsid w:val="00D71422"/>
    <w:rsid w:val="00D7145E"/>
    <w:rsid w:val="00D7558D"/>
    <w:rsid w:val="00D81D92"/>
    <w:rsid w:val="00D93446"/>
    <w:rsid w:val="00DA37B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3C2B-4640-4021-AF83-05F1B31A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14409</Characters>
  <Application>Microsoft Office Word</Application>
  <DocSecurity>0</DocSecurity>
  <Lines>266</Lines>
  <Paragraphs>65</Paragraphs>
  <ScaleCrop>false</ScaleCrop>
  <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39/21</dc:title>
  <dc:creator/>
  <cp:lastModifiedBy/>
  <cp:revision>1</cp:revision>
  <dcterms:created xsi:type="dcterms:W3CDTF">2021-04-14T11:58:00Z</dcterms:created>
  <dcterms:modified xsi:type="dcterms:W3CDTF">2021-04-14T11:58:00Z</dcterms:modified>
</cp:coreProperties>
</file>